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0332B779" w14:textId="77777777" w:rsidTr="00E54322">
        <w:trPr>
          <w:trHeight w:val="737"/>
        </w:trPr>
        <w:tc>
          <w:tcPr>
            <w:tcW w:w="1250" w:type="pct"/>
            <w:shd w:val="clear" w:color="auto" w:fill="auto"/>
            <w:vAlign w:val="center"/>
          </w:tcPr>
          <w:p w14:paraId="0BC9DF9A"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5A93DF06"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75DFDF57" w14:textId="53F88B9A" w:rsidR="002D11B8" w:rsidRPr="00E25892" w:rsidRDefault="00E25892" w:rsidP="00FE16E3">
            <w:pPr>
              <w:ind w:left="-40"/>
              <w:jc w:val="center"/>
              <w:rPr>
                <w:rFonts w:ascii="Arial Narrow" w:hAnsi="Arial Narrow" w:cs="Arial"/>
                <w:b/>
                <w:sz w:val="24"/>
                <w:szCs w:val="24"/>
              </w:rPr>
            </w:pPr>
            <w:proofErr w:type="gramStart"/>
            <w:r w:rsidRPr="00E25892">
              <w:rPr>
                <w:rFonts w:ascii="Arial Narrow" w:hAnsi="Arial Narrow" w:cs="Calibri"/>
                <w:b/>
                <w:sz w:val="24"/>
                <w:szCs w:val="24"/>
              </w:rPr>
              <w:t>CM(</w:t>
            </w:r>
            <w:proofErr w:type="gramEnd"/>
            <w:r w:rsidRPr="00E25892">
              <w:rPr>
                <w:rFonts w:ascii="Arial Narrow" w:hAnsi="Arial Narrow" w:cs="Calibri"/>
                <w:b/>
                <w:sz w:val="24"/>
                <w:szCs w:val="24"/>
              </w:rPr>
              <w:t>2022)62-addfinal</w:t>
            </w:r>
          </w:p>
        </w:tc>
        <w:tc>
          <w:tcPr>
            <w:tcW w:w="1250" w:type="pct"/>
            <w:shd w:val="clear" w:color="auto" w:fill="auto"/>
            <w:vAlign w:val="center"/>
          </w:tcPr>
          <w:p w14:paraId="2887F79B" w14:textId="424E0D46" w:rsidR="002D11B8" w:rsidRPr="00F96689" w:rsidRDefault="00E25892" w:rsidP="00FE16E3">
            <w:pPr>
              <w:jc w:val="right"/>
              <w:rPr>
                <w:rFonts w:ascii="Arial Narrow" w:hAnsi="Arial Narrow" w:cs="Arial"/>
                <w:sz w:val="16"/>
                <w:szCs w:val="16"/>
              </w:rPr>
            </w:pPr>
            <w:r>
              <w:rPr>
                <w:rFonts w:ascii="Arial Narrow" w:hAnsi="Arial Narrow" w:cs="Calibri"/>
                <w:sz w:val="16"/>
                <w:szCs w:val="16"/>
              </w:rPr>
              <w:t>16 May</w:t>
            </w:r>
            <w:r w:rsidR="002D11B8" w:rsidRPr="00F96689">
              <w:rPr>
                <w:rFonts w:ascii="Arial Narrow" w:hAnsi="Arial Narrow" w:cs="Calibri"/>
                <w:sz w:val="16"/>
                <w:szCs w:val="16"/>
              </w:rPr>
              <w:t xml:space="preserve"> </w:t>
            </w:r>
            <w:r w:rsidR="006E6FA7">
              <w:rPr>
                <w:rFonts w:ascii="Arial Narrow" w:hAnsi="Arial Narrow" w:cs="Calibri"/>
                <w:sz w:val="16"/>
                <w:szCs w:val="16"/>
              </w:rPr>
              <w:t>202</w:t>
            </w:r>
            <w:r w:rsidR="0066614D">
              <w:rPr>
                <w:rFonts w:ascii="Arial Narrow" w:hAnsi="Arial Narrow" w:cs="Calibri"/>
                <w:sz w:val="16"/>
                <w:szCs w:val="16"/>
              </w:rPr>
              <w:t>2</w:t>
            </w:r>
          </w:p>
        </w:tc>
      </w:tr>
    </w:tbl>
    <w:p w14:paraId="4BB55F58"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50946985" w14:textId="77777777" w:rsidTr="00E54322">
        <w:tc>
          <w:tcPr>
            <w:tcW w:w="9399" w:type="dxa"/>
            <w:shd w:val="clear" w:color="auto" w:fill="auto"/>
            <w:tcMar>
              <w:top w:w="227" w:type="dxa"/>
              <w:bottom w:w="227" w:type="dxa"/>
            </w:tcMar>
            <w:vAlign w:val="center"/>
          </w:tcPr>
          <w:p w14:paraId="1D073C65" w14:textId="5E748FA6" w:rsidR="0036698B" w:rsidRPr="002F1231" w:rsidRDefault="0036698B" w:rsidP="0036698B">
            <w:pPr>
              <w:widowControl w:val="0"/>
              <w:autoSpaceDE w:val="0"/>
              <w:autoSpaceDN w:val="0"/>
              <w:adjustRightInd w:val="0"/>
              <w:rPr>
                <w:rFonts w:ascii="Arial Narrow" w:hAnsi="Arial Narrow" w:cs="Calibri"/>
                <w:b/>
                <w:bCs/>
                <w:sz w:val="32"/>
                <w:szCs w:val="32"/>
              </w:rPr>
            </w:pPr>
            <w:r w:rsidRPr="002F1231">
              <w:rPr>
                <w:rFonts w:ascii="Arial Narrow" w:hAnsi="Arial Narrow" w:cs="Calibri"/>
                <w:b/>
                <w:bCs/>
                <w:sz w:val="32"/>
                <w:szCs w:val="32"/>
              </w:rPr>
              <w:t>1</w:t>
            </w:r>
            <w:r>
              <w:rPr>
                <w:rFonts w:ascii="Arial Narrow" w:hAnsi="Arial Narrow" w:cs="Calibri"/>
                <w:b/>
                <w:bCs/>
                <w:sz w:val="32"/>
                <w:szCs w:val="32"/>
              </w:rPr>
              <w:t>3</w:t>
            </w:r>
            <w:r w:rsidR="0066614D">
              <w:rPr>
                <w:rFonts w:ascii="Arial Narrow" w:hAnsi="Arial Narrow" w:cs="Calibri"/>
                <w:b/>
                <w:bCs/>
                <w:sz w:val="32"/>
                <w:szCs w:val="32"/>
              </w:rPr>
              <w:t>2</w:t>
            </w:r>
            <w:r w:rsidR="0066614D" w:rsidRPr="0066614D">
              <w:rPr>
                <w:rFonts w:ascii="Arial Narrow" w:hAnsi="Arial Narrow" w:cs="Calibri"/>
                <w:b/>
                <w:bCs/>
                <w:sz w:val="32"/>
                <w:szCs w:val="32"/>
                <w:vertAlign w:val="superscript"/>
              </w:rPr>
              <w:t>nd</w:t>
            </w:r>
            <w:r w:rsidR="0066614D">
              <w:rPr>
                <w:rFonts w:ascii="Arial Narrow" w:hAnsi="Arial Narrow" w:cs="Calibri"/>
                <w:b/>
                <w:bCs/>
                <w:sz w:val="32"/>
                <w:szCs w:val="32"/>
              </w:rPr>
              <w:t xml:space="preserve"> </w:t>
            </w:r>
            <w:r w:rsidRPr="002F1231">
              <w:rPr>
                <w:rFonts w:ascii="Arial Narrow" w:hAnsi="Arial Narrow" w:cs="Calibri"/>
                <w:b/>
                <w:bCs/>
                <w:sz w:val="32"/>
                <w:szCs w:val="32"/>
              </w:rPr>
              <w:t>Session of the Committee of Ministers</w:t>
            </w:r>
          </w:p>
          <w:p w14:paraId="39A4BA98" w14:textId="4133040C" w:rsidR="0036698B" w:rsidRPr="002F1231" w:rsidRDefault="0036698B" w:rsidP="0036698B">
            <w:pPr>
              <w:widowControl w:val="0"/>
              <w:autoSpaceDE w:val="0"/>
              <w:autoSpaceDN w:val="0"/>
              <w:adjustRightInd w:val="0"/>
              <w:rPr>
                <w:rFonts w:ascii="Arial Narrow" w:hAnsi="Arial Narrow" w:cs="Calibri"/>
                <w:b/>
                <w:bCs/>
                <w:sz w:val="32"/>
                <w:szCs w:val="32"/>
              </w:rPr>
            </w:pPr>
            <w:r w:rsidRPr="002F1231">
              <w:rPr>
                <w:rFonts w:ascii="Arial Narrow" w:hAnsi="Arial Narrow" w:cs="Calibri"/>
                <w:b/>
                <w:bCs/>
                <w:sz w:val="32"/>
                <w:szCs w:val="32"/>
              </w:rPr>
              <w:t>(</w:t>
            </w:r>
            <w:r w:rsidR="0066614D">
              <w:rPr>
                <w:rFonts w:ascii="Arial Narrow" w:hAnsi="Arial Narrow" w:cs="Calibri"/>
                <w:b/>
                <w:bCs/>
                <w:sz w:val="32"/>
                <w:szCs w:val="32"/>
              </w:rPr>
              <w:t>Turin</w:t>
            </w:r>
            <w:r w:rsidRPr="002F1231">
              <w:rPr>
                <w:rFonts w:ascii="Arial Narrow" w:hAnsi="Arial Narrow" w:cs="Calibri"/>
                <w:b/>
                <w:bCs/>
                <w:sz w:val="32"/>
                <w:szCs w:val="32"/>
              </w:rPr>
              <w:t xml:space="preserve">, </w:t>
            </w:r>
            <w:r>
              <w:rPr>
                <w:rFonts w:ascii="Arial Narrow" w:hAnsi="Arial Narrow" w:cs="Calibri"/>
                <w:b/>
                <w:bCs/>
                <w:sz w:val="32"/>
                <w:szCs w:val="32"/>
              </w:rPr>
              <w:t>2</w:t>
            </w:r>
            <w:r w:rsidR="0066614D">
              <w:rPr>
                <w:rFonts w:ascii="Arial Narrow" w:hAnsi="Arial Narrow" w:cs="Calibri"/>
                <w:b/>
                <w:bCs/>
                <w:sz w:val="32"/>
                <w:szCs w:val="32"/>
              </w:rPr>
              <w:t>0</w:t>
            </w:r>
            <w:r w:rsidRPr="002F1231">
              <w:rPr>
                <w:rFonts w:ascii="Arial Narrow" w:hAnsi="Arial Narrow" w:cs="Calibri"/>
                <w:b/>
                <w:bCs/>
                <w:sz w:val="32"/>
                <w:szCs w:val="32"/>
              </w:rPr>
              <w:t xml:space="preserve"> May 20</w:t>
            </w:r>
            <w:r>
              <w:rPr>
                <w:rFonts w:ascii="Arial Narrow" w:hAnsi="Arial Narrow" w:cs="Calibri"/>
                <w:b/>
                <w:bCs/>
                <w:sz w:val="32"/>
                <w:szCs w:val="32"/>
              </w:rPr>
              <w:t>2</w:t>
            </w:r>
            <w:r w:rsidR="0066614D">
              <w:rPr>
                <w:rFonts w:ascii="Arial Narrow" w:hAnsi="Arial Narrow" w:cs="Calibri"/>
                <w:b/>
                <w:bCs/>
                <w:sz w:val="32"/>
                <w:szCs w:val="32"/>
              </w:rPr>
              <w:t>2</w:t>
            </w:r>
            <w:r w:rsidRPr="002F1231">
              <w:rPr>
                <w:rFonts w:ascii="Arial Narrow" w:hAnsi="Arial Narrow" w:cs="Calibri"/>
                <w:b/>
                <w:bCs/>
                <w:sz w:val="32"/>
                <w:szCs w:val="32"/>
              </w:rPr>
              <w:t>)</w:t>
            </w:r>
          </w:p>
          <w:p w14:paraId="0AD0566B" w14:textId="77777777" w:rsidR="0037200F" w:rsidRPr="00A12DEC" w:rsidRDefault="00CE6FD2" w:rsidP="00E54322">
            <w:pPr>
              <w:rPr>
                <w:rFonts w:ascii="Arial Narrow" w:hAnsi="Arial Narrow" w:cs="Calibri"/>
                <w:i/>
                <w:szCs w:val="20"/>
              </w:rPr>
            </w:pPr>
            <w:r w:rsidRPr="00A12DEC">
              <w:rPr>
                <w:rFonts w:ascii="Arial Narrow" w:hAnsi="Arial Narrow" w:cs="Calibri"/>
                <w:i/>
                <w:szCs w:val="20"/>
              </w:rPr>
              <w:t xml:space="preserve"> </w:t>
            </w:r>
          </w:p>
          <w:p w14:paraId="3015D4E0" w14:textId="745BBE05" w:rsidR="00E457C3" w:rsidRPr="007D3924" w:rsidRDefault="00490A74" w:rsidP="00FE16E3">
            <w:pPr>
              <w:rPr>
                <w:rFonts w:ascii="Arial Narrow" w:hAnsi="Arial Narrow" w:cs="Calibri"/>
                <w:b/>
                <w:sz w:val="28"/>
                <w:szCs w:val="28"/>
              </w:rPr>
            </w:pPr>
            <w:r w:rsidRPr="007D3924">
              <w:rPr>
                <w:rFonts w:ascii="Arial Narrow" w:hAnsi="Arial Narrow" w:cs="Calibri"/>
                <w:b/>
                <w:sz w:val="28"/>
                <w:szCs w:val="28"/>
              </w:rPr>
              <w:t>Joint Programmes between the Council of Europe and the European Union in 202</w:t>
            </w:r>
            <w:r w:rsidR="00F71C80" w:rsidRPr="007D3924">
              <w:rPr>
                <w:rFonts w:ascii="Arial Narrow" w:hAnsi="Arial Narrow" w:cs="Calibri"/>
                <w:b/>
                <w:sz w:val="28"/>
                <w:szCs w:val="28"/>
              </w:rPr>
              <w:t>1</w:t>
            </w:r>
            <w:r w:rsidRPr="007D3924">
              <w:rPr>
                <w:rFonts w:ascii="Arial Narrow" w:hAnsi="Arial Narrow" w:cs="Calibri"/>
                <w:b/>
                <w:sz w:val="28"/>
                <w:szCs w:val="28"/>
              </w:rPr>
              <w:t xml:space="preserve"> – Information document</w:t>
            </w:r>
          </w:p>
        </w:tc>
      </w:tr>
    </w:tbl>
    <w:p w14:paraId="68A0EC7B" w14:textId="7F5BBC49" w:rsidR="00E54322" w:rsidRDefault="00E54322" w:rsidP="0037200F">
      <w:pPr>
        <w:rPr>
          <w:rFonts w:eastAsia="Times New Roman"/>
          <w:szCs w:val="24"/>
        </w:rPr>
      </w:pPr>
      <w:r>
        <w:rPr>
          <w:rFonts w:eastAsia="Times New Roman"/>
          <w:szCs w:val="24"/>
        </w:rPr>
        <w:t xml:space="preserve"> </w:t>
      </w:r>
    </w:p>
    <w:p w14:paraId="39ECBD98" w14:textId="77777777" w:rsidR="00067458" w:rsidRPr="0087557D" w:rsidRDefault="00067458" w:rsidP="00067458">
      <w:pPr>
        <w:numPr>
          <w:ilvl w:val="0"/>
          <w:numId w:val="1"/>
        </w:numPr>
        <w:ind w:left="709" w:hanging="709"/>
        <w:rPr>
          <w:rFonts w:cs="Arial"/>
          <w:b/>
          <w:szCs w:val="20"/>
        </w:rPr>
      </w:pPr>
      <w:r w:rsidRPr="0087557D">
        <w:rPr>
          <w:rFonts w:cs="Arial"/>
          <w:b/>
          <w:szCs w:val="20"/>
        </w:rPr>
        <w:t>GENERAL DEVELOPMENTS</w:t>
      </w:r>
    </w:p>
    <w:p w14:paraId="0530800F" w14:textId="77777777" w:rsidR="00067458" w:rsidRDefault="00067458" w:rsidP="00067458">
      <w:pPr>
        <w:contextualSpacing/>
        <w:rPr>
          <w:rFonts w:cs="Arial"/>
          <w:highlight w:val="yellow"/>
        </w:rPr>
      </w:pPr>
    </w:p>
    <w:p w14:paraId="30AD6896" w14:textId="38A3E8C4" w:rsidR="00067458" w:rsidRDefault="00067458" w:rsidP="00067458">
      <w:pPr>
        <w:numPr>
          <w:ilvl w:val="0"/>
          <w:numId w:val="2"/>
        </w:numPr>
        <w:ind w:left="0" w:firstLine="0"/>
        <w:contextualSpacing/>
        <w:rPr>
          <w:rFonts w:cs="Arial"/>
          <w:szCs w:val="20"/>
        </w:rPr>
      </w:pPr>
      <w:r>
        <w:rPr>
          <w:rFonts w:cs="Arial"/>
          <w:szCs w:val="20"/>
        </w:rPr>
        <w:t xml:space="preserve">Joint Programmes (JPs) between the Council of Europe and the European Union are an important expression of the EU-CoE partnership and mutual commitment to promoting democracy, human rights, and the rule of law at pan-European level and beyond.  </w:t>
      </w:r>
      <w:bookmarkStart w:id="0" w:name="_Hlk93859503"/>
      <w:r>
        <w:rPr>
          <w:rFonts w:cs="Arial"/>
          <w:szCs w:val="20"/>
        </w:rPr>
        <w:t xml:space="preserve">Since the Statement of Intent, signed in April 2014, Joint Programme co-operation has been following a strategic programmatic approach, which brought it to the current level. </w:t>
      </w:r>
      <w:bookmarkEnd w:id="0"/>
      <w:r w:rsidRPr="00370E97">
        <w:rPr>
          <w:rFonts w:cs="Arial"/>
          <w:szCs w:val="20"/>
        </w:rPr>
        <w:t>Three large-scale multiannual multi-country programmes (known as “regional programmatic facilities</w:t>
      </w:r>
      <w:r>
        <w:rPr>
          <w:rFonts w:cs="Arial"/>
          <w:szCs w:val="20"/>
        </w:rPr>
        <w:t xml:space="preserve">”) have been put in place in the </w:t>
      </w:r>
      <w:r w:rsidRPr="00370E97">
        <w:rPr>
          <w:rFonts w:cs="Arial"/>
          <w:szCs w:val="20"/>
        </w:rPr>
        <w:t xml:space="preserve">EU Eastern Partnership area, in the EU Enlargement </w:t>
      </w:r>
      <w:r>
        <w:rPr>
          <w:rFonts w:cs="Arial"/>
          <w:szCs w:val="20"/>
        </w:rPr>
        <w:t xml:space="preserve">area </w:t>
      </w:r>
      <w:r w:rsidRPr="00370E97">
        <w:rPr>
          <w:rFonts w:cs="Arial"/>
          <w:szCs w:val="20"/>
        </w:rPr>
        <w:t>and in the Southern Neighbourhood</w:t>
      </w:r>
      <w:r>
        <w:rPr>
          <w:rFonts w:cs="Arial"/>
          <w:szCs w:val="20"/>
        </w:rPr>
        <w:t>. The facilities have been complemented, where necessary, by country-specific and regional thematic interventions. Additionally, other important initiatives have been developed, including a structured co-operation framework, through which the CoE technical assistance is channelled to EU member States to facilitate the implementation of structural reforms.</w:t>
      </w:r>
      <w:r w:rsidR="00BA10C5">
        <w:rPr>
          <w:rFonts w:cs="Arial"/>
          <w:szCs w:val="20"/>
        </w:rPr>
        <w:t xml:space="preserve"> </w:t>
      </w:r>
      <w:r>
        <w:rPr>
          <w:rFonts w:cs="Arial"/>
          <w:szCs w:val="20"/>
        </w:rPr>
        <w:t xml:space="preserve">These co-operation modalities, conceived and fully operationalised during the EU multiannual financial cycle 2014-2020, are </w:t>
      </w:r>
      <w:r w:rsidRPr="005D4F4D">
        <w:rPr>
          <w:rFonts w:cs="Arial"/>
          <w:szCs w:val="20"/>
        </w:rPr>
        <w:t>planned</w:t>
      </w:r>
      <w:r>
        <w:rPr>
          <w:rFonts w:cs="Arial"/>
          <w:szCs w:val="20"/>
        </w:rPr>
        <w:t xml:space="preserve"> to continue in the EU multi-annual financial perspective 2021 -</w:t>
      </w:r>
      <w:r w:rsidR="00E16C7D">
        <w:rPr>
          <w:rFonts w:cs="Arial"/>
          <w:szCs w:val="20"/>
        </w:rPr>
        <w:t xml:space="preserve"> 20</w:t>
      </w:r>
      <w:r>
        <w:rPr>
          <w:rFonts w:cs="Arial"/>
          <w:szCs w:val="20"/>
        </w:rPr>
        <w:t>27.</w:t>
      </w:r>
      <w:r w:rsidR="00BA10C5">
        <w:rPr>
          <w:rFonts w:cs="Arial"/>
          <w:szCs w:val="20"/>
        </w:rPr>
        <w:t xml:space="preserve"> </w:t>
      </w:r>
    </w:p>
    <w:p w14:paraId="0792119F" w14:textId="77777777" w:rsidR="00067458" w:rsidRPr="00370E97" w:rsidRDefault="00067458" w:rsidP="00067458">
      <w:pPr>
        <w:contextualSpacing/>
        <w:rPr>
          <w:rFonts w:cs="Arial"/>
          <w:szCs w:val="20"/>
        </w:rPr>
      </w:pPr>
    </w:p>
    <w:p w14:paraId="09BAAD0C" w14:textId="4F0714C4" w:rsidR="00067458" w:rsidRPr="00BD5921" w:rsidRDefault="00067458" w:rsidP="00067458">
      <w:pPr>
        <w:numPr>
          <w:ilvl w:val="0"/>
          <w:numId w:val="2"/>
        </w:numPr>
        <w:ind w:left="0" w:firstLine="0"/>
        <w:contextualSpacing/>
        <w:rPr>
          <w:rFonts w:eastAsiaTheme="minorHAnsi" w:cs="Arial"/>
          <w:szCs w:val="20"/>
        </w:rPr>
      </w:pPr>
      <w:proofErr w:type="gramStart"/>
      <w:r>
        <w:rPr>
          <w:rFonts w:eastAsia="Times New Roman" w:cs="Arial"/>
          <w:szCs w:val="20"/>
        </w:rPr>
        <w:t>Similar to</w:t>
      </w:r>
      <w:proofErr w:type="gramEnd"/>
      <w:r>
        <w:rPr>
          <w:rFonts w:eastAsia="Times New Roman" w:cs="Arial"/>
          <w:szCs w:val="20"/>
        </w:rPr>
        <w:t xml:space="preserve"> 2020, t</w:t>
      </w:r>
      <w:r w:rsidRPr="0087557D">
        <w:rPr>
          <w:rFonts w:eastAsia="Times New Roman" w:cs="Arial"/>
          <w:szCs w:val="20"/>
        </w:rPr>
        <w:t>he year 202</w:t>
      </w:r>
      <w:r>
        <w:rPr>
          <w:rFonts w:eastAsia="Times New Roman" w:cs="Arial"/>
          <w:szCs w:val="20"/>
        </w:rPr>
        <w:t>1</w:t>
      </w:r>
      <w:r w:rsidRPr="0087557D">
        <w:rPr>
          <w:rFonts w:eastAsia="Times New Roman" w:cs="Arial"/>
          <w:szCs w:val="20"/>
        </w:rPr>
        <w:t xml:space="preserve"> was largely </w:t>
      </w:r>
      <w:r>
        <w:rPr>
          <w:rFonts w:eastAsia="Times New Roman" w:cs="Arial"/>
          <w:szCs w:val="20"/>
        </w:rPr>
        <w:t>marked</w:t>
      </w:r>
      <w:r w:rsidRPr="0087557D">
        <w:rPr>
          <w:rFonts w:eastAsia="Times New Roman" w:cs="Arial"/>
          <w:szCs w:val="20"/>
        </w:rPr>
        <w:t xml:space="preserve"> by the </w:t>
      </w:r>
      <w:r>
        <w:rPr>
          <w:rFonts w:eastAsia="Times New Roman" w:cs="Arial"/>
          <w:szCs w:val="20"/>
        </w:rPr>
        <w:t xml:space="preserve">unsettling circumstances of </w:t>
      </w:r>
      <w:r w:rsidRPr="0087557D">
        <w:rPr>
          <w:rFonts w:eastAsia="Times New Roman" w:cs="Arial"/>
          <w:szCs w:val="20"/>
        </w:rPr>
        <w:t>C</w:t>
      </w:r>
      <w:r>
        <w:rPr>
          <w:rFonts w:eastAsia="Times New Roman" w:cs="Arial"/>
          <w:szCs w:val="20"/>
        </w:rPr>
        <w:t>ovid</w:t>
      </w:r>
      <w:r w:rsidRPr="0087557D">
        <w:rPr>
          <w:rFonts w:eastAsia="Times New Roman" w:cs="Arial"/>
          <w:szCs w:val="20"/>
        </w:rPr>
        <w:t>-19 pandemic</w:t>
      </w:r>
      <w:r w:rsidRPr="0087557D">
        <w:rPr>
          <w:rFonts w:eastAsia="Times New Roman" w:cs="Arial"/>
          <w:b/>
          <w:bCs/>
          <w:szCs w:val="20"/>
        </w:rPr>
        <w:t xml:space="preserve">. </w:t>
      </w:r>
      <w:proofErr w:type="gramStart"/>
      <w:r w:rsidRPr="00BD5921">
        <w:rPr>
          <w:rFonts w:cs="Arial"/>
          <w:szCs w:val="20"/>
        </w:rPr>
        <w:t>With regard to</w:t>
      </w:r>
      <w:proofErr w:type="gramEnd"/>
      <w:r w:rsidRPr="00BD5921">
        <w:rPr>
          <w:rFonts w:cs="Arial"/>
          <w:szCs w:val="20"/>
        </w:rPr>
        <w:t xml:space="preserve"> Joint Programme co-operation, the Council of Europe continued to ensure business continuity, while respecting national sanitary measures. Work plans and working methods were </w:t>
      </w:r>
      <w:r>
        <w:rPr>
          <w:rFonts w:cs="Arial"/>
          <w:szCs w:val="20"/>
        </w:rPr>
        <w:t>largely adapted to face the challenges of the health crisis</w:t>
      </w:r>
      <w:r w:rsidRPr="00BD5921">
        <w:rPr>
          <w:rFonts w:cs="Arial"/>
          <w:szCs w:val="20"/>
        </w:rPr>
        <w:t xml:space="preserve">. Moreover, the pandemic-related restrictions triggered or accelerated innovation in some fields, especially </w:t>
      </w:r>
      <w:proofErr w:type="gramStart"/>
      <w:r w:rsidRPr="00BD5921">
        <w:rPr>
          <w:rFonts w:cs="Arial"/>
          <w:szCs w:val="20"/>
        </w:rPr>
        <w:t>in the area of</w:t>
      </w:r>
      <w:proofErr w:type="gramEnd"/>
      <w:r w:rsidRPr="00BD5921">
        <w:rPr>
          <w:rFonts w:cs="Arial"/>
          <w:szCs w:val="20"/>
        </w:rPr>
        <w:t xml:space="preserve"> IT-based solutions, in particular through hybrid events. Experience gained can be transferred to future implementation practice to a certain extent. </w:t>
      </w:r>
      <w:r>
        <w:rPr>
          <w:rFonts w:cs="Arial"/>
          <w:szCs w:val="20"/>
        </w:rPr>
        <w:t xml:space="preserve">On the other hand, </w:t>
      </w:r>
      <w:r w:rsidRPr="00BD5921">
        <w:rPr>
          <w:rFonts w:cs="Arial"/>
          <w:szCs w:val="20"/>
        </w:rPr>
        <w:t>for some activities, no adequate alternative solutions have been found. This concerns</w:t>
      </w:r>
      <w:proofErr w:type="gramStart"/>
      <w:r w:rsidRPr="00BD5921">
        <w:rPr>
          <w:rFonts w:cs="Arial"/>
          <w:szCs w:val="20"/>
        </w:rPr>
        <w:t>, in particular</w:t>
      </w:r>
      <w:r>
        <w:rPr>
          <w:rFonts w:cs="Arial"/>
          <w:szCs w:val="20"/>
        </w:rPr>
        <w:t xml:space="preserve">, </w:t>
      </w:r>
      <w:r w:rsidRPr="00BD5921">
        <w:rPr>
          <w:rFonts w:cs="Arial"/>
          <w:szCs w:val="20"/>
        </w:rPr>
        <w:t>the</w:t>
      </w:r>
      <w:proofErr w:type="gramEnd"/>
      <w:r w:rsidRPr="00BD5921">
        <w:rPr>
          <w:rFonts w:cs="Arial"/>
          <w:szCs w:val="20"/>
        </w:rPr>
        <w:t xml:space="preserve"> politically sensitive areas of co-operation, regional exchanges of best practices, study trips and certain type of training activities. The Council of Europe has sought to take advantage of all the windows of opportunity </w:t>
      </w:r>
      <w:proofErr w:type="gramStart"/>
      <w:r w:rsidRPr="00BD5921">
        <w:rPr>
          <w:rFonts w:cs="Arial"/>
          <w:szCs w:val="20"/>
        </w:rPr>
        <w:t>opened up</w:t>
      </w:r>
      <w:proofErr w:type="gramEnd"/>
      <w:r w:rsidRPr="00BD5921">
        <w:rPr>
          <w:rFonts w:cs="Arial"/>
          <w:szCs w:val="20"/>
        </w:rPr>
        <w:t xml:space="preserve"> by health improvements to implement these face-to-face activities. </w:t>
      </w:r>
      <w:r w:rsidRPr="00BD5921">
        <w:rPr>
          <w:rFonts w:eastAsia="Times New Roman" w:cs="Arial"/>
          <w:szCs w:val="20"/>
        </w:rPr>
        <w:t xml:space="preserve">The flexible approach applied in the implementation of facility-type programmes </w:t>
      </w:r>
      <w:proofErr w:type="gramStart"/>
      <w:r w:rsidRPr="00BD5921">
        <w:rPr>
          <w:rFonts w:eastAsia="Times New Roman" w:cs="Arial"/>
          <w:szCs w:val="20"/>
        </w:rPr>
        <w:t>in particular proved</w:t>
      </w:r>
      <w:proofErr w:type="gramEnd"/>
      <w:r w:rsidRPr="00BD5921">
        <w:rPr>
          <w:rFonts w:eastAsia="Times New Roman" w:cs="Arial"/>
          <w:szCs w:val="20"/>
        </w:rPr>
        <w:t xml:space="preserve"> its value in reacting to the C</w:t>
      </w:r>
      <w:r w:rsidR="00192E2D">
        <w:rPr>
          <w:rFonts w:eastAsia="Times New Roman" w:cs="Arial"/>
          <w:szCs w:val="20"/>
        </w:rPr>
        <w:t>ovid</w:t>
      </w:r>
      <w:r w:rsidRPr="00BD5921">
        <w:rPr>
          <w:rFonts w:eastAsia="Times New Roman" w:cs="Arial"/>
          <w:szCs w:val="20"/>
        </w:rPr>
        <w:t xml:space="preserve"> crisis, as overall, activities were able to move online or were held in a hybrid </w:t>
      </w:r>
      <w:r>
        <w:rPr>
          <w:rFonts w:eastAsia="Times New Roman" w:cs="Arial"/>
          <w:szCs w:val="20"/>
        </w:rPr>
        <w:t>format</w:t>
      </w:r>
      <w:r w:rsidRPr="00BD5921">
        <w:rPr>
          <w:rFonts w:eastAsia="Times New Roman" w:cs="Arial"/>
          <w:szCs w:val="20"/>
        </w:rPr>
        <w:t>, and a good dissemination of information has been ensured.</w:t>
      </w:r>
      <w:r w:rsidRPr="00BD5921">
        <w:rPr>
          <w:rFonts w:cs="Arial"/>
          <w:szCs w:val="20"/>
        </w:rPr>
        <w:t xml:space="preserve"> The mitigation measures applied allowed to reach some important results (for more information, see Section III). </w:t>
      </w:r>
    </w:p>
    <w:p w14:paraId="598D663F" w14:textId="77777777" w:rsidR="00067458" w:rsidRDefault="00067458" w:rsidP="00067458">
      <w:pPr>
        <w:contextualSpacing/>
        <w:rPr>
          <w:rFonts w:cs="Arial"/>
          <w:szCs w:val="20"/>
        </w:rPr>
      </w:pPr>
    </w:p>
    <w:p w14:paraId="20986444" w14:textId="49929AD8" w:rsidR="00067458" w:rsidRPr="00F71C80" w:rsidRDefault="00067458" w:rsidP="00F71C80">
      <w:pPr>
        <w:pStyle w:val="ListParagraph"/>
        <w:numPr>
          <w:ilvl w:val="0"/>
          <w:numId w:val="2"/>
        </w:numPr>
        <w:ind w:left="0" w:firstLine="0"/>
        <w:rPr>
          <w:rFonts w:eastAsiaTheme="minorHAnsi" w:cs="Arial"/>
          <w:szCs w:val="20"/>
        </w:rPr>
      </w:pPr>
      <w:r w:rsidRPr="00F71C80">
        <w:rPr>
          <w:rFonts w:eastAsia="Times New Roman" w:cs="Arial"/>
          <w:szCs w:val="20"/>
        </w:rPr>
        <w:t xml:space="preserve">Throughout the pandemic period, the Council of Europe regularly informed the EU partners of the measures taken, the change in working methods and the results achieved. </w:t>
      </w:r>
      <w:r w:rsidRPr="00F71C80">
        <w:rPr>
          <w:rFonts w:cs="Arial"/>
          <w:szCs w:val="20"/>
        </w:rPr>
        <w:t xml:space="preserve">While the achievements in some areas could have been more prominent during the short periods of the health crisis’ lull, the substantial results achieved despite the circumstances demonstrate the commitment of </w:t>
      </w:r>
      <w:r w:rsidRPr="00F71C80">
        <w:rPr>
          <w:rFonts w:cs="Arial"/>
          <w:bCs/>
          <w:szCs w:val="20"/>
        </w:rPr>
        <w:t>the Joint Programmes beneficiaries. Enhanced co-ordination and communication between the Council of Europe and the European Union, both in headquarters and in the field</w:t>
      </w:r>
      <w:r w:rsidRPr="00F71C80">
        <w:rPr>
          <w:rFonts w:cs="Arial"/>
          <w:szCs w:val="20"/>
        </w:rPr>
        <w:t>, was indispensable.</w:t>
      </w:r>
      <w:r w:rsidRPr="00F71C80" w:rsidDel="009E769B">
        <w:rPr>
          <w:rFonts w:cs="Arial"/>
          <w:bCs/>
          <w:szCs w:val="20"/>
        </w:rPr>
        <w:t xml:space="preserve"> </w:t>
      </w:r>
    </w:p>
    <w:p w14:paraId="114B5554" w14:textId="77777777" w:rsidR="00067458" w:rsidRPr="0087557D" w:rsidRDefault="00067458" w:rsidP="00067458">
      <w:pPr>
        <w:rPr>
          <w:rFonts w:eastAsia="Times New Roman" w:cs="Arial"/>
          <w:szCs w:val="20"/>
          <w:lang w:eastAsia="fr-FR"/>
        </w:rPr>
      </w:pPr>
    </w:p>
    <w:p w14:paraId="63CFC430" w14:textId="77777777" w:rsidR="00067458" w:rsidRDefault="00067458">
      <w:pPr>
        <w:rPr>
          <w:rFonts w:eastAsia="Times New Roman" w:cs="Arial"/>
          <w:szCs w:val="20"/>
          <w:lang w:eastAsia="fr-FR"/>
        </w:rPr>
      </w:pPr>
      <w:r>
        <w:rPr>
          <w:rFonts w:eastAsia="Times New Roman" w:cs="Arial"/>
          <w:szCs w:val="20"/>
          <w:lang w:eastAsia="fr-FR"/>
        </w:rPr>
        <w:br w:type="page"/>
      </w:r>
    </w:p>
    <w:p w14:paraId="12153C14" w14:textId="522A73AA" w:rsidR="00067458" w:rsidRDefault="00067458" w:rsidP="00067458">
      <w:pPr>
        <w:numPr>
          <w:ilvl w:val="0"/>
          <w:numId w:val="2"/>
        </w:numPr>
        <w:ind w:left="0" w:firstLine="0"/>
        <w:contextualSpacing/>
        <w:rPr>
          <w:rFonts w:eastAsiaTheme="minorHAnsi" w:cs="Arial"/>
          <w:szCs w:val="20"/>
        </w:rPr>
      </w:pPr>
      <w:r w:rsidRPr="0087557D">
        <w:rPr>
          <w:rFonts w:eastAsia="Times New Roman" w:cs="Arial"/>
          <w:szCs w:val="20"/>
          <w:lang w:eastAsia="fr-FR"/>
        </w:rPr>
        <w:lastRenderedPageBreak/>
        <w:t>Whilst the C</w:t>
      </w:r>
      <w:r>
        <w:rPr>
          <w:rFonts w:eastAsia="Times New Roman" w:cs="Arial"/>
          <w:szCs w:val="20"/>
          <w:lang w:eastAsia="fr-FR"/>
        </w:rPr>
        <w:t>ovid</w:t>
      </w:r>
      <w:r w:rsidRPr="0087557D">
        <w:rPr>
          <w:rFonts w:eastAsia="Times New Roman" w:cs="Arial"/>
          <w:szCs w:val="20"/>
          <w:lang w:eastAsia="fr-FR"/>
        </w:rPr>
        <w:t xml:space="preserve">-19 pandemic posed challenges for the practical implementation of Joint Programmes, necessitating serious mitigation effort, it had </w:t>
      </w:r>
      <w:r>
        <w:rPr>
          <w:rFonts w:eastAsia="Times New Roman" w:cs="Arial"/>
          <w:szCs w:val="20"/>
          <w:lang w:eastAsia="fr-FR"/>
        </w:rPr>
        <w:t xml:space="preserve">no major far-reaching </w:t>
      </w:r>
      <w:r w:rsidRPr="0087557D">
        <w:rPr>
          <w:rFonts w:eastAsia="Times New Roman" w:cs="Arial"/>
          <w:szCs w:val="20"/>
          <w:lang w:eastAsia="fr-FR"/>
        </w:rPr>
        <w:t>effects on the Joint Programme co-operation</w:t>
      </w:r>
      <w:r>
        <w:rPr>
          <w:rFonts w:eastAsia="Times New Roman" w:cs="Arial"/>
          <w:szCs w:val="20"/>
          <w:lang w:eastAsia="fr-FR"/>
        </w:rPr>
        <w:t xml:space="preserve">’s </w:t>
      </w:r>
      <w:r w:rsidRPr="0087557D">
        <w:rPr>
          <w:rFonts w:eastAsia="Times New Roman" w:cs="Arial"/>
          <w:szCs w:val="20"/>
          <w:lang w:eastAsia="fr-FR"/>
        </w:rPr>
        <w:t>financial</w:t>
      </w:r>
      <w:r>
        <w:rPr>
          <w:rFonts w:eastAsia="Times New Roman" w:cs="Arial"/>
          <w:szCs w:val="20"/>
          <w:lang w:eastAsia="fr-FR"/>
        </w:rPr>
        <w:t xml:space="preserve"> parameters – overall, the latter remained relatively stable</w:t>
      </w:r>
      <w:r w:rsidRPr="0075119A">
        <w:rPr>
          <w:rFonts w:cs="Arial"/>
          <w:szCs w:val="20"/>
        </w:rPr>
        <w:t xml:space="preserve"> </w:t>
      </w:r>
      <w:r>
        <w:rPr>
          <w:rFonts w:cs="Arial"/>
          <w:szCs w:val="20"/>
        </w:rPr>
        <w:t>(see statistical analysis in Section II)</w:t>
      </w:r>
      <w:r>
        <w:rPr>
          <w:rFonts w:eastAsia="Times New Roman" w:cs="Arial"/>
          <w:szCs w:val="20"/>
          <w:lang w:eastAsia="fr-FR"/>
        </w:rPr>
        <w:t>.</w:t>
      </w:r>
      <w:r w:rsidR="00BA10C5">
        <w:rPr>
          <w:rFonts w:eastAsia="Times New Roman" w:cs="Arial"/>
          <w:szCs w:val="20"/>
          <w:lang w:eastAsia="fr-FR"/>
        </w:rPr>
        <w:t xml:space="preserve"> </w:t>
      </w:r>
      <w:r w:rsidRPr="0090106B">
        <w:rPr>
          <w:rFonts w:eastAsia="Times New Roman" w:cs="Arial"/>
          <w:szCs w:val="20"/>
        </w:rPr>
        <w:t xml:space="preserve">It should be noted, however, that the </w:t>
      </w:r>
      <w:r w:rsidRPr="0090106B">
        <w:rPr>
          <w:rFonts w:cs="Arial"/>
          <w:szCs w:val="20"/>
        </w:rPr>
        <w:t xml:space="preserve">level of expenditure across Joint Programmes </w:t>
      </w:r>
      <w:r>
        <w:rPr>
          <w:rFonts w:cs="Arial"/>
          <w:szCs w:val="20"/>
        </w:rPr>
        <w:t xml:space="preserve">was </w:t>
      </w:r>
      <w:r w:rsidRPr="0090106B">
        <w:rPr>
          <w:rFonts w:cs="Arial"/>
          <w:szCs w:val="20"/>
        </w:rPr>
        <w:t>lower than initially forecast, notably due to the reduced cost of online activities and the related low expenses for travel and event organisation.</w:t>
      </w:r>
      <w:r>
        <w:rPr>
          <w:rFonts w:cs="Arial"/>
          <w:szCs w:val="20"/>
        </w:rPr>
        <w:t xml:space="preserve"> As a result of lower absorption, by</w:t>
      </w:r>
      <w:r w:rsidRPr="0090106B">
        <w:rPr>
          <w:rFonts w:cs="Arial"/>
          <w:szCs w:val="20"/>
        </w:rPr>
        <w:t xml:space="preserve"> common agreement, </w:t>
      </w:r>
      <w:proofErr w:type="gramStart"/>
      <w:r w:rsidRPr="0090106B">
        <w:rPr>
          <w:rFonts w:cs="Arial"/>
          <w:szCs w:val="20"/>
        </w:rPr>
        <w:t>a number of</w:t>
      </w:r>
      <w:proofErr w:type="gramEnd"/>
      <w:r w:rsidRPr="0090106B">
        <w:rPr>
          <w:rFonts w:cs="Arial"/>
          <w:szCs w:val="20"/>
        </w:rPr>
        <w:t xml:space="preserve"> programmes have been prolonged, with </w:t>
      </w:r>
      <w:r>
        <w:rPr>
          <w:rFonts w:cs="Arial"/>
          <w:szCs w:val="20"/>
        </w:rPr>
        <w:t xml:space="preserve">funding </w:t>
      </w:r>
      <w:r w:rsidRPr="0090106B">
        <w:rPr>
          <w:rFonts w:cs="Arial"/>
          <w:szCs w:val="20"/>
        </w:rPr>
        <w:t>carry-over to 2022.</w:t>
      </w:r>
      <w:r>
        <w:rPr>
          <w:rFonts w:cs="Arial"/>
          <w:szCs w:val="20"/>
        </w:rPr>
        <w:t xml:space="preserve">  </w:t>
      </w:r>
    </w:p>
    <w:p w14:paraId="53AE8675" w14:textId="77777777" w:rsidR="00067458" w:rsidRPr="0087557D" w:rsidRDefault="00067458" w:rsidP="00067458">
      <w:pPr>
        <w:contextualSpacing/>
        <w:rPr>
          <w:rFonts w:eastAsiaTheme="minorHAnsi" w:cs="Arial"/>
          <w:szCs w:val="20"/>
        </w:rPr>
      </w:pPr>
    </w:p>
    <w:p w14:paraId="6969235F" w14:textId="77777777" w:rsidR="00067458" w:rsidRDefault="00067458" w:rsidP="00067458">
      <w:pPr>
        <w:numPr>
          <w:ilvl w:val="0"/>
          <w:numId w:val="2"/>
        </w:numPr>
        <w:ind w:left="0" w:firstLine="0"/>
        <w:contextualSpacing/>
        <w:rPr>
          <w:rFonts w:cs="Arial"/>
        </w:rPr>
      </w:pPr>
      <w:r>
        <w:rPr>
          <w:rFonts w:cs="Arial"/>
          <w:szCs w:val="20"/>
        </w:rPr>
        <w:t>Following the</w:t>
      </w:r>
      <w:r w:rsidRPr="0087557D">
        <w:rPr>
          <w:rFonts w:eastAsiaTheme="minorHAnsi" w:cs="Arial"/>
          <w:szCs w:val="20"/>
        </w:rPr>
        <w:t xml:space="preserve"> entry into force</w:t>
      </w:r>
      <w:r>
        <w:rPr>
          <w:rFonts w:eastAsiaTheme="minorHAnsi" w:cs="Arial"/>
          <w:szCs w:val="20"/>
        </w:rPr>
        <w:t xml:space="preserve">, in October 2020, </w:t>
      </w:r>
      <w:r w:rsidRPr="0087557D">
        <w:rPr>
          <w:rFonts w:eastAsiaTheme="minorHAnsi" w:cs="Arial"/>
          <w:szCs w:val="20"/>
        </w:rPr>
        <w:t>of the new</w:t>
      </w:r>
      <w:r w:rsidRPr="0087557D">
        <w:rPr>
          <w:rFonts w:eastAsia="Times New Roman" w:cs="Arial"/>
          <w:szCs w:val="20"/>
          <w:lang w:eastAsia="fr-FR"/>
        </w:rPr>
        <w:t xml:space="preserve"> </w:t>
      </w:r>
      <w:proofErr w:type="gramStart"/>
      <w:r>
        <w:rPr>
          <w:rFonts w:eastAsia="Times New Roman" w:cs="Arial"/>
          <w:szCs w:val="20"/>
          <w:lang w:eastAsia="fr-FR"/>
        </w:rPr>
        <w:t>Financial</w:t>
      </w:r>
      <w:proofErr w:type="gramEnd"/>
      <w:r w:rsidRPr="0087557D">
        <w:rPr>
          <w:rFonts w:eastAsia="Times New Roman" w:cs="Arial"/>
          <w:szCs w:val="20"/>
          <w:lang w:eastAsia="fr-FR"/>
        </w:rPr>
        <w:t xml:space="preserve"> framework partnership agreement (FFPA) between the European Commission and the Council of Europe</w:t>
      </w:r>
      <w:r>
        <w:rPr>
          <w:rFonts w:eastAsia="Times New Roman" w:cs="Arial"/>
          <w:szCs w:val="20"/>
          <w:lang w:eastAsia="fr-FR"/>
        </w:rPr>
        <w:t xml:space="preserve">, the contractual negotiations of new programmes have been unfolding seamlessly throughout 2021. </w:t>
      </w:r>
      <w:r w:rsidRPr="0087557D">
        <w:rPr>
          <w:rFonts w:cs="Arial"/>
        </w:rPr>
        <w:t>The FFPA is a generic agreement on contractual, administrative, and financial aspects of EU-CoE programme co-operation</w:t>
      </w:r>
      <w:r>
        <w:rPr>
          <w:rFonts w:cs="Arial"/>
        </w:rPr>
        <w:t>, which is</w:t>
      </w:r>
      <w:r w:rsidRPr="0087557D">
        <w:rPr>
          <w:rFonts w:cs="Arial"/>
        </w:rPr>
        <w:t xml:space="preserve"> foreseen to remain in force </w:t>
      </w:r>
      <w:r>
        <w:rPr>
          <w:rFonts w:cs="Arial"/>
        </w:rPr>
        <w:t xml:space="preserve">during the </w:t>
      </w:r>
      <w:r w:rsidRPr="0087557D">
        <w:rPr>
          <w:rFonts w:cs="Arial"/>
        </w:rPr>
        <w:t xml:space="preserve">EU </w:t>
      </w:r>
      <w:r>
        <w:rPr>
          <w:rFonts w:cs="Arial"/>
        </w:rPr>
        <w:t>m</w:t>
      </w:r>
      <w:r w:rsidRPr="0087557D">
        <w:rPr>
          <w:rFonts w:cs="Arial"/>
        </w:rPr>
        <w:t>ultiannual financial</w:t>
      </w:r>
      <w:r>
        <w:rPr>
          <w:rFonts w:cs="Arial"/>
        </w:rPr>
        <w:t xml:space="preserve"> cycle</w:t>
      </w:r>
      <w:r w:rsidRPr="0087557D">
        <w:rPr>
          <w:rFonts w:cs="Arial"/>
        </w:rPr>
        <w:t xml:space="preserve"> 2021-2027.</w:t>
      </w:r>
      <w:r>
        <w:rPr>
          <w:rFonts w:cs="Arial"/>
        </w:rPr>
        <w:t xml:space="preserve"> Importantly, the FFPA heralds the shift at greater scale to a particular EU implementation mode - the so-called “indirect management” - whereby the Council of Europe becomes a partner entrusted with the implementation of EU budget.  </w:t>
      </w:r>
    </w:p>
    <w:p w14:paraId="017EF0CC" w14:textId="77777777" w:rsidR="00067458" w:rsidRDefault="00067458" w:rsidP="00067458">
      <w:pPr>
        <w:pStyle w:val="ListParagraph"/>
        <w:rPr>
          <w:rFonts w:eastAsiaTheme="minorHAnsi" w:cs="Arial"/>
          <w:szCs w:val="20"/>
        </w:rPr>
      </w:pPr>
    </w:p>
    <w:p w14:paraId="7DE86A31" w14:textId="77777777" w:rsidR="00067458" w:rsidRPr="00FA168B" w:rsidRDefault="00067458" w:rsidP="00067458">
      <w:pPr>
        <w:numPr>
          <w:ilvl w:val="0"/>
          <w:numId w:val="2"/>
        </w:numPr>
        <w:ind w:left="0" w:firstLine="0"/>
        <w:contextualSpacing/>
        <w:rPr>
          <w:rFonts w:cs="Arial"/>
        </w:rPr>
      </w:pPr>
      <w:r w:rsidRPr="005327D3">
        <w:rPr>
          <w:rFonts w:eastAsiaTheme="minorHAnsi" w:cs="Arial"/>
          <w:szCs w:val="20"/>
        </w:rPr>
        <w:t xml:space="preserve">To accompany the </w:t>
      </w:r>
      <w:r>
        <w:rPr>
          <w:rFonts w:eastAsiaTheme="minorHAnsi" w:cs="Arial"/>
          <w:szCs w:val="20"/>
        </w:rPr>
        <w:t xml:space="preserve">development of </w:t>
      </w:r>
      <w:r w:rsidRPr="005327D3">
        <w:rPr>
          <w:rFonts w:eastAsiaTheme="minorHAnsi" w:cs="Arial"/>
          <w:szCs w:val="20"/>
        </w:rPr>
        <w:t xml:space="preserve">Joint Programme co-operation, the Council of Europe continued to upgrade its project management capacity and dedicated IT tools: training for project teams in the CoE project management methodology (PMM) continued </w:t>
      </w:r>
      <w:r>
        <w:rPr>
          <w:rFonts w:eastAsiaTheme="minorHAnsi" w:cs="Arial"/>
          <w:szCs w:val="20"/>
        </w:rPr>
        <w:t xml:space="preserve">and </w:t>
      </w:r>
      <w:r w:rsidRPr="005327D3">
        <w:rPr>
          <w:rFonts w:eastAsiaTheme="minorHAnsi" w:cs="Arial"/>
          <w:szCs w:val="20"/>
        </w:rPr>
        <w:t>the PMM IT tool’s</w:t>
      </w:r>
      <w:r>
        <w:rPr>
          <w:rFonts w:eastAsiaTheme="minorHAnsi" w:cs="Arial"/>
          <w:szCs w:val="20"/>
        </w:rPr>
        <w:t xml:space="preserve"> imbrication with the CoE financial management system has been further advanced</w:t>
      </w:r>
      <w:r w:rsidRPr="005327D3">
        <w:rPr>
          <w:rFonts w:eastAsiaTheme="minorHAnsi" w:cs="Arial"/>
          <w:szCs w:val="20"/>
        </w:rPr>
        <w:t xml:space="preserve">. </w:t>
      </w:r>
      <w:r w:rsidRPr="00F52869">
        <w:rPr>
          <w:rFonts w:eastAsiaTheme="minorHAnsi" w:cs="Arial"/>
          <w:szCs w:val="20"/>
        </w:rPr>
        <w:t>In the context of digitalisation of the Joint Programme reporting processes, creation of a data transfer mechanism between the CoE PMM IT tool and the EU electronic exchange system OPSYS, agreed under the FFPA of October 2020, remains the main challenge and requires particular attention.</w:t>
      </w:r>
      <w:r w:rsidRPr="00FA168B">
        <w:rPr>
          <w:rFonts w:eastAsiaTheme="minorHAnsi" w:cs="Arial"/>
          <w:szCs w:val="20"/>
        </w:rPr>
        <w:t xml:space="preserve">  </w:t>
      </w:r>
    </w:p>
    <w:p w14:paraId="583EE0D2" w14:textId="77777777" w:rsidR="00067458" w:rsidRPr="001C4193" w:rsidRDefault="00067458" w:rsidP="00067458">
      <w:pPr>
        <w:pStyle w:val="ListParagraph"/>
        <w:rPr>
          <w:rFonts w:eastAsiaTheme="minorHAnsi" w:cs="Arial"/>
          <w:szCs w:val="20"/>
        </w:rPr>
      </w:pPr>
    </w:p>
    <w:p w14:paraId="7F43C9CD" w14:textId="73B4BD49" w:rsidR="00067458" w:rsidRPr="001C4193" w:rsidRDefault="00067458" w:rsidP="00067458">
      <w:pPr>
        <w:numPr>
          <w:ilvl w:val="0"/>
          <w:numId w:val="2"/>
        </w:numPr>
        <w:ind w:left="0" w:firstLine="0"/>
        <w:contextualSpacing/>
        <w:rPr>
          <w:rFonts w:cs="Arial"/>
        </w:rPr>
      </w:pPr>
      <w:r w:rsidRPr="001C4193">
        <w:rPr>
          <w:rFonts w:eastAsiaTheme="minorHAnsi" w:cs="Arial"/>
          <w:szCs w:val="20"/>
        </w:rPr>
        <w:t xml:space="preserve">Transversal dimensions were further strengthened, </w:t>
      </w:r>
      <w:proofErr w:type="gramStart"/>
      <w:r w:rsidRPr="001C4193">
        <w:rPr>
          <w:rFonts w:eastAsiaTheme="minorHAnsi" w:cs="Arial"/>
          <w:szCs w:val="20"/>
        </w:rPr>
        <w:t>in particular regarding</w:t>
      </w:r>
      <w:proofErr w:type="gramEnd"/>
      <w:r w:rsidRPr="001C4193">
        <w:rPr>
          <w:rFonts w:eastAsiaTheme="minorHAnsi" w:cs="Arial"/>
          <w:szCs w:val="20"/>
        </w:rPr>
        <w:t xml:space="preserve"> the human rights approach,</w:t>
      </w:r>
      <w:r w:rsidRPr="001C4193">
        <w:rPr>
          <w:rStyle w:val="FootnoteReference"/>
          <w:rFonts w:eastAsiaTheme="minorHAnsi" w:cs="Arial"/>
          <w:szCs w:val="20"/>
        </w:rPr>
        <w:footnoteReference w:id="1"/>
      </w:r>
      <w:r w:rsidRPr="001C4193">
        <w:rPr>
          <w:rFonts w:eastAsiaTheme="minorHAnsi" w:cs="Arial"/>
          <w:szCs w:val="20"/>
        </w:rPr>
        <w:t xml:space="preserve"> gender mainstreaming</w:t>
      </w:r>
      <w:r w:rsidRPr="001C4193">
        <w:rPr>
          <w:rFonts w:eastAsiaTheme="minorHAnsi" w:cs="Arial"/>
          <w:szCs w:val="20"/>
          <w:vertAlign w:val="superscript"/>
        </w:rPr>
        <w:footnoteReference w:id="2"/>
      </w:r>
      <w:r w:rsidRPr="001C4193">
        <w:rPr>
          <w:rFonts w:eastAsiaTheme="minorHAnsi" w:cs="Arial"/>
          <w:szCs w:val="20"/>
        </w:rPr>
        <w:t xml:space="preserve"> and support to the UN 2030 Agenda for Sustainable Development. The gender dimension was mainstreamed into co-operation activities in line with the </w:t>
      </w:r>
      <w:hyperlink r:id="rId8" w:history="1">
        <w:r w:rsidRPr="001C4193">
          <w:rPr>
            <w:rFonts w:eastAsiaTheme="minorHAnsi" w:cs="Arial"/>
            <w:szCs w:val="20"/>
          </w:rPr>
          <w:t>CoE Gender Equality Strategy 2018-2023</w:t>
        </w:r>
      </w:hyperlink>
      <w:r w:rsidRPr="001C4193">
        <w:rPr>
          <w:rFonts w:eastAsiaTheme="minorHAnsi" w:cs="Arial"/>
          <w:szCs w:val="20"/>
        </w:rPr>
        <w:t xml:space="preserve"> and using the</w:t>
      </w:r>
      <w:r w:rsidRPr="001C4193">
        <w:rPr>
          <w:rFonts w:eastAsiaTheme="minorHAnsi" w:cs="Arial"/>
          <w:i/>
          <w:iCs/>
          <w:szCs w:val="20"/>
        </w:rPr>
        <w:t xml:space="preserve"> </w:t>
      </w:r>
      <w:hyperlink r:id="rId9" w:history="1">
        <w:r w:rsidRPr="001C4193">
          <w:rPr>
            <w:rFonts w:eastAsiaTheme="minorHAnsi" w:cs="Arial"/>
            <w:szCs w:val="20"/>
          </w:rPr>
          <w:t>Gender Mainstreaming Toolkit for co-operation projects</w:t>
        </w:r>
      </w:hyperlink>
      <w:r w:rsidRPr="001C4193">
        <w:rPr>
          <w:rFonts w:eastAsiaTheme="minorHAnsi" w:cs="Arial"/>
          <w:i/>
          <w:iCs/>
          <w:szCs w:val="20"/>
        </w:rPr>
        <w:t xml:space="preserve">. </w:t>
      </w:r>
      <w:r w:rsidRPr="001C4193">
        <w:rPr>
          <w:rFonts w:eastAsiaTheme="minorHAnsi" w:cs="Arial"/>
          <w:szCs w:val="20"/>
        </w:rPr>
        <w:t xml:space="preserve">Trainings for project teams on gender mainstreaming in co-operation continued. </w:t>
      </w:r>
      <w:r w:rsidRPr="001C4193">
        <w:rPr>
          <w:szCs w:val="20"/>
        </w:rPr>
        <w:t xml:space="preserve">The </w:t>
      </w:r>
      <w:hyperlink r:id="rId10" w:history="1">
        <w:r w:rsidRPr="001C4193">
          <w:rPr>
            <w:rStyle w:val="Hyperlink"/>
            <w:szCs w:val="20"/>
          </w:rPr>
          <w:t>UN 2030 Agenda for Sustainable Development</w:t>
        </w:r>
      </w:hyperlink>
      <w:r w:rsidRPr="001C4193">
        <w:rPr>
          <w:szCs w:val="20"/>
        </w:rPr>
        <w:t xml:space="preserve"> has been highly relevant for the Council of Europe with its global and overarching political approach. Starting with 2018-2019, the Council of Europe programme and budget started to indicate, where relevant, the link between the Organisation’s sector and programmes and the specific Sustainable Development Goals (SDGs).</w:t>
      </w:r>
      <w:r w:rsidRPr="001C4193">
        <w:rPr>
          <w:szCs w:val="20"/>
          <w:lang w:eastAsia="fr-FR"/>
        </w:rPr>
        <w:t xml:space="preserve"> SDGs apply universally to all and are highly relevant for the Council of Europe. Countries are expected to take ownership and establish national frameworks for the achievement of the 17</w:t>
      </w:r>
      <w:r w:rsidR="00E16C7D" w:rsidRPr="001C4193">
        <w:rPr>
          <w:szCs w:val="20"/>
          <w:lang w:eastAsia="fr-FR"/>
        </w:rPr>
        <w:t> </w:t>
      </w:r>
      <w:r w:rsidRPr="001C4193">
        <w:rPr>
          <w:szCs w:val="20"/>
          <w:lang w:eastAsia="fr-FR"/>
        </w:rPr>
        <w:t xml:space="preserve">goals. Most, if not </w:t>
      </w:r>
      <w:proofErr w:type="gramStart"/>
      <w:r w:rsidRPr="001C4193">
        <w:rPr>
          <w:szCs w:val="20"/>
          <w:lang w:eastAsia="fr-FR"/>
        </w:rPr>
        <w:t>all of</w:t>
      </w:r>
      <w:proofErr w:type="gramEnd"/>
      <w:r w:rsidRPr="001C4193">
        <w:rPr>
          <w:szCs w:val="20"/>
          <w:lang w:eastAsia="fr-FR"/>
        </w:rPr>
        <w:t xml:space="preserve"> the Council of Europe’s activities, and notably Joint Programmes between the Council of Europe and the European Union, are relevant and contribute to the implementation of the UN 2030 Agenda and the achievement of the SDGs. E</w:t>
      </w:r>
      <w:r w:rsidRPr="001C4193">
        <w:rPr>
          <w:szCs w:val="20"/>
        </w:rPr>
        <w:t xml:space="preserve">xtra-budgetary contributions primarily supported SDG-16 “Peace, justice and strong institutions”. They also contributed to the achievement of SDG-1 “No poverty”, SDG-3 “Good health and well-being”, SDG-4 “Quality education”, SDG-5 “Gender equality”, SDG-8 “Decent work and economic growth”, SDG-10 “Reduced inequalities”, SDG-11 “Sustainable cities and communities” and SDG-17 “Partnerships for the goals”. </w:t>
      </w:r>
      <w:r w:rsidRPr="001C4193">
        <w:rPr>
          <w:rFonts w:eastAsiaTheme="minorHAnsi" w:cs="Arial"/>
          <w:szCs w:val="20"/>
        </w:rPr>
        <w:t>Another cross-cutting dimension to be mentioned is the fight against climate change and for the protection of environment. While the Council of Europe co-operation sector has an indirect positive impact on the environment through its support to countries in strengthening their good governance structures and thus enabling them to deal more effectively with their environmental challenges and goals, the Council of Europe co-operation sector strives to increase its action in this area.</w:t>
      </w:r>
    </w:p>
    <w:p w14:paraId="66A1C4CB" w14:textId="77777777" w:rsidR="00067458" w:rsidRPr="002E1D25" w:rsidRDefault="00067458" w:rsidP="00067458">
      <w:pPr>
        <w:contextualSpacing/>
        <w:rPr>
          <w:rFonts w:cs="Arial"/>
        </w:rPr>
      </w:pPr>
    </w:p>
    <w:p w14:paraId="25153E10" w14:textId="54303BAB" w:rsidR="00067458" w:rsidRPr="0087557D" w:rsidRDefault="00067458" w:rsidP="00067458">
      <w:pPr>
        <w:rPr>
          <w:rFonts w:cs="Arial"/>
          <w:b/>
          <w:szCs w:val="20"/>
        </w:rPr>
      </w:pPr>
      <w:r w:rsidRPr="0087557D">
        <w:rPr>
          <w:rFonts w:cs="Arial"/>
          <w:b/>
          <w:szCs w:val="20"/>
        </w:rPr>
        <w:t xml:space="preserve">II. </w:t>
      </w:r>
      <w:r w:rsidRPr="0087557D">
        <w:rPr>
          <w:rFonts w:cs="Arial"/>
          <w:b/>
          <w:szCs w:val="20"/>
        </w:rPr>
        <w:tab/>
        <w:t xml:space="preserve">STATISTICAL ANALYSIS </w:t>
      </w:r>
    </w:p>
    <w:p w14:paraId="3AFAAF06" w14:textId="77777777" w:rsidR="00067458" w:rsidRPr="0087557D" w:rsidRDefault="00067458" w:rsidP="00067458">
      <w:pPr>
        <w:rPr>
          <w:rFonts w:cs="Arial"/>
          <w:szCs w:val="20"/>
        </w:rPr>
      </w:pPr>
      <w:bookmarkStart w:id="1" w:name="_Hlk34161213"/>
      <w:bookmarkStart w:id="2" w:name="_Hlk34057183"/>
      <w:bookmarkStart w:id="3" w:name="_Hlk34148139"/>
    </w:p>
    <w:p w14:paraId="3E195066" w14:textId="3415BCC4" w:rsidR="00067458" w:rsidRPr="00DD4342" w:rsidRDefault="00067458" w:rsidP="00067458">
      <w:pPr>
        <w:numPr>
          <w:ilvl w:val="0"/>
          <w:numId w:val="2"/>
        </w:numPr>
        <w:ind w:left="0" w:firstLine="0"/>
        <w:contextualSpacing/>
        <w:rPr>
          <w:rFonts w:cs="Arial"/>
          <w:szCs w:val="20"/>
        </w:rPr>
      </w:pPr>
      <w:r>
        <w:rPr>
          <w:rFonts w:cs="Arial"/>
          <w:szCs w:val="20"/>
        </w:rPr>
        <w:t xml:space="preserve">57 Joint Programmes were under implementation in 2021, with a </w:t>
      </w:r>
      <w:r w:rsidRPr="0087557D">
        <w:rPr>
          <w:rFonts w:cs="Arial"/>
          <w:szCs w:val="20"/>
        </w:rPr>
        <w:t>Cumulative budgetary envelope (CBE)</w:t>
      </w:r>
      <w:r w:rsidRPr="0087557D">
        <w:rPr>
          <w:rFonts w:cs="Arial"/>
          <w:szCs w:val="20"/>
          <w:vertAlign w:val="superscript"/>
        </w:rPr>
        <w:footnoteReference w:id="3"/>
      </w:r>
      <w:r w:rsidRPr="0087557D">
        <w:rPr>
          <w:rFonts w:cs="Arial"/>
          <w:szCs w:val="20"/>
        </w:rPr>
        <w:t xml:space="preserve"> </w:t>
      </w:r>
      <w:r>
        <w:rPr>
          <w:rFonts w:cs="Arial"/>
          <w:szCs w:val="20"/>
        </w:rPr>
        <w:t xml:space="preserve">of </w:t>
      </w:r>
      <w:bookmarkStart w:id="4" w:name="_Hlk93880980"/>
      <w:r w:rsidRPr="0087557D">
        <w:rPr>
          <w:rFonts w:cs="Arial"/>
          <w:szCs w:val="20"/>
        </w:rPr>
        <w:t>€</w:t>
      </w:r>
      <w:bookmarkEnd w:id="4"/>
      <w:r>
        <w:rPr>
          <w:rFonts w:cs="Arial"/>
          <w:szCs w:val="20"/>
        </w:rPr>
        <w:t>207</w:t>
      </w:r>
      <w:r w:rsidRPr="0087557D">
        <w:rPr>
          <w:rFonts w:cs="Arial"/>
          <w:szCs w:val="20"/>
        </w:rPr>
        <w:t>.</w:t>
      </w:r>
      <w:r>
        <w:rPr>
          <w:rFonts w:cs="Arial"/>
          <w:szCs w:val="20"/>
        </w:rPr>
        <w:t>4</w:t>
      </w:r>
      <w:r w:rsidRPr="0087557D">
        <w:rPr>
          <w:rFonts w:cs="Arial"/>
          <w:szCs w:val="20"/>
        </w:rPr>
        <w:t xml:space="preserve"> million</w:t>
      </w:r>
      <w:r>
        <w:rPr>
          <w:rFonts w:cs="Arial"/>
          <w:szCs w:val="20"/>
        </w:rPr>
        <w:t xml:space="preserve">. </w:t>
      </w:r>
      <w:r w:rsidRPr="0087557D">
        <w:rPr>
          <w:rFonts w:cs="Arial"/>
          <w:szCs w:val="20"/>
        </w:rPr>
        <w:t xml:space="preserve">The EU’s share of the co-financing </w:t>
      </w:r>
      <w:r>
        <w:rPr>
          <w:rFonts w:cs="Arial"/>
          <w:szCs w:val="20"/>
        </w:rPr>
        <w:t>represented 86.7 % of CBE 2021 (</w:t>
      </w:r>
      <w:r w:rsidRPr="0087557D">
        <w:rPr>
          <w:rFonts w:eastAsia="Times New Roman" w:cs="Arial"/>
          <w:szCs w:val="20"/>
          <w:lang w:eastAsia="fr-FR"/>
        </w:rPr>
        <w:t>€17</w:t>
      </w:r>
      <w:r>
        <w:rPr>
          <w:rFonts w:eastAsia="Times New Roman" w:cs="Arial"/>
          <w:szCs w:val="20"/>
          <w:lang w:eastAsia="fr-FR"/>
        </w:rPr>
        <w:t>9</w:t>
      </w:r>
      <w:r w:rsidRPr="0087557D">
        <w:rPr>
          <w:rFonts w:eastAsia="Times New Roman" w:cs="Arial"/>
          <w:szCs w:val="20"/>
          <w:lang w:eastAsia="fr-FR"/>
        </w:rPr>
        <w:t>.9</w:t>
      </w:r>
      <w:r w:rsidR="00E16C7D">
        <w:rPr>
          <w:rFonts w:eastAsia="Times New Roman" w:cs="Arial"/>
          <w:szCs w:val="20"/>
          <w:lang w:eastAsia="fr-FR"/>
        </w:rPr>
        <w:t> </w:t>
      </w:r>
      <w:r w:rsidRPr="0087557D">
        <w:rPr>
          <w:rFonts w:eastAsia="Times New Roman" w:cs="Arial"/>
          <w:szCs w:val="20"/>
          <w:lang w:eastAsia="fr-FR"/>
        </w:rPr>
        <w:t>million</w:t>
      </w:r>
      <w:r>
        <w:rPr>
          <w:rFonts w:eastAsia="Times New Roman" w:cs="Arial"/>
          <w:szCs w:val="20"/>
          <w:lang w:eastAsia="fr-FR"/>
        </w:rPr>
        <w:t>)</w:t>
      </w:r>
      <w:r w:rsidRPr="0087557D">
        <w:rPr>
          <w:rFonts w:eastAsia="Times New Roman" w:cs="Arial"/>
          <w:szCs w:val="20"/>
          <w:lang w:eastAsia="fr-FR"/>
        </w:rPr>
        <w:t xml:space="preserve"> and the CoE’s - 13.</w:t>
      </w:r>
      <w:r>
        <w:rPr>
          <w:rFonts w:eastAsia="Times New Roman" w:cs="Arial"/>
          <w:szCs w:val="20"/>
          <w:lang w:eastAsia="fr-FR"/>
        </w:rPr>
        <w:t>3</w:t>
      </w:r>
      <w:r w:rsidRPr="0087557D">
        <w:rPr>
          <w:rFonts w:eastAsia="Times New Roman" w:cs="Arial"/>
          <w:szCs w:val="20"/>
          <w:lang w:eastAsia="fr-FR"/>
        </w:rPr>
        <w:t>%</w:t>
      </w:r>
      <w:r>
        <w:rPr>
          <w:rFonts w:eastAsia="Times New Roman" w:cs="Arial"/>
          <w:szCs w:val="20"/>
          <w:lang w:eastAsia="fr-FR"/>
        </w:rPr>
        <w:t xml:space="preserve"> (</w:t>
      </w:r>
      <w:r w:rsidRPr="0087557D">
        <w:rPr>
          <w:rFonts w:eastAsia="Times New Roman" w:cs="Arial"/>
          <w:szCs w:val="20"/>
          <w:lang w:eastAsia="fr-FR"/>
        </w:rPr>
        <w:t>€2</w:t>
      </w:r>
      <w:r>
        <w:rPr>
          <w:rFonts w:eastAsia="Times New Roman" w:cs="Arial"/>
          <w:szCs w:val="20"/>
          <w:lang w:eastAsia="fr-FR"/>
        </w:rPr>
        <w:t>7</w:t>
      </w:r>
      <w:r w:rsidRPr="0087557D">
        <w:rPr>
          <w:rFonts w:eastAsia="Times New Roman" w:cs="Arial"/>
          <w:szCs w:val="20"/>
          <w:lang w:eastAsia="fr-FR"/>
        </w:rPr>
        <w:t>.</w:t>
      </w:r>
      <w:r>
        <w:rPr>
          <w:rFonts w:eastAsia="Times New Roman" w:cs="Arial"/>
          <w:szCs w:val="20"/>
          <w:lang w:eastAsia="fr-FR"/>
        </w:rPr>
        <w:t>5</w:t>
      </w:r>
      <w:r w:rsidRPr="0087557D">
        <w:rPr>
          <w:rFonts w:eastAsia="Times New Roman" w:cs="Arial"/>
          <w:szCs w:val="20"/>
          <w:lang w:eastAsia="fr-FR"/>
        </w:rPr>
        <w:t xml:space="preserve"> million</w:t>
      </w:r>
      <w:r>
        <w:rPr>
          <w:rFonts w:eastAsia="Times New Roman" w:cs="Arial"/>
          <w:szCs w:val="20"/>
          <w:lang w:eastAsia="fr-FR"/>
        </w:rPr>
        <w:t xml:space="preserve">). On average, forty-eight programmes, worth </w:t>
      </w:r>
      <w:r w:rsidRPr="0087557D">
        <w:rPr>
          <w:rFonts w:cs="Arial"/>
          <w:szCs w:val="20"/>
        </w:rPr>
        <w:t>€</w:t>
      </w:r>
      <w:r>
        <w:rPr>
          <w:rFonts w:cs="Arial"/>
          <w:szCs w:val="20"/>
        </w:rPr>
        <w:t>195</w:t>
      </w:r>
      <w:r w:rsidR="00E16C7D">
        <w:rPr>
          <w:rFonts w:cs="Arial"/>
          <w:szCs w:val="20"/>
        </w:rPr>
        <w:t> </w:t>
      </w:r>
      <w:r>
        <w:rPr>
          <w:rFonts w:cs="Arial"/>
          <w:szCs w:val="20"/>
        </w:rPr>
        <w:t xml:space="preserve">million, </w:t>
      </w:r>
      <w:r>
        <w:rPr>
          <w:rFonts w:eastAsia="Times New Roman" w:cs="Arial"/>
          <w:szCs w:val="20"/>
          <w:lang w:eastAsia="fr-FR"/>
        </w:rPr>
        <w:t xml:space="preserve">were active at any given moment of the year. The full list of programmes under implementation in 2021 can be found in </w:t>
      </w:r>
      <w:r>
        <w:rPr>
          <w:rFonts w:cs="Arial"/>
          <w:szCs w:val="20"/>
        </w:rPr>
        <w:t xml:space="preserve">Appendix I. </w:t>
      </w:r>
    </w:p>
    <w:p w14:paraId="6C2E1D03" w14:textId="77777777" w:rsidR="00067458" w:rsidRPr="00DD4342" w:rsidRDefault="00067458" w:rsidP="00067458">
      <w:pPr>
        <w:contextualSpacing/>
        <w:rPr>
          <w:rFonts w:cs="Arial"/>
          <w:szCs w:val="20"/>
        </w:rPr>
      </w:pPr>
    </w:p>
    <w:p w14:paraId="47296A32" w14:textId="77777777" w:rsidR="007D3924" w:rsidRDefault="007D3924">
      <w:pPr>
        <w:rPr>
          <w:rFonts w:cs="Arial"/>
          <w:szCs w:val="20"/>
        </w:rPr>
      </w:pPr>
      <w:r>
        <w:rPr>
          <w:rFonts w:cs="Arial"/>
          <w:szCs w:val="20"/>
        </w:rPr>
        <w:br w:type="page"/>
      </w:r>
    </w:p>
    <w:p w14:paraId="401BF2A0" w14:textId="3401E134" w:rsidR="00067458" w:rsidRDefault="00067458" w:rsidP="00067458">
      <w:pPr>
        <w:numPr>
          <w:ilvl w:val="0"/>
          <w:numId w:val="2"/>
        </w:numPr>
        <w:ind w:left="0" w:firstLine="0"/>
        <w:contextualSpacing/>
        <w:rPr>
          <w:rFonts w:cs="Arial"/>
          <w:szCs w:val="20"/>
        </w:rPr>
      </w:pPr>
      <w:r w:rsidRPr="0087557D">
        <w:rPr>
          <w:rFonts w:cs="Arial"/>
          <w:szCs w:val="20"/>
        </w:rPr>
        <w:lastRenderedPageBreak/>
        <w:t>The annualised envelope (Annual budgetary envelope prorated (ABE))</w:t>
      </w:r>
      <w:r w:rsidRPr="0087557D">
        <w:rPr>
          <w:rFonts w:cs="Arial"/>
          <w:szCs w:val="20"/>
          <w:vertAlign w:val="superscript"/>
        </w:rPr>
        <w:footnoteReference w:id="4"/>
      </w:r>
      <w:r w:rsidRPr="0087557D">
        <w:rPr>
          <w:rFonts w:cs="Arial"/>
          <w:szCs w:val="20"/>
        </w:rPr>
        <w:t xml:space="preserve"> </w:t>
      </w:r>
      <w:r>
        <w:rPr>
          <w:rFonts w:cs="Arial"/>
          <w:szCs w:val="20"/>
        </w:rPr>
        <w:t>reached</w:t>
      </w:r>
      <w:r w:rsidRPr="0087557D">
        <w:rPr>
          <w:rFonts w:cs="Arial"/>
          <w:szCs w:val="20"/>
        </w:rPr>
        <w:t xml:space="preserve"> </w:t>
      </w:r>
      <w:r w:rsidRPr="0087557D">
        <w:rPr>
          <w:rFonts w:eastAsia="Times New Roman" w:cs="Arial"/>
          <w:szCs w:val="20"/>
          <w:lang w:eastAsia="fr-FR"/>
        </w:rPr>
        <w:t>€5</w:t>
      </w:r>
      <w:r>
        <w:rPr>
          <w:rFonts w:eastAsia="Times New Roman" w:cs="Arial"/>
          <w:szCs w:val="20"/>
          <w:lang w:eastAsia="fr-FR"/>
        </w:rPr>
        <w:t>6</w:t>
      </w:r>
      <w:r w:rsidRPr="0087557D">
        <w:rPr>
          <w:rFonts w:cs="Arial"/>
          <w:szCs w:val="20"/>
        </w:rPr>
        <w:t>.</w:t>
      </w:r>
      <w:r>
        <w:rPr>
          <w:rFonts w:cs="Arial"/>
          <w:szCs w:val="20"/>
        </w:rPr>
        <w:t>1</w:t>
      </w:r>
      <w:r w:rsidRPr="0087557D">
        <w:rPr>
          <w:rFonts w:cs="Arial"/>
          <w:szCs w:val="20"/>
        </w:rPr>
        <w:t xml:space="preserve"> million. The </w:t>
      </w:r>
      <w:r>
        <w:rPr>
          <w:rFonts w:cs="Arial"/>
          <w:szCs w:val="20"/>
        </w:rPr>
        <w:t>amount of EU payments under Joint programmes</w:t>
      </w:r>
      <w:r w:rsidRPr="0087557D">
        <w:rPr>
          <w:rFonts w:cs="Arial"/>
          <w:szCs w:val="20"/>
        </w:rPr>
        <w:t xml:space="preserve"> registered between 1 January and 31 December 202</w:t>
      </w:r>
      <w:r>
        <w:rPr>
          <w:rFonts w:cs="Arial"/>
          <w:szCs w:val="20"/>
        </w:rPr>
        <w:t>1</w:t>
      </w:r>
      <w:r w:rsidRPr="0087557D">
        <w:rPr>
          <w:rFonts w:cs="Arial"/>
          <w:szCs w:val="20"/>
        </w:rPr>
        <w:t xml:space="preserve"> </w:t>
      </w:r>
      <w:r>
        <w:rPr>
          <w:rFonts w:cs="Arial"/>
          <w:szCs w:val="20"/>
        </w:rPr>
        <w:t>(</w:t>
      </w:r>
      <w:r w:rsidRPr="0087557D">
        <w:rPr>
          <w:rFonts w:cs="Arial"/>
          <w:szCs w:val="20"/>
        </w:rPr>
        <w:t>JP Annual receipts</w:t>
      </w:r>
      <w:r>
        <w:rPr>
          <w:rFonts w:cs="Arial"/>
          <w:szCs w:val="20"/>
        </w:rPr>
        <w:t xml:space="preserve">) </w:t>
      </w:r>
      <w:r w:rsidRPr="0087557D">
        <w:rPr>
          <w:rFonts w:cs="Arial"/>
          <w:szCs w:val="20"/>
        </w:rPr>
        <w:t xml:space="preserve">amounted to </w:t>
      </w:r>
      <w:r w:rsidRPr="0087557D">
        <w:rPr>
          <w:rFonts w:eastAsia="Times New Roman" w:cs="Arial"/>
          <w:szCs w:val="20"/>
          <w:lang w:eastAsia="fr-FR"/>
        </w:rPr>
        <w:t>€</w:t>
      </w:r>
      <w:r>
        <w:rPr>
          <w:rFonts w:eastAsia="Times New Roman" w:cs="Arial"/>
          <w:szCs w:val="20"/>
          <w:lang w:eastAsia="fr-FR"/>
        </w:rPr>
        <w:t>36.5</w:t>
      </w:r>
      <w:r w:rsidRPr="0087557D">
        <w:rPr>
          <w:rFonts w:eastAsia="Times New Roman" w:cs="Arial"/>
          <w:szCs w:val="20"/>
          <w:lang w:eastAsia="fr-FR"/>
        </w:rPr>
        <w:t xml:space="preserve"> million</w:t>
      </w:r>
      <w:r>
        <w:rPr>
          <w:rFonts w:eastAsia="Times New Roman" w:cs="Arial"/>
          <w:szCs w:val="20"/>
          <w:lang w:eastAsia="fr-FR"/>
        </w:rPr>
        <w:t xml:space="preserve">, corresponding to </w:t>
      </w:r>
      <w:r w:rsidRPr="0066374B">
        <w:rPr>
          <w:rFonts w:eastAsia="Times New Roman" w:cs="Arial"/>
          <w:szCs w:val="20"/>
          <w:lang w:eastAsia="fr-FR"/>
        </w:rPr>
        <w:t>57%</w:t>
      </w:r>
      <w:r w:rsidRPr="00BA668F">
        <w:rPr>
          <w:rFonts w:cs="Arial"/>
          <w:szCs w:val="20"/>
        </w:rPr>
        <w:t xml:space="preserve"> </w:t>
      </w:r>
      <w:r>
        <w:rPr>
          <w:rFonts w:cs="Arial"/>
          <w:szCs w:val="20"/>
        </w:rPr>
        <w:t xml:space="preserve">of </w:t>
      </w:r>
      <w:r w:rsidRPr="0087557D">
        <w:rPr>
          <w:rFonts w:cs="Arial"/>
          <w:szCs w:val="20"/>
        </w:rPr>
        <w:t>the total</w:t>
      </w:r>
      <w:r>
        <w:rPr>
          <w:rFonts w:cs="Arial"/>
          <w:szCs w:val="20"/>
        </w:rPr>
        <w:t xml:space="preserve"> revenue</w:t>
      </w:r>
      <w:r w:rsidRPr="0087557D">
        <w:rPr>
          <w:rFonts w:cs="Arial"/>
          <w:szCs w:val="20"/>
        </w:rPr>
        <w:t xml:space="preserve"> from all extra-budgetary</w:t>
      </w:r>
      <w:r>
        <w:rPr>
          <w:rFonts w:cs="Arial"/>
          <w:szCs w:val="20"/>
        </w:rPr>
        <w:t xml:space="preserve"> contributions</w:t>
      </w:r>
      <w:r w:rsidRPr="0087557D">
        <w:rPr>
          <w:rFonts w:cs="Arial"/>
          <w:szCs w:val="20"/>
        </w:rPr>
        <w:t xml:space="preserve"> in 202</w:t>
      </w:r>
      <w:r>
        <w:rPr>
          <w:rFonts w:cs="Arial"/>
          <w:szCs w:val="20"/>
        </w:rPr>
        <w:t>1</w:t>
      </w:r>
      <w:r w:rsidRPr="0087557D">
        <w:rPr>
          <w:rFonts w:cs="Arial"/>
          <w:szCs w:val="20"/>
        </w:rPr>
        <w:t>. The EU</w:t>
      </w:r>
      <w:r>
        <w:rPr>
          <w:rFonts w:cs="Arial"/>
          <w:szCs w:val="20"/>
        </w:rPr>
        <w:t xml:space="preserve"> remains</w:t>
      </w:r>
      <w:r w:rsidRPr="0087557D">
        <w:rPr>
          <w:rFonts w:cs="Arial"/>
          <w:szCs w:val="20"/>
        </w:rPr>
        <w:t xml:space="preserve"> the </w:t>
      </w:r>
      <w:r>
        <w:rPr>
          <w:rFonts w:cs="Arial"/>
          <w:szCs w:val="20"/>
        </w:rPr>
        <w:t>largest donor</w:t>
      </w:r>
      <w:r w:rsidRPr="0087557D">
        <w:rPr>
          <w:rFonts w:cs="Arial"/>
          <w:szCs w:val="20"/>
        </w:rPr>
        <w:t xml:space="preserve"> to </w:t>
      </w:r>
      <w:r>
        <w:rPr>
          <w:rFonts w:cs="Arial"/>
          <w:szCs w:val="20"/>
        </w:rPr>
        <w:t xml:space="preserve">the </w:t>
      </w:r>
      <w:r w:rsidRPr="0087557D">
        <w:rPr>
          <w:rFonts w:cs="Arial"/>
          <w:szCs w:val="20"/>
        </w:rPr>
        <w:t>CoE co-operation and technical assistance activities.</w:t>
      </w:r>
      <w:r>
        <w:rPr>
          <w:rFonts w:cs="Arial"/>
          <w:szCs w:val="20"/>
        </w:rPr>
        <w:t xml:space="preserve"> </w:t>
      </w:r>
    </w:p>
    <w:p w14:paraId="0B37CBC1" w14:textId="77777777" w:rsidR="00067458" w:rsidRPr="0087557D" w:rsidRDefault="00067458" w:rsidP="00067458">
      <w:pPr>
        <w:contextualSpacing/>
        <w:rPr>
          <w:rFonts w:cs="Arial"/>
          <w:szCs w:val="20"/>
        </w:rPr>
      </w:pPr>
    </w:p>
    <w:p w14:paraId="7690669A" w14:textId="501322F4" w:rsidR="00067458" w:rsidRPr="0087557D" w:rsidRDefault="00067458" w:rsidP="00067458">
      <w:pPr>
        <w:numPr>
          <w:ilvl w:val="0"/>
          <w:numId w:val="2"/>
        </w:numPr>
        <w:ind w:left="0" w:firstLine="0"/>
        <w:rPr>
          <w:rFonts w:cs="Arial"/>
          <w:szCs w:val="20"/>
        </w:rPr>
      </w:pPr>
      <w:r>
        <w:rPr>
          <w:rFonts w:cs="Arial"/>
          <w:szCs w:val="20"/>
        </w:rPr>
        <w:t>Negotiations for 15 new programmes</w:t>
      </w:r>
      <w:r w:rsidRPr="0087557D">
        <w:rPr>
          <w:rFonts w:cs="Arial"/>
          <w:szCs w:val="20"/>
        </w:rPr>
        <w:t xml:space="preserve"> </w:t>
      </w:r>
      <w:r>
        <w:rPr>
          <w:rFonts w:cs="Arial"/>
          <w:szCs w:val="20"/>
        </w:rPr>
        <w:t>were</w:t>
      </w:r>
      <w:r w:rsidRPr="0087557D">
        <w:rPr>
          <w:rFonts w:cs="Arial"/>
          <w:szCs w:val="20"/>
        </w:rPr>
        <w:t xml:space="preserve"> completed </w:t>
      </w:r>
      <w:r>
        <w:rPr>
          <w:rFonts w:cs="Arial"/>
          <w:szCs w:val="20"/>
        </w:rPr>
        <w:t>in 2021</w:t>
      </w:r>
      <w:r w:rsidRPr="0087557D">
        <w:rPr>
          <w:rFonts w:cs="Arial"/>
          <w:szCs w:val="20"/>
        </w:rPr>
        <w:t xml:space="preserve"> for a total of €</w:t>
      </w:r>
      <w:r>
        <w:rPr>
          <w:rFonts w:cs="Arial"/>
          <w:szCs w:val="20"/>
        </w:rPr>
        <w:t>23.4</w:t>
      </w:r>
      <w:r w:rsidRPr="0087557D">
        <w:rPr>
          <w:rFonts w:cs="Arial"/>
          <w:szCs w:val="20"/>
        </w:rPr>
        <w:t xml:space="preserve"> million</w:t>
      </w:r>
      <w:r w:rsidRPr="0087557D">
        <w:rPr>
          <w:rFonts w:cs="Arial"/>
          <w:szCs w:val="20"/>
          <w:vertAlign w:val="superscript"/>
        </w:rPr>
        <w:footnoteReference w:id="5"/>
      </w:r>
      <w:r w:rsidRPr="00F3725D">
        <w:rPr>
          <w:rFonts w:cs="Arial"/>
          <w:bCs/>
          <w:szCs w:val="20"/>
        </w:rPr>
        <w:t xml:space="preserve"> </w:t>
      </w:r>
      <w:r>
        <w:rPr>
          <w:rFonts w:cs="Arial"/>
          <w:bCs/>
          <w:szCs w:val="20"/>
        </w:rPr>
        <w:t>(the list of new programmes is presented in</w:t>
      </w:r>
      <w:r w:rsidRPr="0087557D">
        <w:rPr>
          <w:rFonts w:cs="Arial"/>
          <w:szCs w:val="20"/>
        </w:rPr>
        <w:t xml:space="preserve"> Appendix II</w:t>
      </w:r>
      <w:r>
        <w:rPr>
          <w:rFonts w:cs="Arial"/>
          <w:szCs w:val="20"/>
        </w:rPr>
        <w:t xml:space="preserve">). Most of </w:t>
      </w:r>
      <w:r w:rsidRPr="0087557D">
        <w:rPr>
          <w:rFonts w:cs="Arial"/>
          <w:bCs/>
          <w:szCs w:val="20"/>
        </w:rPr>
        <w:t xml:space="preserve">these programmes </w:t>
      </w:r>
      <w:r>
        <w:rPr>
          <w:rFonts w:cs="Arial"/>
          <w:bCs/>
          <w:szCs w:val="20"/>
        </w:rPr>
        <w:t>were launched in 2021, with few programmes being differed to early 2022.</w:t>
      </w:r>
      <w:r w:rsidR="00BA10C5">
        <w:rPr>
          <w:rFonts w:cs="Arial"/>
          <w:bCs/>
          <w:szCs w:val="20"/>
        </w:rPr>
        <w:t xml:space="preserve"> </w:t>
      </w:r>
      <w:proofErr w:type="gramStart"/>
      <w:r>
        <w:rPr>
          <w:rFonts w:cs="Arial"/>
          <w:bCs/>
          <w:szCs w:val="20"/>
        </w:rPr>
        <w:t>Taking into account</w:t>
      </w:r>
      <w:proofErr w:type="gramEnd"/>
      <w:r>
        <w:rPr>
          <w:rFonts w:cs="Arial"/>
          <w:bCs/>
          <w:szCs w:val="20"/>
        </w:rPr>
        <w:t xml:space="preserve"> the programmes signed in 2020 with start in 2021, the total of the new injections in Joint Programme co-operation amounted to </w:t>
      </w:r>
      <w:r w:rsidRPr="0087557D">
        <w:rPr>
          <w:rFonts w:cs="Arial"/>
          <w:szCs w:val="20"/>
        </w:rPr>
        <w:t>€</w:t>
      </w:r>
      <w:r>
        <w:rPr>
          <w:rFonts w:cs="Arial"/>
          <w:bCs/>
          <w:szCs w:val="20"/>
        </w:rPr>
        <w:t xml:space="preserve"> 27.4 million</w:t>
      </w:r>
      <w:r>
        <w:rPr>
          <w:rFonts w:cs="Arial"/>
          <w:szCs w:val="20"/>
        </w:rPr>
        <w:t>.</w:t>
      </w:r>
    </w:p>
    <w:p w14:paraId="1CBD2AB1" w14:textId="77777777" w:rsidR="00067458" w:rsidRPr="0087557D" w:rsidRDefault="00067458" w:rsidP="00067458">
      <w:pPr>
        <w:ind w:left="720"/>
        <w:rPr>
          <w:rFonts w:eastAsia="Times New Roman" w:cs="Arial"/>
          <w:szCs w:val="20"/>
          <w:lang w:eastAsia="fr-FR"/>
        </w:rPr>
      </w:pPr>
    </w:p>
    <w:p w14:paraId="201B8ED0" w14:textId="48F87CCF" w:rsidR="00067458" w:rsidRPr="00A44043" w:rsidRDefault="00067458" w:rsidP="00067458">
      <w:pPr>
        <w:numPr>
          <w:ilvl w:val="0"/>
          <w:numId w:val="2"/>
        </w:numPr>
        <w:ind w:left="0" w:firstLine="0"/>
        <w:rPr>
          <w:rFonts w:cs="Arial"/>
          <w:color w:val="222222"/>
          <w:szCs w:val="20"/>
        </w:rPr>
      </w:pPr>
      <w:r w:rsidRPr="0087557D">
        <w:rPr>
          <w:rFonts w:cs="Arial"/>
          <w:szCs w:val="20"/>
        </w:rPr>
        <w:t xml:space="preserve">Overall, </w:t>
      </w:r>
      <w:r>
        <w:rPr>
          <w:rFonts w:cs="Arial"/>
          <w:szCs w:val="20"/>
        </w:rPr>
        <w:t xml:space="preserve">the financial situation of </w:t>
      </w:r>
      <w:r w:rsidRPr="0087557D">
        <w:rPr>
          <w:rFonts w:cs="Arial"/>
          <w:szCs w:val="20"/>
        </w:rPr>
        <w:t>Joint Programme co-operation remained</w:t>
      </w:r>
      <w:r>
        <w:rPr>
          <w:rFonts w:cs="Arial"/>
          <w:szCs w:val="20"/>
        </w:rPr>
        <w:t xml:space="preserve"> stable. Whilst CBE increased in 2021, this increase was attributable not only to the new injections in Joint programme co-operation but also to the programmes’ budgets carry - over to 2021 through programme prolongations from 2020 (“no-cost-extensions”). Importantly, the annualised envelope (ABE 2021) remained quasi-stable, staying at the historically high level. As was anticipated in the annual report 2020, the most notable effect of the pandemic was the decrease in the JP Annual receipts (</w:t>
      </w:r>
      <w:r w:rsidRPr="000A7E4A">
        <w:rPr>
          <w:rFonts w:cs="Arial"/>
          <w:szCs w:val="20"/>
        </w:rPr>
        <w:t>decrease by 16.9% compared to 2020).</w:t>
      </w:r>
      <w:r w:rsidR="00BA10C5">
        <w:rPr>
          <w:rFonts w:cs="Arial"/>
          <w:szCs w:val="20"/>
        </w:rPr>
        <w:t xml:space="preserve"> </w:t>
      </w:r>
      <w:r>
        <w:rPr>
          <w:rFonts w:cs="Arial"/>
          <w:szCs w:val="20"/>
        </w:rPr>
        <w:t xml:space="preserve">Annual receipts are highly dependent on the programmes’ absorption capacity, which was affected by the two consecutive years of the sanitary restrictions. Although the mitigation measures adopted by the Council of Europe were timely, </w:t>
      </w:r>
      <w:proofErr w:type="gramStart"/>
      <w:r>
        <w:rPr>
          <w:rFonts w:cs="Arial"/>
          <w:szCs w:val="20"/>
        </w:rPr>
        <w:t>flexible</w:t>
      </w:r>
      <w:proofErr w:type="gramEnd"/>
      <w:r>
        <w:rPr>
          <w:rFonts w:cs="Arial"/>
          <w:szCs w:val="20"/>
        </w:rPr>
        <w:t xml:space="preserve"> and ensured continued implementation of Joint Programmes, </w:t>
      </w:r>
      <w:r w:rsidRPr="0090106B">
        <w:rPr>
          <w:rFonts w:eastAsia="Times New Roman" w:cs="Arial"/>
          <w:szCs w:val="20"/>
        </w:rPr>
        <w:t xml:space="preserve">the </w:t>
      </w:r>
      <w:r w:rsidRPr="0090106B">
        <w:rPr>
          <w:rFonts w:cs="Arial"/>
          <w:szCs w:val="20"/>
        </w:rPr>
        <w:t xml:space="preserve">level of expenditure across Joint Programmes </w:t>
      </w:r>
      <w:r>
        <w:rPr>
          <w:rFonts w:cs="Arial"/>
          <w:szCs w:val="20"/>
        </w:rPr>
        <w:t xml:space="preserve">was </w:t>
      </w:r>
      <w:r w:rsidRPr="0090106B">
        <w:rPr>
          <w:rFonts w:cs="Arial"/>
          <w:szCs w:val="20"/>
        </w:rPr>
        <w:t xml:space="preserve">lower </w:t>
      </w:r>
      <w:r>
        <w:rPr>
          <w:rFonts w:cs="Arial"/>
          <w:szCs w:val="20"/>
        </w:rPr>
        <w:t xml:space="preserve">in 2020-2021 </w:t>
      </w:r>
      <w:r w:rsidRPr="0090106B">
        <w:rPr>
          <w:rFonts w:cs="Arial"/>
          <w:szCs w:val="20"/>
        </w:rPr>
        <w:t xml:space="preserve">than </w:t>
      </w:r>
      <w:r>
        <w:rPr>
          <w:rFonts w:cs="Arial"/>
          <w:szCs w:val="20"/>
        </w:rPr>
        <w:t>initially forecast</w:t>
      </w:r>
      <w:r w:rsidRPr="0090106B">
        <w:rPr>
          <w:rFonts w:cs="Arial"/>
          <w:szCs w:val="20"/>
        </w:rPr>
        <w:t xml:space="preserve">, </w:t>
      </w:r>
      <w:r>
        <w:rPr>
          <w:rFonts w:cs="Arial"/>
          <w:szCs w:val="20"/>
        </w:rPr>
        <w:t>mainly</w:t>
      </w:r>
      <w:r w:rsidRPr="0090106B">
        <w:rPr>
          <w:rFonts w:cs="Arial"/>
          <w:szCs w:val="20"/>
        </w:rPr>
        <w:t xml:space="preserve"> due to the reduced cost of online </w:t>
      </w:r>
      <w:r>
        <w:rPr>
          <w:rFonts w:cs="Arial"/>
          <w:szCs w:val="20"/>
        </w:rPr>
        <w:t xml:space="preserve">and hybrid </w:t>
      </w:r>
      <w:r w:rsidRPr="0090106B">
        <w:rPr>
          <w:rFonts w:cs="Arial"/>
          <w:szCs w:val="20"/>
        </w:rPr>
        <w:t xml:space="preserve">activities and the related low expenses </w:t>
      </w:r>
      <w:r>
        <w:rPr>
          <w:rFonts w:cs="Arial"/>
          <w:szCs w:val="20"/>
        </w:rPr>
        <w:t xml:space="preserve">on </w:t>
      </w:r>
      <w:r w:rsidRPr="0090106B">
        <w:rPr>
          <w:rFonts w:cs="Arial"/>
          <w:szCs w:val="20"/>
        </w:rPr>
        <w:t>travel and event organisation.</w:t>
      </w:r>
      <w:r>
        <w:rPr>
          <w:rFonts w:cs="Arial"/>
          <w:szCs w:val="20"/>
        </w:rPr>
        <w:t xml:space="preserve"> On average, t</w:t>
      </w:r>
      <w:r>
        <w:t xml:space="preserve">he programmes’ absorption decreased by 24.5% compared to the pre-pandemic situation. </w:t>
      </w:r>
      <w:r>
        <w:rPr>
          <w:rFonts w:cs="Arial"/>
          <w:szCs w:val="20"/>
        </w:rPr>
        <w:t>Hence, the payments (that are conditioned by contractual absorption threshold) were lower in 2021.</w:t>
      </w:r>
      <w:r w:rsidR="00BA10C5">
        <w:rPr>
          <w:rFonts w:cs="Arial"/>
          <w:szCs w:val="20"/>
        </w:rPr>
        <w:t xml:space="preserve"> </w:t>
      </w:r>
      <w:r>
        <w:rPr>
          <w:rFonts w:cs="Arial"/>
          <w:szCs w:val="20"/>
        </w:rPr>
        <w:t xml:space="preserve">Also, </w:t>
      </w:r>
      <w:proofErr w:type="gramStart"/>
      <w:r>
        <w:rPr>
          <w:rFonts w:cs="Arial"/>
          <w:szCs w:val="20"/>
        </w:rPr>
        <w:t>as a result of</w:t>
      </w:r>
      <w:proofErr w:type="gramEnd"/>
      <w:r>
        <w:rPr>
          <w:rFonts w:cs="Arial"/>
          <w:szCs w:val="20"/>
        </w:rPr>
        <w:t xml:space="preserve"> lower absorption, </w:t>
      </w:r>
      <w:r w:rsidRPr="0090106B">
        <w:rPr>
          <w:rFonts w:cs="Arial"/>
          <w:szCs w:val="20"/>
        </w:rPr>
        <w:t xml:space="preserve">a number of programmes </w:t>
      </w:r>
      <w:r>
        <w:rPr>
          <w:rFonts w:cs="Arial"/>
          <w:szCs w:val="20"/>
        </w:rPr>
        <w:t xml:space="preserve">had to be prolonged through no-cost-extensions, with </w:t>
      </w:r>
      <w:r w:rsidRPr="0090106B">
        <w:rPr>
          <w:rFonts w:cs="Arial"/>
          <w:szCs w:val="20"/>
        </w:rPr>
        <w:t xml:space="preserve">the </w:t>
      </w:r>
      <w:r>
        <w:rPr>
          <w:rFonts w:cs="Arial"/>
          <w:szCs w:val="20"/>
        </w:rPr>
        <w:t>funding</w:t>
      </w:r>
      <w:r w:rsidRPr="0090106B">
        <w:rPr>
          <w:rFonts w:cs="Arial"/>
          <w:szCs w:val="20"/>
        </w:rPr>
        <w:t>’</w:t>
      </w:r>
      <w:r>
        <w:rPr>
          <w:rFonts w:cs="Arial"/>
          <w:szCs w:val="20"/>
        </w:rPr>
        <w:t>s</w:t>
      </w:r>
      <w:r w:rsidRPr="0090106B">
        <w:rPr>
          <w:rFonts w:cs="Arial"/>
          <w:szCs w:val="20"/>
        </w:rPr>
        <w:t xml:space="preserve"> carry-over to 2022.</w:t>
      </w:r>
      <w:r w:rsidR="00BA10C5">
        <w:rPr>
          <w:rFonts w:cs="Arial"/>
          <w:szCs w:val="20"/>
        </w:rPr>
        <w:t xml:space="preserve"> </w:t>
      </w:r>
      <w:r>
        <w:rPr>
          <w:rFonts w:cs="Arial"/>
          <w:szCs w:val="20"/>
        </w:rPr>
        <w:t>In turn, fewer new programmes were signed, which led to a reduced number of first pre-financing payments. On the positive side, these developments are not considered to be indicative of any tangible negative dynamic expected to last, but rather are a direct result of a temporary strain imposed by the pandemic crisis 2020-2021. Follow-up phases of the main facility-type programmes are under negotiation</w:t>
      </w:r>
      <w:bookmarkEnd w:id="1"/>
      <w:bookmarkEnd w:id="2"/>
      <w:bookmarkEnd w:id="3"/>
      <w:r>
        <w:t>, and the dynamic of the Annual receipts is expected to redress in 2023 at the latest.</w:t>
      </w:r>
      <w:r w:rsidR="00BA10C5">
        <w:t xml:space="preserve"> </w:t>
      </w:r>
    </w:p>
    <w:p w14:paraId="5C42721D" w14:textId="77777777" w:rsidR="00067458" w:rsidRPr="008E6AC0" w:rsidRDefault="00067458" w:rsidP="00067458">
      <w:pPr>
        <w:rPr>
          <w:rFonts w:cs="Arial"/>
          <w:color w:val="222222"/>
          <w:szCs w:val="20"/>
        </w:rPr>
      </w:pPr>
    </w:p>
    <w:p w14:paraId="7C20B758" w14:textId="77777777" w:rsidR="00067458" w:rsidRPr="008E6AC0" w:rsidRDefault="00067458" w:rsidP="00067458">
      <w:pPr>
        <w:numPr>
          <w:ilvl w:val="0"/>
          <w:numId w:val="2"/>
        </w:numPr>
        <w:ind w:left="0" w:firstLine="0"/>
        <w:rPr>
          <w:rFonts w:cs="Arial"/>
          <w:color w:val="222222"/>
          <w:szCs w:val="20"/>
        </w:rPr>
      </w:pPr>
      <w:r w:rsidRPr="008E6AC0">
        <w:rPr>
          <w:rFonts w:cs="Arial"/>
          <w:szCs w:val="20"/>
        </w:rPr>
        <w:t>The charts below show the evolution in the global financial volume of Joint Programme co-operation, its annual pro-rated envelope,</w:t>
      </w:r>
      <w:r>
        <w:rPr>
          <w:rFonts w:cs="Arial"/>
          <w:szCs w:val="20"/>
        </w:rPr>
        <w:t xml:space="preserve"> the EU-CoE ratio of co-funding</w:t>
      </w:r>
      <w:r w:rsidRPr="008E6AC0">
        <w:rPr>
          <w:rFonts w:cs="Arial"/>
          <w:szCs w:val="20"/>
        </w:rPr>
        <w:t xml:space="preserve"> and JP Annual receipts over last ten years. </w:t>
      </w:r>
    </w:p>
    <w:p w14:paraId="0E26B1FE" w14:textId="77777777" w:rsidR="00067458" w:rsidRDefault="00067458" w:rsidP="00067458">
      <w:pPr>
        <w:jc w:val="both"/>
        <w:rPr>
          <w:rFonts w:cs="Arial"/>
          <w:szCs w:val="20"/>
        </w:rPr>
      </w:pPr>
    </w:p>
    <w:p w14:paraId="7D871D09" w14:textId="77777777" w:rsidR="00067458" w:rsidRDefault="00067458" w:rsidP="00067458">
      <w:pPr>
        <w:rPr>
          <w:rFonts w:cs="Arial"/>
          <w:szCs w:val="20"/>
        </w:rPr>
      </w:pPr>
    </w:p>
    <w:p w14:paraId="4371D236" w14:textId="77777777" w:rsidR="00067458" w:rsidRDefault="00067458" w:rsidP="00067458">
      <w:pPr>
        <w:rPr>
          <w:rFonts w:cs="Arial"/>
          <w:szCs w:val="20"/>
        </w:rPr>
      </w:pPr>
      <w:r>
        <w:rPr>
          <w:rFonts w:cs="Arial"/>
          <w:noProof/>
          <w:szCs w:val="20"/>
        </w:rPr>
        <w:drawing>
          <wp:inline distT="0" distB="0" distL="0" distR="0" wp14:anchorId="4E9EE73E" wp14:editId="261CAC25">
            <wp:extent cx="5532120" cy="3843635"/>
            <wp:effectExtent l="0" t="0" r="0"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3" cy="3856338"/>
                    </a:xfrm>
                    <a:prstGeom prst="rect">
                      <a:avLst/>
                    </a:prstGeom>
                    <a:noFill/>
                  </pic:spPr>
                </pic:pic>
              </a:graphicData>
            </a:graphic>
          </wp:inline>
        </w:drawing>
      </w:r>
    </w:p>
    <w:p w14:paraId="47A43F47" w14:textId="77777777" w:rsidR="00067458" w:rsidRDefault="00067458" w:rsidP="00067458">
      <w:pPr>
        <w:rPr>
          <w:rFonts w:cs="Arial"/>
          <w:szCs w:val="20"/>
        </w:rPr>
      </w:pPr>
      <w:r>
        <w:rPr>
          <w:rFonts w:cs="Arial"/>
          <w:noProof/>
          <w:szCs w:val="20"/>
        </w:rPr>
        <w:drawing>
          <wp:inline distT="0" distB="0" distL="0" distR="0" wp14:anchorId="231F0E2E" wp14:editId="3DC0A904">
            <wp:extent cx="5737860" cy="3945328"/>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8451" cy="3959486"/>
                    </a:xfrm>
                    <a:prstGeom prst="rect">
                      <a:avLst/>
                    </a:prstGeom>
                    <a:noFill/>
                  </pic:spPr>
                </pic:pic>
              </a:graphicData>
            </a:graphic>
          </wp:inline>
        </w:drawing>
      </w:r>
    </w:p>
    <w:p w14:paraId="031C63A2" w14:textId="1E1D05E2" w:rsidR="00067458" w:rsidRDefault="00067458" w:rsidP="00067458">
      <w:pPr>
        <w:rPr>
          <w:rFonts w:cs="Arial"/>
          <w:szCs w:val="20"/>
        </w:rPr>
      </w:pPr>
    </w:p>
    <w:p w14:paraId="5A77675F" w14:textId="77777777" w:rsidR="007D3924" w:rsidRDefault="007D3924" w:rsidP="00067458">
      <w:pPr>
        <w:rPr>
          <w:rFonts w:cs="Arial"/>
          <w:szCs w:val="20"/>
        </w:rPr>
      </w:pPr>
    </w:p>
    <w:p w14:paraId="7326F359" w14:textId="77777777" w:rsidR="00067458" w:rsidRDefault="00067458" w:rsidP="00067458">
      <w:pPr>
        <w:rPr>
          <w:rFonts w:cs="Arial"/>
          <w:szCs w:val="20"/>
        </w:rPr>
      </w:pPr>
      <w:r>
        <w:rPr>
          <w:rFonts w:cs="Arial"/>
          <w:noProof/>
          <w:szCs w:val="20"/>
        </w:rPr>
        <w:drawing>
          <wp:inline distT="0" distB="0" distL="0" distR="0" wp14:anchorId="4D93EC6F" wp14:editId="0864FA9D">
            <wp:extent cx="5803228" cy="3794760"/>
            <wp:effectExtent l="0" t="0" r="762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27115" cy="3810380"/>
                    </a:xfrm>
                    <a:prstGeom prst="rect">
                      <a:avLst/>
                    </a:prstGeom>
                    <a:noFill/>
                  </pic:spPr>
                </pic:pic>
              </a:graphicData>
            </a:graphic>
          </wp:inline>
        </w:drawing>
      </w:r>
    </w:p>
    <w:p w14:paraId="385291B3" w14:textId="77777777" w:rsidR="00067458" w:rsidRDefault="00067458" w:rsidP="00067458">
      <w:pPr>
        <w:rPr>
          <w:rFonts w:cs="Arial"/>
          <w:szCs w:val="20"/>
        </w:rPr>
      </w:pPr>
    </w:p>
    <w:p w14:paraId="52AC4DE1" w14:textId="77777777" w:rsidR="00067458" w:rsidRDefault="00067458" w:rsidP="00067458">
      <w:pPr>
        <w:rPr>
          <w:rFonts w:cs="Arial"/>
          <w:szCs w:val="20"/>
        </w:rPr>
      </w:pPr>
    </w:p>
    <w:p w14:paraId="37348003" w14:textId="77777777" w:rsidR="00067458" w:rsidRDefault="00067458" w:rsidP="00067458">
      <w:pPr>
        <w:rPr>
          <w:rFonts w:cs="Arial"/>
          <w:szCs w:val="20"/>
        </w:rPr>
      </w:pPr>
    </w:p>
    <w:p w14:paraId="741FD3AB" w14:textId="77777777" w:rsidR="00067458" w:rsidRDefault="00067458" w:rsidP="00067458">
      <w:pPr>
        <w:rPr>
          <w:rFonts w:cs="Arial"/>
          <w:szCs w:val="20"/>
        </w:rPr>
      </w:pPr>
    </w:p>
    <w:p w14:paraId="04084C7F" w14:textId="77777777" w:rsidR="00067458" w:rsidRDefault="00067458" w:rsidP="00067458">
      <w:pPr>
        <w:rPr>
          <w:rFonts w:cs="Arial"/>
          <w:szCs w:val="20"/>
        </w:rPr>
      </w:pPr>
    </w:p>
    <w:p w14:paraId="4D6B63E6" w14:textId="7412F673" w:rsidR="00067458" w:rsidRDefault="00067458" w:rsidP="00067458">
      <w:pPr>
        <w:rPr>
          <w:rFonts w:cs="Arial"/>
          <w:b/>
          <w:szCs w:val="20"/>
        </w:rPr>
      </w:pPr>
      <w:bookmarkStart w:id="5" w:name="_Hlk33210935"/>
      <w:r>
        <w:rPr>
          <w:rFonts w:cs="Arial"/>
          <w:b/>
          <w:noProof/>
          <w:szCs w:val="20"/>
        </w:rPr>
        <w:drawing>
          <wp:inline distT="0" distB="0" distL="0" distR="0" wp14:anchorId="0A37D66A" wp14:editId="0A4A9423">
            <wp:extent cx="5844540" cy="4255470"/>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75198" cy="4277793"/>
                    </a:xfrm>
                    <a:prstGeom prst="rect">
                      <a:avLst/>
                    </a:prstGeom>
                    <a:noFill/>
                  </pic:spPr>
                </pic:pic>
              </a:graphicData>
            </a:graphic>
          </wp:inline>
        </w:drawing>
      </w:r>
    </w:p>
    <w:p w14:paraId="168584ED" w14:textId="49473B55" w:rsidR="00067458" w:rsidRDefault="00067458" w:rsidP="00067458">
      <w:pPr>
        <w:rPr>
          <w:rFonts w:cs="Arial"/>
          <w:b/>
          <w:szCs w:val="20"/>
        </w:rPr>
      </w:pPr>
    </w:p>
    <w:p w14:paraId="4CBC1467" w14:textId="77777777" w:rsidR="00067458" w:rsidRDefault="00067458" w:rsidP="00067458">
      <w:pPr>
        <w:rPr>
          <w:rFonts w:cs="Arial"/>
          <w:b/>
          <w:szCs w:val="20"/>
        </w:rPr>
      </w:pPr>
    </w:p>
    <w:p w14:paraId="2BE45E80" w14:textId="12E408D0" w:rsidR="00067458" w:rsidRPr="008E1668" w:rsidRDefault="00067458" w:rsidP="00067458">
      <w:pPr>
        <w:numPr>
          <w:ilvl w:val="0"/>
          <w:numId w:val="2"/>
        </w:numPr>
        <w:ind w:left="0" w:firstLine="0"/>
        <w:rPr>
          <w:rFonts w:cs="Arial"/>
          <w:strike/>
          <w:szCs w:val="20"/>
        </w:rPr>
      </w:pPr>
      <w:r w:rsidRPr="008E1668">
        <w:rPr>
          <w:rFonts w:eastAsia="Times New Roman" w:cs="Arial"/>
          <w:szCs w:val="20"/>
          <w:lang w:eastAsia="fr-FR"/>
        </w:rPr>
        <w:t xml:space="preserve">In terms of </w:t>
      </w:r>
      <w:r w:rsidRPr="008E1668">
        <w:rPr>
          <w:rFonts w:eastAsia="Times New Roman" w:cs="Arial"/>
          <w:b/>
          <w:bCs/>
          <w:szCs w:val="20"/>
          <w:lang w:eastAsia="fr-FR"/>
        </w:rPr>
        <w:t>geographical distribution</w:t>
      </w:r>
      <w:r w:rsidRPr="008E1668">
        <w:rPr>
          <w:rFonts w:eastAsia="Times New Roman" w:cs="Arial"/>
          <w:szCs w:val="20"/>
          <w:lang w:eastAsia="fr-FR"/>
        </w:rPr>
        <w:t>, no</w:t>
      </w:r>
      <w:r>
        <w:rPr>
          <w:rFonts w:eastAsia="Times New Roman" w:cs="Arial"/>
          <w:szCs w:val="20"/>
          <w:lang w:eastAsia="fr-FR"/>
        </w:rPr>
        <w:t xml:space="preserve"> substantial </w:t>
      </w:r>
      <w:r w:rsidRPr="008E1668">
        <w:rPr>
          <w:rFonts w:eastAsia="Times New Roman" w:cs="Arial"/>
          <w:szCs w:val="20"/>
          <w:lang w:eastAsia="fr-FR"/>
        </w:rPr>
        <w:t xml:space="preserve">changes can be </w:t>
      </w:r>
      <w:r>
        <w:rPr>
          <w:rFonts w:eastAsia="Times New Roman" w:cs="Arial"/>
          <w:szCs w:val="20"/>
          <w:lang w:eastAsia="fr-FR"/>
        </w:rPr>
        <w:t>report</w:t>
      </w:r>
      <w:r w:rsidRPr="008E1668">
        <w:rPr>
          <w:rFonts w:eastAsia="Times New Roman" w:cs="Arial"/>
          <w:szCs w:val="20"/>
          <w:lang w:eastAsia="fr-FR"/>
        </w:rPr>
        <w:t>ed compared to 202</w:t>
      </w:r>
      <w:r w:rsidR="00D71646">
        <w:rPr>
          <w:rFonts w:eastAsia="Times New Roman" w:cs="Arial"/>
          <w:szCs w:val="20"/>
          <w:lang w:eastAsia="fr-FR"/>
        </w:rPr>
        <w:t>0</w:t>
      </w:r>
      <w:r>
        <w:rPr>
          <w:rFonts w:eastAsia="Times New Roman" w:cs="Arial"/>
          <w:szCs w:val="20"/>
          <w:lang w:eastAsia="fr-FR"/>
        </w:rPr>
        <w:t xml:space="preserve">. </w:t>
      </w:r>
    </w:p>
    <w:p w14:paraId="6502FAEB" w14:textId="77777777" w:rsidR="00067458" w:rsidRDefault="00067458" w:rsidP="00067458">
      <w:pPr>
        <w:rPr>
          <w:rFonts w:eastAsia="Times New Roman" w:cs="Arial"/>
          <w:szCs w:val="20"/>
          <w:lang w:eastAsia="fr-FR"/>
        </w:rPr>
      </w:pPr>
      <w:bookmarkStart w:id="6" w:name="_Hlk64448348"/>
    </w:p>
    <w:p w14:paraId="3E60F964" w14:textId="5FFA429B" w:rsidR="00067458" w:rsidRPr="0043731B" w:rsidRDefault="00067458" w:rsidP="00067458">
      <w:pPr>
        <w:pStyle w:val="ListParagraph"/>
        <w:numPr>
          <w:ilvl w:val="0"/>
          <w:numId w:val="4"/>
        </w:numPr>
        <w:contextualSpacing w:val="0"/>
        <w:rPr>
          <w:rFonts w:cs="Arial"/>
          <w:strike/>
          <w:szCs w:val="20"/>
          <w:lang w:eastAsia="fr-FR"/>
        </w:rPr>
      </w:pPr>
      <w:r>
        <w:rPr>
          <w:rFonts w:eastAsia="Times New Roman" w:cs="Arial"/>
          <w:szCs w:val="20"/>
          <w:lang w:eastAsia="fr-FR"/>
        </w:rPr>
        <w:t xml:space="preserve">Consistent with the long-standing trend, more than half of the Joint programmes global financial envelope was being </w:t>
      </w:r>
      <w:r w:rsidRPr="00807715">
        <w:rPr>
          <w:rFonts w:eastAsia="Times New Roman" w:cs="Arial"/>
          <w:szCs w:val="20"/>
          <w:lang w:eastAsia="fr-FR"/>
        </w:rPr>
        <w:t xml:space="preserve">channelled to co-operation in </w:t>
      </w:r>
      <w:r w:rsidRPr="00D1766D">
        <w:rPr>
          <w:rFonts w:eastAsia="Times New Roman" w:cs="Arial"/>
          <w:b/>
          <w:bCs/>
          <w:szCs w:val="20"/>
          <w:lang w:eastAsia="fr-FR"/>
        </w:rPr>
        <w:t>South-East Europe, Turkey</w:t>
      </w:r>
      <w:r>
        <w:rPr>
          <w:rFonts w:eastAsia="Times New Roman" w:cs="Arial"/>
          <w:b/>
          <w:bCs/>
          <w:szCs w:val="20"/>
          <w:lang w:eastAsia="fr-FR"/>
        </w:rPr>
        <w:t xml:space="preserve">, </w:t>
      </w:r>
      <w:r w:rsidRPr="00400314">
        <w:rPr>
          <w:rFonts w:eastAsia="Times New Roman" w:cs="Arial"/>
          <w:b/>
          <w:bCs/>
          <w:szCs w:val="20"/>
          <w:lang w:eastAsia="fr-FR"/>
        </w:rPr>
        <w:t xml:space="preserve">Eastern </w:t>
      </w:r>
      <w:proofErr w:type="gramStart"/>
      <w:r w:rsidRPr="00400314">
        <w:rPr>
          <w:rFonts w:eastAsia="Times New Roman" w:cs="Arial"/>
          <w:b/>
          <w:bCs/>
          <w:szCs w:val="20"/>
          <w:lang w:eastAsia="fr-FR"/>
        </w:rPr>
        <w:t>Europe</w:t>
      </w:r>
      <w:proofErr w:type="gramEnd"/>
      <w:r w:rsidRPr="00400314">
        <w:rPr>
          <w:rFonts w:eastAsia="Times New Roman" w:cs="Arial"/>
          <w:b/>
          <w:bCs/>
          <w:szCs w:val="20"/>
          <w:lang w:eastAsia="fr-FR"/>
        </w:rPr>
        <w:t xml:space="preserve"> and the South Caucasus</w:t>
      </w:r>
      <w:r w:rsidRPr="00807715">
        <w:rPr>
          <w:rFonts w:eastAsia="Times New Roman" w:cs="Arial"/>
          <w:szCs w:val="20"/>
          <w:lang w:eastAsia="fr-FR"/>
        </w:rPr>
        <w:t xml:space="preserve"> </w:t>
      </w:r>
      <w:r>
        <w:rPr>
          <w:rFonts w:eastAsia="Times New Roman" w:cs="Arial"/>
          <w:szCs w:val="20"/>
          <w:lang w:eastAsia="fr-FR"/>
        </w:rPr>
        <w:t xml:space="preserve">(60% of CBE 2021; total </w:t>
      </w:r>
      <w:r w:rsidRPr="00807715">
        <w:rPr>
          <w:rFonts w:cs="Arial"/>
          <w:szCs w:val="20"/>
        </w:rPr>
        <w:t>€</w:t>
      </w:r>
      <w:r w:rsidRPr="00807715">
        <w:rPr>
          <w:rFonts w:eastAsia="Times New Roman" w:cs="Arial"/>
          <w:szCs w:val="20"/>
          <w:lang w:eastAsia="fr-FR"/>
        </w:rPr>
        <w:t>1</w:t>
      </w:r>
      <w:r>
        <w:rPr>
          <w:rFonts w:eastAsia="Times New Roman" w:cs="Arial"/>
          <w:szCs w:val="20"/>
          <w:lang w:eastAsia="fr-FR"/>
        </w:rPr>
        <w:t>25</w:t>
      </w:r>
      <w:r w:rsidRPr="00807715">
        <w:rPr>
          <w:rFonts w:eastAsia="Times New Roman" w:cs="Arial"/>
          <w:szCs w:val="20"/>
          <w:lang w:eastAsia="fr-FR"/>
        </w:rPr>
        <w:t xml:space="preserve"> million</w:t>
      </w:r>
      <w:r>
        <w:rPr>
          <w:rFonts w:eastAsia="Times New Roman" w:cs="Arial"/>
          <w:szCs w:val="20"/>
          <w:lang w:eastAsia="fr-FR"/>
        </w:rPr>
        <w:t xml:space="preserve">; </w:t>
      </w:r>
      <w:r w:rsidRPr="00807715">
        <w:rPr>
          <w:rFonts w:cs="Arial"/>
          <w:szCs w:val="20"/>
        </w:rPr>
        <w:t>€</w:t>
      </w:r>
      <w:r>
        <w:rPr>
          <w:rFonts w:eastAsia="Times New Roman" w:cs="Arial"/>
          <w:szCs w:val="20"/>
          <w:lang w:eastAsia="fr-FR"/>
        </w:rPr>
        <w:t>33.8 million in annualised figures</w:t>
      </w:r>
      <w:r w:rsidRPr="0087557D">
        <w:rPr>
          <w:rFonts w:eastAsia="Times New Roman" w:cs="Arial"/>
          <w:szCs w:val="20"/>
          <w:vertAlign w:val="superscript"/>
          <w:lang w:eastAsia="fr-FR"/>
        </w:rPr>
        <w:footnoteReference w:id="6"/>
      </w:r>
      <w:r w:rsidRPr="00807715">
        <w:rPr>
          <w:rFonts w:eastAsia="Times New Roman" w:cs="Arial"/>
          <w:szCs w:val="20"/>
          <w:lang w:eastAsia="fr-FR"/>
        </w:rPr>
        <w:t xml:space="preserve">). </w:t>
      </w:r>
      <w:r>
        <w:rPr>
          <w:rFonts w:cs="Arial"/>
          <w:szCs w:val="20"/>
        </w:rPr>
        <w:t xml:space="preserve">In the Eastern Partnership and </w:t>
      </w:r>
      <w:r w:rsidRPr="00F2114D">
        <w:rPr>
          <w:rFonts w:cs="Arial"/>
          <w:szCs w:val="20"/>
        </w:rPr>
        <w:t>South-East Europe</w:t>
      </w:r>
      <w:r>
        <w:rPr>
          <w:rFonts w:cs="Arial"/>
          <w:szCs w:val="20"/>
        </w:rPr>
        <w:t xml:space="preserve"> areas, the EU-CoE geographical programmatic Facilities (“Partnership for the Good Governance” and “Horizonal Facility for the Western Balkans and Turkey” respectively) remained the main channel of co-operation and technical assistance, complemented by certain number of individual Joint programmes, regional and country-specific.</w:t>
      </w:r>
      <w:r w:rsidR="00BA10C5">
        <w:rPr>
          <w:rFonts w:cs="Arial"/>
          <w:szCs w:val="20"/>
        </w:rPr>
        <w:t xml:space="preserve"> </w:t>
      </w:r>
      <w:r>
        <w:rPr>
          <w:rFonts w:cs="Arial"/>
          <w:szCs w:val="20"/>
        </w:rPr>
        <w:t xml:space="preserve">Whilst </w:t>
      </w:r>
      <w:r w:rsidRPr="0043731B">
        <w:rPr>
          <w:rFonts w:cs="Arial"/>
          <w:b/>
          <w:bCs/>
          <w:szCs w:val="20"/>
        </w:rPr>
        <w:t>Turkey</w:t>
      </w:r>
      <w:r w:rsidRPr="0043731B">
        <w:rPr>
          <w:rFonts w:cs="Arial"/>
          <w:szCs w:val="20"/>
        </w:rPr>
        <w:t xml:space="preserve"> is part of the corresponding </w:t>
      </w:r>
      <w:r>
        <w:rPr>
          <w:rFonts w:cs="Arial"/>
          <w:szCs w:val="20"/>
        </w:rPr>
        <w:t>programmatic</w:t>
      </w:r>
      <w:r w:rsidRPr="0043731B">
        <w:rPr>
          <w:rFonts w:cs="Arial"/>
          <w:szCs w:val="20"/>
        </w:rPr>
        <w:t xml:space="preserve"> facility (with four on-going projects, including one launched in 2021 to further strengthen</w:t>
      </w:r>
      <w:r>
        <w:rPr>
          <w:rFonts w:cs="Arial"/>
          <w:szCs w:val="20"/>
        </w:rPr>
        <w:t xml:space="preserve"> women’s access to justice)</w:t>
      </w:r>
      <w:r w:rsidRPr="008509ED">
        <w:rPr>
          <w:rFonts w:cs="Arial"/>
          <w:szCs w:val="20"/>
        </w:rPr>
        <w:t xml:space="preserve"> the large-scale co-operation</w:t>
      </w:r>
      <w:r>
        <w:rPr>
          <w:rFonts w:cs="Arial"/>
          <w:szCs w:val="20"/>
        </w:rPr>
        <w:t xml:space="preserve"> </w:t>
      </w:r>
      <w:r w:rsidRPr="008509ED">
        <w:rPr>
          <w:rFonts w:cs="Arial"/>
          <w:szCs w:val="20"/>
        </w:rPr>
        <w:t>continue</w:t>
      </w:r>
      <w:r>
        <w:rPr>
          <w:rFonts w:cs="Arial"/>
          <w:szCs w:val="20"/>
        </w:rPr>
        <w:t xml:space="preserve">d here </w:t>
      </w:r>
      <w:r w:rsidRPr="008509ED">
        <w:rPr>
          <w:rFonts w:cs="Arial"/>
          <w:szCs w:val="20"/>
        </w:rPr>
        <w:t xml:space="preserve">primarily </w:t>
      </w:r>
      <w:proofErr w:type="gramStart"/>
      <w:r w:rsidRPr="008509ED">
        <w:rPr>
          <w:rFonts w:cs="Arial"/>
          <w:szCs w:val="20"/>
        </w:rPr>
        <w:t>on the basis of</w:t>
      </w:r>
      <w:proofErr w:type="gramEnd"/>
      <w:r w:rsidRPr="008509ED">
        <w:rPr>
          <w:rFonts w:cs="Arial"/>
          <w:szCs w:val="20"/>
        </w:rPr>
        <w:t xml:space="preserve"> country-specific funds</w:t>
      </w:r>
      <w:r>
        <w:rPr>
          <w:rFonts w:cs="Arial"/>
          <w:szCs w:val="20"/>
        </w:rPr>
        <w:t xml:space="preserve"> (nine active programmes, including a new one, signed in 2021, on the</w:t>
      </w:r>
      <w:r w:rsidRPr="006C293B">
        <w:rPr>
          <w:rFonts w:eastAsia="Times New Roman" w:cs="Arial"/>
          <w:szCs w:val="20"/>
          <w:lang w:eastAsia="fr-FR"/>
        </w:rPr>
        <w:t xml:space="preserve"> </w:t>
      </w:r>
      <w:r w:rsidRPr="001406D9">
        <w:rPr>
          <w:rFonts w:eastAsia="Times New Roman" w:cs="Arial"/>
          <w:szCs w:val="20"/>
          <w:lang w:eastAsia="fr-FR"/>
        </w:rPr>
        <w:t>implementation of Turkish Constitutional Court</w:t>
      </w:r>
      <w:r>
        <w:rPr>
          <w:rFonts w:eastAsia="Times New Roman" w:cs="Arial"/>
          <w:szCs w:val="20"/>
          <w:lang w:eastAsia="fr-FR"/>
        </w:rPr>
        <w:t>’s</w:t>
      </w:r>
      <w:r w:rsidRPr="001406D9">
        <w:rPr>
          <w:rFonts w:eastAsia="Times New Roman" w:cs="Arial"/>
          <w:szCs w:val="20"/>
          <w:lang w:eastAsia="fr-FR"/>
        </w:rPr>
        <w:t xml:space="preserve"> judgments in the field of </w:t>
      </w:r>
      <w:r>
        <w:rPr>
          <w:rFonts w:eastAsia="Times New Roman" w:cs="Arial"/>
          <w:szCs w:val="20"/>
          <w:lang w:eastAsia="fr-FR"/>
        </w:rPr>
        <w:t>f</w:t>
      </w:r>
      <w:r w:rsidRPr="001406D9">
        <w:rPr>
          <w:rFonts w:eastAsia="Times New Roman" w:cs="Arial"/>
          <w:szCs w:val="20"/>
          <w:lang w:eastAsia="fr-FR"/>
        </w:rPr>
        <w:t>undamental rights</w:t>
      </w:r>
      <w:r>
        <w:rPr>
          <w:rFonts w:eastAsia="Times New Roman" w:cs="Arial"/>
          <w:szCs w:val="20"/>
          <w:lang w:eastAsia="fr-FR"/>
        </w:rPr>
        <w:t xml:space="preserve">). </w:t>
      </w:r>
      <w:r>
        <w:rPr>
          <w:rFonts w:cs="Arial"/>
          <w:szCs w:val="20"/>
        </w:rPr>
        <w:t>As regards</w:t>
      </w:r>
      <w:r w:rsidRPr="00533C3F">
        <w:rPr>
          <w:rFonts w:cs="Arial"/>
          <w:szCs w:val="20"/>
        </w:rPr>
        <w:t xml:space="preserve"> the</w:t>
      </w:r>
      <w:r>
        <w:rPr>
          <w:rFonts w:cs="Arial"/>
          <w:szCs w:val="20"/>
        </w:rPr>
        <w:t xml:space="preserve"> </w:t>
      </w:r>
      <w:r w:rsidRPr="00AF50E2">
        <w:rPr>
          <w:rFonts w:cs="Arial"/>
          <w:b/>
          <w:bCs/>
          <w:szCs w:val="20"/>
        </w:rPr>
        <w:t>Russian Federation</w:t>
      </w:r>
      <w:r>
        <w:rPr>
          <w:rFonts w:cs="Arial"/>
          <w:szCs w:val="20"/>
        </w:rPr>
        <w:t xml:space="preserve">, </w:t>
      </w:r>
      <w:r>
        <w:rPr>
          <w:rFonts w:eastAsia="Times New Roman" w:cs="Arial"/>
          <w:szCs w:val="20"/>
          <w:lang w:eastAsia="fr-FR"/>
        </w:rPr>
        <w:t>c</w:t>
      </w:r>
      <w:r w:rsidRPr="00533C3F">
        <w:rPr>
          <w:rFonts w:eastAsia="Times New Roman" w:cs="Arial"/>
          <w:szCs w:val="20"/>
          <w:lang w:eastAsia="fr-FR"/>
        </w:rPr>
        <w:t xml:space="preserve">o-operation on the implementation of </w:t>
      </w:r>
      <w:r w:rsidRPr="00533C3F">
        <w:rPr>
          <w:rFonts w:eastAsia="Times New Roman" w:cs="Arial"/>
          <w:color w:val="000000"/>
          <w:szCs w:val="20"/>
          <w:lang w:eastAsia="fr-FR"/>
        </w:rPr>
        <w:t xml:space="preserve">the national action strategy for women </w:t>
      </w:r>
      <w:r w:rsidRPr="00533C3F">
        <w:rPr>
          <w:rFonts w:eastAsia="Times New Roman" w:cs="Arial"/>
          <w:szCs w:val="20"/>
          <w:lang w:eastAsia="fr-FR"/>
        </w:rPr>
        <w:t>(2017-2022)</w:t>
      </w:r>
      <w:r w:rsidRPr="00533C3F">
        <w:rPr>
          <w:rFonts w:eastAsia="Times New Roman" w:cs="Arial"/>
          <w:color w:val="000000"/>
          <w:szCs w:val="20"/>
          <w:lang w:eastAsia="fr-FR"/>
        </w:rPr>
        <w:t xml:space="preserve"> continued</w:t>
      </w:r>
      <w:r>
        <w:rPr>
          <w:rFonts w:eastAsia="Times New Roman" w:cs="Arial"/>
          <w:color w:val="000000"/>
          <w:szCs w:val="20"/>
          <w:lang w:eastAsia="fr-FR"/>
        </w:rPr>
        <w:t xml:space="preserve">, </w:t>
      </w:r>
      <w:r w:rsidRPr="00533C3F">
        <w:rPr>
          <w:rFonts w:eastAsia="Times New Roman" w:cs="Arial"/>
          <w:szCs w:val="20"/>
          <w:lang w:eastAsia="fr-FR"/>
        </w:rPr>
        <w:t>with the signature in September 2021 of a new programme.</w:t>
      </w:r>
      <w:r>
        <w:rPr>
          <w:rFonts w:eastAsia="Times New Roman" w:cs="Arial"/>
          <w:szCs w:val="20"/>
          <w:lang w:eastAsia="fr-FR"/>
        </w:rPr>
        <w:t xml:space="preserve"> </w:t>
      </w:r>
      <w:r w:rsidRPr="00FC0409">
        <w:rPr>
          <w:rFonts w:cs="Arial"/>
          <w:szCs w:val="20"/>
        </w:rPr>
        <w:t>Information on</w:t>
      </w:r>
      <w:r w:rsidRPr="005152ED">
        <w:rPr>
          <w:rFonts w:cs="Arial"/>
          <w:szCs w:val="20"/>
        </w:rPr>
        <w:t xml:space="preserve"> the Facilities’ developments and full account of the programmes under implementation in both regions is presented under Section III and in Appendices I and II, however, it is opportune to mention here </w:t>
      </w:r>
      <w:r>
        <w:rPr>
          <w:rFonts w:cs="Arial"/>
          <w:szCs w:val="20"/>
        </w:rPr>
        <w:t>some</w:t>
      </w:r>
      <w:r w:rsidR="00BA10C5">
        <w:rPr>
          <w:rFonts w:cs="Arial"/>
          <w:szCs w:val="20"/>
        </w:rPr>
        <w:t xml:space="preserve"> </w:t>
      </w:r>
      <w:r w:rsidRPr="0043731B">
        <w:rPr>
          <w:rFonts w:cs="Arial"/>
          <w:szCs w:val="20"/>
        </w:rPr>
        <w:t xml:space="preserve">programmes launched in 2021, namely the phase II of the sizable JP ROMACTED, a regional programme </w:t>
      </w:r>
      <w:r w:rsidRPr="0043731B">
        <w:rPr>
          <w:rFonts w:eastAsia="Times New Roman" w:cs="Arial"/>
          <w:szCs w:val="20"/>
          <w:lang w:eastAsia="fr-FR"/>
        </w:rPr>
        <w:t>to improve local democracy, accountability, inclusiveness and responsiveness towards Roma citizens</w:t>
      </w:r>
      <w:r w:rsidR="00BA10C5">
        <w:rPr>
          <w:rFonts w:cs="Arial"/>
          <w:szCs w:val="20"/>
        </w:rPr>
        <w:t xml:space="preserve"> </w:t>
      </w:r>
      <w:r w:rsidRPr="0043731B">
        <w:rPr>
          <w:rFonts w:cs="Arial"/>
          <w:szCs w:val="20"/>
        </w:rPr>
        <w:t>(in the Enlargement area) and JP “Justice Dashboard”, a regional programme supporting the evaluation of the results of the</w:t>
      </w:r>
      <w:r w:rsidR="00BA10C5">
        <w:rPr>
          <w:rFonts w:cs="Arial"/>
          <w:szCs w:val="20"/>
        </w:rPr>
        <w:t xml:space="preserve"> </w:t>
      </w:r>
      <w:r w:rsidRPr="0043731B">
        <w:rPr>
          <w:rFonts w:cs="Arial"/>
          <w:szCs w:val="20"/>
        </w:rPr>
        <w:t>judicial reforms (in the countries of the Eastern Partnership). Moreover, the negotiations of an important new programme for Serbia, aimed at supporting the implementation of judicial reform, were finalised in December 2021, with the programme starting in January 2022.</w:t>
      </w:r>
    </w:p>
    <w:p w14:paraId="294C3A03" w14:textId="77777777" w:rsidR="00067458" w:rsidRPr="0075208B" w:rsidRDefault="00067458" w:rsidP="00067458">
      <w:pPr>
        <w:rPr>
          <w:rFonts w:cs="Arial"/>
          <w:strike/>
          <w:szCs w:val="20"/>
        </w:rPr>
      </w:pPr>
    </w:p>
    <w:p w14:paraId="4C7BF4A6" w14:textId="77777777" w:rsidR="007D3924" w:rsidRDefault="007D3924">
      <w:pPr>
        <w:rPr>
          <w:rFonts w:cs="Arial"/>
          <w:szCs w:val="20"/>
        </w:rPr>
      </w:pPr>
      <w:r>
        <w:rPr>
          <w:rFonts w:cs="Arial"/>
          <w:szCs w:val="20"/>
        </w:rPr>
        <w:br w:type="page"/>
      </w:r>
    </w:p>
    <w:p w14:paraId="6C5A3FE8" w14:textId="6A61FEE1" w:rsidR="00067458" w:rsidRPr="00533C3F" w:rsidRDefault="00067458" w:rsidP="00067458">
      <w:pPr>
        <w:pStyle w:val="ListParagraph"/>
        <w:numPr>
          <w:ilvl w:val="0"/>
          <w:numId w:val="4"/>
        </w:numPr>
        <w:contextualSpacing w:val="0"/>
        <w:rPr>
          <w:rFonts w:cs="Arial"/>
          <w:strike/>
          <w:szCs w:val="20"/>
        </w:rPr>
      </w:pPr>
      <w:r>
        <w:rPr>
          <w:rFonts w:cs="Arial"/>
          <w:szCs w:val="20"/>
        </w:rPr>
        <w:t xml:space="preserve">As regards co-operation with non-member States in the </w:t>
      </w:r>
      <w:r w:rsidRPr="00533C3F">
        <w:rPr>
          <w:rFonts w:cs="Arial"/>
          <w:b/>
          <w:szCs w:val="20"/>
        </w:rPr>
        <w:t xml:space="preserve">Southern Mediterranean </w:t>
      </w:r>
      <w:r w:rsidRPr="00533C3F">
        <w:rPr>
          <w:rFonts w:cs="Arial"/>
          <w:szCs w:val="20"/>
        </w:rPr>
        <w:t xml:space="preserve">and </w:t>
      </w:r>
      <w:r w:rsidRPr="00533C3F">
        <w:rPr>
          <w:rFonts w:cs="Arial"/>
          <w:b/>
          <w:szCs w:val="20"/>
        </w:rPr>
        <w:t>Central Asia</w:t>
      </w:r>
      <w:r>
        <w:rPr>
          <w:rFonts w:cs="Arial"/>
          <w:b/>
          <w:szCs w:val="20"/>
        </w:rPr>
        <w:t xml:space="preserve">, </w:t>
      </w:r>
      <w:r w:rsidRPr="0028129A">
        <w:rPr>
          <w:rFonts w:cs="Arial"/>
          <w:bCs/>
          <w:szCs w:val="20"/>
        </w:rPr>
        <w:t xml:space="preserve">under </w:t>
      </w:r>
      <w:r w:rsidRPr="0028129A">
        <w:rPr>
          <w:rFonts w:eastAsia="Times New Roman" w:cs="Arial"/>
          <w:bCs/>
          <w:szCs w:val="20"/>
          <w:lang w:eastAsia="fr-FR"/>
        </w:rPr>
        <w:t>the</w:t>
      </w:r>
      <w:r>
        <w:rPr>
          <w:rFonts w:eastAsia="Times New Roman" w:cs="Arial"/>
          <w:szCs w:val="20"/>
          <w:lang w:eastAsia="fr-FR"/>
        </w:rPr>
        <w:t xml:space="preserve"> CoE Policy towards Neighbouring Regions</w:t>
      </w:r>
      <w:r>
        <w:rPr>
          <w:rFonts w:cs="Arial"/>
          <w:szCs w:val="20"/>
        </w:rPr>
        <w:t xml:space="preserve">, its share </w:t>
      </w:r>
      <w:r w:rsidRPr="00533C3F">
        <w:rPr>
          <w:rFonts w:cs="Arial"/>
          <w:szCs w:val="20"/>
        </w:rPr>
        <w:t xml:space="preserve">remained stable (15% of CBE 2021; </w:t>
      </w:r>
      <w:r>
        <w:rPr>
          <w:rFonts w:cs="Arial"/>
          <w:szCs w:val="20"/>
        </w:rPr>
        <w:t xml:space="preserve">total </w:t>
      </w:r>
      <w:r w:rsidRPr="00533C3F">
        <w:rPr>
          <w:rFonts w:cs="Arial"/>
          <w:szCs w:val="20"/>
        </w:rPr>
        <w:t>€</w:t>
      </w:r>
      <w:r w:rsidRPr="00533C3F">
        <w:rPr>
          <w:rFonts w:eastAsia="Times New Roman" w:cs="Arial"/>
          <w:szCs w:val="20"/>
          <w:lang w:eastAsia="fr-FR"/>
        </w:rPr>
        <w:t>30.6 million</w:t>
      </w:r>
      <w:r>
        <w:rPr>
          <w:rFonts w:eastAsia="Times New Roman" w:cs="Arial"/>
          <w:szCs w:val="20"/>
          <w:lang w:eastAsia="fr-FR"/>
        </w:rPr>
        <w:t xml:space="preserve">; </w:t>
      </w:r>
      <w:r w:rsidRPr="00533C3F">
        <w:rPr>
          <w:rFonts w:cs="Arial"/>
          <w:szCs w:val="20"/>
        </w:rPr>
        <w:t>€</w:t>
      </w:r>
      <w:r>
        <w:rPr>
          <w:rFonts w:eastAsia="Times New Roman" w:cs="Arial"/>
          <w:szCs w:val="20"/>
          <w:lang w:eastAsia="fr-FR"/>
        </w:rPr>
        <w:t>8.2 million in annualised figures</w:t>
      </w:r>
      <w:r w:rsidRPr="00533C3F">
        <w:rPr>
          <w:rFonts w:eastAsia="Times New Roman" w:cs="Arial"/>
          <w:szCs w:val="20"/>
          <w:lang w:eastAsia="fr-FR"/>
        </w:rPr>
        <w:t xml:space="preserve">). </w:t>
      </w:r>
      <w:r w:rsidRPr="00533C3F">
        <w:rPr>
          <w:rFonts w:cs="Arial"/>
          <w:szCs w:val="20"/>
        </w:rPr>
        <w:t xml:space="preserve">In </w:t>
      </w:r>
      <w:r>
        <w:rPr>
          <w:rFonts w:cs="Arial"/>
          <w:szCs w:val="20"/>
        </w:rPr>
        <w:t xml:space="preserve">the </w:t>
      </w:r>
      <w:r w:rsidRPr="00533C3F">
        <w:rPr>
          <w:rFonts w:cs="Arial"/>
          <w:b/>
          <w:szCs w:val="20"/>
        </w:rPr>
        <w:t>South Neighbourhood</w:t>
      </w:r>
      <w:r w:rsidRPr="00533C3F">
        <w:rPr>
          <w:rFonts w:cs="Arial"/>
          <w:szCs w:val="20"/>
        </w:rPr>
        <w:t xml:space="preserve">, the co-operation architecture continued to be composed of the core regional </w:t>
      </w:r>
      <w:r>
        <w:rPr>
          <w:rFonts w:cs="Arial"/>
          <w:szCs w:val="20"/>
        </w:rPr>
        <w:t xml:space="preserve">demand-driven </w:t>
      </w:r>
      <w:r w:rsidRPr="00533C3F">
        <w:rPr>
          <w:rFonts w:cs="Arial"/>
          <w:bCs/>
          <w:szCs w:val="20"/>
        </w:rPr>
        <w:t>South Programme (</w:t>
      </w:r>
      <w:r>
        <w:rPr>
          <w:rFonts w:cs="Arial"/>
          <w:bCs/>
          <w:szCs w:val="20"/>
        </w:rPr>
        <w:t xml:space="preserve">in its </w:t>
      </w:r>
      <w:r w:rsidRPr="00533C3F">
        <w:rPr>
          <w:rFonts w:cs="Arial"/>
          <w:bCs/>
          <w:szCs w:val="20"/>
        </w:rPr>
        <w:t>phase IV),</w:t>
      </w:r>
      <w:r w:rsidRPr="00533C3F">
        <w:rPr>
          <w:rFonts w:cs="Arial"/>
          <w:szCs w:val="20"/>
        </w:rPr>
        <w:t xml:space="preserve"> regional programme CyberSouth (fight against cybercrime), two country-specific programmes in Tunisia</w:t>
      </w:r>
      <w:r w:rsidRPr="00533C3F">
        <w:rPr>
          <w:rFonts w:eastAsia="Times New Roman" w:cs="Arial"/>
          <w:szCs w:val="20"/>
          <w:lang w:eastAsia="fr-FR"/>
        </w:rPr>
        <w:t xml:space="preserve"> (assistance to the reform of the justice system and</w:t>
      </w:r>
      <w:r>
        <w:rPr>
          <w:rFonts w:eastAsia="Times New Roman" w:cs="Arial"/>
          <w:szCs w:val="20"/>
          <w:lang w:eastAsia="fr-FR"/>
        </w:rPr>
        <w:t xml:space="preserve"> support to the</w:t>
      </w:r>
      <w:r w:rsidRPr="00533C3F">
        <w:rPr>
          <w:rFonts w:eastAsia="Times New Roman" w:cs="Arial"/>
          <w:szCs w:val="20"/>
          <w:lang w:eastAsia="fr-FR"/>
        </w:rPr>
        <w:t xml:space="preserve"> independent instances</w:t>
      </w:r>
      <w:r>
        <w:rPr>
          <w:rFonts w:eastAsia="Times New Roman" w:cs="Arial"/>
          <w:szCs w:val="20"/>
          <w:lang w:eastAsia="fr-FR"/>
        </w:rPr>
        <w:t>)</w:t>
      </w:r>
      <w:r w:rsidRPr="00533C3F">
        <w:rPr>
          <w:rFonts w:eastAsia="Times New Roman" w:cs="Arial"/>
          <w:szCs w:val="20"/>
          <w:lang w:eastAsia="fr-FR"/>
        </w:rPr>
        <w:t xml:space="preserve"> and one two-strand programme in Morocco (</w:t>
      </w:r>
      <w:r>
        <w:rPr>
          <w:rFonts w:eastAsia="Times New Roman" w:cs="Arial"/>
          <w:szCs w:val="20"/>
          <w:lang w:eastAsia="fr-FR"/>
        </w:rPr>
        <w:t>focused on</w:t>
      </w:r>
      <w:r w:rsidRPr="00533C3F">
        <w:rPr>
          <w:rFonts w:eastAsia="Times New Roman" w:cs="Arial"/>
          <w:szCs w:val="20"/>
          <w:lang w:eastAsia="fr-FR"/>
        </w:rPr>
        <w:t xml:space="preserve"> the role of the Parliament and </w:t>
      </w:r>
      <w:r>
        <w:rPr>
          <w:rFonts w:eastAsia="Times New Roman" w:cs="Arial"/>
          <w:szCs w:val="20"/>
          <w:lang w:eastAsia="fr-FR"/>
        </w:rPr>
        <w:t xml:space="preserve">on </w:t>
      </w:r>
      <w:r w:rsidRPr="00533C3F">
        <w:rPr>
          <w:rFonts w:eastAsia="Times New Roman" w:cs="Arial"/>
          <w:szCs w:val="20"/>
          <w:lang w:eastAsia="fr-FR"/>
        </w:rPr>
        <w:t>National preventive mechanism against torture)</w:t>
      </w:r>
      <w:r w:rsidRPr="00533C3F">
        <w:rPr>
          <w:rFonts w:cs="Arial"/>
          <w:szCs w:val="20"/>
        </w:rPr>
        <w:t xml:space="preserve">. </w:t>
      </w:r>
      <w:r w:rsidRPr="00533C3F">
        <w:rPr>
          <w:rFonts w:eastAsia="Times New Roman" w:cs="Arial"/>
          <w:szCs w:val="20"/>
          <w:lang w:eastAsia="fr-FR"/>
        </w:rPr>
        <w:t xml:space="preserve">In </w:t>
      </w:r>
      <w:r w:rsidRPr="00533C3F">
        <w:rPr>
          <w:rFonts w:eastAsia="Times New Roman" w:cs="Arial"/>
          <w:b/>
          <w:bCs/>
          <w:szCs w:val="20"/>
          <w:lang w:eastAsia="fr-FR"/>
        </w:rPr>
        <w:t>Central Asia</w:t>
      </w:r>
      <w:r w:rsidRPr="00533C3F">
        <w:rPr>
          <w:rFonts w:eastAsia="Times New Roman" w:cs="Arial"/>
          <w:szCs w:val="20"/>
          <w:lang w:eastAsia="fr-FR"/>
        </w:rPr>
        <w:t xml:space="preserve">, </w:t>
      </w:r>
      <w:r>
        <w:rPr>
          <w:rFonts w:eastAsia="Times New Roman" w:cs="Arial"/>
          <w:szCs w:val="20"/>
          <w:lang w:eastAsia="fr-FR"/>
        </w:rPr>
        <w:t xml:space="preserve">the </w:t>
      </w:r>
      <w:r w:rsidRPr="00533C3F">
        <w:rPr>
          <w:rFonts w:eastAsia="Times New Roman" w:cs="Arial"/>
          <w:szCs w:val="20"/>
          <w:lang w:eastAsia="fr-FR"/>
        </w:rPr>
        <w:t xml:space="preserve">co-operation </w:t>
      </w:r>
      <w:r>
        <w:rPr>
          <w:rFonts w:eastAsia="Times New Roman" w:cs="Arial"/>
          <w:szCs w:val="20"/>
          <w:lang w:eastAsia="fr-FR"/>
        </w:rPr>
        <w:t>continued to be</w:t>
      </w:r>
      <w:r w:rsidRPr="00533C3F">
        <w:rPr>
          <w:rFonts w:eastAsia="Times New Roman" w:cs="Arial"/>
          <w:szCs w:val="20"/>
          <w:lang w:eastAsia="fr-FR"/>
        </w:rPr>
        <w:t xml:space="preserve"> implemented through the large-scale regional programme EU</w:t>
      </w:r>
      <w:r>
        <w:rPr>
          <w:rFonts w:eastAsia="Times New Roman" w:cs="Arial"/>
          <w:szCs w:val="20"/>
          <w:lang w:eastAsia="fr-FR"/>
        </w:rPr>
        <w:t>/</w:t>
      </w:r>
      <w:r w:rsidRPr="00533C3F">
        <w:rPr>
          <w:rFonts w:eastAsia="Times New Roman" w:cs="Arial"/>
          <w:szCs w:val="20"/>
          <w:lang w:eastAsia="fr-FR"/>
        </w:rPr>
        <w:t xml:space="preserve">CoE </w:t>
      </w:r>
      <w:r>
        <w:rPr>
          <w:rFonts w:eastAsia="Times New Roman" w:cs="Arial"/>
          <w:szCs w:val="20"/>
          <w:lang w:eastAsia="fr-FR"/>
        </w:rPr>
        <w:t xml:space="preserve">“Central Asia </w:t>
      </w:r>
      <w:r w:rsidRPr="00533C3F">
        <w:rPr>
          <w:rFonts w:eastAsia="Times New Roman" w:cs="Arial"/>
          <w:szCs w:val="20"/>
          <w:lang w:eastAsia="fr-FR"/>
        </w:rPr>
        <w:t xml:space="preserve">Rule of Law </w:t>
      </w:r>
      <w:r>
        <w:rPr>
          <w:rFonts w:eastAsia="Times New Roman" w:cs="Arial"/>
          <w:szCs w:val="20"/>
          <w:lang w:eastAsia="fr-FR"/>
        </w:rPr>
        <w:t>Programme</w:t>
      </w:r>
      <w:r w:rsidRPr="00533C3F">
        <w:rPr>
          <w:rFonts w:eastAsia="Times New Roman" w:cs="Arial"/>
          <w:szCs w:val="20"/>
          <w:lang w:eastAsia="fr-FR"/>
        </w:rPr>
        <w:t xml:space="preserve">”. The region also benefits </w:t>
      </w:r>
      <w:r>
        <w:rPr>
          <w:rFonts w:eastAsia="Times New Roman" w:cs="Arial"/>
          <w:szCs w:val="20"/>
          <w:lang w:eastAsia="fr-FR"/>
        </w:rPr>
        <w:t>from</w:t>
      </w:r>
      <w:r w:rsidRPr="00533C3F">
        <w:rPr>
          <w:rFonts w:eastAsia="Times New Roman" w:cs="Arial"/>
          <w:szCs w:val="20"/>
          <w:lang w:eastAsia="fr-FR"/>
        </w:rPr>
        <w:t xml:space="preserve"> the Ven</w:t>
      </w:r>
      <w:r>
        <w:rPr>
          <w:rFonts w:eastAsia="Times New Roman" w:cs="Arial"/>
          <w:szCs w:val="20"/>
          <w:lang w:eastAsia="fr-FR"/>
        </w:rPr>
        <w:t>i</w:t>
      </w:r>
      <w:r w:rsidRPr="00533C3F">
        <w:rPr>
          <w:rFonts w:eastAsia="Times New Roman" w:cs="Arial"/>
          <w:szCs w:val="20"/>
          <w:lang w:eastAsia="fr-FR"/>
        </w:rPr>
        <w:t xml:space="preserve">ce Commission’s assistance in </w:t>
      </w:r>
      <w:r>
        <w:rPr>
          <w:rFonts w:eastAsia="Times New Roman" w:cs="Arial"/>
          <w:szCs w:val="20"/>
          <w:lang w:eastAsia="fr-FR"/>
        </w:rPr>
        <w:t xml:space="preserve">the </w:t>
      </w:r>
      <w:r w:rsidRPr="00533C3F">
        <w:rPr>
          <w:rFonts w:eastAsia="Times New Roman" w:cs="Arial"/>
          <w:szCs w:val="20"/>
          <w:lang w:eastAsia="fr-FR"/>
        </w:rPr>
        <w:t xml:space="preserve">electoral field, within the framework of a dedicated programme </w:t>
      </w:r>
      <w:proofErr w:type="gramStart"/>
      <w:r w:rsidRPr="00533C3F">
        <w:rPr>
          <w:rFonts w:eastAsia="Times New Roman" w:cs="Arial"/>
          <w:szCs w:val="20"/>
          <w:lang w:eastAsia="fr-FR"/>
        </w:rPr>
        <w:t>covering also</w:t>
      </w:r>
      <w:proofErr w:type="gramEnd"/>
      <w:r w:rsidRPr="00533C3F">
        <w:rPr>
          <w:rFonts w:eastAsia="Times New Roman" w:cs="Arial"/>
          <w:szCs w:val="20"/>
          <w:lang w:eastAsia="fr-FR"/>
        </w:rPr>
        <w:t xml:space="preserve"> Mongolia and Latin America.</w:t>
      </w:r>
      <w:r>
        <w:rPr>
          <w:rFonts w:eastAsia="Times New Roman" w:cs="Arial"/>
          <w:szCs w:val="20"/>
          <w:lang w:eastAsia="fr-FR"/>
        </w:rPr>
        <w:t xml:space="preserve"> </w:t>
      </w:r>
      <w:bookmarkStart w:id="7" w:name="_Hlk93884928"/>
      <w:r w:rsidRPr="00533C3F">
        <w:rPr>
          <w:rFonts w:cs="Arial"/>
          <w:szCs w:val="20"/>
        </w:rPr>
        <w:t xml:space="preserve">For more information, including on individual programme envelopes, see </w:t>
      </w:r>
      <w:r w:rsidRPr="0028129A">
        <w:rPr>
          <w:rFonts w:cs="Arial"/>
          <w:szCs w:val="20"/>
        </w:rPr>
        <w:t>Section III and Appendix I.</w:t>
      </w:r>
      <w:r>
        <w:rPr>
          <w:rFonts w:cs="Arial"/>
          <w:szCs w:val="20"/>
        </w:rPr>
        <w:t xml:space="preserve"> </w:t>
      </w:r>
      <w:bookmarkEnd w:id="7"/>
    </w:p>
    <w:p w14:paraId="5D5297AC" w14:textId="77777777" w:rsidR="00067458" w:rsidRPr="00533C3F" w:rsidRDefault="00067458" w:rsidP="00067458">
      <w:pPr>
        <w:pStyle w:val="ListParagraph"/>
        <w:contextualSpacing w:val="0"/>
        <w:rPr>
          <w:rFonts w:cs="Arial"/>
          <w:strike/>
          <w:szCs w:val="20"/>
        </w:rPr>
      </w:pPr>
    </w:p>
    <w:p w14:paraId="44918D02" w14:textId="460D4A5C" w:rsidR="00067458" w:rsidRPr="007D3924" w:rsidRDefault="00067458" w:rsidP="007D3924">
      <w:pPr>
        <w:pStyle w:val="ListParagraph"/>
        <w:numPr>
          <w:ilvl w:val="0"/>
          <w:numId w:val="4"/>
        </w:numPr>
        <w:contextualSpacing w:val="0"/>
        <w:rPr>
          <w:rFonts w:cs="Arial"/>
          <w:szCs w:val="20"/>
        </w:rPr>
      </w:pPr>
      <w:r>
        <w:rPr>
          <w:rFonts w:cs="Arial"/>
          <w:szCs w:val="20"/>
        </w:rPr>
        <w:t>Importantly, the financial volume of the JPs implemented in those</w:t>
      </w:r>
      <w:r>
        <w:rPr>
          <w:rFonts w:cs="Arial"/>
          <w:b/>
          <w:szCs w:val="20"/>
        </w:rPr>
        <w:t xml:space="preserve"> CoE member States which are member States of the EU </w:t>
      </w:r>
      <w:r>
        <w:rPr>
          <w:rFonts w:cs="Arial"/>
          <w:szCs w:val="20"/>
        </w:rPr>
        <w:t>continued to steadily increase (13% of CBE 2021</w:t>
      </w:r>
      <w:bookmarkStart w:id="8" w:name="_Hlk93275814"/>
      <w:r>
        <w:rPr>
          <w:rFonts w:cs="Arial"/>
          <w:szCs w:val="20"/>
        </w:rPr>
        <w:t xml:space="preserve">; total: </w:t>
      </w:r>
      <w:r w:rsidRPr="0087557D">
        <w:rPr>
          <w:rFonts w:cs="Arial"/>
          <w:szCs w:val="20"/>
        </w:rPr>
        <w:t>€</w:t>
      </w:r>
      <w:bookmarkEnd w:id="8"/>
      <w:r>
        <w:rPr>
          <w:rFonts w:cs="Arial"/>
          <w:szCs w:val="20"/>
        </w:rPr>
        <w:t xml:space="preserve">26.9 million; </w:t>
      </w:r>
      <w:r w:rsidRPr="0087557D">
        <w:rPr>
          <w:rFonts w:cs="Arial"/>
          <w:szCs w:val="20"/>
        </w:rPr>
        <w:t>€</w:t>
      </w:r>
      <w:r>
        <w:rPr>
          <w:rFonts w:cs="Arial"/>
          <w:szCs w:val="20"/>
        </w:rPr>
        <w:t>8.7 million in annualised figures</w:t>
      </w:r>
      <w:r w:rsidRPr="0091150A">
        <w:rPr>
          <w:rFonts w:cs="Arial"/>
          <w:szCs w:val="20"/>
        </w:rPr>
        <w:t>).</w:t>
      </w:r>
      <w:r>
        <w:rPr>
          <w:rFonts w:cs="Arial"/>
          <w:szCs w:val="20"/>
        </w:rPr>
        <w:t xml:space="preserve"> This development is due primarily to the structured co-operation with DG Reform, in place since 2019. In 2021, three framework agreements were being implemented, encapsulating more than 20 projects in numerous</w:t>
      </w:r>
      <w:r w:rsidRPr="00533C3F">
        <w:rPr>
          <w:rFonts w:cs="Arial"/>
          <w:szCs w:val="20"/>
        </w:rPr>
        <w:t xml:space="preserve"> EU member </w:t>
      </w:r>
      <w:r>
        <w:rPr>
          <w:rFonts w:cs="Arial"/>
          <w:szCs w:val="20"/>
        </w:rPr>
        <w:t>S</w:t>
      </w:r>
      <w:r w:rsidRPr="00533C3F">
        <w:rPr>
          <w:rFonts w:cs="Arial"/>
          <w:szCs w:val="20"/>
        </w:rPr>
        <w:t>tates (Croatia, Cyprus, Estonia, Finland, Latvia, Lithuania, Malta, Portugal, Romania, Slovenia, Spain, the Czech Republic, the Slovak Republic).</w:t>
      </w:r>
      <w:r>
        <w:rPr>
          <w:rFonts w:cs="Arial"/>
          <w:szCs w:val="20"/>
        </w:rPr>
        <w:t xml:space="preserve"> The thematic scope of these projects encompasses </w:t>
      </w:r>
      <w:proofErr w:type="gramStart"/>
      <w:r>
        <w:rPr>
          <w:rFonts w:cs="Arial"/>
          <w:szCs w:val="20"/>
        </w:rPr>
        <w:t>a number of</w:t>
      </w:r>
      <w:proofErr w:type="gramEnd"/>
      <w:r>
        <w:rPr>
          <w:rFonts w:cs="Arial"/>
          <w:szCs w:val="20"/>
        </w:rPr>
        <w:t xml:space="preserve"> areas of CoE expertise, including various aspects of judicial reform (</w:t>
      </w:r>
      <w:r w:rsidRPr="0087557D">
        <w:rPr>
          <w:rFonts w:cs="Arial"/>
          <w:szCs w:val="20"/>
        </w:rPr>
        <w:t>modernisation of the judicial system</w:t>
      </w:r>
      <w:r>
        <w:rPr>
          <w:rFonts w:cs="Arial"/>
          <w:szCs w:val="20"/>
        </w:rPr>
        <w:t xml:space="preserve">, </w:t>
      </w:r>
      <w:r w:rsidRPr="0087557D">
        <w:rPr>
          <w:rFonts w:cs="Arial"/>
          <w:szCs w:val="20"/>
        </w:rPr>
        <w:t>efficiency of justice</w:t>
      </w:r>
      <w:r>
        <w:rPr>
          <w:rFonts w:cs="Arial"/>
          <w:szCs w:val="20"/>
        </w:rPr>
        <w:t xml:space="preserve">, access to justice and others), </w:t>
      </w:r>
      <w:r w:rsidRPr="0087557D">
        <w:rPr>
          <w:rFonts w:cs="Arial"/>
          <w:szCs w:val="20"/>
        </w:rPr>
        <w:t>fight against economic crime</w:t>
      </w:r>
      <w:r>
        <w:rPr>
          <w:rFonts w:cs="Arial"/>
          <w:szCs w:val="20"/>
        </w:rPr>
        <w:t>, money-laundering and terrorist-financing,</w:t>
      </w:r>
      <w:r w:rsidRPr="00E11DB5">
        <w:rPr>
          <w:rFonts w:cs="Arial"/>
          <w:szCs w:val="20"/>
        </w:rPr>
        <w:t xml:space="preserve"> </w:t>
      </w:r>
      <w:r w:rsidRPr="0087557D">
        <w:rPr>
          <w:rFonts w:cs="Arial"/>
          <w:szCs w:val="20"/>
        </w:rPr>
        <w:t>strengthening local governance</w:t>
      </w:r>
      <w:r>
        <w:rPr>
          <w:rFonts w:cs="Arial"/>
          <w:szCs w:val="20"/>
        </w:rPr>
        <w:t xml:space="preserve">, </w:t>
      </w:r>
      <w:r w:rsidRPr="0087557D">
        <w:rPr>
          <w:rFonts w:cs="Arial"/>
          <w:szCs w:val="20"/>
        </w:rPr>
        <w:t>and children rights</w:t>
      </w:r>
      <w:r>
        <w:rPr>
          <w:rFonts w:cs="Arial"/>
          <w:szCs w:val="20"/>
        </w:rPr>
        <w:t>. T</w:t>
      </w:r>
      <w:r>
        <w:rPr>
          <w:rFonts w:eastAsia="Times New Roman"/>
        </w:rPr>
        <w:t>he development of the fourth framework programme started in autumn 2021, with signature expected in early spring 2022. Additionally</w:t>
      </w:r>
      <w:r>
        <w:rPr>
          <w:rFonts w:cs="Arial"/>
          <w:szCs w:val="20"/>
        </w:rPr>
        <w:t>, three individual programmes with DG REFORM continued in parallel:</w:t>
      </w:r>
      <w:r w:rsidR="00BA10C5">
        <w:rPr>
          <w:rFonts w:cs="Arial"/>
          <w:szCs w:val="20"/>
        </w:rPr>
        <w:t xml:space="preserve"> </w:t>
      </w:r>
      <w:r>
        <w:rPr>
          <w:rFonts w:cs="Arial"/>
          <w:szCs w:val="20"/>
        </w:rPr>
        <w:t>in Greece (</w:t>
      </w:r>
      <w:r>
        <w:rPr>
          <w:rFonts w:cs="Arial"/>
          <w:color w:val="000000"/>
          <w:szCs w:val="20"/>
        </w:rPr>
        <w:t xml:space="preserve">on good governance; completed by mid-2021), in </w:t>
      </w:r>
      <w:r>
        <w:rPr>
          <w:rFonts w:cs="Arial"/>
          <w:szCs w:val="20"/>
        </w:rPr>
        <w:t xml:space="preserve">Bulgaria (on the fight </w:t>
      </w:r>
      <w:r w:rsidRPr="0087557D">
        <w:rPr>
          <w:rFonts w:cs="Arial"/>
          <w:szCs w:val="20"/>
        </w:rPr>
        <w:t>against money-laundering and terrorism financing</w:t>
      </w:r>
      <w:r>
        <w:rPr>
          <w:rFonts w:cs="Arial"/>
          <w:szCs w:val="20"/>
        </w:rPr>
        <w:t xml:space="preserve">) and in Romania (EDQM-implemented project on </w:t>
      </w:r>
      <w:r w:rsidRPr="0087557D">
        <w:rPr>
          <w:rFonts w:cs="Arial"/>
          <w:szCs w:val="20"/>
        </w:rPr>
        <w:t>reorganisation of the blood transfusion system</w:t>
      </w:r>
      <w:r>
        <w:rPr>
          <w:rFonts w:cs="Arial"/>
          <w:szCs w:val="20"/>
        </w:rPr>
        <w:t>).</w:t>
      </w:r>
      <w:r w:rsidR="00BA10C5">
        <w:rPr>
          <w:rFonts w:cs="Arial"/>
          <w:szCs w:val="20"/>
        </w:rPr>
        <w:t xml:space="preserve"> </w:t>
      </w:r>
      <w:r>
        <w:rPr>
          <w:rFonts w:cs="Arial"/>
          <w:szCs w:val="20"/>
        </w:rPr>
        <w:t xml:space="preserve">Additionally, one new programme was signed in mid-2021 for Cyprus </w:t>
      </w:r>
      <w:r w:rsidRPr="000C2217">
        <w:rPr>
          <w:rFonts w:cs="Arial"/>
          <w:szCs w:val="20"/>
        </w:rPr>
        <w:t>(on intercultural integration)</w:t>
      </w:r>
      <w:r>
        <w:rPr>
          <w:rFonts w:eastAsia="Times New Roman"/>
        </w:rPr>
        <w:t xml:space="preserve">. </w:t>
      </w:r>
      <w:r>
        <w:rPr>
          <w:rFonts w:cs="Arial"/>
          <w:szCs w:val="20"/>
        </w:rPr>
        <w:t xml:space="preserve">Moreover, </w:t>
      </w:r>
      <w:r w:rsidRPr="0087557D">
        <w:rPr>
          <w:rFonts w:cs="Arial"/>
          <w:szCs w:val="20"/>
        </w:rPr>
        <w:t>co-operation</w:t>
      </w:r>
      <w:r>
        <w:rPr>
          <w:rFonts w:cs="Arial"/>
          <w:szCs w:val="20"/>
        </w:rPr>
        <w:t xml:space="preserve"> and technical assistances activities towards EU member States continue to expand</w:t>
      </w:r>
      <w:r w:rsidR="00BA10C5">
        <w:rPr>
          <w:rFonts w:cs="Arial"/>
          <w:szCs w:val="20"/>
        </w:rPr>
        <w:t xml:space="preserve"> </w:t>
      </w:r>
      <w:r>
        <w:rPr>
          <w:rFonts w:cs="Arial"/>
          <w:szCs w:val="20"/>
        </w:rPr>
        <w:t xml:space="preserve">through programmes co-funded by </w:t>
      </w:r>
      <w:r w:rsidRPr="0087557D">
        <w:rPr>
          <w:rFonts w:cs="Arial"/>
          <w:szCs w:val="20"/>
        </w:rPr>
        <w:t>DG JUST (</w:t>
      </w:r>
      <w:r w:rsidRPr="00CB31E4">
        <w:rPr>
          <w:rFonts w:cs="Arial"/>
          <w:i/>
          <w:iCs/>
          <w:szCs w:val="20"/>
        </w:rPr>
        <w:t>inter alia</w:t>
      </w:r>
      <w:r>
        <w:rPr>
          <w:rFonts w:cs="Arial"/>
          <w:szCs w:val="20"/>
        </w:rPr>
        <w:t xml:space="preserve"> </w:t>
      </w:r>
      <w:r w:rsidRPr="0087557D">
        <w:rPr>
          <w:rFonts w:cs="Arial"/>
          <w:szCs w:val="20"/>
        </w:rPr>
        <w:t>HELP-based training programmes</w:t>
      </w:r>
      <w:r>
        <w:rPr>
          <w:rFonts w:cs="Arial"/>
          <w:szCs w:val="20"/>
        </w:rPr>
        <w:t xml:space="preserve">; </w:t>
      </w:r>
      <w:r w:rsidRPr="00C76B88">
        <w:rPr>
          <w:rFonts w:cs="Arial"/>
          <w:szCs w:val="20"/>
        </w:rPr>
        <w:t xml:space="preserve">launch of the new programme in the field of </w:t>
      </w:r>
      <w:r w:rsidRPr="007D3924">
        <w:rPr>
          <w:rFonts w:cs="Arial"/>
          <w:szCs w:val="20"/>
        </w:rPr>
        <w:t>Rights of the Child), by DG HOME (new programme on unaccompanied minors, starting in early 2022), by DG EMP (on Roma inclusion, well established continued co-operation) and DG Education and Culture (</w:t>
      </w:r>
      <w:r w:rsidRPr="007D3924">
        <w:rPr>
          <w:rFonts w:cs="Arial"/>
          <w:i/>
          <w:iCs/>
          <w:szCs w:val="20"/>
        </w:rPr>
        <w:t>inter alia</w:t>
      </w:r>
      <w:r w:rsidRPr="007D3924">
        <w:rPr>
          <w:rFonts w:cs="Arial"/>
          <w:szCs w:val="20"/>
        </w:rPr>
        <w:t xml:space="preserve"> on inclusive education, children in sports, language learning).</w:t>
      </w:r>
      <w:r w:rsidR="00BA10C5" w:rsidRPr="007D3924">
        <w:rPr>
          <w:rFonts w:cs="Arial"/>
          <w:szCs w:val="20"/>
        </w:rPr>
        <w:t xml:space="preserve"> </w:t>
      </w:r>
      <w:r w:rsidRPr="007D3924">
        <w:rPr>
          <w:rFonts w:cs="Arial"/>
          <w:szCs w:val="20"/>
        </w:rPr>
        <w:t>For more information, see Section III and Appendices I and II.</w:t>
      </w:r>
    </w:p>
    <w:p w14:paraId="1EDB524E" w14:textId="77777777" w:rsidR="00067458" w:rsidRPr="00533C3F" w:rsidRDefault="00067458" w:rsidP="00067458">
      <w:pPr>
        <w:pStyle w:val="ListParagraph"/>
        <w:contextualSpacing w:val="0"/>
        <w:rPr>
          <w:rFonts w:cs="Arial"/>
          <w:strike/>
          <w:szCs w:val="20"/>
        </w:rPr>
      </w:pPr>
    </w:p>
    <w:p w14:paraId="5EF1463D" w14:textId="77777777" w:rsidR="00067458" w:rsidRPr="00533C3F" w:rsidRDefault="00067458" w:rsidP="00067458">
      <w:pPr>
        <w:pStyle w:val="ListParagraph"/>
        <w:numPr>
          <w:ilvl w:val="0"/>
          <w:numId w:val="4"/>
        </w:numPr>
        <w:contextualSpacing w:val="0"/>
        <w:rPr>
          <w:rFonts w:cs="Arial"/>
          <w:strike/>
          <w:szCs w:val="20"/>
        </w:rPr>
      </w:pPr>
      <w:r>
        <w:rPr>
          <w:rFonts w:cs="Arial"/>
          <w:szCs w:val="20"/>
        </w:rPr>
        <w:t xml:space="preserve">It is worth noting that </w:t>
      </w:r>
      <w:r w:rsidRPr="00616499">
        <w:rPr>
          <w:rFonts w:cs="Arial"/>
          <w:szCs w:val="20"/>
        </w:rPr>
        <w:t xml:space="preserve">the EU member States </w:t>
      </w:r>
      <w:r>
        <w:rPr>
          <w:rFonts w:cs="Arial"/>
          <w:szCs w:val="20"/>
        </w:rPr>
        <w:t>were also actively</w:t>
      </w:r>
      <w:r w:rsidRPr="00616499">
        <w:rPr>
          <w:rFonts w:cs="Arial"/>
          <w:szCs w:val="20"/>
        </w:rPr>
        <w:t xml:space="preserve"> involved in</w:t>
      </w:r>
      <w:r>
        <w:rPr>
          <w:rFonts w:cs="Arial"/>
          <w:szCs w:val="20"/>
        </w:rPr>
        <w:t xml:space="preserve"> </w:t>
      </w:r>
      <w:r w:rsidRPr="00616499">
        <w:rPr>
          <w:rFonts w:cs="Arial"/>
          <w:b/>
          <w:szCs w:val="20"/>
        </w:rPr>
        <w:t>thematic multilateral programmes</w:t>
      </w:r>
      <w:r w:rsidRPr="000E184A">
        <w:rPr>
          <w:rFonts w:cs="Arial"/>
          <w:bCs/>
          <w:szCs w:val="20"/>
        </w:rPr>
        <w:t>,</w:t>
      </w:r>
      <w:r>
        <w:rPr>
          <w:rFonts w:cs="Arial"/>
          <w:b/>
          <w:szCs w:val="20"/>
        </w:rPr>
        <w:t xml:space="preserve"> </w:t>
      </w:r>
      <w:r>
        <w:rPr>
          <w:rFonts w:cs="Arial"/>
          <w:szCs w:val="20"/>
        </w:rPr>
        <w:t xml:space="preserve">such as </w:t>
      </w:r>
      <w:r w:rsidRPr="0087557D">
        <w:rPr>
          <w:rFonts w:cs="Arial"/>
          <w:szCs w:val="20"/>
        </w:rPr>
        <w:t>European Heritage Days</w:t>
      </w:r>
      <w:r>
        <w:rPr>
          <w:rFonts w:cs="Arial"/>
          <w:szCs w:val="20"/>
        </w:rPr>
        <w:t xml:space="preserve">, </w:t>
      </w:r>
      <w:r w:rsidRPr="0087557D">
        <w:rPr>
          <w:rFonts w:cs="Arial"/>
          <w:szCs w:val="20"/>
        </w:rPr>
        <w:t>Youth Partnership</w:t>
      </w:r>
      <w:r>
        <w:rPr>
          <w:rFonts w:cs="Arial"/>
          <w:szCs w:val="20"/>
        </w:rPr>
        <w:t xml:space="preserve">, SPACE report and National Preventive Mechanisms, and </w:t>
      </w:r>
      <w:r w:rsidRPr="00616499">
        <w:rPr>
          <w:rFonts w:cs="Arial"/>
          <w:szCs w:val="20"/>
        </w:rPr>
        <w:t>the North-South Centre</w:t>
      </w:r>
      <w:r>
        <w:rPr>
          <w:rFonts w:cs="Arial"/>
          <w:szCs w:val="20"/>
        </w:rPr>
        <w:t xml:space="preserve">-managed programme </w:t>
      </w:r>
      <w:r w:rsidRPr="0087557D">
        <w:rPr>
          <w:rFonts w:cs="Arial"/>
          <w:szCs w:val="20"/>
        </w:rPr>
        <w:t>i-LEGEND</w:t>
      </w:r>
      <w:r>
        <w:rPr>
          <w:rFonts w:cs="Arial"/>
          <w:szCs w:val="20"/>
        </w:rPr>
        <w:t xml:space="preserve"> -II</w:t>
      </w:r>
      <w:r w:rsidRPr="0087557D">
        <w:rPr>
          <w:rFonts w:cs="Arial"/>
          <w:szCs w:val="20"/>
        </w:rPr>
        <w:t xml:space="preserve"> </w:t>
      </w:r>
      <w:r>
        <w:rPr>
          <w:rFonts w:cs="Arial"/>
          <w:szCs w:val="20"/>
        </w:rPr>
        <w:t>(</w:t>
      </w:r>
      <w:r w:rsidRPr="0087557D">
        <w:rPr>
          <w:rFonts w:cs="Arial"/>
          <w:szCs w:val="20"/>
        </w:rPr>
        <w:t xml:space="preserve">“Intercultural learning exchange through global education, </w:t>
      </w:r>
      <w:bookmarkStart w:id="9" w:name="_Hlk32854982"/>
      <w:r w:rsidRPr="0087557D">
        <w:rPr>
          <w:rFonts w:cs="Arial"/>
          <w:szCs w:val="20"/>
        </w:rPr>
        <w:t>networking and dialogue</w:t>
      </w:r>
      <w:bookmarkEnd w:id="9"/>
      <w:r>
        <w:rPr>
          <w:rFonts w:cs="Arial"/>
          <w:szCs w:val="20"/>
        </w:rPr>
        <w:t xml:space="preserve">”). Overall, </w:t>
      </w:r>
      <w:r w:rsidRPr="000E184A">
        <w:rPr>
          <w:rFonts w:cs="Arial"/>
          <w:bCs/>
          <w:szCs w:val="20"/>
        </w:rPr>
        <w:t xml:space="preserve">the share of </w:t>
      </w:r>
      <w:r>
        <w:rPr>
          <w:rFonts w:cs="Arial"/>
          <w:bCs/>
          <w:szCs w:val="20"/>
        </w:rPr>
        <w:t>thematic multilateral programmes</w:t>
      </w:r>
      <w:r w:rsidRPr="000E184A">
        <w:rPr>
          <w:rFonts w:cs="Arial"/>
          <w:bCs/>
          <w:szCs w:val="20"/>
        </w:rPr>
        <w:t xml:space="preserve"> remained stable </w:t>
      </w:r>
      <w:r>
        <w:rPr>
          <w:rFonts w:cs="Arial"/>
          <w:bCs/>
          <w:szCs w:val="20"/>
        </w:rPr>
        <w:t>(</w:t>
      </w:r>
      <w:r w:rsidRPr="000E184A">
        <w:rPr>
          <w:rFonts w:cs="Arial"/>
          <w:bCs/>
          <w:szCs w:val="20"/>
        </w:rPr>
        <w:t>12%</w:t>
      </w:r>
      <w:r>
        <w:rPr>
          <w:rFonts w:cs="Arial"/>
          <w:bCs/>
          <w:szCs w:val="20"/>
        </w:rPr>
        <w:t xml:space="preserve"> of CBE 2021; total </w:t>
      </w:r>
      <w:r w:rsidRPr="000E184A">
        <w:rPr>
          <w:rFonts w:cs="Arial"/>
          <w:bCs/>
          <w:szCs w:val="20"/>
        </w:rPr>
        <w:t>€24.8 million,</w:t>
      </w:r>
      <w:r w:rsidRPr="001544FF">
        <w:rPr>
          <w:rFonts w:cs="Arial"/>
          <w:bCs/>
          <w:szCs w:val="20"/>
        </w:rPr>
        <w:t xml:space="preserve"> </w:t>
      </w:r>
      <w:r w:rsidRPr="000E184A">
        <w:rPr>
          <w:rFonts w:cs="Arial"/>
          <w:bCs/>
          <w:szCs w:val="20"/>
        </w:rPr>
        <w:t>€</w:t>
      </w:r>
      <w:r>
        <w:rPr>
          <w:rFonts w:cs="Arial"/>
          <w:bCs/>
          <w:szCs w:val="20"/>
        </w:rPr>
        <w:t>5.3 million in annualised figures</w:t>
      </w:r>
      <w:r w:rsidRPr="000E184A">
        <w:rPr>
          <w:rFonts w:cs="Arial"/>
          <w:bCs/>
          <w:szCs w:val="20"/>
        </w:rPr>
        <w:t>)</w:t>
      </w:r>
      <w:r>
        <w:rPr>
          <w:rFonts w:cs="Arial"/>
          <w:bCs/>
          <w:szCs w:val="20"/>
        </w:rPr>
        <w:t xml:space="preserve">, mainly due to the continuation of the JP GLACY +, the </w:t>
      </w:r>
      <w:r w:rsidRPr="0087557D">
        <w:rPr>
          <w:rFonts w:cs="Arial"/>
          <w:szCs w:val="20"/>
        </w:rPr>
        <w:t xml:space="preserve">largest stand-alone programme of the CoE and a major undertaking in the field of action against cybercrime, implemented </w:t>
      </w:r>
      <w:r>
        <w:rPr>
          <w:rFonts w:cs="Arial"/>
          <w:szCs w:val="20"/>
        </w:rPr>
        <w:t>worldwide</w:t>
      </w:r>
      <w:r w:rsidRPr="0087557D">
        <w:rPr>
          <w:rFonts w:cs="Arial"/>
          <w:szCs w:val="20"/>
        </w:rPr>
        <w:t xml:space="preserve"> in collaboration with Interpol</w:t>
      </w:r>
      <w:r>
        <w:rPr>
          <w:rFonts w:cs="Arial"/>
          <w:szCs w:val="20"/>
        </w:rPr>
        <w:t xml:space="preserve">. </w:t>
      </w:r>
      <w:bookmarkStart w:id="10" w:name="_Hlk93524587"/>
      <w:r w:rsidRPr="00533C3F">
        <w:rPr>
          <w:rFonts w:cs="Arial"/>
          <w:szCs w:val="20"/>
        </w:rPr>
        <w:t>For more information</w:t>
      </w:r>
      <w:r>
        <w:rPr>
          <w:rFonts w:cs="Arial"/>
          <w:szCs w:val="20"/>
        </w:rPr>
        <w:t xml:space="preserve">, including on individual programme envelopes, </w:t>
      </w:r>
      <w:r w:rsidRPr="00533C3F">
        <w:rPr>
          <w:rFonts w:cs="Arial"/>
          <w:szCs w:val="20"/>
        </w:rPr>
        <w:t>see Appendices I and II</w:t>
      </w:r>
      <w:bookmarkEnd w:id="10"/>
      <w:r w:rsidRPr="00533C3F">
        <w:rPr>
          <w:rFonts w:cs="Arial"/>
          <w:szCs w:val="20"/>
        </w:rPr>
        <w:t>.</w:t>
      </w:r>
    </w:p>
    <w:bookmarkEnd w:id="5"/>
    <w:bookmarkEnd w:id="6"/>
    <w:p w14:paraId="707E5D0B" w14:textId="682704DA" w:rsidR="00192E2D" w:rsidRDefault="00192E2D">
      <w:pPr>
        <w:rPr>
          <w:rFonts w:cs="Arial"/>
          <w:szCs w:val="20"/>
        </w:rPr>
      </w:pPr>
    </w:p>
    <w:p w14:paraId="6E6608BE" w14:textId="77777777" w:rsidR="007D3924" w:rsidRDefault="007D3924">
      <w:pPr>
        <w:rPr>
          <w:rFonts w:cs="Arial"/>
          <w:szCs w:val="20"/>
        </w:rPr>
      </w:pPr>
      <w:r>
        <w:rPr>
          <w:rFonts w:cs="Arial"/>
          <w:szCs w:val="20"/>
        </w:rPr>
        <w:br w:type="page"/>
      </w:r>
    </w:p>
    <w:p w14:paraId="524BC2C4" w14:textId="06EA87BD" w:rsidR="00067458" w:rsidRPr="002B40CE" w:rsidRDefault="00067458" w:rsidP="00067458">
      <w:pPr>
        <w:numPr>
          <w:ilvl w:val="0"/>
          <w:numId w:val="2"/>
        </w:numPr>
        <w:ind w:left="0" w:firstLine="0"/>
        <w:rPr>
          <w:rFonts w:cs="Arial"/>
          <w:szCs w:val="20"/>
        </w:rPr>
      </w:pPr>
      <w:r w:rsidRPr="0087557D">
        <w:rPr>
          <w:rFonts w:cs="Arial"/>
          <w:szCs w:val="20"/>
        </w:rPr>
        <w:t>The chart below shows the geographical distribution of Joint Programme co-operation in 202</w:t>
      </w:r>
      <w:r>
        <w:rPr>
          <w:rFonts w:cs="Arial"/>
          <w:szCs w:val="20"/>
        </w:rPr>
        <w:t>1</w:t>
      </w:r>
      <w:r w:rsidRPr="0087557D">
        <w:rPr>
          <w:rFonts w:cs="Arial"/>
          <w:szCs w:val="20"/>
        </w:rPr>
        <w:t>.</w:t>
      </w:r>
      <w:r>
        <w:rPr>
          <w:rFonts w:cs="Arial"/>
          <w:szCs w:val="20"/>
        </w:rPr>
        <w:t xml:space="preserve"> </w:t>
      </w:r>
    </w:p>
    <w:p w14:paraId="3F7BA7CE" w14:textId="77777777" w:rsidR="00067458" w:rsidRDefault="00067458" w:rsidP="00067458">
      <w:pPr>
        <w:rPr>
          <w:rFonts w:cs="Arial"/>
          <w:szCs w:val="20"/>
        </w:rPr>
      </w:pPr>
    </w:p>
    <w:p w14:paraId="05E15212" w14:textId="77777777" w:rsidR="00067458" w:rsidRDefault="00067458" w:rsidP="00067458">
      <w:pPr>
        <w:rPr>
          <w:rFonts w:cs="Arial"/>
          <w:szCs w:val="20"/>
        </w:rPr>
      </w:pPr>
    </w:p>
    <w:p w14:paraId="301633EA" w14:textId="77777777" w:rsidR="00067458" w:rsidRDefault="00067458" w:rsidP="00C26A3F">
      <w:pPr>
        <w:jc w:val="center"/>
        <w:rPr>
          <w:rFonts w:cs="Arial"/>
          <w:szCs w:val="20"/>
        </w:rPr>
      </w:pPr>
      <w:r>
        <w:rPr>
          <w:rFonts w:cs="Arial"/>
          <w:noProof/>
          <w:szCs w:val="20"/>
        </w:rPr>
        <w:drawing>
          <wp:inline distT="0" distB="0" distL="0" distR="0" wp14:anchorId="19711447" wp14:editId="34289B14">
            <wp:extent cx="5287010" cy="3889603"/>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02772" cy="3901199"/>
                    </a:xfrm>
                    <a:prstGeom prst="rect">
                      <a:avLst/>
                    </a:prstGeom>
                    <a:noFill/>
                  </pic:spPr>
                </pic:pic>
              </a:graphicData>
            </a:graphic>
          </wp:inline>
        </w:drawing>
      </w:r>
    </w:p>
    <w:p w14:paraId="5ED25466" w14:textId="77777777" w:rsidR="00067458" w:rsidRDefault="00067458" w:rsidP="00067458">
      <w:pPr>
        <w:rPr>
          <w:rFonts w:cs="Arial"/>
          <w:szCs w:val="20"/>
        </w:rPr>
      </w:pPr>
    </w:p>
    <w:p w14:paraId="45FCB654" w14:textId="77777777" w:rsidR="00067458" w:rsidRPr="0087557D" w:rsidRDefault="00067458" w:rsidP="00067458">
      <w:pPr>
        <w:rPr>
          <w:rFonts w:cs="Arial"/>
          <w:szCs w:val="20"/>
        </w:rPr>
      </w:pPr>
    </w:p>
    <w:p w14:paraId="0AEB963A" w14:textId="77777777" w:rsidR="00067458" w:rsidRPr="00107FE5" w:rsidRDefault="00067458" w:rsidP="00067458">
      <w:pPr>
        <w:numPr>
          <w:ilvl w:val="0"/>
          <w:numId w:val="2"/>
        </w:numPr>
        <w:ind w:left="0" w:firstLine="0"/>
        <w:contextualSpacing/>
        <w:rPr>
          <w:rFonts w:cs="Arial"/>
          <w:szCs w:val="20"/>
        </w:rPr>
      </w:pPr>
      <w:r w:rsidRPr="00107FE5">
        <w:rPr>
          <w:rFonts w:cs="Arial"/>
          <w:bCs/>
          <w:szCs w:val="20"/>
        </w:rPr>
        <w:t xml:space="preserve">Joint Programmes’ </w:t>
      </w:r>
      <w:r w:rsidRPr="00107FE5">
        <w:rPr>
          <w:rFonts w:cs="Arial"/>
          <w:b/>
          <w:szCs w:val="20"/>
        </w:rPr>
        <w:t>thematic distribution</w:t>
      </w:r>
      <w:r w:rsidRPr="00107FE5">
        <w:rPr>
          <w:rFonts w:cs="Arial"/>
          <w:bCs/>
          <w:szCs w:val="20"/>
        </w:rPr>
        <w:t xml:space="preserve"> 2021 confirms the trend of the previous year</w:t>
      </w:r>
      <w:r>
        <w:rPr>
          <w:rFonts w:cs="Arial"/>
          <w:bCs/>
          <w:szCs w:val="20"/>
        </w:rPr>
        <w:t>s</w:t>
      </w:r>
      <w:r w:rsidRPr="00107FE5">
        <w:rPr>
          <w:rFonts w:cs="Arial"/>
          <w:bCs/>
          <w:szCs w:val="20"/>
        </w:rPr>
        <w:t xml:space="preserve">: </w:t>
      </w:r>
    </w:p>
    <w:p w14:paraId="0AEEDD28" w14:textId="77777777" w:rsidR="00067458" w:rsidRPr="0087557D" w:rsidRDefault="00067458" w:rsidP="00067458">
      <w:pPr>
        <w:contextualSpacing/>
        <w:rPr>
          <w:rFonts w:cs="Arial"/>
          <w:b/>
          <w:szCs w:val="20"/>
        </w:rPr>
      </w:pPr>
    </w:p>
    <w:p w14:paraId="08A6EFD9" w14:textId="77777777" w:rsidR="00067458" w:rsidRPr="0087557D" w:rsidRDefault="00067458" w:rsidP="00067458">
      <w:pPr>
        <w:numPr>
          <w:ilvl w:val="0"/>
          <w:numId w:val="3"/>
        </w:numPr>
        <w:ind w:left="709" w:hanging="283"/>
        <w:contextualSpacing/>
        <w:rPr>
          <w:rFonts w:eastAsia="Times New Roman" w:cs="Arial"/>
          <w:szCs w:val="20"/>
          <w:lang w:eastAsia="fr-FR"/>
        </w:rPr>
      </w:pPr>
      <w:r w:rsidRPr="007C6210">
        <w:rPr>
          <w:rFonts w:eastAsia="Times New Roman" w:cs="Arial"/>
          <w:b/>
          <w:szCs w:val="20"/>
          <w:lang w:eastAsia="fr-FR"/>
        </w:rPr>
        <w:t>Programmes of the Rule of Law pillar</w:t>
      </w:r>
      <w:r w:rsidRPr="0087557D">
        <w:rPr>
          <w:rFonts w:eastAsia="Times New Roman" w:cs="Arial"/>
          <w:szCs w:val="20"/>
          <w:lang w:eastAsia="fr-FR"/>
        </w:rPr>
        <w:t xml:space="preserve"> continued to prevail in number and volume</w:t>
      </w:r>
      <w:r>
        <w:rPr>
          <w:rFonts w:eastAsia="Times New Roman" w:cs="Arial"/>
          <w:szCs w:val="20"/>
          <w:lang w:eastAsia="fr-FR"/>
        </w:rPr>
        <w:t>, accounting for 54.7% of CBE 2021</w:t>
      </w:r>
      <w:r w:rsidRPr="0087557D">
        <w:rPr>
          <w:rFonts w:eastAsia="Times New Roman" w:cs="Arial"/>
          <w:szCs w:val="20"/>
          <w:lang w:eastAsia="fr-FR"/>
        </w:rPr>
        <w:t xml:space="preserve"> (</w:t>
      </w:r>
      <w:r>
        <w:rPr>
          <w:rFonts w:eastAsia="Times New Roman" w:cs="Arial"/>
          <w:szCs w:val="20"/>
          <w:lang w:eastAsia="fr-FR"/>
        </w:rPr>
        <w:t xml:space="preserve">total: </w:t>
      </w:r>
      <w:r w:rsidRPr="0087557D">
        <w:rPr>
          <w:rFonts w:cs="Arial"/>
          <w:bCs/>
          <w:szCs w:val="20"/>
        </w:rPr>
        <w:t>€</w:t>
      </w:r>
      <w:r w:rsidRPr="0087557D">
        <w:rPr>
          <w:rFonts w:cs="Arial"/>
          <w:color w:val="000000" w:themeColor="text1"/>
          <w:szCs w:val="20"/>
        </w:rPr>
        <w:t>1</w:t>
      </w:r>
      <w:r>
        <w:rPr>
          <w:rFonts w:eastAsia="Times New Roman" w:cs="Arial"/>
          <w:szCs w:val="20"/>
          <w:lang w:eastAsia="fr-FR"/>
        </w:rPr>
        <w:t>13.5</w:t>
      </w:r>
      <w:r w:rsidRPr="0087557D">
        <w:rPr>
          <w:rFonts w:eastAsia="Times New Roman" w:cs="Arial"/>
          <w:szCs w:val="20"/>
          <w:lang w:eastAsia="fr-FR"/>
        </w:rPr>
        <w:t xml:space="preserve"> million). These programmes are implemented over </w:t>
      </w:r>
      <w:r>
        <w:rPr>
          <w:rFonts w:eastAsia="Times New Roman" w:cs="Arial"/>
          <w:szCs w:val="20"/>
          <w:lang w:eastAsia="fr-FR"/>
        </w:rPr>
        <w:t xml:space="preserve">a </w:t>
      </w:r>
      <w:r w:rsidRPr="0087557D">
        <w:rPr>
          <w:rFonts w:eastAsia="Times New Roman" w:cs="Arial"/>
          <w:szCs w:val="20"/>
          <w:lang w:eastAsia="fr-FR"/>
        </w:rPr>
        <w:t xml:space="preserve">wide range of areas of CoE expertise, </w:t>
      </w:r>
      <w:r>
        <w:rPr>
          <w:rFonts w:eastAsia="Times New Roman" w:cs="Arial"/>
          <w:szCs w:val="20"/>
          <w:lang w:eastAsia="fr-FR"/>
        </w:rPr>
        <w:t>including</w:t>
      </w:r>
      <w:r w:rsidRPr="0087557D">
        <w:rPr>
          <w:rFonts w:eastAsia="Times New Roman" w:cs="Arial"/>
          <w:szCs w:val="20"/>
          <w:lang w:eastAsia="fr-FR"/>
        </w:rPr>
        <w:t xml:space="preserve"> fight against cybercrime, corruption, money-laundering and terrorism financing, support for judicial and penitentiary reforms, information society/internet governance, assistance activities of the Venice Commission</w:t>
      </w:r>
      <w:r>
        <w:rPr>
          <w:rFonts w:eastAsia="Times New Roman" w:cs="Arial"/>
          <w:szCs w:val="20"/>
          <w:lang w:eastAsia="fr-FR"/>
        </w:rPr>
        <w:t xml:space="preserve"> etc.</w:t>
      </w:r>
    </w:p>
    <w:p w14:paraId="074C00AC" w14:textId="77777777" w:rsidR="00067458" w:rsidRPr="0087557D" w:rsidRDefault="00067458" w:rsidP="00067458">
      <w:pPr>
        <w:tabs>
          <w:tab w:val="left" w:pos="709"/>
        </w:tabs>
        <w:ind w:left="709" w:hanging="283"/>
        <w:rPr>
          <w:rFonts w:cs="Arial"/>
          <w:szCs w:val="20"/>
        </w:rPr>
      </w:pPr>
    </w:p>
    <w:p w14:paraId="09C279BD" w14:textId="77777777" w:rsidR="00067458" w:rsidRPr="0087557D" w:rsidRDefault="00067458" w:rsidP="00067458">
      <w:pPr>
        <w:numPr>
          <w:ilvl w:val="0"/>
          <w:numId w:val="3"/>
        </w:numPr>
        <w:tabs>
          <w:tab w:val="left" w:pos="709"/>
        </w:tabs>
        <w:ind w:left="709" w:hanging="283"/>
        <w:rPr>
          <w:rFonts w:cs="Arial"/>
          <w:b/>
          <w:szCs w:val="20"/>
        </w:rPr>
      </w:pPr>
      <w:r w:rsidRPr="0087557D">
        <w:rPr>
          <w:rFonts w:cs="Arial"/>
          <w:szCs w:val="20"/>
        </w:rPr>
        <w:t>The share of</w:t>
      </w:r>
      <w:r w:rsidRPr="0087557D">
        <w:rPr>
          <w:rFonts w:cs="Arial"/>
          <w:b/>
          <w:szCs w:val="20"/>
        </w:rPr>
        <w:t xml:space="preserve"> </w:t>
      </w:r>
      <w:r w:rsidRPr="0087557D">
        <w:rPr>
          <w:rFonts w:cs="Arial"/>
          <w:bCs/>
          <w:szCs w:val="20"/>
        </w:rPr>
        <w:t xml:space="preserve">the </w:t>
      </w:r>
      <w:r w:rsidRPr="007531A4">
        <w:rPr>
          <w:rFonts w:cs="Arial"/>
          <w:b/>
          <w:szCs w:val="20"/>
        </w:rPr>
        <w:t>Human Rights pillar’s programmes</w:t>
      </w:r>
      <w:r w:rsidRPr="0087557D">
        <w:rPr>
          <w:rFonts w:cs="Arial"/>
          <w:szCs w:val="20"/>
        </w:rPr>
        <w:t xml:space="preserve"> </w:t>
      </w:r>
      <w:r>
        <w:rPr>
          <w:rFonts w:cs="Arial"/>
          <w:szCs w:val="20"/>
        </w:rPr>
        <w:t>continued to increase</w:t>
      </w:r>
      <w:bookmarkStart w:id="11" w:name="_Hlk63043234"/>
      <w:r>
        <w:rPr>
          <w:rFonts w:cs="Arial"/>
          <w:szCs w:val="20"/>
        </w:rPr>
        <w:t xml:space="preserve"> (33.7% of CBE 2021; total: </w:t>
      </w:r>
      <w:r w:rsidRPr="0087557D">
        <w:rPr>
          <w:rFonts w:cs="Arial"/>
          <w:bCs/>
          <w:szCs w:val="20"/>
        </w:rPr>
        <w:t>€</w:t>
      </w:r>
      <w:bookmarkEnd w:id="11"/>
      <w:r w:rsidRPr="0087557D">
        <w:rPr>
          <w:rFonts w:cs="Arial"/>
          <w:color w:val="000000" w:themeColor="text1"/>
          <w:szCs w:val="20"/>
        </w:rPr>
        <w:t>6</w:t>
      </w:r>
      <w:r>
        <w:rPr>
          <w:rFonts w:cs="Arial"/>
          <w:color w:val="000000" w:themeColor="text1"/>
          <w:szCs w:val="20"/>
        </w:rPr>
        <w:t>9.8</w:t>
      </w:r>
      <w:r w:rsidRPr="0087557D">
        <w:rPr>
          <w:rFonts w:cs="Arial"/>
          <w:color w:val="000000" w:themeColor="text1"/>
          <w:szCs w:val="20"/>
        </w:rPr>
        <w:t xml:space="preserve"> million</w:t>
      </w:r>
      <w:r w:rsidRPr="0087557D">
        <w:rPr>
          <w:rFonts w:cs="Arial"/>
          <w:szCs w:val="20"/>
        </w:rPr>
        <w:t>)</w:t>
      </w:r>
      <w:r>
        <w:rPr>
          <w:rFonts w:cs="Arial"/>
          <w:szCs w:val="20"/>
        </w:rPr>
        <w:t>. The b</w:t>
      </w:r>
      <w:r w:rsidRPr="003D0DDD">
        <w:rPr>
          <w:rFonts w:cs="Arial"/>
          <w:szCs w:val="20"/>
        </w:rPr>
        <w:t>ulk of this funding</w:t>
      </w:r>
      <w:r>
        <w:rPr>
          <w:rFonts w:cs="Arial"/>
          <w:szCs w:val="20"/>
        </w:rPr>
        <w:t xml:space="preserve"> continued to be </w:t>
      </w:r>
      <w:r w:rsidRPr="0087557D">
        <w:rPr>
          <w:rFonts w:cs="Arial"/>
          <w:szCs w:val="20"/>
        </w:rPr>
        <w:t>channelled into enhancing the effectiveness of the ECHR system at national and European level</w:t>
      </w:r>
      <w:r>
        <w:rPr>
          <w:rFonts w:cs="Arial"/>
          <w:szCs w:val="20"/>
        </w:rPr>
        <w:t>s</w:t>
      </w:r>
      <w:r w:rsidRPr="0087557D">
        <w:rPr>
          <w:rFonts w:cs="Arial"/>
          <w:szCs w:val="20"/>
        </w:rPr>
        <w:t xml:space="preserve"> and into actions for Roma empowerment and inclusion. The remainder </w:t>
      </w:r>
      <w:r>
        <w:rPr>
          <w:rFonts w:cs="Arial"/>
          <w:szCs w:val="20"/>
        </w:rPr>
        <w:t>was</w:t>
      </w:r>
      <w:r w:rsidRPr="0087557D">
        <w:rPr>
          <w:rFonts w:cs="Arial"/>
          <w:szCs w:val="20"/>
        </w:rPr>
        <w:t xml:space="preserve"> attributed to programmes and projects on anti-discrimination, </w:t>
      </w:r>
      <w:r w:rsidRPr="00641EFB">
        <w:rPr>
          <w:rFonts w:cs="Arial"/>
          <w:szCs w:val="20"/>
        </w:rPr>
        <w:t>protecting the rights of persons belonging to national minorities,</w:t>
      </w:r>
      <w:r w:rsidRPr="0087557D">
        <w:rPr>
          <w:rFonts w:cs="Arial"/>
          <w:szCs w:val="20"/>
        </w:rPr>
        <w:t xml:space="preserve"> equality and human dignity, and children’s rights.</w:t>
      </w:r>
      <w:r>
        <w:rPr>
          <w:rFonts w:cs="Arial"/>
          <w:szCs w:val="20"/>
        </w:rPr>
        <w:t xml:space="preserve"> </w:t>
      </w:r>
    </w:p>
    <w:p w14:paraId="3653D639" w14:textId="6914E14A" w:rsidR="00CC17BE" w:rsidRDefault="00CC17BE">
      <w:pPr>
        <w:rPr>
          <w:rFonts w:cs="Arial"/>
          <w:szCs w:val="20"/>
        </w:rPr>
      </w:pPr>
    </w:p>
    <w:p w14:paraId="1547AF5A" w14:textId="5AC44339" w:rsidR="00067458" w:rsidRPr="0087557D" w:rsidRDefault="00067458" w:rsidP="00067458">
      <w:pPr>
        <w:numPr>
          <w:ilvl w:val="0"/>
          <w:numId w:val="3"/>
        </w:numPr>
        <w:tabs>
          <w:tab w:val="left" w:pos="709"/>
        </w:tabs>
        <w:ind w:left="709" w:hanging="283"/>
        <w:rPr>
          <w:rFonts w:cs="Arial"/>
          <w:b/>
          <w:szCs w:val="20"/>
        </w:rPr>
      </w:pPr>
      <w:r w:rsidRPr="0087557D">
        <w:rPr>
          <w:rFonts w:cs="Arial"/>
          <w:szCs w:val="20"/>
        </w:rPr>
        <w:t xml:space="preserve">The share of the </w:t>
      </w:r>
      <w:r w:rsidRPr="007531A4">
        <w:rPr>
          <w:rFonts w:cs="Arial"/>
          <w:b/>
          <w:szCs w:val="20"/>
        </w:rPr>
        <w:t>Democracy pillar’s</w:t>
      </w:r>
      <w:r w:rsidRPr="007531A4">
        <w:rPr>
          <w:rFonts w:cs="Arial"/>
          <w:b/>
          <w:bCs/>
          <w:szCs w:val="20"/>
        </w:rPr>
        <w:t xml:space="preserve"> programmes</w:t>
      </w:r>
      <w:r w:rsidRPr="0087557D">
        <w:rPr>
          <w:rFonts w:cs="Arial"/>
          <w:szCs w:val="20"/>
        </w:rPr>
        <w:t xml:space="preserve"> </w:t>
      </w:r>
      <w:r>
        <w:rPr>
          <w:rFonts w:cs="Arial"/>
          <w:szCs w:val="20"/>
        </w:rPr>
        <w:t xml:space="preserve">decreased to 11.6% </w:t>
      </w:r>
      <w:r w:rsidRPr="0087557D">
        <w:rPr>
          <w:rFonts w:cs="Arial"/>
          <w:szCs w:val="20"/>
        </w:rPr>
        <w:t>(</w:t>
      </w:r>
      <w:bookmarkStart w:id="12" w:name="_Hlk93794535"/>
      <w:r>
        <w:rPr>
          <w:rFonts w:cs="Arial"/>
          <w:szCs w:val="20"/>
        </w:rPr>
        <w:t xml:space="preserve">total: </w:t>
      </w:r>
      <w:r w:rsidRPr="0087557D">
        <w:rPr>
          <w:rFonts w:cs="Arial"/>
          <w:bCs/>
          <w:szCs w:val="20"/>
        </w:rPr>
        <w:t>€</w:t>
      </w:r>
      <w:bookmarkEnd w:id="12"/>
      <w:r w:rsidRPr="0087557D">
        <w:rPr>
          <w:rFonts w:cs="Arial"/>
          <w:szCs w:val="20"/>
        </w:rPr>
        <w:t>2</w:t>
      </w:r>
      <w:r>
        <w:rPr>
          <w:rFonts w:cs="Arial"/>
          <w:szCs w:val="20"/>
        </w:rPr>
        <w:t>4</w:t>
      </w:r>
      <w:r w:rsidRPr="0087557D">
        <w:rPr>
          <w:rFonts w:cs="Arial"/>
          <w:szCs w:val="20"/>
        </w:rPr>
        <w:t>.</w:t>
      </w:r>
      <w:r>
        <w:rPr>
          <w:rFonts w:cs="Arial"/>
          <w:szCs w:val="20"/>
        </w:rPr>
        <w:t>1</w:t>
      </w:r>
      <w:r w:rsidRPr="0087557D">
        <w:rPr>
          <w:rFonts w:cs="Arial"/>
          <w:szCs w:val="20"/>
        </w:rPr>
        <w:t xml:space="preserve"> million</w:t>
      </w:r>
      <w:r>
        <w:rPr>
          <w:rFonts w:cs="Arial"/>
          <w:szCs w:val="20"/>
        </w:rPr>
        <w:t xml:space="preserve">). </w:t>
      </w:r>
      <w:r w:rsidRPr="0087557D">
        <w:rPr>
          <w:rFonts w:cs="Arial"/>
          <w:szCs w:val="20"/>
        </w:rPr>
        <w:t xml:space="preserve">The bulk of these programmes falls under Education for democracy. </w:t>
      </w:r>
    </w:p>
    <w:p w14:paraId="1CCE0A92" w14:textId="14D216E0" w:rsidR="00192E2D" w:rsidRDefault="00192E2D">
      <w:pPr>
        <w:rPr>
          <w:rFonts w:cs="Arial"/>
          <w:szCs w:val="20"/>
        </w:rPr>
      </w:pPr>
    </w:p>
    <w:p w14:paraId="77D85F5D" w14:textId="77777777" w:rsidR="007D3924" w:rsidRDefault="007D3924">
      <w:pPr>
        <w:rPr>
          <w:rFonts w:cs="Arial"/>
          <w:szCs w:val="20"/>
        </w:rPr>
      </w:pPr>
      <w:r>
        <w:rPr>
          <w:rFonts w:cs="Arial"/>
          <w:szCs w:val="20"/>
        </w:rPr>
        <w:br w:type="page"/>
      </w:r>
    </w:p>
    <w:p w14:paraId="0D09546E" w14:textId="7A610A63" w:rsidR="00067458" w:rsidRPr="0087557D" w:rsidRDefault="00067458" w:rsidP="00067458">
      <w:pPr>
        <w:numPr>
          <w:ilvl w:val="0"/>
          <w:numId w:val="2"/>
        </w:numPr>
        <w:ind w:left="0" w:firstLine="0"/>
        <w:contextualSpacing/>
        <w:rPr>
          <w:rFonts w:cs="Arial"/>
          <w:szCs w:val="20"/>
        </w:rPr>
      </w:pPr>
      <w:r w:rsidRPr="0087557D">
        <w:rPr>
          <w:rFonts w:cs="Arial"/>
          <w:szCs w:val="20"/>
        </w:rPr>
        <w:t>The chart below shows the thematic distribution of Joint Programmes in 202</w:t>
      </w:r>
      <w:r>
        <w:rPr>
          <w:rFonts w:cs="Arial"/>
          <w:szCs w:val="20"/>
        </w:rPr>
        <w:t>1</w:t>
      </w:r>
      <w:r w:rsidRPr="0087557D">
        <w:rPr>
          <w:rFonts w:cs="Arial"/>
          <w:szCs w:val="20"/>
        </w:rPr>
        <w:t>.</w:t>
      </w:r>
      <w:r>
        <w:rPr>
          <w:rFonts w:cs="Arial"/>
          <w:szCs w:val="20"/>
        </w:rPr>
        <w:t xml:space="preserve"> </w:t>
      </w:r>
    </w:p>
    <w:p w14:paraId="39F8BD07" w14:textId="77777777" w:rsidR="00067458" w:rsidRPr="0087557D" w:rsidRDefault="00067458" w:rsidP="00067458">
      <w:pPr>
        <w:tabs>
          <w:tab w:val="left" w:pos="709"/>
        </w:tabs>
        <w:contextualSpacing/>
        <w:rPr>
          <w:rFonts w:cs="Arial"/>
          <w:szCs w:val="20"/>
        </w:rPr>
      </w:pPr>
    </w:p>
    <w:p w14:paraId="167890CF" w14:textId="77777777" w:rsidR="00067458" w:rsidRPr="0087557D" w:rsidRDefault="00067458" w:rsidP="00C26A3F">
      <w:pPr>
        <w:keepNext/>
        <w:keepLines/>
        <w:jc w:val="center"/>
        <w:rPr>
          <w:rFonts w:cs="Arial"/>
          <w:szCs w:val="20"/>
        </w:rPr>
      </w:pPr>
      <w:r>
        <w:rPr>
          <w:rFonts w:cs="Arial"/>
          <w:noProof/>
          <w:szCs w:val="20"/>
        </w:rPr>
        <w:drawing>
          <wp:inline distT="0" distB="0" distL="0" distR="0" wp14:anchorId="4ADA79CF" wp14:editId="053F2581">
            <wp:extent cx="4587240" cy="2989026"/>
            <wp:effectExtent l="0" t="0" r="3810" b="190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0507" cy="3004186"/>
                    </a:xfrm>
                    <a:prstGeom prst="rect">
                      <a:avLst/>
                    </a:prstGeom>
                    <a:noFill/>
                  </pic:spPr>
                </pic:pic>
              </a:graphicData>
            </a:graphic>
          </wp:inline>
        </w:drawing>
      </w:r>
    </w:p>
    <w:p w14:paraId="2A5811D1" w14:textId="77777777" w:rsidR="00067458" w:rsidRPr="0087557D" w:rsidRDefault="00067458" w:rsidP="00067458">
      <w:pPr>
        <w:keepNext/>
        <w:keepLines/>
        <w:rPr>
          <w:rFonts w:cs="Arial"/>
          <w:szCs w:val="20"/>
        </w:rPr>
      </w:pPr>
    </w:p>
    <w:p w14:paraId="0FB056BF" w14:textId="77777777" w:rsidR="00067458" w:rsidRPr="0087557D" w:rsidRDefault="00067458" w:rsidP="00067458">
      <w:pPr>
        <w:tabs>
          <w:tab w:val="left" w:pos="709"/>
        </w:tabs>
        <w:jc w:val="both"/>
        <w:rPr>
          <w:rFonts w:cs="Arial"/>
          <w:szCs w:val="20"/>
        </w:rPr>
      </w:pPr>
    </w:p>
    <w:p w14:paraId="7AFC8C5D" w14:textId="77777777" w:rsidR="00067458" w:rsidRPr="00032312" w:rsidRDefault="00067458" w:rsidP="00067458">
      <w:pPr>
        <w:numPr>
          <w:ilvl w:val="0"/>
          <w:numId w:val="2"/>
        </w:numPr>
        <w:tabs>
          <w:tab w:val="left" w:pos="709"/>
        </w:tabs>
        <w:ind w:left="0" w:firstLine="0"/>
        <w:rPr>
          <w:rFonts w:cs="Arial"/>
          <w:szCs w:val="20"/>
        </w:rPr>
      </w:pPr>
      <w:r w:rsidRPr="00032312">
        <w:rPr>
          <w:rFonts w:cs="Arial"/>
          <w:szCs w:val="20"/>
        </w:rPr>
        <w:t xml:space="preserve">In terms of </w:t>
      </w:r>
      <w:r w:rsidRPr="00032312">
        <w:rPr>
          <w:rFonts w:cs="Arial"/>
          <w:b/>
          <w:szCs w:val="20"/>
        </w:rPr>
        <w:t xml:space="preserve">funding instruments, </w:t>
      </w:r>
      <w:r w:rsidRPr="00032312">
        <w:rPr>
          <w:rFonts w:cs="Arial"/>
          <w:szCs w:val="20"/>
        </w:rPr>
        <w:t xml:space="preserve">the bulk of JP co-operation </w:t>
      </w:r>
      <w:r>
        <w:rPr>
          <w:rFonts w:cs="Arial"/>
          <w:szCs w:val="20"/>
        </w:rPr>
        <w:t>was</w:t>
      </w:r>
      <w:r w:rsidRPr="00032312">
        <w:rPr>
          <w:rFonts w:cs="Arial"/>
          <w:szCs w:val="20"/>
        </w:rPr>
        <w:t xml:space="preserve"> funded through the EU instruments of </w:t>
      </w:r>
      <w:r>
        <w:rPr>
          <w:rFonts w:cs="Arial"/>
          <w:szCs w:val="20"/>
        </w:rPr>
        <w:t>E</w:t>
      </w:r>
      <w:r w:rsidRPr="00032312">
        <w:rPr>
          <w:rFonts w:cs="Arial"/>
          <w:szCs w:val="20"/>
        </w:rPr>
        <w:t xml:space="preserve">xternal </w:t>
      </w:r>
      <w:r>
        <w:rPr>
          <w:rFonts w:cs="Arial"/>
          <w:szCs w:val="20"/>
        </w:rPr>
        <w:t>A</w:t>
      </w:r>
      <w:r w:rsidRPr="00032312">
        <w:rPr>
          <w:rFonts w:cs="Arial"/>
          <w:szCs w:val="20"/>
        </w:rPr>
        <w:t xml:space="preserve">ction (with </w:t>
      </w:r>
      <w:r>
        <w:rPr>
          <w:rFonts w:cs="Arial"/>
          <w:szCs w:val="20"/>
        </w:rPr>
        <w:t xml:space="preserve">a </w:t>
      </w:r>
      <w:r w:rsidRPr="00032312">
        <w:rPr>
          <w:rFonts w:cs="Arial"/>
          <w:szCs w:val="20"/>
        </w:rPr>
        <w:t xml:space="preserve">high preponderance of </w:t>
      </w:r>
      <w:r w:rsidRPr="007531A4">
        <w:rPr>
          <w:rFonts w:cs="Arial"/>
          <w:b/>
          <w:bCs/>
          <w:szCs w:val="20"/>
        </w:rPr>
        <w:t>the Instrument of Pre-accession</w:t>
      </w:r>
      <w:r>
        <w:rPr>
          <w:rFonts w:cs="Arial"/>
          <w:szCs w:val="20"/>
        </w:rPr>
        <w:t xml:space="preserve"> (45.9%), followed by t</w:t>
      </w:r>
      <w:r w:rsidRPr="00032312">
        <w:rPr>
          <w:rFonts w:cs="Arial"/>
          <w:szCs w:val="20"/>
        </w:rPr>
        <w:t xml:space="preserve">he </w:t>
      </w:r>
      <w:r w:rsidRPr="007531A4">
        <w:rPr>
          <w:rFonts w:cs="Arial"/>
          <w:b/>
          <w:bCs/>
          <w:szCs w:val="20"/>
        </w:rPr>
        <w:t>European Neighbourhood Instrument</w:t>
      </w:r>
      <w:r w:rsidRPr="00032312">
        <w:rPr>
          <w:rFonts w:cs="Arial"/>
          <w:szCs w:val="20"/>
        </w:rPr>
        <w:t xml:space="preserve"> </w:t>
      </w:r>
      <w:r>
        <w:rPr>
          <w:rFonts w:cs="Arial"/>
          <w:szCs w:val="20"/>
        </w:rPr>
        <w:t>(24.3%</w:t>
      </w:r>
      <w:r w:rsidRPr="00032312">
        <w:rPr>
          <w:rFonts w:cs="Arial"/>
          <w:szCs w:val="20"/>
        </w:rPr>
        <w:t xml:space="preserve">)). </w:t>
      </w:r>
      <w:proofErr w:type="gramStart"/>
      <w:r w:rsidRPr="00032312">
        <w:rPr>
          <w:rFonts w:cs="Arial"/>
          <w:szCs w:val="20"/>
        </w:rPr>
        <w:t>A number of</w:t>
      </w:r>
      <w:proofErr w:type="gramEnd"/>
      <w:r w:rsidRPr="00032312">
        <w:rPr>
          <w:rFonts w:cs="Arial"/>
          <w:szCs w:val="20"/>
        </w:rPr>
        <w:t xml:space="preserve"> other funding programmes and instruments were involved, </w:t>
      </w:r>
      <w:r w:rsidRPr="0087557D">
        <w:rPr>
          <w:rFonts w:cs="Arial"/>
          <w:szCs w:val="20"/>
        </w:rPr>
        <w:t>with their individual shares remaining under 10%.</w:t>
      </w:r>
    </w:p>
    <w:p w14:paraId="45A1C7B7" w14:textId="77777777" w:rsidR="00067458" w:rsidRDefault="00067458" w:rsidP="00067458">
      <w:pPr>
        <w:tabs>
          <w:tab w:val="left" w:pos="709"/>
        </w:tabs>
        <w:rPr>
          <w:rFonts w:cs="Arial"/>
          <w:szCs w:val="20"/>
        </w:rPr>
      </w:pPr>
    </w:p>
    <w:p w14:paraId="37C9D7C4" w14:textId="77777777" w:rsidR="00067458" w:rsidRPr="0087557D" w:rsidRDefault="00067458" w:rsidP="00067458">
      <w:pPr>
        <w:rPr>
          <w:rFonts w:cs="Arial"/>
          <w:b/>
          <w:szCs w:val="20"/>
        </w:rPr>
      </w:pPr>
      <w:r w:rsidRPr="0087557D">
        <w:rPr>
          <w:rFonts w:cs="Arial"/>
          <w:b/>
          <w:szCs w:val="20"/>
        </w:rPr>
        <w:t xml:space="preserve">III. </w:t>
      </w:r>
      <w:r w:rsidRPr="0087557D">
        <w:rPr>
          <w:rFonts w:cs="Arial"/>
          <w:b/>
          <w:szCs w:val="20"/>
        </w:rPr>
        <w:tab/>
        <w:t xml:space="preserve">ACHIEVEMENTS OF JOINT PROGRAMME CO-OPERATION </w:t>
      </w:r>
    </w:p>
    <w:p w14:paraId="7766634C" w14:textId="77777777" w:rsidR="00067458" w:rsidRPr="0087557D" w:rsidRDefault="00067458" w:rsidP="00067458">
      <w:pPr>
        <w:rPr>
          <w:rFonts w:eastAsia="Times New Roman" w:cs="Arial"/>
          <w:b/>
          <w:szCs w:val="20"/>
          <w:lang w:eastAsia="fr-FR"/>
        </w:rPr>
      </w:pPr>
    </w:p>
    <w:p w14:paraId="2DFC40F6" w14:textId="77777777" w:rsidR="00067458" w:rsidRPr="0087557D" w:rsidRDefault="00067458" w:rsidP="00067458">
      <w:pPr>
        <w:numPr>
          <w:ilvl w:val="0"/>
          <w:numId w:val="2"/>
        </w:numPr>
        <w:ind w:left="0" w:firstLine="0"/>
        <w:rPr>
          <w:rFonts w:eastAsia="Times New Roman" w:cs="Arial"/>
          <w:color w:val="000000" w:themeColor="text1"/>
          <w:szCs w:val="20"/>
          <w:lang w:eastAsia="fr-FR"/>
        </w:rPr>
      </w:pPr>
      <w:r w:rsidRPr="0087557D">
        <w:rPr>
          <w:rFonts w:eastAsia="Times New Roman" w:cs="Arial"/>
          <w:color w:val="000000" w:themeColor="text1"/>
          <w:szCs w:val="20"/>
          <w:lang w:eastAsia="fr-FR"/>
        </w:rPr>
        <w:t xml:space="preserve">This section presents, in brief, the achievements of Joint Programme co-operation by </w:t>
      </w:r>
      <w:r>
        <w:rPr>
          <w:rFonts w:eastAsia="Times New Roman" w:cs="Arial"/>
          <w:color w:val="000000" w:themeColor="text1"/>
          <w:szCs w:val="20"/>
          <w:lang w:eastAsia="fr-FR"/>
        </w:rPr>
        <w:t>geographical area</w:t>
      </w:r>
      <w:r w:rsidRPr="0087557D">
        <w:rPr>
          <w:rFonts w:eastAsia="Times New Roman" w:cs="Arial"/>
          <w:color w:val="000000" w:themeColor="text1"/>
          <w:szCs w:val="20"/>
          <w:lang w:eastAsia="fr-FR"/>
        </w:rPr>
        <w:t>, with a particular focus on the results of the corresponding regional “programmatic facilities”.</w:t>
      </w:r>
      <w:r>
        <w:rPr>
          <w:rFonts w:eastAsia="Times New Roman" w:cs="Arial"/>
          <w:color w:val="000000" w:themeColor="text1"/>
          <w:szCs w:val="20"/>
          <w:lang w:eastAsia="fr-FR"/>
        </w:rPr>
        <w:t xml:space="preserve"> </w:t>
      </w:r>
      <w:r w:rsidRPr="0087557D">
        <w:rPr>
          <w:rFonts w:eastAsia="Times New Roman" w:cs="Arial"/>
          <w:color w:val="000000" w:themeColor="text1"/>
          <w:szCs w:val="20"/>
          <w:lang w:eastAsia="fr-FR"/>
        </w:rPr>
        <w:t xml:space="preserve">It also describes other major co-operation undertakings such as the Central Asia Rule of Law Programme, </w:t>
      </w:r>
      <w:r>
        <w:rPr>
          <w:rFonts w:eastAsia="Times New Roman" w:cs="Arial"/>
          <w:color w:val="000000" w:themeColor="text1"/>
          <w:szCs w:val="20"/>
          <w:lang w:eastAsia="fr-FR"/>
        </w:rPr>
        <w:t>co-operation framework</w:t>
      </w:r>
      <w:r w:rsidRPr="0087557D">
        <w:rPr>
          <w:rFonts w:eastAsia="Times New Roman" w:cs="Arial"/>
          <w:color w:val="000000" w:themeColor="text1"/>
          <w:szCs w:val="20"/>
          <w:lang w:eastAsia="fr-FR"/>
        </w:rPr>
        <w:t xml:space="preserve"> with DG REFORM in EU member </w:t>
      </w:r>
      <w:r>
        <w:rPr>
          <w:rFonts w:eastAsia="Times New Roman" w:cs="Arial"/>
          <w:color w:val="000000" w:themeColor="text1"/>
          <w:szCs w:val="20"/>
          <w:lang w:eastAsia="fr-FR"/>
        </w:rPr>
        <w:t>State</w:t>
      </w:r>
      <w:r w:rsidRPr="0087557D">
        <w:rPr>
          <w:rFonts w:eastAsia="Times New Roman" w:cs="Arial"/>
          <w:color w:val="000000" w:themeColor="text1"/>
          <w:szCs w:val="20"/>
          <w:lang w:eastAsia="fr-FR"/>
        </w:rPr>
        <w:t xml:space="preserve">s and country-specific co-operation in Turkey. </w:t>
      </w:r>
    </w:p>
    <w:p w14:paraId="4154FC00" w14:textId="77777777" w:rsidR="00067458" w:rsidRPr="0087557D" w:rsidRDefault="00067458" w:rsidP="00067458">
      <w:pPr>
        <w:rPr>
          <w:rFonts w:eastAsia="Times New Roman" w:cs="Arial"/>
          <w:b/>
          <w:szCs w:val="20"/>
          <w:lang w:eastAsia="fr-FR"/>
        </w:rPr>
      </w:pPr>
    </w:p>
    <w:p w14:paraId="745475A5" w14:textId="77777777" w:rsidR="00067458" w:rsidRPr="0087557D" w:rsidRDefault="00067458" w:rsidP="00067458">
      <w:pPr>
        <w:numPr>
          <w:ilvl w:val="0"/>
          <w:numId w:val="2"/>
        </w:numPr>
        <w:ind w:left="0" w:firstLine="0"/>
        <w:rPr>
          <w:rFonts w:eastAsia="Times New Roman" w:cs="Arial"/>
          <w:b/>
          <w:smallCaps/>
          <w:szCs w:val="20"/>
          <w:lang w:eastAsia="fr-FR"/>
        </w:rPr>
      </w:pPr>
      <w:r w:rsidRPr="0087557D">
        <w:rPr>
          <w:rFonts w:eastAsia="Times New Roman" w:cs="Arial"/>
          <w:b/>
          <w:szCs w:val="20"/>
          <w:lang w:eastAsia="fr-FR"/>
        </w:rPr>
        <w:t xml:space="preserve">Partnership for Good Governance (PGG) </w:t>
      </w:r>
    </w:p>
    <w:p w14:paraId="67323F7D" w14:textId="77777777" w:rsidR="00067458" w:rsidRPr="0087557D" w:rsidRDefault="00067458" w:rsidP="00067458">
      <w:pPr>
        <w:spacing w:before="60"/>
        <w:contextualSpacing/>
        <w:rPr>
          <w:rFonts w:eastAsiaTheme="minorEastAsia" w:cs="Arial"/>
          <w:szCs w:val="20"/>
        </w:rPr>
      </w:pPr>
    </w:p>
    <w:p w14:paraId="0DBA84B1" w14:textId="77777777" w:rsidR="00067458" w:rsidRPr="0087557D" w:rsidRDefault="00067458" w:rsidP="00067458">
      <w:pPr>
        <w:rPr>
          <w:rFonts w:cs="Arial"/>
          <w:szCs w:val="20"/>
        </w:rPr>
      </w:pPr>
      <w:r w:rsidRPr="00533EDD">
        <w:rPr>
          <w:rFonts w:cs="Arial"/>
          <w:szCs w:val="20"/>
        </w:rPr>
        <w:t>The</w:t>
      </w:r>
      <w:r w:rsidRPr="0087557D">
        <w:rPr>
          <w:rFonts w:cs="Arial"/>
          <w:szCs w:val="20"/>
        </w:rPr>
        <w:t xml:space="preserve"> Partnership for Good Governance for the Eastern Partnership (EaP), which encompasses Armenia, Azerbaijan, Georgia, </w:t>
      </w:r>
      <w:r>
        <w:rPr>
          <w:rFonts w:cs="Arial"/>
          <w:szCs w:val="20"/>
        </w:rPr>
        <w:t xml:space="preserve">the </w:t>
      </w:r>
      <w:r w:rsidRPr="0087557D">
        <w:rPr>
          <w:rFonts w:cs="Arial"/>
          <w:szCs w:val="20"/>
        </w:rPr>
        <w:t xml:space="preserve">Republic of Moldova, </w:t>
      </w:r>
      <w:proofErr w:type="gramStart"/>
      <w:r w:rsidRPr="0087557D">
        <w:rPr>
          <w:rFonts w:cs="Arial"/>
          <w:szCs w:val="20"/>
        </w:rPr>
        <w:t>Ukraine</w:t>
      </w:r>
      <w:proofErr w:type="gramEnd"/>
      <w:r w:rsidRPr="0087557D">
        <w:rPr>
          <w:rFonts w:cs="Arial"/>
          <w:szCs w:val="20"/>
        </w:rPr>
        <w:t xml:space="preserve"> and Belarus, was the first EU-CoE “programmatic facility” to be put in place in 2015. Its second phase (total €17.5 million) started in 2019 and continues to provide tailor-made support to the national reforms in the framework of Council of Europe country-specific Action Plans, also contributing to the </w:t>
      </w:r>
      <w:r w:rsidRPr="0087557D">
        <w:rPr>
          <w:rFonts w:eastAsiaTheme="minorHAnsi" w:cs="Arial"/>
          <w:szCs w:val="20"/>
        </w:rPr>
        <w:t>achievement of the EU 2020 Deliverables.</w:t>
      </w:r>
      <w:r w:rsidRPr="0087557D">
        <w:rPr>
          <w:rFonts w:cs="Arial"/>
          <w:szCs w:val="20"/>
        </w:rPr>
        <w:t xml:space="preserve"> The PGG includes </w:t>
      </w:r>
      <w:proofErr w:type="gramStart"/>
      <w:r w:rsidRPr="0087557D">
        <w:rPr>
          <w:rFonts w:cs="Arial"/>
          <w:szCs w:val="20"/>
        </w:rPr>
        <w:t>a number of</w:t>
      </w:r>
      <w:proofErr w:type="gramEnd"/>
      <w:r w:rsidRPr="0087557D">
        <w:rPr>
          <w:rFonts w:cs="Arial"/>
          <w:szCs w:val="20"/>
        </w:rPr>
        <w:t xml:space="preserve"> country-specific and regional projects organised under three themes: i) strengthening the Rule of Law and mechanisms to combat corruption, money-laundering and terrorist financing; ii) implementation of key judicial reforms and iii) combating discrimination and protecting the rights of vulnerable groups and women (cross-cutting issues). </w:t>
      </w:r>
    </w:p>
    <w:p w14:paraId="47812B74" w14:textId="77777777" w:rsidR="00067458" w:rsidRPr="0087557D" w:rsidRDefault="00067458" w:rsidP="00067458">
      <w:pPr>
        <w:rPr>
          <w:rFonts w:cs="Arial"/>
          <w:szCs w:val="20"/>
        </w:rPr>
      </w:pPr>
    </w:p>
    <w:p w14:paraId="416CE0F9" w14:textId="76E3167E" w:rsidR="00067458" w:rsidRDefault="00067458" w:rsidP="00067458">
      <w:pPr>
        <w:rPr>
          <w:rFonts w:eastAsiaTheme="minorEastAsia" w:cs="Arial"/>
          <w:szCs w:val="20"/>
        </w:rPr>
      </w:pPr>
      <w:r w:rsidRPr="0087557D">
        <w:rPr>
          <w:rFonts w:cs="Arial"/>
          <w:szCs w:val="20"/>
        </w:rPr>
        <w:t>The PGG regional dimension has shown a strong added value and has contributed not only to enhancing regional interaction and networking</w:t>
      </w:r>
      <w:r>
        <w:rPr>
          <w:rFonts w:cs="Arial"/>
          <w:szCs w:val="20"/>
        </w:rPr>
        <w:t>,</w:t>
      </w:r>
      <w:r w:rsidRPr="0087557D">
        <w:rPr>
          <w:rFonts w:cs="Arial"/>
          <w:szCs w:val="20"/>
        </w:rPr>
        <w:t xml:space="preserve"> but also to the transfer of knowledge and expertise among the EaP countries.</w:t>
      </w:r>
      <w:r>
        <w:rPr>
          <w:rFonts w:cs="Arial"/>
          <w:szCs w:val="20"/>
        </w:rPr>
        <w:t xml:space="preserve"> </w:t>
      </w:r>
      <w:r w:rsidRPr="0087557D">
        <w:rPr>
          <w:rFonts w:cs="Arial"/>
          <w:szCs w:val="20"/>
        </w:rPr>
        <w:t>The Quick Response Mechanism</w:t>
      </w:r>
      <w:r>
        <w:rPr>
          <w:rFonts w:cs="Arial"/>
          <w:szCs w:val="20"/>
        </w:rPr>
        <w:t xml:space="preserve"> (QRM) </w:t>
      </w:r>
      <w:r w:rsidRPr="0087557D">
        <w:rPr>
          <w:rFonts w:cs="Arial"/>
          <w:szCs w:val="20"/>
        </w:rPr>
        <w:t xml:space="preserve">channels CoE legal expertise, and in particular the expertise of the Venice Commission, to the beneficiary countries as a form of direct support to the legislative reforms in the field of electoral reform, </w:t>
      </w:r>
      <w:proofErr w:type="gramStart"/>
      <w:r w:rsidRPr="0087557D">
        <w:rPr>
          <w:rFonts w:cs="Arial"/>
          <w:szCs w:val="20"/>
        </w:rPr>
        <w:t>referendums</w:t>
      </w:r>
      <w:proofErr w:type="gramEnd"/>
      <w:r w:rsidRPr="0087557D">
        <w:rPr>
          <w:rFonts w:cs="Arial"/>
          <w:szCs w:val="20"/>
        </w:rPr>
        <w:t xml:space="preserve"> and political parties, functioning of democratic institutions, and constitutional and ordinary justice</w:t>
      </w:r>
      <w:r>
        <w:rPr>
          <w:rFonts w:cs="Arial"/>
          <w:szCs w:val="20"/>
        </w:rPr>
        <w:t>. T</w:t>
      </w:r>
      <w:r>
        <w:rPr>
          <w:rFonts w:eastAsiaTheme="minorEastAsia" w:cs="Arial"/>
          <w:szCs w:val="20"/>
        </w:rPr>
        <w:t xml:space="preserve">he scope of expertise under the QRM has been extended to other </w:t>
      </w:r>
      <w:r>
        <w:rPr>
          <w:rFonts w:eastAsia="Times New Roman" w:cs="Arial"/>
          <w:szCs w:val="20"/>
        </w:rPr>
        <w:t>Council of Europe</w:t>
      </w:r>
      <w:r>
        <w:rPr>
          <w:rFonts w:eastAsiaTheme="minorEastAsia" w:cs="Arial"/>
          <w:szCs w:val="20"/>
        </w:rPr>
        <w:t xml:space="preserve"> </w:t>
      </w:r>
      <w:r w:rsidRPr="00036D1A">
        <w:rPr>
          <w:rFonts w:eastAsiaTheme="minorEastAsia" w:cs="Arial"/>
          <w:szCs w:val="20"/>
        </w:rPr>
        <w:t xml:space="preserve">bodies </w:t>
      </w:r>
      <w:r w:rsidRPr="00620556">
        <w:rPr>
          <w:rFonts w:eastAsiaTheme="minorEastAsia" w:cs="Arial"/>
          <w:szCs w:val="20"/>
        </w:rPr>
        <w:t xml:space="preserve">and a first expert opinion </w:t>
      </w:r>
      <w:proofErr w:type="gramStart"/>
      <w:r>
        <w:rPr>
          <w:rFonts w:eastAsiaTheme="minorEastAsia" w:cs="Arial"/>
          <w:szCs w:val="20"/>
        </w:rPr>
        <w:t>in the area of</w:t>
      </w:r>
      <w:proofErr w:type="gramEnd"/>
      <w:r>
        <w:rPr>
          <w:rFonts w:eastAsiaTheme="minorEastAsia" w:cs="Arial"/>
          <w:szCs w:val="20"/>
        </w:rPr>
        <w:t xml:space="preserve"> freedom of expression and freedom of the media </w:t>
      </w:r>
      <w:r w:rsidRPr="00620556">
        <w:rPr>
          <w:rFonts w:eastAsiaTheme="minorEastAsia" w:cs="Arial"/>
          <w:szCs w:val="20"/>
        </w:rPr>
        <w:t>was provided by the Directorate of Human Rights and Rule of Law for Armenia</w:t>
      </w:r>
      <w:r>
        <w:rPr>
          <w:rFonts w:eastAsiaTheme="minorEastAsia" w:cs="Arial"/>
          <w:szCs w:val="20"/>
        </w:rPr>
        <w:t xml:space="preserve"> with the analysis of</w:t>
      </w:r>
      <w:r w:rsidRPr="00620556">
        <w:rPr>
          <w:rFonts w:eastAsiaTheme="minorEastAsia" w:cs="Arial"/>
          <w:szCs w:val="20"/>
        </w:rPr>
        <w:t xml:space="preserve"> a draft law on Mass Media</w:t>
      </w:r>
      <w:r>
        <w:rPr>
          <w:rFonts w:eastAsiaTheme="minorEastAsia" w:cs="Arial"/>
          <w:szCs w:val="20"/>
        </w:rPr>
        <w:t xml:space="preserve"> in 2021</w:t>
      </w:r>
      <w:r w:rsidRPr="0087557D">
        <w:rPr>
          <w:rFonts w:eastAsiaTheme="minorEastAsia" w:cs="Arial"/>
          <w:szCs w:val="20"/>
        </w:rPr>
        <w:t xml:space="preserve">. </w:t>
      </w:r>
      <w:r>
        <w:rPr>
          <w:rFonts w:cs="Arial"/>
          <w:szCs w:val="20"/>
        </w:rPr>
        <w:t>T</w:t>
      </w:r>
      <w:r w:rsidRPr="0087557D">
        <w:rPr>
          <w:rFonts w:cs="Arial"/>
          <w:szCs w:val="20"/>
        </w:rPr>
        <w:t>he Quick Response Mechanism (QRM)</w:t>
      </w:r>
      <w:r>
        <w:rPr>
          <w:rFonts w:cs="Arial"/>
          <w:szCs w:val="20"/>
        </w:rPr>
        <w:t xml:space="preserve"> </w:t>
      </w:r>
      <w:r w:rsidRPr="0087557D">
        <w:rPr>
          <w:rFonts w:cs="Arial"/>
          <w:szCs w:val="20"/>
        </w:rPr>
        <w:t>has proven its added value in the context of PGG</w:t>
      </w:r>
      <w:r w:rsidRPr="00A567AB">
        <w:rPr>
          <w:rFonts w:eastAsiaTheme="minorEastAsia" w:cs="Arial"/>
          <w:szCs w:val="20"/>
        </w:rPr>
        <w:t xml:space="preserve"> </w:t>
      </w:r>
      <w:r>
        <w:rPr>
          <w:rFonts w:eastAsiaTheme="minorEastAsia" w:cs="Arial"/>
          <w:szCs w:val="20"/>
        </w:rPr>
        <w:t>with 29 Opinions delivered since the start of the PGG II in 2019. 10 Opinions were delivered in 2021</w:t>
      </w:r>
      <w:r w:rsidRPr="00581454">
        <w:rPr>
          <w:rFonts w:eastAsiaTheme="minorEastAsia" w:cs="Arial"/>
          <w:szCs w:val="20"/>
        </w:rPr>
        <w:t xml:space="preserve"> </w:t>
      </w:r>
      <w:r>
        <w:rPr>
          <w:rFonts w:eastAsiaTheme="minorEastAsia" w:cs="Arial"/>
          <w:szCs w:val="20"/>
        </w:rPr>
        <w:t>at the request of national institutions in Armenia (2), Georgia (5), the Republic of Moldova (1) and Ukraine (2))</w:t>
      </w:r>
      <w:r w:rsidRPr="0087557D">
        <w:rPr>
          <w:rFonts w:cs="Arial"/>
          <w:szCs w:val="20"/>
        </w:rPr>
        <w:t>.</w:t>
      </w:r>
    </w:p>
    <w:p w14:paraId="08FF9683" w14:textId="77777777" w:rsidR="00067458" w:rsidRDefault="00067458" w:rsidP="00067458">
      <w:pPr>
        <w:rPr>
          <w:rFonts w:eastAsiaTheme="minorEastAsia" w:cs="Arial"/>
          <w:szCs w:val="20"/>
        </w:rPr>
      </w:pPr>
    </w:p>
    <w:p w14:paraId="184D474D" w14:textId="77777777" w:rsidR="007D3924" w:rsidRDefault="007D3924">
      <w:pPr>
        <w:rPr>
          <w:rFonts w:cs="Arial"/>
          <w:szCs w:val="20"/>
        </w:rPr>
      </w:pPr>
      <w:r>
        <w:rPr>
          <w:rFonts w:cs="Arial"/>
          <w:szCs w:val="20"/>
        </w:rPr>
        <w:br w:type="page"/>
      </w:r>
    </w:p>
    <w:p w14:paraId="503DE233" w14:textId="00E2CFDF" w:rsidR="00067458" w:rsidRPr="00393B88" w:rsidRDefault="00067458" w:rsidP="00067458">
      <w:pPr>
        <w:rPr>
          <w:rFonts w:eastAsiaTheme="minorHAnsi" w:cs="Arial"/>
          <w:szCs w:val="20"/>
        </w:rPr>
      </w:pPr>
      <w:r>
        <w:rPr>
          <w:rFonts w:cs="Arial"/>
          <w:szCs w:val="20"/>
        </w:rPr>
        <w:t>A non-exhaustive list of the results includes</w:t>
      </w:r>
      <w:r>
        <w:t>:</w:t>
      </w:r>
    </w:p>
    <w:p w14:paraId="711BAAB9" w14:textId="77777777" w:rsidR="00067458" w:rsidRDefault="00067458" w:rsidP="00067458"/>
    <w:p w14:paraId="4D716023" w14:textId="77777777" w:rsidR="00067458" w:rsidRDefault="00067458" w:rsidP="00067458">
      <w:pPr>
        <w:pStyle w:val="ListParagraph"/>
        <w:numPr>
          <w:ilvl w:val="0"/>
          <w:numId w:val="13"/>
        </w:numPr>
      </w:pPr>
      <w:r>
        <w:t xml:space="preserve">Improvement of the legislative framework in the field of anti-corruption and money laundering in Armenia, Azerbaijan, </w:t>
      </w:r>
      <w:proofErr w:type="gramStart"/>
      <w:r>
        <w:t>Georgia</w:t>
      </w:r>
      <w:proofErr w:type="gramEnd"/>
      <w:r>
        <w:t xml:space="preserve"> and Ukraine.</w:t>
      </w:r>
    </w:p>
    <w:p w14:paraId="1181EBF8" w14:textId="77777777" w:rsidR="00067458" w:rsidRDefault="00067458" w:rsidP="00067458"/>
    <w:p w14:paraId="404646FC" w14:textId="77777777" w:rsidR="00067458" w:rsidRDefault="00067458" w:rsidP="00067458">
      <w:pPr>
        <w:pStyle w:val="ListParagraph"/>
        <w:numPr>
          <w:ilvl w:val="0"/>
          <w:numId w:val="13"/>
        </w:numPr>
      </w:pPr>
      <w:r>
        <w:t>Reinforcing the national institutions’ capacity to fight against corruption and money laundering in Azerbaijan, Georgia and Ukraine and strengthening mechanisms for regional co-operation among corruption prevention bodies at regional level, notably on seizure and confiscation of proceeds from crime.</w:t>
      </w:r>
    </w:p>
    <w:p w14:paraId="631E0CBC" w14:textId="77777777" w:rsidR="00067458" w:rsidRDefault="00067458" w:rsidP="00067458"/>
    <w:p w14:paraId="12DB6450" w14:textId="77777777" w:rsidR="00067458" w:rsidRDefault="00067458" w:rsidP="00067458">
      <w:pPr>
        <w:pStyle w:val="ListParagraph"/>
        <w:numPr>
          <w:ilvl w:val="0"/>
          <w:numId w:val="13"/>
        </w:numPr>
      </w:pPr>
      <w:r>
        <w:t xml:space="preserve">Adoption of relevant legislation in the field of criminal law, functioning of the judiciary, enforcement of the court judgments and strengthening the international co-operation in criminal matters in Armenia, </w:t>
      </w:r>
      <w:proofErr w:type="gramStart"/>
      <w:r>
        <w:t>Azerbaijan</w:t>
      </w:r>
      <w:proofErr w:type="gramEnd"/>
      <w:r>
        <w:t xml:space="preserve"> and Georgia.</w:t>
      </w:r>
    </w:p>
    <w:p w14:paraId="05A406A4" w14:textId="77777777" w:rsidR="00067458" w:rsidRDefault="00067458" w:rsidP="00067458"/>
    <w:p w14:paraId="009F7030" w14:textId="77777777" w:rsidR="00067458" w:rsidRDefault="00067458" w:rsidP="00067458">
      <w:pPr>
        <w:pStyle w:val="ListParagraph"/>
        <w:numPr>
          <w:ilvl w:val="0"/>
          <w:numId w:val="13"/>
        </w:numPr>
      </w:pPr>
      <w:r>
        <w:t>Reinforcing the capacity of the judicial supreme bodies in Armenia and Georgia, improvement of the court management and enforcement systems in Azerbaijan and the Republic of Moldova in line with the tools and methodology of the Council of Europe Commission for the Efficiency of Justice (CEPEJ).</w:t>
      </w:r>
    </w:p>
    <w:p w14:paraId="7F9F9429" w14:textId="77777777" w:rsidR="00067458" w:rsidRDefault="00067458" w:rsidP="00067458"/>
    <w:p w14:paraId="2803E7FA" w14:textId="77777777" w:rsidR="00067458" w:rsidRDefault="00067458" w:rsidP="00067458">
      <w:pPr>
        <w:pStyle w:val="ListParagraph"/>
        <w:numPr>
          <w:ilvl w:val="0"/>
          <w:numId w:val="13"/>
        </w:numPr>
      </w:pPr>
      <w:r>
        <w:t>Enhancing the regional network and co-operation for lawyers and bar associations in the EaP region by launching a website as an information tool and a forum for addressing mutual issues.</w:t>
      </w:r>
    </w:p>
    <w:p w14:paraId="38E7233C" w14:textId="77777777" w:rsidR="00067458" w:rsidRDefault="00067458" w:rsidP="00067458"/>
    <w:p w14:paraId="163F7E3B" w14:textId="77777777" w:rsidR="00067458" w:rsidRDefault="00067458" w:rsidP="00067458">
      <w:pPr>
        <w:pStyle w:val="ListParagraph"/>
        <w:numPr>
          <w:ilvl w:val="0"/>
          <w:numId w:val="13"/>
        </w:numPr>
      </w:pPr>
      <w:r>
        <w:t>Improvement of the legal framework in the field of anti-discrimination in Armenia, Azerbaijan and the Republic of Moldova and further consolidated capacity of the Ombudsperson’s offices and Equality councils in the EaP region to effectively fight against discrimination.</w:t>
      </w:r>
    </w:p>
    <w:p w14:paraId="1CDA5136" w14:textId="77777777" w:rsidR="00067458" w:rsidRDefault="00067458" w:rsidP="00067458">
      <w:r>
        <w:t xml:space="preserve"> </w:t>
      </w:r>
    </w:p>
    <w:p w14:paraId="7E6A4BCC" w14:textId="77777777" w:rsidR="00067458" w:rsidRDefault="00067458" w:rsidP="00067458">
      <w:pPr>
        <w:pStyle w:val="ListParagraph"/>
        <w:numPr>
          <w:ilvl w:val="0"/>
          <w:numId w:val="13"/>
        </w:numPr>
      </w:pPr>
      <w:r>
        <w:t>Promotion of multi-stakeholder comprehensive approach in combating hate speech across the region and boost of the engagement and awareness raising of the civil society on combating discrimination, hate crime and hate speech in Armenia, the Republic of Moldova and Ukraine through the launching of five grants under the PGG Programme.</w:t>
      </w:r>
    </w:p>
    <w:p w14:paraId="4EEAC061" w14:textId="77777777" w:rsidR="00067458" w:rsidRDefault="00067458" w:rsidP="00067458"/>
    <w:p w14:paraId="1EE3190A" w14:textId="77777777" w:rsidR="00067458" w:rsidRDefault="00067458" w:rsidP="00067458">
      <w:pPr>
        <w:pStyle w:val="ListParagraph"/>
        <w:numPr>
          <w:ilvl w:val="0"/>
          <w:numId w:val="13"/>
        </w:numPr>
      </w:pPr>
      <w:r>
        <w:t xml:space="preserve">Improvement of the national legislation in Armenia, </w:t>
      </w:r>
      <w:proofErr w:type="gramStart"/>
      <w:r>
        <w:t>Georgia</w:t>
      </w:r>
      <w:proofErr w:type="gramEnd"/>
      <w:r>
        <w:t xml:space="preserve"> and Ukraine and in line with the Council of Europe standards and empowerment of the national institutions to effectively combat domestic violence. The Republic of Moldova ratified the Istanbul Convention and reviewed the national legislation to comply with the European standards. </w:t>
      </w:r>
    </w:p>
    <w:p w14:paraId="09445945" w14:textId="77777777" w:rsidR="00067458" w:rsidRDefault="00067458" w:rsidP="00067458">
      <w:pPr>
        <w:pStyle w:val="ListParagraph"/>
        <w:ind w:left="0"/>
      </w:pPr>
    </w:p>
    <w:p w14:paraId="1E216E3B" w14:textId="77777777" w:rsidR="00067458" w:rsidRPr="00051367" w:rsidRDefault="00067458" w:rsidP="00067458">
      <w:pPr>
        <w:rPr>
          <w:rFonts w:asciiTheme="minorHAnsi" w:hAnsiTheme="minorHAnsi"/>
          <w:szCs w:val="20"/>
        </w:rPr>
      </w:pPr>
      <w:r w:rsidRPr="00051367">
        <w:rPr>
          <w:szCs w:val="20"/>
        </w:rPr>
        <w:t>The PGG II was extended until August 2022</w:t>
      </w:r>
      <w:r>
        <w:rPr>
          <w:szCs w:val="20"/>
        </w:rPr>
        <w:t>.</w:t>
      </w:r>
      <w:r w:rsidRPr="00051367">
        <w:rPr>
          <w:szCs w:val="20"/>
        </w:rPr>
        <w:t xml:space="preserve"> </w:t>
      </w:r>
      <w:r>
        <w:rPr>
          <w:szCs w:val="20"/>
        </w:rPr>
        <w:t>N</w:t>
      </w:r>
      <w:r w:rsidRPr="00051367">
        <w:rPr>
          <w:rFonts w:eastAsia="Times New Roman"/>
          <w:color w:val="000000"/>
          <w:szCs w:val="20"/>
        </w:rPr>
        <w:t xml:space="preserve">egotiations are under way </w:t>
      </w:r>
      <w:r w:rsidRPr="00051367">
        <w:rPr>
          <w:szCs w:val="20"/>
        </w:rPr>
        <w:t xml:space="preserve">with the EU </w:t>
      </w:r>
      <w:r w:rsidRPr="00051367">
        <w:rPr>
          <w:rFonts w:eastAsia="Times New Roman"/>
          <w:color w:val="000000"/>
          <w:szCs w:val="20"/>
        </w:rPr>
        <w:t xml:space="preserve">for </w:t>
      </w:r>
      <w:r>
        <w:rPr>
          <w:rFonts w:eastAsia="Times New Roman"/>
          <w:color w:val="000000"/>
          <w:szCs w:val="20"/>
        </w:rPr>
        <w:t xml:space="preserve">a </w:t>
      </w:r>
      <w:r w:rsidRPr="00051367">
        <w:rPr>
          <w:rFonts w:eastAsia="Times New Roman"/>
          <w:color w:val="000000"/>
          <w:szCs w:val="20"/>
        </w:rPr>
        <w:t>further extension until February 2023</w:t>
      </w:r>
      <w:r>
        <w:rPr>
          <w:rFonts w:eastAsia="Times New Roman"/>
          <w:color w:val="000000"/>
          <w:szCs w:val="20"/>
        </w:rPr>
        <w:t xml:space="preserve"> as well as</w:t>
      </w:r>
      <w:r w:rsidRPr="00051367">
        <w:rPr>
          <w:szCs w:val="20"/>
        </w:rPr>
        <w:t xml:space="preserve"> on </w:t>
      </w:r>
      <w:r>
        <w:rPr>
          <w:szCs w:val="20"/>
        </w:rPr>
        <w:t xml:space="preserve">the </w:t>
      </w:r>
      <w:r w:rsidRPr="00051367">
        <w:rPr>
          <w:szCs w:val="20"/>
        </w:rPr>
        <w:t>PGG phase III.</w:t>
      </w:r>
    </w:p>
    <w:p w14:paraId="038E8FD3" w14:textId="77777777" w:rsidR="00067458" w:rsidRPr="0087557D" w:rsidRDefault="00067458" w:rsidP="00067458">
      <w:pPr>
        <w:rPr>
          <w:rFonts w:cs="Arial"/>
          <w:szCs w:val="20"/>
        </w:rPr>
      </w:pPr>
    </w:p>
    <w:p w14:paraId="0F304295" w14:textId="6D7D3B2A" w:rsidR="00067458" w:rsidRDefault="00067458" w:rsidP="00067458">
      <w:pPr>
        <w:rPr>
          <w:rFonts w:eastAsiaTheme="minorEastAsia" w:cs="Arial"/>
          <w:szCs w:val="20"/>
        </w:rPr>
      </w:pPr>
      <w:r w:rsidRPr="0087557D">
        <w:rPr>
          <w:rFonts w:cs="Arial"/>
          <w:szCs w:val="20"/>
        </w:rPr>
        <w:t>In complementarity and synergy with the PGG, three country-specific programmes were also running. The Joint Programme</w:t>
      </w:r>
      <w:r w:rsidRPr="0087557D">
        <w:rPr>
          <w:rFonts w:eastAsiaTheme="minorEastAsia" w:cs="Arial"/>
          <w:szCs w:val="20"/>
        </w:rPr>
        <w:t xml:space="preserve"> “EU and CoE working together to protect human rights in Ukraine” (total: </w:t>
      </w:r>
      <w:r w:rsidRPr="0087557D">
        <w:rPr>
          <w:rFonts w:cs="Arial"/>
          <w:szCs w:val="20"/>
        </w:rPr>
        <w:t>€</w:t>
      </w:r>
      <w:r w:rsidRPr="0087557D">
        <w:rPr>
          <w:rFonts w:eastAsiaTheme="minorEastAsia" w:cs="Arial"/>
          <w:szCs w:val="20"/>
        </w:rPr>
        <w:t>3 million; launched in 2019) provides support to the Ombudsperson/National preventive mechanism and in the areas of media freedom and penitentiary reform.</w:t>
      </w:r>
      <w:r>
        <w:rPr>
          <w:rFonts w:eastAsiaTheme="minorEastAsia" w:cs="Arial"/>
          <w:szCs w:val="20"/>
        </w:rPr>
        <w:t xml:space="preserve"> </w:t>
      </w:r>
      <w:r w:rsidRPr="00F31F31">
        <w:rPr>
          <w:rFonts w:eastAsiaTheme="minorEastAsia" w:cs="Arial"/>
          <w:szCs w:val="20"/>
        </w:rPr>
        <w:t>The programme was extended at no additional costs from July 2021 t</w:t>
      </w:r>
      <w:r>
        <w:rPr>
          <w:rFonts w:eastAsiaTheme="minorEastAsia" w:cs="Arial"/>
          <w:szCs w:val="20"/>
        </w:rPr>
        <w:t>o</w:t>
      </w:r>
      <w:r w:rsidRPr="00F31F31">
        <w:rPr>
          <w:rFonts w:eastAsiaTheme="minorEastAsia" w:cs="Arial"/>
          <w:szCs w:val="20"/>
        </w:rPr>
        <w:t xml:space="preserve"> April 2022. In 2021, the programme has contributed to the selection of the independent new members of the Supervisory Board of </w:t>
      </w:r>
      <w:r>
        <w:rPr>
          <w:rFonts w:eastAsiaTheme="minorEastAsia" w:cs="Arial"/>
          <w:szCs w:val="20"/>
        </w:rPr>
        <w:t xml:space="preserve">the </w:t>
      </w:r>
      <w:r w:rsidRPr="00F31F31">
        <w:rPr>
          <w:rFonts w:eastAsiaTheme="minorEastAsia" w:cs="Arial"/>
          <w:szCs w:val="20"/>
        </w:rPr>
        <w:t xml:space="preserve">Ukrainian public broadcaster, advised on best practices </w:t>
      </w:r>
      <w:r>
        <w:rPr>
          <w:rFonts w:eastAsiaTheme="minorEastAsia" w:cs="Arial"/>
          <w:szCs w:val="20"/>
        </w:rPr>
        <w:t>for</w:t>
      </w:r>
      <w:r w:rsidRPr="00F31F31">
        <w:rPr>
          <w:rFonts w:eastAsiaTheme="minorEastAsia" w:cs="Arial"/>
          <w:szCs w:val="20"/>
        </w:rPr>
        <w:t xml:space="preserve"> state financial support to the local print</w:t>
      </w:r>
      <w:r>
        <w:rPr>
          <w:rFonts w:eastAsiaTheme="minorEastAsia" w:cs="Arial"/>
          <w:szCs w:val="20"/>
        </w:rPr>
        <w:t xml:space="preserve"> media and</w:t>
      </w:r>
      <w:r w:rsidRPr="00F31F31">
        <w:rPr>
          <w:rFonts w:eastAsiaTheme="minorEastAsia" w:cs="Arial"/>
          <w:szCs w:val="20"/>
        </w:rPr>
        <w:t xml:space="preserve"> to building law enforcement capacity to protect journalists.</w:t>
      </w:r>
      <w:r w:rsidR="00BA10C5">
        <w:rPr>
          <w:rFonts w:eastAsiaTheme="minorEastAsia" w:cs="Arial"/>
          <w:szCs w:val="20"/>
        </w:rPr>
        <w:t xml:space="preserve"> </w:t>
      </w:r>
    </w:p>
    <w:p w14:paraId="4B378775" w14:textId="77777777" w:rsidR="00192E2D" w:rsidRDefault="00192E2D" w:rsidP="00067458">
      <w:pPr>
        <w:rPr>
          <w:rFonts w:eastAsiaTheme="minorEastAsia" w:cs="Arial"/>
          <w:szCs w:val="20"/>
        </w:rPr>
      </w:pPr>
    </w:p>
    <w:p w14:paraId="4977190F" w14:textId="27783FE2" w:rsidR="00067458" w:rsidRDefault="00067458" w:rsidP="00067458">
      <w:pPr>
        <w:rPr>
          <w:rFonts w:eastAsiaTheme="minorEastAsia" w:cs="Arial"/>
          <w:szCs w:val="20"/>
        </w:rPr>
      </w:pPr>
      <w:r w:rsidRPr="00F31F31">
        <w:rPr>
          <w:rFonts w:eastAsiaTheme="minorEastAsia" w:cs="Arial"/>
          <w:szCs w:val="20"/>
        </w:rPr>
        <w:t xml:space="preserve">It also provided legal advice on data protection, enhanced capacity of the national training institutions to deliver courses on countering ill-treatment and assisted in monitoring psychiatric institutions. In addition, the programme assisted in capacity building of prison staff to prevent and counter ill-treatment, improve prisons </w:t>
      </w:r>
      <w:proofErr w:type="gramStart"/>
      <w:r w:rsidRPr="00F31F31">
        <w:rPr>
          <w:rFonts w:eastAsiaTheme="minorEastAsia" w:cs="Arial"/>
          <w:szCs w:val="20"/>
        </w:rPr>
        <w:t>conditions</w:t>
      </w:r>
      <w:proofErr w:type="gramEnd"/>
      <w:r w:rsidRPr="00F31F31">
        <w:rPr>
          <w:rFonts w:eastAsiaTheme="minorEastAsia" w:cs="Arial"/>
          <w:szCs w:val="20"/>
        </w:rPr>
        <w:t xml:space="preserve"> and enhance social rehabilitation of offenders,</w:t>
      </w:r>
      <w:r w:rsidRPr="0087557D">
        <w:rPr>
          <w:rFonts w:eastAsiaTheme="minorEastAsia" w:cs="Arial"/>
          <w:szCs w:val="20"/>
        </w:rPr>
        <w:t xml:space="preserve"> </w:t>
      </w:r>
    </w:p>
    <w:p w14:paraId="79092080" w14:textId="77777777" w:rsidR="00067458" w:rsidRDefault="00067458" w:rsidP="00067458">
      <w:pPr>
        <w:rPr>
          <w:rFonts w:eastAsiaTheme="minorEastAsia" w:cs="Arial"/>
          <w:szCs w:val="20"/>
        </w:rPr>
      </w:pPr>
    </w:p>
    <w:p w14:paraId="6DC7B9D3" w14:textId="77777777" w:rsidR="00C26A3F" w:rsidRDefault="00C26A3F">
      <w:pPr>
        <w:rPr>
          <w:rFonts w:eastAsiaTheme="minorEastAsia" w:cs="Arial"/>
          <w:szCs w:val="20"/>
        </w:rPr>
      </w:pPr>
      <w:r>
        <w:rPr>
          <w:rFonts w:eastAsiaTheme="minorEastAsia" w:cs="Arial"/>
          <w:szCs w:val="20"/>
        </w:rPr>
        <w:br w:type="page"/>
      </w:r>
    </w:p>
    <w:p w14:paraId="6E30B659" w14:textId="53DA0391" w:rsidR="00067458" w:rsidRDefault="00067458" w:rsidP="00067458">
      <w:pPr>
        <w:rPr>
          <w:rFonts w:cs="Arial"/>
        </w:rPr>
      </w:pPr>
      <w:r w:rsidRPr="0087557D">
        <w:rPr>
          <w:rFonts w:eastAsiaTheme="minorEastAsia" w:cs="Arial"/>
          <w:szCs w:val="20"/>
        </w:rPr>
        <w:t>In Azerbaijan, the Joint Programme “</w:t>
      </w:r>
      <w:r w:rsidRPr="0087557D">
        <w:rPr>
          <w:rFonts w:eastAsia="Times New Roman" w:cs="Arial"/>
          <w:color w:val="000000"/>
          <w:szCs w:val="20"/>
          <w:lang w:eastAsia="en-GB"/>
        </w:rPr>
        <w:t>Further support to the penitentiary reform” (</w:t>
      </w:r>
      <w:r w:rsidRPr="0087557D">
        <w:rPr>
          <w:rFonts w:eastAsiaTheme="minorEastAsia" w:cs="Arial"/>
          <w:szCs w:val="20"/>
        </w:rPr>
        <w:t xml:space="preserve">total: </w:t>
      </w:r>
      <w:r w:rsidRPr="0087557D">
        <w:rPr>
          <w:rFonts w:cs="Arial"/>
          <w:szCs w:val="20"/>
        </w:rPr>
        <w:t>€</w:t>
      </w:r>
      <w:r w:rsidRPr="0087557D">
        <w:rPr>
          <w:rFonts w:eastAsiaTheme="minorEastAsia" w:cs="Arial"/>
          <w:szCs w:val="20"/>
        </w:rPr>
        <w:t xml:space="preserve">0.8 million) </w:t>
      </w:r>
      <w:r>
        <w:rPr>
          <w:rFonts w:eastAsiaTheme="minorEastAsia" w:cs="Arial"/>
          <w:szCs w:val="20"/>
        </w:rPr>
        <w:t xml:space="preserve">was finalised in October 2021. </w:t>
      </w:r>
      <w:r>
        <w:rPr>
          <w:rFonts w:cs="Arial"/>
        </w:rPr>
        <w:t>In the framework of the programme, a</w:t>
      </w:r>
      <w:r w:rsidRPr="002B2F77">
        <w:rPr>
          <w:rFonts w:cs="Arial"/>
        </w:rPr>
        <w:t xml:space="preserve">ction </w:t>
      </w:r>
      <w:r>
        <w:rPr>
          <w:rFonts w:cs="Arial"/>
        </w:rPr>
        <w:t>p</w:t>
      </w:r>
      <w:r w:rsidRPr="002B2F77">
        <w:rPr>
          <w:rFonts w:cs="Arial"/>
        </w:rPr>
        <w:t xml:space="preserve">lans on prison management and prison healthcare were revised, </w:t>
      </w:r>
      <w:proofErr w:type="gramStart"/>
      <w:r w:rsidRPr="002B2F77">
        <w:rPr>
          <w:rFonts w:cs="Arial"/>
        </w:rPr>
        <w:t>approved</w:t>
      </w:r>
      <w:proofErr w:type="gramEnd"/>
      <w:r w:rsidRPr="002B2F77">
        <w:rPr>
          <w:rFonts w:cs="Arial"/>
        </w:rPr>
        <w:t xml:space="preserve"> and launched by the national authorities</w:t>
      </w:r>
      <w:r>
        <w:rPr>
          <w:rFonts w:cs="Arial"/>
        </w:rPr>
        <w:t>; new tools and practices were developed and introduced in the pilot prisons</w:t>
      </w:r>
      <w:r>
        <w:rPr>
          <w:rStyle w:val="FootnoteReference"/>
          <w:rFonts w:cs="Arial"/>
        </w:rPr>
        <w:footnoteReference w:id="7"/>
      </w:r>
      <w:r>
        <w:rPr>
          <w:rFonts w:cs="Arial"/>
        </w:rPr>
        <w:t>. P</w:t>
      </w:r>
      <w:r w:rsidRPr="002B2F77">
        <w:rPr>
          <w:rFonts w:cs="Arial"/>
        </w:rPr>
        <w:t>rison personnel in the pilot prisons increased their knowledge and capacities on medical examination upon admission; identification, documentation and recording of injuries; mental healthcare; preventing and handling aggression in the prison context; prison management.</w:t>
      </w:r>
      <w:r>
        <w:rPr>
          <w:rFonts w:cs="Arial"/>
        </w:rPr>
        <w:t xml:space="preserve"> </w:t>
      </w:r>
      <w:r w:rsidRPr="00570E88">
        <w:rPr>
          <w:rFonts w:cs="Arial"/>
        </w:rPr>
        <w:t xml:space="preserve">In the area of reintegration of prisoners, four grants were awarded to three NGOs working on providing </w:t>
      </w:r>
      <w:r w:rsidRPr="00570E88">
        <w:rPr>
          <w:rFonts w:cs="Arial"/>
          <w:shd w:val="clear" w:color="auto" w:fill="FFFFFF"/>
        </w:rPr>
        <w:t xml:space="preserve">vocational training, business mentoring, </w:t>
      </w:r>
      <w:r w:rsidRPr="00570E88">
        <w:rPr>
          <w:rFonts w:cs="Arial"/>
        </w:rPr>
        <w:t xml:space="preserve">legal </w:t>
      </w:r>
      <w:proofErr w:type="gramStart"/>
      <w:r w:rsidRPr="00570E88">
        <w:rPr>
          <w:rFonts w:cs="Arial"/>
        </w:rPr>
        <w:t>aid</w:t>
      </w:r>
      <w:proofErr w:type="gramEnd"/>
      <w:r w:rsidRPr="00570E88">
        <w:rPr>
          <w:rFonts w:cs="Arial"/>
        </w:rPr>
        <w:t xml:space="preserve"> and </w:t>
      </w:r>
      <w:r w:rsidRPr="00570E88">
        <w:rPr>
          <w:rFonts w:cs="Arial"/>
          <w:shd w:val="clear" w:color="auto" w:fill="FFFFFF"/>
        </w:rPr>
        <w:t xml:space="preserve">psychological support. </w:t>
      </w:r>
      <w:r w:rsidRPr="00570E88">
        <w:rPr>
          <w:rFonts w:cs="Arial"/>
        </w:rPr>
        <w:t xml:space="preserve">As a result of their work, 122 released persons enhanced their professional skills, 11 persons found jobs, 16 businesses were established, 342 released persons received legal aid, 398 released persons received psychological support. </w:t>
      </w:r>
    </w:p>
    <w:p w14:paraId="5DD06B3E" w14:textId="77777777" w:rsidR="00067458" w:rsidRPr="00570E88" w:rsidRDefault="00067458" w:rsidP="00067458">
      <w:pPr>
        <w:rPr>
          <w:rFonts w:cs="Arial"/>
        </w:rPr>
      </w:pPr>
    </w:p>
    <w:p w14:paraId="1FAF0D8E" w14:textId="0E854FDD" w:rsidR="00067458" w:rsidRDefault="00067458" w:rsidP="00067458">
      <w:pPr>
        <w:rPr>
          <w:rFonts w:ascii="Calibri" w:hAnsi="Calibri"/>
          <w:lang w:val="en-US"/>
        </w:rPr>
      </w:pPr>
      <w:bookmarkStart w:id="13" w:name="_Hlk93043461"/>
      <w:r>
        <w:rPr>
          <w:rFonts w:eastAsiaTheme="minorEastAsia" w:cs="Arial"/>
          <w:szCs w:val="20"/>
        </w:rPr>
        <w:t>A</w:t>
      </w:r>
      <w:r w:rsidRPr="0087557D">
        <w:rPr>
          <w:rFonts w:eastAsiaTheme="minorEastAsia" w:cs="Arial"/>
          <w:szCs w:val="20"/>
        </w:rPr>
        <w:t xml:space="preserve"> new r</w:t>
      </w:r>
      <w:r w:rsidRPr="0087557D">
        <w:t>egional Joint Programme “</w:t>
      </w:r>
      <w:r w:rsidRPr="0087557D">
        <w:rPr>
          <w:rFonts w:eastAsia="Times New Roman" w:cs="Arial"/>
          <w:szCs w:val="20"/>
          <w:lang w:eastAsia="en-GB"/>
        </w:rPr>
        <w:t>Support for a better evaluation of the results of judicial reform efforts in the Eastern Partnership/Justice Dashboard EaP” (</w:t>
      </w:r>
      <w:r w:rsidRPr="0087557D">
        <w:rPr>
          <w:rFonts w:eastAsiaTheme="minorEastAsia" w:cs="Arial"/>
          <w:szCs w:val="20"/>
        </w:rPr>
        <w:t xml:space="preserve">total: </w:t>
      </w:r>
      <w:r w:rsidRPr="0087557D">
        <w:rPr>
          <w:rFonts w:cs="Arial"/>
          <w:szCs w:val="20"/>
        </w:rPr>
        <w:t>€</w:t>
      </w:r>
      <w:r w:rsidRPr="0087557D">
        <w:rPr>
          <w:rFonts w:eastAsiaTheme="minorEastAsia" w:cs="Arial"/>
          <w:szCs w:val="20"/>
        </w:rPr>
        <w:t>2.2</w:t>
      </w:r>
      <w:r>
        <w:rPr>
          <w:rFonts w:eastAsiaTheme="minorEastAsia" w:cs="Arial"/>
          <w:szCs w:val="20"/>
        </w:rPr>
        <w:t xml:space="preserve"> </w:t>
      </w:r>
      <w:r w:rsidRPr="0087557D">
        <w:rPr>
          <w:rFonts w:eastAsiaTheme="minorEastAsia" w:cs="Arial"/>
          <w:szCs w:val="20"/>
        </w:rPr>
        <w:t>million</w:t>
      </w:r>
      <w:r w:rsidRPr="0087557D">
        <w:rPr>
          <w:rFonts w:eastAsia="Times New Roman" w:cs="Arial"/>
          <w:szCs w:val="20"/>
          <w:lang w:eastAsia="en-GB"/>
        </w:rPr>
        <w:t xml:space="preserve">) </w:t>
      </w:r>
      <w:r>
        <w:t xml:space="preserve">started </w:t>
      </w:r>
      <w:r w:rsidRPr="0087557D">
        <w:t>in early 2021</w:t>
      </w:r>
      <w:r>
        <w:t xml:space="preserve">. It </w:t>
      </w:r>
      <w:r w:rsidRPr="0087557D">
        <w:t xml:space="preserve">aims at achieving an effective, </w:t>
      </w:r>
      <w:proofErr w:type="gramStart"/>
      <w:r w:rsidRPr="0087557D">
        <w:t>systematic</w:t>
      </w:r>
      <w:proofErr w:type="gramEnd"/>
      <w:r w:rsidRPr="0087557D">
        <w:t xml:space="preserve"> and data-based evaluation of the results of judicial reform efforts in the Eastern Partnership</w:t>
      </w:r>
      <w:r>
        <w:t xml:space="preserve"> countries </w:t>
      </w:r>
      <w:r w:rsidRPr="0087557D">
        <w:t>through the annual collection and processing of data on the functioning of judicial systems and relevant capacity-building.</w:t>
      </w:r>
      <w:r w:rsidR="00BA10C5">
        <w:t xml:space="preserve"> </w:t>
      </w:r>
      <w:r>
        <w:rPr>
          <w:lang w:val="en-US"/>
        </w:rPr>
        <w:t xml:space="preserve">In 2021, during the first exercise of data collection under the EaP Dashboard, the CEPEJ Secretariat provided hands-on assistance and expertise to CEPEJ national correspondents </w:t>
      </w:r>
      <w:r w:rsidRPr="0083701C">
        <w:rPr>
          <w:lang w:val="en-US"/>
        </w:rPr>
        <w:t xml:space="preserve">engaged in </w:t>
      </w:r>
      <w:r>
        <w:rPr>
          <w:lang w:val="en-US"/>
        </w:rPr>
        <w:t>completing</w:t>
      </w:r>
      <w:r w:rsidRPr="0083701C">
        <w:rPr>
          <w:lang w:val="en-US"/>
        </w:rPr>
        <w:t xml:space="preserve"> the questionnaire in CEPEJ COLLEC</w:t>
      </w:r>
      <w:r>
        <w:rPr>
          <w:lang w:val="en-US"/>
        </w:rPr>
        <w:t>T. This technical expertise delivered according to the CEPEJ methodology assists in building the capacity and skills of national counterparts related to judicial statistics and judicial data collection. The CEPEJ Secretariat completed the first round of the data Quality Check in line with the CEPEJ methodology</w:t>
      </w:r>
      <w:r w:rsidRPr="0083701C">
        <w:rPr>
          <w:lang w:val="en-US"/>
        </w:rPr>
        <w:t xml:space="preserve"> </w:t>
      </w:r>
      <w:r>
        <w:rPr>
          <w:lang w:val="en-US"/>
        </w:rPr>
        <w:t>in December 2021.</w:t>
      </w:r>
      <w:r w:rsidR="00BA10C5">
        <w:rPr>
          <w:lang w:val="en-US"/>
        </w:rPr>
        <w:t xml:space="preserve"> </w:t>
      </w:r>
    </w:p>
    <w:bookmarkEnd w:id="13"/>
    <w:p w14:paraId="19A7C6DF" w14:textId="77777777" w:rsidR="00067458" w:rsidRPr="00175F8F" w:rsidRDefault="00067458" w:rsidP="00067458">
      <w:pPr>
        <w:rPr>
          <w:rFonts w:cs="Arial"/>
          <w:szCs w:val="20"/>
          <w:lang w:val="en-US"/>
        </w:rPr>
      </w:pPr>
    </w:p>
    <w:p w14:paraId="116A8FFF" w14:textId="7476353C" w:rsidR="00067458" w:rsidRPr="0087557D" w:rsidRDefault="00067458" w:rsidP="00067458">
      <w:pPr>
        <w:numPr>
          <w:ilvl w:val="0"/>
          <w:numId w:val="2"/>
        </w:numPr>
        <w:tabs>
          <w:tab w:val="left" w:pos="709"/>
          <w:tab w:val="left" w:pos="851"/>
        </w:tabs>
        <w:ind w:left="0" w:firstLine="0"/>
        <w:rPr>
          <w:rFonts w:eastAsia="Times New Roman" w:cs="Arial"/>
          <w:b/>
          <w:szCs w:val="20"/>
          <w:lang w:eastAsia="fr-FR"/>
        </w:rPr>
      </w:pPr>
      <w:r w:rsidRPr="0087557D">
        <w:rPr>
          <w:rFonts w:eastAsia="Times New Roman" w:cs="Arial"/>
          <w:b/>
          <w:szCs w:val="20"/>
          <w:lang w:eastAsia="fr-FR"/>
        </w:rPr>
        <w:t>Horizontal Facility for the Western Balkans and Turkey (“Horizontal Facility</w:t>
      </w:r>
      <w:r w:rsidR="00701B55">
        <w:rPr>
          <w:rFonts w:eastAsia="Times New Roman" w:cs="Arial"/>
          <w:b/>
          <w:szCs w:val="20"/>
          <w:lang w:eastAsia="fr-FR"/>
        </w:rPr>
        <w:t xml:space="preserve"> - </w:t>
      </w:r>
      <w:r w:rsidRPr="0087557D">
        <w:rPr>
          <w:rFonts w:eastAsia="Times New Roman" w:cs="Arial"/>
          <w:b/>
          <w:szCs w:val="20"/>
          <w:lang w:eastAsia="fr-FR"/>
        </w:rPr>
        <w:t>II”)</w:t>
      </w:r>
    </w:p>
    <w:p w14:paraId="4022E2CF" w14:textId="77777777" w:rsidR="00067458" w:rsidRPr="0087557D" w:rsidRDefault="00067458" w:rsidP="00067458">
      <w:pPr>
        <w:rPr>
          <w:rFonts w:eastAsia="Times New Roman" w:cs="Arial"/>
          <w:szCs w:val="20"/>
          <w:lang w:eastAsia="fr-FR"/>
        </w:rPr>
      </w:pPr>
    </w:p>
    <w:p w14:paraId="1563E962" w14:textId="77777777" w:rsidR="00067458" w:rsidRDefault="00067458" w:rsidP="00067458">
      <w:pPr>
        <w:rPr>
          <w:rFonts w:cs="Arial"/>
          <w:iCs/>
          <w:szCs w:val="20"/>
        </w:rPr>
      </w:pPr>
      <w:r w:rsidRPr="001406D9">
        <w:rPr>
          <w:rFonts w:cs="Arial"/>
          <w:szCs w:val="20"/>
        </w:rPr>
        <w:t xml:space="preserve">The Horizontal Facility for the Western Balkans and Turkey (Horizontal Facility or HF) is the second EU-CoE “programmatic facility”, operating since 2016. The second phase currently implemented (total: €41 million; launched in mid-2019) encompasses four </w:t>
      </w:r>
      <w:r w:rsidRPr="001406D9">
        <w:rPr>
          <w:rFonts w:cs="Arial"/>
          <w:iCs/>
          <w:szCs w:val="20"/>
        </w:rPr>
        <w:t xml:space="preserve">thematic fields, namely i) ensuring justice; ii) the fight against corruption, organised </w:t>
      </w:r>
      <w:proofErr w:type="gramStart"/>
      <w:r w:rsidRPr="001406D9">
        <w:rPr>
          <w:rFonts w:cs="Arial"/>
          <w:iCs/>
          <w:szCs w:val="20"/>
        </w:rPr>
        <w:t>crime</w:t>
      </w:r>
      <w:proofErr w:type="gramEnd"/>
      <w:r w:rsidRPr="001406D9">
        <w:rPr>
          <w:rFonts w:cs="Arial"/>
          <w:iCs/>
          <w:szCs w:val="20"/>
        </w:rPr>
        <w:t xml:space="preserve"> and economic crime; iii) anti-discrimination and the protection of the rights of vulnerable groups; and iv) freedom of expression and freedom of the media</w:t>
      </w:r>
      <w:r w:rsidRPr="001406D9">
        <w:rPr>
          <w:rFonts w:cs="Arial"/>
          <w:szCs w:val="20"/>
        </w:rPr>
        <w:t xml:space="preserve">. The </w:t>
      </w:r>
      <w:r w:rsidRPr="001406D9">
        <w:rPr>
          <w:rFonts w:cs="Arial"/>
          <w:iCs/>
          <w:szCs w:val="20"/>
        </w:rPr>
        <w:t xml:space="preserve">second phase of the HF follows a complementary two-fold approach, combining technical co-operation tailored to help the </w:t>
      </w:r>
      <w:r>
        <w:rPr>
          <w:rFonts w:cs="Arial"/>
          <w:iCs/>
          <w:szCs w:val="20"/>
        </w:rPr>
        <w:t>b</w:t>
      </w:r>
      <w:r w:rsidRPr="001406D9">
        <w:rPr>
          <w:rFonts w:cs="Arial"/>
          <w:iCs/>
          <w:szCs w:val="20"/>
        </w:rPr>
        <w:t xml:space="preserve">eneficiaries in achieving increased compliance with European standards with the provision of Council of Europe expertise to respond to requests from HF Beneficiaries for legislative analysis and policy advice. </w:t>
      </w:r>
      <w:r>
        <w:rPr>
          <w:rFonts w:eastAsia="Times New Roman" w:cs="Arial"/>
          <w:szCs w:val="20"/>
          <w:lang w:eastAsia="fr-FR"/>
        </w:rPr>
        <w:t>In 2021, the Horizontal Facility was extended until 31 December 2022 allowing also for some adjustments of the actions’ individual budgets.</w:t>
      </w:r>
    </w:p>
    <w:p w14:paraId="34FD0156" w14:textId="77777777" w:rsidR="00067458" w:rsidRDefault="00067458" w:rsidP="00067458">
      <w:pPr>
        <w:rPr>
          <w:rFonts w:cs="Arial"/>
          <w:iCs/>
          <w:szCs w:val="20"/>
        </w:rPr>
      </w:pPr>
    </w:p>
    <w:p w14:paraId="69290493" w14:textId="77777777" w:rsidR="00067458" w:rsidRDefault="00067458" w:rsidP="00067458">
      <w:pPr>
        <w:rPr>
          <w:rFonts w:cs="Arial"/>
          <w:szCs w:val="20"/>
        </w:rPr>
      </w:pPr>
      <w:r w:rsidRPr="001406D9">
        <w:rPr>
          <w:rFonts w:cs="Arial"/>
          <w:szCs w:val="20"/>
        </w:rPr>
        <w:t>The Facility covers 47 actions (projects), out of which nine are regional.</w:t>
      </w:r>
      <w:r>
        <w:rPr>
          <w:rFonts w:cs="Arial"/>
          <w:szCs w:val="20"/>
        </w:rPr>
        <w:t xml:space="preserve"> </w:t>
      </w:r>
      <w:r w:rsidRPr="001406D9">
        <w:rPr>
          <w:rFonts w:cs="Arial"/>
          <w:szCs w:val="20"/>
        </w:rPr>
        <w:t xml:space="preserve">CEPEJ provides support to the European Commission in achieving an effective, </w:t>
      </w:r>
      <w:proofErr w:type="gramStart"/>
      <w:r w:rsidRPr="001406D9">
        <w:rPr>
          <w:rFonts w:cs="Arial"/>
          <w:szCs w:val="20"/>
        </w:rPr>
        <w:t>systematic</w:t>
      </w:r>
      <w:proofErr w:type="gramEnd"/>
      <w:r w:rsidRPr="001406D9">
        <w:rPr>
          <w:rFonts w:cs="Arial"/>
          <w:szCs w:val="20"/>
        </w:rPr>
        <w:t xml:space="preserve"> and data-based evaluation of the results of judicial reform efforts in the Western Balkans. The regional dimension of the programme also </w:t>
      </w:r>
      <w:r>
        <w:rPr>
          <w:rFonts w:cs="Arial"/>
          <w:szCs w:val="20"/>
        </w:rPr>
        <w:t>includes</w:t>
      </w:r>
      <w:r w:rsidRPr="001406D9">
        <w:rPr>
          <w:rFonts w:cs="Arial"/>
          <w:szCs w:val="20"/>
        </w:rPr>
        <w:t xml:space="preserve"> countering terrorism and violent extremism through support aimed at enhancing regional security by addressing radicalisation in prisons and disengaging radicalised prisoners from violence. The actions were designed based on findings of the Council of Europe monitoring bodies and are also tightly linked to the relevant EU accession priorities. </w:t>
      </w:r>
      <w:r>
        <w:rPr>
          <w:rFonts w:cs="Arial"/>
          <w:szCs w:val="20"/>
        </w:rPr>
        <w:t>T</w:t>
      </w:r>
      <w:r w:rsidRPr="001406D9">
        <w:rPr>
          <w:rFonts w:cs="Arial"/>
          <w:szCs w:val="20"/>
        </w:rPr>
        <w:t>he Horizontal Facility operates an Expertise Co-ordination Mechanism (ECM), which delivers ad-hoc legal expertise and policy advice upon request, an instrument that has proven its added value. In addition, expertise is provided upon the requests of the Beneficiaries under the technical co-operation part of HF when such requests fall within the scope of the ongoing actions</w:t>
      </w:r>
      <w:r>
        <w:rPr>
          <w:rFonts w:cs="Arial"/>
          <w:szCs w:val="20"/>
        </w:rPr>
        <w:t xml:space="preserve"> </w:t>
      </w:r>
      <w:r>
        <w:rPr>
          <w:rFonts w:cs="Arial"/>
          <w:iCs/>
          <w:szCs w:val="20"/>
        </w:rPr>
        <w:t xml:space="preserve">(only in 2021 the Council of Europe provided legal or policy expertise in over </w:t>
      </w:r>
      <w:r>
        <w:rPr>
          <w:rFonts w:eastAsia="Times New Roman" w:cstheme="minorHAnsi"/>
          <w:lang w:eastAsia="fr-FR"/>
        </w:rPr>
        <w:t>200 instances)</w:t>
      </w:r>
      <w:r>
        <w:rPr>
          <w:rFonts w:cs="Arial"/>
          <w:szCs w:val="20"/>
        </w:rPr>
        <w:t>. T</w:t>
      </w:r>
      <w:r w:rsidRPr="001406D9">
        <w:rPr>
          <w:rFonts w:cs="Arial"/>
          <w:szCs w:val="20"/>
        </w:rPr>
        <w:t>he</w:t>
      </w:r>
      <w:r w:rsidRPr="001406D9">
        <w:rPr>
          <w:rFonts w:cs="Arial"/>
          <w:bCs/>
          <w:szCs w:val="20"/>
        </w:rPr>
        <w:t xml:space="preserve"> implementation</w:t>
      </w:r>
      <w:r w:rsidRPr="001406D9">
        <w:rPr>
          <w:rFonts w:cs="Arial"/>
          <w:b/>
          <w:szCs w:val="20"/>
        </w:rPr>
        <w:t xml:space="preserve"> </w:t>
      </w:r>
      <w:r w:rsidRPr="001406D9">
        <w:rPr>
          <w:rFonts w:cs="Arial"/>
          <w:szCs w:val="20"/>
        </w:rPr>
        <w:t xml:space="preserve">methodology </w:t>
      </w:r>
      <w:r>
        <w:rPr>
          <w:rFonts w:cs="Arial"/>
          <w:szCs w:val="20"/>
        </w:rPr>
        <w:t>is based on</w:t>
      </w:r>
      <w:r w:rsidRPr="001406D9">
        <w:rPr>
          <w:rFonts w:cs="Arial"/>
          <w:szCs w:val="20"/>
        </w:rPr>
        <w:t xml:space="preserve"> the coherent integration of the CoE “dynamic triangle” (standard-setting, monitoring, co-operation), a stringent results-based approach, strengthened human rights and gender dimensions and increased involvement at local level, engagement of civil society and improved communication (including in local languages) to better reach out to citizens. </w:t>
      </w:r>
    </w:p>
    <w:p w14:paraId="65A16E6A" w14:textId="77777777" w:rsidR="00067458" w:rsidRPr="001406D9" w:rsidRDefault="00067458" w:rsidP="00067458">
      <w:pPr>
        <w:rPr>
          <w:rFonts w:cs="Arial"/>
          <w:szCs w:val="20"/>
        </w:rPr>
      </w:pPr>
    </w:p>
    <w:p w14:paraId="169DAC59" w14:textId="77777777" w:rsidR="00C26A3F" w:rsidRDefault="00C26A3F">
      <w:pPr>
        <w:rPr>
          <w:rFonts w:cs="Arial"/>
          <w:szCs w:val="20"/>
        </w:rPr>
      </w:pPr>
      <w:r>
        <w:rPr>
          <w:rFonts w:cs="Arial"/>
          <w:szCs w:val="20"/>
        </w:rPr>
        <w:br w:type="page"/>
      </w:r>
    </w:p>
    <w:p w14:paraId="7D15D1BD" w14:textId="46611CE1" w:rsidR="00067458" w:rsidRDefault="00067458" w:rsidP="00067458">
      <w:pPr>
        <w:rPr>
          <w:rFonts w:cs="Arial"/>
          <w:szCs w:val="20"/>
        </w:rPr>
      </w:pPr>
      <w:r w:rsidRPr="001406D9">
        <w:rPr>
          <w:rFonts w:cs="Arial"/>
          <w:szCs w:val="20"/>
        </w:rPr>
        <w:t xml:space="preserve">In 2021, a mid-term evaluation conducted for HFII </w:t>
      </w:r>
      <w:r w:rsidRPr="003D619E">
        <w:rPr>
          <w:rFonts w:cs="Arial"/>
          <w:szCs w:val="20"/>
        </w:rPr>
        <w:t>found that numerous, concrete outcomes were achieved in the improvement of legislative and policy frameworks and in the strengthening of beneficiary institutions’ capacities to execute their mandates in line with CoE recommendations and EU standards</w:t>
      </w:r>
      <w:r>
        <w:rPr>
          <w:rFonts w:cs="Arial"/>
          <w:szCs w:val="20"/>
        </w:rPr>
        <w:t xml:space="preserve">. It </w:t>
      </w:r>
      <w:r w:rsidRPr="001406D9">
        <w:rPr>
          <w:rFonts w:cs="Arial"/>
          <w:szCs w:val="20"/>
        </w:rPr>
        <w:t>provid</w:t>
      </w:r>
      <w:r>
        <w:rPr>
          <w:rFonts w:cs="Arial"/>
          <w:szCs w:val="20"/>
        </w:rPr>
        <w:t>ed</w:t>
      </w:r>
      <w:r w:rsidRPr="001406D9">
        <w:rPr>
          <w:rFonts w:cs="Arial"/>
          <w:szCs w:val="20"/>
        </w:rPr>
        <w:t xml:space="preserve"> valuable recommendations for the implementation of the second phase of the Horizontal Facility Programme</w:t>
      </w:r>
      <w:r>
        <w:rPr>
          <w:rFonts w:cs="Arial"/>
          <w:szCs w:val="20"/>
        </w:rPr>
        <w:t xml:space="preserve">, </w:t>
      </w:r>
      <w:r w:rsidRPr="001406D9">
        <w:rPr>
          <w:rFonts w:cs="Arial"/>
          <w:szCs w:val="20"/>
        </w:rPr>
        <w:t>which will feed into the preparation of its third phase.</w:t>
      </w:r>
    </w:p>
    <w:p w14:paraId="491C3BD1" w14:textId="77777777" w:rsidR="00067458" w:rsidRPr="001406D9" w:rsidRDefault="00067458" w:rsidP="00067458">
      <w:pPr>
        <w:rPr>
          <w:rFonts w:cs="Arial"/>
          <w:szCs w:val="20"/>
        </w:rPr>
      </w:pPr>
    </w:p>
    <w:p w14:paraId="5B2F9A04" w14:textId="77777777" w:rsidR="00067458" w:rsidRPr="001406D9" w:rsidRDefault="00067458" w:rsidP="00067458">
      <w:pPr>
        <w:rPr>
          <w:rFonts w:cs="Arial"/>
          <w:szCs w:val="20"/>
        </w:rPr>
      </w:pPr>
      <w:r w:rsidRPr="001406D9">
        <w:rPr>
          <w:rFonts w:cs="Arial"/>
          <w:szCs w:val="20"/>
        </w:rPr>
        <w:t xml:space="preserve">A non-exhaustive list of the results which have been achieved so far includes: </w:t>
      </w:r>
    </w:p>
    <w:p w14:paraId="4C34642B" w14:textId="77777777" w:rsidR="00067458" w:rsidRPr="001406D9" w:rsidRDefault="00067458" w:rsidP="00067458">
      <w:pPr>
        <w:rPr>
          <w:rFonts w:cs="Arial"/>
          <w:szCs w:val="20"/>
        </w:rPr>
      </w:pPr>
    </w:p>
    <w:p w14:paraId="10F3A1DC" w14:textId="77777777" w:rsidR="00067458" w:rsidRPr="001406D9" w:rsidRDefault="00067458" w:rsidP="00067458">
      <w:pPr>
        <w:numPr>
          <w:ilvl w:val="0"/>
          <w:numId w:val="5"/>
        </w:numPr>
        <w:rPr>
          <w:rFonts w:cs="Arial"/>
          <w:szCs w:val="20"/>
        </w:rPr>
      </w:pPr>
      <w:r>
        <w:rPr>
          <w:rFonts w:cs="Arial"/>
          <w:szCs w:val="20"/>
        </w:rPr>
        <w:t>E</w:t>
      </w:r>
      <w:r w:rsidRPr="001406D9">
        <w:rPr>
          <w:rFonts w:cs="Arial"/>
          <w:szCs w:val="20"/>
        </w:rPr>
        <w:t xml:space="preserve">stablishment of a Helpline in Albania to support the process of registration of land property, providing valuable information and guidance to citizens, with a particular focus on women </w:t>
      </w:r>
      <w:proofErr w:type="gramStart"/>
      <w:r w:rsidRPr="001406D9">
        <w:rPr>
          <w:rFonts w:cs="Arial"/>
          <w:szCs w:val="20"/>
        </w:rPr>
        <w:t>owners;</w:t>
      </w:r>
      <w:proofErr w:type="gramEnd"/>
    </w:p>
    <w:p w14:paraId="6D953F66" w14:textId="77777777" w:rsidR="00067458" w:rsidRPr="001406D9" w:rsidRDefault="00067458" w:rsidP="00067458">
      <w:pPr>
        <w:rPr>
          <w:rFonts w:cs="Arial"/>
          <w:szCs w:val="20"/>
        </w:rPr>
      </w:pPr>
    </w:p>
    <w:p w14:paraId="11AE1B07" w14:textId="77777777" w:rsidR="00067458" w:rsidRPr="001406D9" w:rsidRDefault="00067458" w:rsidP="00067458">
      <w:pPr>
        <w:numPr>
          <w:ilvl w:val="0"/>
          <w:numId w:val="5"/>
        </w:numPr>
        <w:rPr>
          <w:rFonts w:cs="Arial"/>
          <w:szCs w:val="20"/>
        </w:rPr>
      </w:pPr>
      <w:r>
        <w:rPr>
          <w:rFonts w:cs="Arial"/>
          <w:szCs w:val="20"/>
        </w:rPr>
        <w:t>A</w:t>
      </w:r>
      <w:r w:rsidRPr="001406D9">
        <w:rPr>
          <w:rFonts w:cs="Arial"/>
          <w:szCs w:val="20"/>
        </w:rPr>
        <w:t xml:space="preserve">doption in Albania of the Law on “Foreign Jurisdictional Relations”, the Law “On Notary” and the Electoral Code’s by-laws prepared with the Council of Europe’s </w:t>
      </w:r>
      <w:proofErr w:type="gramStart"/>
      <w:r w:rsidRPr="001406D9">
        <w:rPr>
          <w:rFonts w:cs="Arial"/>
          <w:szCs w:val="20"/>
        </w:rPr>
        <w:t>assistance;</w:t>
      </w:r>
      <w:proofErr w:type="gramEnd"/>
    </w:p>
    <w:p w14:paraId="5F4F8F77" w14:textId="77777777" w:rsidR="00067458" w:rsidRPr="001406D9" w:rsidRDefault="00067458" w:rsidP="00067458">
      <w:pPr>
        <w:rPr>
          <w:rFonts w:cs="Arial"/>
          <w:szCs w:val="20"/>
        </w:rPr>
      </w:pPr>
    </w:p>
    <w:p w14:paraId="0A3FC3B7" w14:textId="77777777" w:rsidR="00067458" w:rsidRPr="001406D9" w:rsidRDefault="00067458" w:rsidP="00067458">
      <w:pPr>
        <w:numPr>
          <w:ilvl w:val="0"/>
          <w:numId w:val="5"/>
        </w:numPr>
        <w:rPr>
          <w:rFonts w:cs="Arial"/>
          <w:szCs w:val="20"/>
        </w:rPr>
      </w:pPr>
      <w:r>
        <w:rPr>
          <w:rFonts w:cs="Arial"/>
          <w:szCs w:val="20"/>
        </w:rPr>
        <w:t>L</w:t>
      </w:r>
      <w:r w:rsidRPr="001406D9">
        <w:rPr>
          <w:rFonts w:cs="Arial"/>
          <w:szCs w:val="20"/>
        </w:rPr>
        <w:t>aunch in Kosovo*</w:t>
      </w:r>
      <w:r w:rsidRPr="00B70F4C">
        <w:rPr>
          <w:rStyle w:val="FootnoteReference"/>
          <w:rFonts w:cs="Arial"/>
          <w:szCs w:val="20"/>
        </w:rPr>
        <w:footnoteReference w:id="8"/>
      </w:r>
      <w:r w:rsidRPr="001406D9">
        <w:rPr>
          <w:rFonts w:cs="Arial"/>
          <w:szCs w:val="20"/>
        </w:rPr>
        <w:t xml:space="preserve"> of a new online service allowing citizens to apply for criminal record certificates and increasing their access to justice especially in the time of the </w:t>
      </w:r>
      <w:proofErr w:type="gramStart"/>
      <w:r w:rsidRPr="001406D9">
        <w:rPr>
          <w:rFonts w:cs="Arial"/>
          <w:szCs w:val="20"/>
        </w:rPr>
        <w:t>pandemic;</w:t>
      </w:r>
      <w:proofErr w:type="gramEnd"/>
    </w:p>
    <w:p w14:paraId="4B440425" w14:textId="77777777" w:rsidR="00067458" w:rsidRPr="001406D9" w:rsidRDefault="00067458" w:rsidP="00067458">
      <w:pPr>
        <w:rPr>
          <w:rFonts w:cs="Arial"/>
          <w:szCs w:val="20"/>
        </w:rPr>
      </w:pPr>
    </w:p>
    <w:p w14:paraId="0B5FCFEB" w14:textId="77777777" w:rsidR="00067458" w:rsidRPr="001406D9" w:rsidRDefault="00067458" w:rsidP="00067458">
      <w:pPr>
        <w:numPr>
          <w:ilvl w:val="0"/>
          <w:numId w:val="5"/>
        </w:numPr>
        <w:rPr>
          <w:rFonts w:cs="Arial"/>
          <w:szCs w:val="20"/>
        </w:rPr>
      </w:pPr>
      <w:r w:rsidRPr="001406D9">
        <w:rPr>
          <w:rFonts w:cs="Arial"/>
          <w:szCs w:val="20"/>
        </w:rPr>
        <w:t xml:space="preserve">Adoption in North Macedonia of the amendments to the Law on Registry concerning Legal Gender </w:t>
      </w:r>
      <w:proofErr w:type="gramStart"/>
      <w:r w:rsidRPr="001406D9">
        <w:rPr>
          <w:rFonts w:cs="Arial"/>
          <w:szCs w:val="20"/>
        </w:rPr>
        <w:t>Recognition;</w:t>
      </w:r>
      <w:proofErr w:type="gramEnd"/>
    </w:p>
    <w:p w14:paraId="75B820FE" w14:textId="77777777" w:rsidR="00067458" w:rsidRPr="001406D9" w:rsidRDefault="00067458" w:rsidP="00067458">
      <w:pPr>
        <w:rPr>
          <w:rFonts w:cs="Arial"/>
          <w:szCs w:val="20"/>
        </w:rPr>
      </w:pPr>
    </w:p>
    <w:p w14:paraId="33D69A13" w14:textId="77777777" w:rsidR="00067458" w:rsidRPr="001406D9" w:rsidRDefault="00067458" w:rsidP="00067458">
      <w:pPr>
        <w:numPr>
          <w:ilvl w:val="0"/>
          <w:numId w:val="5"/>
        </w:numPr>
        <w:rPr>
          <w:rFonts w:cs="Arial"/>
          <w:szCs w:val="20"/>
        </w:rPr>
      </w:pPr>
      <w:r w:rsidRPr="001406D9">
        <w:rPr>
          <w:rFonts w:cs="Arial"/>
          <w:szCs w:val="20"/>
        </w:rPr>
        <w:t xml:space="preserve">Wide-reach awareness-raising campaign in North Macedonia for Free Legal Aid, with a special focus on women, children, and vulnerable </w:t>
      </w:r>
      <w:proofErr w:type="gramStart"/>
      <w:r w:rsidRPr="001406D9">
        <w:rPr>
          <w:rFonts w:cs="Arial"/>
          <w:szCs w:val="20"/>
        </w:rPr>
        <w:t>groups;</w:t>
      </w:r>
      <w:proofErr w:type="gramEnd"/>
    </w:p>
    <w:p w14:paraId="4AE190A9" w14:textId="77777777" w:rsidR="00067458" w:rsidRPr="001406D9" w:rsidRDefault="00067458" w:rsidP="00067458">
      <w:pPr>
        <w:rPr>
          <w:rFonts w:cs="Arial"/>
          <w:szCs w:val="20"/>
        </w:rPr>
      </w:pPr>
    </w:p>
    <w:p w14:paraId="4A77815B" w14:textId="77777777" w:rsidR="00067458" w:rsidRPr="001406D9" w:rsidRDefault="00067458" w:rsidP="00067458">
      <w:pPr>
        <w:numPr>
          <w:ilvl w:val="0"/>
          <w:numId w:val="5"/>
        </w:numPr>
        <w:rPr>
          <w:rFonts w:cs="Arial"/>
          <w:szCs w:val="20"/>
        </w:rPr>
      </w:pPr>
      <w:r>
        <w:rPr>
          <w:rFonts w:cs="Arial"/>
          <w:szCs w:val="20"/>
        </w:rPr>
        <w:t>R</w:t>
      </w:r>
      <w:r w:rsidRPr="001406D9">
        <w:rPr>
          <w:rFonts w:cs="Arial"/>
          <w:szCs w:val="20"/>
        </w:rPr>
        <w:t xml:space="preserve">evision in Serbia of the Rules of Procedures of the High Judicial Council and the State Prosecutorial Council allowing judges and prosecutors to report undue influence from politicians, media, or </w:t>
      </w:r>
      <w:proofErr w:type="gramStart"/>
      <w:r w:rsidRPr="001406D9">
        <w:rPr>
          <w:rFonts w:cs="Arial"/>
          <w:szCs w:val="20"/>
        </w:rPr>
        <w:t>business;</w:t>
      </w:r>
      <w:proofErr w:type="gramEnd"/>
    </w:p>
    <w:p w14:paraId="65AA515B" w14:textId="77777777" w:rsidR="00067458" w:rsidRPr="001406D9" w:rsidRDefault="00067458" w:rsidP="00067458">
      <w:pPr>
        <w:rPr>
          <w:rFonts w:cs="Arial"/>
          <w:szCs w:val="20"/>
        </w:rPr>
      </w:pPr>
    </w:p>
    <w:p w14:paraId="51FFECF8" w14:textId="77777777" w:rsidR="00067458" w:rsidRPr="001406D9" w:rsidRDefault="00067458" w:rsidP="00067458">
      <w:pPr>
        <w:numPr>
          <w:ilvl w:val="0"/>
          <w:numId w:val="5"/>
        </w:numPr>
        <w:rPr>
          <w:rFonts w:cs="Arial"/>
          <w:szCs w:val="20"/>
        </w:rPr>
      </w:pPr>
      <w:r>
        <w:rPr>
          <w:rFonts w:cs="Arial"/>
          <w:szCs w:val="20"/>
        </w:rPr>
        <w:t>R</w:t>
      </w:r>
      <w:r w:rsidRPr="001406D9">
        <w:rPr>
          <w:rFonts w:cs="Arial"/>
          <w:szCs w:val="20"/>
        </w:rPr>
        <w:t xml:space="preserve">ecommendations provided by the Council of Europe on the amended Anti-discrimination Law as well as on the new Law on Gender Equality and taken into account in the adopted </w:t>
      </w:r>
      <w:proofErr w:type="gramStart"/>
      <w:r w:rsidRPr="001406D9">
        <w:rPr>
          <w:rFonts w:cs="Arial"/>
          <w:szCs w:val="20"/>
        </w:rPr>
        <w:t>legislation;</w:t>
      </w:r>
      <w:proofErr w:type="gramEnd"/>
    </w:p>
    <w:p w14:paraId="6232C8EC" w14:textId="77777777" w:rsidR="00067458" w:rsidRPr="001406D9" w:rsidRDefault="00067458" w:rsidP="00067458">
      <w:pPr>
        <w:rPr>
          <w:rFonts w:cs="Arial"/>
          <w:szCs w:val="20"/>
        </w:rPr>
      </w:pPr>
    </w:p>
    <w:p w14:paraId="5152F5FA" w14:textId="77777777" w:rsidR="00067458" w:rsidRPr="001406D9" w:rsidRDefault="00067458" w:rsidP="00067458">
      <w:pPr>
        <w:numPr>
          <w:ilvl w:val="0"/>
          <w:numId w:val="5"/>
        </w:numPr>
        <w:rPr>
          <w:rFonts w:cs="Arial"/>
          <w:szCs w:val="20"/>
        </w:rPr>
      </w:pPr>
      <w:r>
        <w:rPr>
          <w:rFonts w:cs="Arial"/>
          <w:szCs w:val="20"/>
        </w:rPr>
        <w:t>I</w:t>
      </w:r>
      <w:r w:rsidRPr="001406D9">
        <w:rPr>
          <w:rFonts w:cs="Arial"/>
          <w:szCs w:val="20"/>
        </w:rPr>
        <w:t xml:space="preserve">n Montenegro, adoption of the new Code of Notary Ethics and the Code of Ethics of Court Interpreters and Translators with the support of the Council of </w:t>
      </w:r>
      <w:proofErr w:type="gramStart"/>
      <w:r w:rsidRPr="001406D9">
        <w:rPr>
          <w:rFonts w:cs="Arial"/>
          <w:szCs w:val="20"/>
        </w:rPr>
        <w:t>Europe;</w:t>
      </w:r>
      <w:proofErr w:type="gramEnd"/>
    </w:p>
    <w:p w14:paraId="76B35567" w14:textId="77777777" w:rsidR="00067458" w:rsidRPr="001406D9" w:rsidRDefault="00067458" w:rsidP="00067458">
      <w:pPr>
        <w:rPr>
          <w:rFonts w:cs="Arial"/>
          <w:szCs w:val="20"/>
        </w:rPr>
      </w:pPr>
    </w:p>
    <w:p w14:paraId="58E04B99" w14:textId="77777777" w:rsidR="00067458" w:rsidRPr="001406D9" w:rsidRDefault="00067458" w:rsidP="00067458">
      <w:pPr>
        <w:numPr>
          <w:ilvl w:val="0"/>
          <w:numId w:val="5"/>
        </w:numPr>
        <w:rPr>
          <w:rFonts w:cs="Arial"/>
          <w:szCs w:val="20"/>
        </w:rPr>
      </w:pPr>
      <w:r>
        <w:rPr>
          <w:rFonts w:cs="Arial"/>
          <w:szCs w:val="20"/>
        </w:rPr>
        <w:t>L</w:t>
      </w:r>
      <w:r w:rsidRPr="001406D9">
        <w:rPr>
          <w:rFonts w:cs="Arial"/>
          <w:szCs w:val="20"/>
        </w:rPr>
        <w:t xml:space="preserve">aunch </w:t>
      </w:r>
      <w:r>
        <w:rPr>
          <w:rFonts w:cs="Arial"/>
          <w:szCs w:val="20"/>
        </w:rPr>
        <w:t>i</w:t>
      </w:r>
      <w:r w:rsidRPr="001406D9">
        <w:rPr>
          <w:rFonts w:cs="Arial"/>
          <w:szCs w:val="20"/>
        </w:rPr>
        <w:t xml:space="preserve">n Montenegro of the legal clinic on human rights improving access to free legal aid services for disadvantaged and marginalised </w:t>
      </w:r>
      <w:proofErr w:type="gramStart"/>
      <w:r w:rsidRPr="001406D9">
        <w:rPr>
          <w:rFonts w:cs="Arial"/>
          <w:szCs w:val="20"/>
        </w:rPr>
        <w:t>groups;</w:t>
      </w:r>
      <w:proofErr w:type="gramEnd"/>
    </w:p>
    <w:p w14:paraId="2FC11E1A" w14:textId="77777777" w:rsidR="00067458" w:rsidRPr="001406D9" w:rsidRDefault="00067458" w:rsidP="00067458">
      <w:pPr>
        <w:rPr>
          <w:rFonts w:cs="Arial"/>
          <w:szCs w:val="20"/>
        </w:rPr>
      </w:pPr>
    </w:p>
    <w:p w14:paraId="1EAC860B" w14:textId="77777777" w:rsidR="00067458" w:rsidRPr="001406D9" w:rsidRDefault="00067458" w:rsidP="00067458">
      <w:pPr>
        <w:numPr>
          <w:ilvl w:val="0"/>
          <w:numId w:val="5"/>
        </w:numPr>
        <w:rPr>
          <w:rFonts w:cs="Arial"/>
          <w:szCs w:val="20"/>
        </w:rPr>
      </w:pPr>
      <w:r w:rsidRPr="001406D9">
        <w:rPr>
          <w:rFonts w:cs="Arial"/>
          <w:szCs w:val="20"/>
        </w:rPr>
        <w:t xml:space="preserve">Launch of the local No Hate Speech campaign ‘Block the Hatred; Share the Love’ in Kosovo*, Montenegro and North </w:t>
      </w:r>
      <w:proofErr w:type="gramStart"/>
      <w:r w:rsidRPr="001406D9">
        <w:rPr>
          <w:rFonts w:cs="Arial"/>
          <w:szCs w:val="20"/>
        </w:rPr>
        <w:t>Macedonia;</w:t>
      </w:r>
      <w:proofErr w:type="gramEnd"/>
      <w:r w:rsidRPr="001406D9">
        <w:rPr>
          <w:rFonts w:cs="Arial"/>
          <w:szCs w:val="20"/>
        </w:rPr>
        <w:t xml:space="preserve"> </w:t>
      </w:r>
    </w:p>
    <w:p w14:paraId="5B9F091E" w14:textId="77777777" w:rsidR="00067458" w:rsidRPr="001406D9" w:rsidRDefault="00067458" w:rsidP="00067458">
      <w:pPr>
        <w:rPr>
          <w:rFonts w:cs="Arial"/>
          <w:szCs w:val="20"/>
        </w:rPr>
      </w:pPr>
    </w:p>
    <w:p w14:paraId="7F2DBBC8" w14:textId="77777777" w:rsidR="00067458" w:rsidRDefault="00067458" w:rsidP="00067458">
      <w:pPr>
        <w:numPr>
          <w:ilvl w:val="0"/>
          <w:numId w:val="5"/>
        </w:numPr>
        <w:rPr>
          <w:rFonts w:cs="Arial"/>
          <w:szCs w:val="20"/>
        </w:rPr>
      </w:pPr>
      <w:r w:rsidRPr="001406D9">
        <w:rPr>
          <w:rFonts w:cs="Arial"/>
          <w:szCs w:val="20"/>
        </w:rPr>
        <w:t xml:space="preserve">In the region, launch of the third cycle of data collection on the platform CEPEJ </w:t>
      </w:r>
      <w:proofErr w:type="gramStart"/>
      <w:r w:rsidRPr="001406D9">
        <w:rPr>
          <w:rFonts w:cs="Arial"/>
          <w:szCs w:val="20"/>
        </w:rPr>
        <w:t>Collect;</w:t>
      </w:r>
      <w:proofErr w:type="gramEnd"/>
    </w:p>
    <w:p w14:paraId="1889D97A" w14:textId="77777777" w:rsidR="00067458" w:rsidRPr="001406D9" w:rsidRDefault="00067458" w:rsidP="00067458">
      <w:pPr>
        <w:rPr>
          <w:rFonts w:cs="Arial"/>
          <w:szCs w:val="20"/>
        </w:rPr>
      </w:pPr>
    </w:p>
    <w:p w14:paraId="7B68CD7F" w14:textId="77777777" w:rsidR="00067458" w:rsidRPr="001406D9" w:rsidRDefault="00067458" w:rsidP="00067458">
      <w:pPr>
        <w:numPr>
          <w:ilvl w:val="0"/>
          <w:numId w:val="5"/>
        </w:numPr>
        <w:rPr>
          <w:rFonts w:cs="Arial"/>
          <w:szCs w:val="20"/>
        </w:rPr>
      </w:pPr>
      <w:r>
        <w:rPr>
          <w:rFonts w:cs="Arial"/>
          <w:szCs w:val="20"/>
        </w:rPr>
        <w:t>R</w:t>
      </w:r>
      <w:r w:rsidRPr="001406D9">
        <w:rPr>
          <w:rFonts w:cs="Arial"/>
          <w:szCs w:val="20"/>
        </w:rPr>
        <w:t xml:space="preserve">egional assessment of corruption risks in public procurement practices, including a comprehensive legal mapping of procurement-related laws in the </w:t>
      </w:r>
      <w:proofErr w:type="gramStart"/>
      <w:r w:rsidRPr="001406D9">
        <w:rPr>
          <w:rFonts w:cs="Arial"/>
          <w:szCs w:val="20"/>
        </w:rPr>
        <w:t>region;</w:t>
      </w:r>
      <w:proofErr w:type="gramEnd"/>
    </w:p>
    <w:p w14:paraId="7EA07978" w14:textId="77777777" w:rsidR="00067458" w:rsidRPr="001406D9" w:rsidRDefault="00067458" w:rsidP="00067458">
      <w:pPr>
        <w:ind w:left="1080"/>
        <w:rPr>
          <w:rFonts w:cs="Arial"/>
          <w:szCs w:val="20"/>
        </w:rPr>
      </w:pPr>
    </w:p>
    <w:p w14:paraId="6D60E601" w14:textId="77777777" w:rsidR="00067458" w:rsidRPr="001406D9" w:rsidRDefault="00067458" w:rsidP="00067458">
      <w:pPr>
        <w:numPr>
          <w:ilvl w:val="0"/>
          <w:numId w:val="5"/>
        </w:numPr>
        <w:rPr>
          <w:rFonts w:cs="Arial"/>
          <w:szCs w:val="20"/>
        </w:rPr>
      </w:pPr>
      <w:r>
        <w:rPr>
          <w:rFonts w:cs="Arial"/>
          <w:szCs w:val="20"/>
        </w:rPr>
        <w:t>A</w:t>
      </w:r>
      <w:r w:rsidRPr="001406D9">
        <w:rPr>
          <w:rFonts w:cs="Arial"/>
          <w:szCs w:val="20"/>
        </w:rPr>
        <w:t>s regards the ECM, assistance was provided to Albania, Bosnia and Herzegovina</w:t>
      </w:r>
      <w:r w:rsidRPr="001406D9" w:rsidDel="00495817">
        <w:rPr>
          <w:rFonts w:cs="Arial"/>
          <w:szCs w:val="20"/>
        </w:rPr>
        <w:t>,</w:t>
      </w:r>
      <w:r w:rsidRPr="001406D9">
        <w:rPr>
          <w:rFonts w:cs="Arial"/>
          <w:szCs w:val="20"/>
        </w:rPr>
        <w:t xml:space="preserve"> Kosovo*, Montenegro, North </w:t>
      </w:r>
      <w:proofErr w:type="gramStart"/>
      <w:r w:rsidRPr="001406D9">
        <w:rPr>
          <w:rFonts w:cs="Arial"/>
          <w:szCs w:val="20"/>
        </w:rPr>
        <w:t>Macedonia</w:t>
      </w:r>
      <w:proofErr w:type="gramEnd"/>
      <w:r w:rsidRPr="001406D9">
        <w:rPr>
          <w:rFonts w:cs="Arial"/>
          <w:szCs w:val="20"/>
        </w:rPr>
        <w:t xml:space="preserve"> and Serbia in the areas of gender equality, electoral and constitutional matters, High Judicial and Prosecutorial Council, State Prosecutor’s Service, Prevention of Conflict of Interest in the Institutions etc. </w:t>
      </w:r>
    </w:p>
    <w:p w14:paraId="3964A67B" w14:textId="77777777" w:rsidR="00067458" w:rsidRPr="001406D9" w:rsidRDefault="00067458" w:rsidP="00067458">
      <w:pPr>
        <w:rPr>
          <w:rFonts w:cs="Arial"/>
          <w:szCs w:val="20"/>
        </w:rPr>
      </w:pPr>
    </w:p>
    <w:p w14:paraId="4ECD8739" w14:textId="77777777" w:rsidR="00C26A3F" w:rsidRDefault="00067458" w:rsidP="00067458">
      <w:pPr>
        <w:rPr>
          <w:rFonts w:cs="Arial"/>
          <w:szCs w:val="20"/>
        </w:rPr>
      </w:pPr>
      <w:r w:rsidRPr="001406D9">
        <w:rPr>
          <w:rFonts w:cs="Arial"/>
          <w:szCs w:val="20"/>
        </w:rPr>
        <w:t>The Horizontal Facility - II is complemented by four Beneficiary-specific and two regional programmes. The Joint Programme “Human resources management in local self-governments Phase II” (€</w:t>
      </w:r>
      <w:r>
        <w:rPr>
          <w:rFonts w:cs="Arial"/>
          <w:szCs w:val="20"/>
        </w:rPr>
        <w:t xml:space="preserve">4 </w:t>
      </w:r>
      <w:r w:rsidRPr="001406D9">
        <w:rPr>
          <w:rFonts w:cs="Arial"/>
          <w:szCs w:val="20"/>
        </w:rPr>
        <w:t>million) has been running in Serbia since the end of 2018, and the Joint Programme on “Support for the implementation of judicial reform in Serbia”</w:t>
      </w:r>
      <w:r>
        <w:rPr>
          <w:rFonts w:cs="Arial"/>
          <w:szCs w:val="20"/>
        </w:rPr>
        <w:t xml:space="preserve"> (total: </w:t>
      </w:r>
      <w:r w:rsidRPr="001406D9">
        <w:rPr>
          <w:rFonts w:cs="Arial"/>
          <w:szCs w:val="20"/>
        </w:rPr>
        <w:t>€</w:t>
      </w:r>
      <w:r>
        <w:rPr>
          <w:rFonts w:cs="Arial"/>
          <w:szCs w:val="20"/>
        </w:rPr>
        <w:t xml:space="preserve">3.3 million) </w:t>
      </w:r>
      <w:r w:rsidRPr="001406D9">
        <w:rPr>
          <w:rFonts w:cs="Arial"/>
          <w:szCs w:val="20"/>
        </w:rPr>
        <w:t>was signed in 2021 with a starting date on 1 January 2022. Two programmes operate in Kosovo</w:t>
      </w:r>
      <w:r w:rsidRPr="00061A1A">
        <w:rPr>
          <w:rFonts w:cs="Arial"/>
          <w:szCs w:val="20"/>
        </w:rPr>
        <w:t>*</w:t>
      </w:r>
      <w:r w:rsidRPr="001406D9">
        <w:rPr>
          <w:rFonts w:cs="Arial"/>
          <w:szCs w:val="20"/>
        </w:rPr>
        <w:t xml:space="preserve"> - “Building capacity for inclusion in education – INCLUDE” (total: €2.2 million) and “Project against economic crime (PECK) Phase III” (total: €2.5 million), both launched in 2020. As regards regional programmes, these include i-PROCEEDS-II (total: €4.9 million), a programme on co-</w:t>
      </w:r>
    </w:p>
    <w:p w14:paraId="766121A7" w14:textId="77777777" w:rsidR="00C26A3F" w:rsidRDefault="00C26A3F">
      <w:pPr>
        <w:rPr>
          <w:rFonts w:cs="Arial"/>
          <w:szCs w:val="20"/>
        </w:rPr>
      </w:pPr>
      <w:r>
        <w:rPr>
          <w:rFonts w:cs="Arial"/>
          <w:szCs w:val="20"/>
        </w:rPr>
        <w:br w:type="page"/>
      </w:r>
    </w:p>
    <w:p w14:paraId="655388BC" w14:textId="3DC980DB" w:rsidR="00067458" w:rsidRDefault="00067458" w:rsidP="00067458">
      <w:pPr>
        <w:rPr>
          <w:rFonts w:cs="Arial"/>
          <w:szCs w:val="20"/>
        </w:rPr>
      </w:pPr>
      <w:r w:rsidRPr="001406D9">
        <w:rPr>
          <w:rFonts w:cs="Arial"/>
          <w:szCs w:val="20"/>
        </w:rPr>
        <w:t xml:space="preserve">operation against cybercrime, targeting crime proceeds on the Internet and securing electronic evidence and ROMACTED </w:t>
      </w:r>
      <w:r>
        <w:rPr>
          <w:rFonts w:cs="Arial"/>
          <w:szCs w:val="20"/>
        </w:rPr>
        <w:t xml:space="preserve">II </w:t>
      </w:r>
      <w:r w:rsidRPr="001406D9">
        <w:rPr>
          <w:rFonts w:cs="Arial"/>
          <w:szCs w:val="20"/>
        </w:rPr>
        <w:t>(total: €6.5 million)</w:t>
      </w:r>
      <w:r>
        <w:rPr>
          <w:rFonts w:cs="Arial"/>
          <w:szCs w:val="20"/>
        </w:rPr>
        <w:t xml:space="preserve"> launched in 2021</w:t>
      </w:r>
      <w:r w:rsidRPr="001406D9">
        <w:rPr>
          <w:rFonts w:cs="Arial"/>
          <w:szCs w:val="20"/>
        </w:rPr>
        <w:t xml:space="preserve"> which promotes good governance and Roma empowerment at local level</w:t>
      </w:r>
      <w:r>
        <w:rPr>
          <w:rFonts w:cs="Arial"/>
          <w:szCs w:val="20"/>
        </w:rPr>
        <w:t xml:space="preserve"> </w:t>
      </w:r>
      <w:r w:rsidRPr="001406D9">
        <w:rPr>
          <w:rFonts w:cs="Arial"/>
          <w:szCs w:val="20"/>
        </w:rPr>
        <w:t xml:space="preserve">and incorporates relief measures to address the negative effects of the pandemic on Roma. </w:t>
      </w:r>
    </w:p>
    <w:p w14:paraId="50B17C26" w14:textId="77777777" w:rsidR="00067458" w:rsidRPr="0087557D" w:rsidRDefault="00067458" w:rsidP="00067458">
      <w:pPr>
        <w:contextualSpacing/>
        <w:rPr>
          <w:rFonts w:cs="Arial"/>
          <w:szCs w:val="20"/>
        </w:rPr>
      </w:pPr>
    </w:p>
    <w:p w14:paraId="43F48E34" w14:textId="77777777" w:rsidR="00067458" w:rsidRPr="0087557D" w:rsidRDefault="00067458" w:rsidP="00067458">
      <w:pPr>
        <w:numPr>
          <w:ilvl w:val="0"/>
          <w:numId w:val="2"/>
        </w:numPr>
        <w:tabs>
          <w:tab w:val="left" w:pos="709"/>
        </w:tabs>
        <w:ind w:left="0" w:firstLine="0"/>
        <w:rPr>
          <w:rFonts w:eastAsia="Times New Roman" w:cs="Arial"/>
          <w:b/>
          <w:szCs w:val="20"/>
          <w:lang w:eastAsia="fr-FR"/>
        </w:rPr>
      </w:pPr>
      <w:r w:rsidRPr="0087557D">
        <w:rPr>
          <w:rFonts w:eastAsia="Times New Roman" w:cs="Arial"/>
          <w:b/>
          <w:szCs w:val="20"/>
          <w:lang w:eastAsia="fr-FR"/>
        </w:rPr>
        <w:t xml:space="preserve">Joint Programmes in Turkey </w:t>
      </w:r>
    </w:p>
    <w:p w14:paraId="180036E9" w14:textId="77777777" w:rsidR="00067458" w:rsidRPr="0087557D" w:rsidRDefault="00067458" w:rsidP="00067458">
      <w:pPr>
        <w:rPr>
          <w:rFonts w:eastAsia="Times New Roman" w:cs="Arial"/>
          <w:szCs w:val="20"/>
          <w:lang w:eastAsia="fr-FR"/>
        </w:rPr>
      </w:pPr>
    </w:p>
    <w:p w14:paraId="5B475033" w14:textId="77777777" w:rsidR="00067458" w:rsidRPr="001406D9" w:rsidRDefault="00067458" w:rsidP="00067458">
      <w:pPr>
        <w:rPr>
          <w:rFonts w:eastAsia="Times New Roman" w:cs="Arial"/>
          <w:b/>
          <w:szCs w:val="20"/>
          <w:lang w:eastAsia="fr-FR"/>
        </w:rPr>
      </w:pPr>
      <w:r w:rsidRPr="001406D9">
        <w:rPr>
          <w:rFonts w:eastAsia="Times New Roman" w:cs="Arial"/>
          <w:szCs w:val="20"/>
          <w:lang w:eastAsia="fr-FR"/>
        </w:rPr>
        <w:t xml:space="preserve">Turkey has traditionally been the biggest single country-recipient of Joint Programme co-operation and maintained its position in 2021, with nine country-specific programmes under implementation in 2021. </w:t>
      </w:r>
    </w:p>
    <w:p w14:paraId="59DCA046" w14:textId="77777777" w:rsidR="00067458" w:rsidRPr="001406D9" w:rsidRDefault="00067458" w:rsidP="00067458">
      <w:pPr>
        <w:rPr>
          <w:rFonts w:eastAsia="Times New Roman" w:cs="Arial"/>
          <w:szCs w:val="20"/>
          <w:lang w:eastAsia="fr-FR"/>
        </w:rPr>
      </w:pPr>
    </w:p>
    <w:p w14:paraId="7FFD7EE8" w14:textId="77777777" w:rsidR="00067458" w:rsidRPr="001406D9" w:rsidRDefault="00067458" w:rsidP="00067458">
      <w:pPr>
        <w:rPr>
          <w:rFonts w:eastAsia="Times New Roman" w:cs="Arial"/>
          <w:szCs w:val="20"/>
          <w:lang w:eastAsia="fr-FR"/>
        </w:rPr>
      </w:pPr>
      <w:r w:rsidRPr="001406D9">
        <w:rPr>
          <w:rFonts w:eastAsia="Times New Roman" w:cs="Arial"/>
          <w:szCs w:val="20"/>
          <w:lang w:eastAsia="fr-FR"/>
        </w:rPr>
        <w:t xml:space="preserve">More specifically, these include:  </w:t>
      </w:r>
    </w:p>
    <w:p w14:paraId="3AFA968C" w14:textId="77777777" w:rsidR="00067458" w:rsidRPr="001406D9" w:rsidRDefault="00067458" w:rsidP="00067458">
      <w:pPr>
        <w:numPr>
          <w:ilvl w:val="0"/>
          <w:numId w:val="3"/>
        </w:numPr>
        <w:rPr>
          <w:rFonts w:eastAsia="Times New Roman" w:cs="Arial"/>
          <w:szCs w:val="20"/>
          <w:lang w:eastAsia="fr-FR"/>
        </w:rPr>
      </w:pPr>
      <w:r w:rsidRPr="001406D9">
        <w:rPr>
          <w:rFonts w:eastAsia="Times New Roman" w:cs="Arial"/>
          <w:szCs w:val="20"/>
          <w:lang w:eastAsia="fr-FR"/>
        </w:rPr>
        <w:t xml:space="preserve">the programmes “Generation Democracy - Strengthening a culture of democracy in basic education institutions” (total: €4 million) and “Strengthening the capacity of the bar associations and lawyers on European Human Rights standards” (SCOBAL; total €3.9 million), operating since </w:t>
      </w:r>
      <w:proofErr w:type="gramStart"/>
      <w:r w:rsidRPr="001406D9">
        <w:rPr>
          <w:rFonts w:eastAsia="Times New Roman" w:cs="Arial"/>
          <w:szCs w:val="20"/>
          <w:lang w:eastAsia="fr-FR"/>
        </w:rPr>
        <w:t>2018;</w:t>
      </w:r>
      <w:proofErr w:type="gramEnd"/>
      <w:r w:rsidRPr="001406D9">
        <w:rPr>
          <w:rFonts w:eastAsia="Times New Roman" w:cs="Arial"/>
          <w:szCs w:val="20"/>
          <w:lang w:eastAsia="fr-FR"/>
        </w:rPr>
        <w:t xml:space="preserve"> </w:t>
      </w:r>
    </w:p>
    <w:p w14:paraId="3A6E53E6" w14:textId="77777777" w:rsidR="00067458" w:rsidRPr="001406D9" w:rsidRDefault="00067458" w:rsidP="00067458">
      <w:pPr>
        <w:rPr>
          <w:rFonts w:eastAsia="Times New Roman" w:cs="Arial"/>
          <w:szCs w:val="20"/>
          <w:lang w:eastAsia="fr-FR"/>
        </w:rPr>
      </w:pPr>
    </w:p>
    <w:p w14:paraId="35956CA2" w14:textId="77777777" w:rsidR="00067458" w:rsidRPr="001406D9" w:rsidRDefault="00067458" w:rsidP="00067458">
      <w:pPr>
        <w:numPr>
          <w:ilvl w:val="0"/>
          <w:numId w:val="3"/>
        </w:numPr>
        <w:rPr>
          <w:rFonts w:eastAsia="Times New Roman" w:cs="Arial"/>
          <w:szCs w:val="20"/>
          <w:lang w:eastAsia="fr-FR"/>
        </w:rPr>
      </w:pPr>
      <w:r w:rsidRPr="001406D9">
        <w:rPr>
          <w:rFonts w:eastAsia="Times New Roman" w:cs="Arial"/>
          <w:szCs w:val="20"/>
          <w:lang w:eastAsia="fr-FR"/>
        </w:rPr>
        <w:t>three programmes launched in 2019 - in the field of criminal justice (total €5 million), administrative justice (total €3.3 million), and on the Court of Cassation (total €3 million</w:t>
      </w:r>
      <w:proofErr w:type="gramStart"/>
      <w:r w:rsidRPr="001406D9">
        <w:rPr>
          <w:rFonts w:eastAsia="Times New Roman" w:cs="Arial"/>
          <w:szCs w:val="20"/>
          <w:lang w:eastAsia="fr-FR"/>
        </w:rPr>
        <w:t>);</w:t>
      </w:r>
      <w:proofErr w:type="gramEnd"/>
    </w:p>
    <w:p w14:paraId="407540AB" w14:textId="77777777" w:rsidR="00067458" w:rsidRPr="001406D9" w:rsidRDefault="00067458" w:rsidP="00067458">
      <w:pPr>
        <w:rPr>
          <w:rFonts w:eastAsia="Times New Roman" w:cs="Arial"/>
          <w:szCs w:val="20"/>
          <w:lang w:eastAsia="fr-FR"/>
        </w:rPr>
      </w:pPr>
    </w:p>
    <w:p w14:paraId="6D3EB457" w14:textId="77777777" w:rsidR="00067458" w:rsidRPr="001406D9" w:rsidRDefault="00067458" w:rsidP="00067458">
      <w:pPr>
        <w:numPr>
          <w:ilvl w:val="0"/>
          <w:numId w:val="3"/>
        </w:numPr>
        <w:rPr>
          <w:rFonts w:eastAsia="Times New Roman" w:cs="Arial"/>
          <w:szCs w:val="20"/>
          <w:lang w:eastAsia="fr-FR"/>
        </w:rPr>
      </w:pPr>
      <w:r w:rsidRPr="001406D9">
        <w:rPr>
          <w:rFonts w:eastAsia="Times New Roman" w:cs="Arial"/>
          <w:szCs w:val="20"/>
          <w:lang w:eastAsia="fr-FR"/>
        </w:rPr>
        <w:t>four launched in 2021 – on international co-operation in criminal matters (total €3 million), on alternative dispute resolution methods (total €4 million), on family courts (total €2.2 million) and on the implementation of Turkish Constitutional Court judgments in the field of fundamental rights (total €5.5 million).</w:t>
      </w:r>
    </w:p>
    <w:p w14:paraId="19994DBE" w14:textId="77777777" w:rsidR="00067458" w:rsidRPr="001406D9" w:rsidRDefault="00067458" w:rsidP="00067458">
      <w:pPr>
        <w:rPr>
          <w:rFonts w:eastAsia="Times New Roman" w:cs="Arial"/>
          <w:szCs w:val="20"/>
          <w:lang w:eastAsia="fr-FR"/>
        </w:rPr>
      </w:pPr>
    </w:p>
    <w:p w14:paraId="2948274D" w14:textId="77777777" w:rsidR="00067458" w:rsidRPr="001406D9" w:rsidRDefault="00067458" w:rsidP="00067458">
      <w:pPr>
        <w:rPr>
          <w:rFonts w:eastAsia="Times New Roman" w:cs="Arial"/>
          <w:szCs w:val="20"/>
          <w:lang w:eastAsia="fr-FR"/>
        </w:rPr>
      </w:pPr>
      <w:r w:rsidRPr="001406D9">
        <w:rPr>
          <w:rFonts w:eastAsia="Times New Roman" w:cs="Arial"/>
          <w:szCs w:val="20"/>
          <w:lang w:eastAsia="fr-FR"/>
        </w:rPr>
        <w:t xml:space="preserve">In the context of the Covid-19 crisis, active mitigation measures continued to </w:t>
      </w:r>
      <w:r>
        <w:rPr>
          <w:rFonts w:eastAsia="Times New Roman" w:cs="Arial"/>
          <w:szCs w:val="20"/>
          <w:lang w:eastAsia="fr-FR"/>
        </w:rPr>
        <w:t xml:space="preserve">be </w:t>
      </w:r>
      <w:r w:rsidRPr="001406D9">
        <w:rPr>
          <w:rFonts w:eastAsia="Times New Roman" w:cs="Arial"/>
          <w:szCs w:val="20"/>
          <w:lang w:eastAsia="fr-FR"/>
        </w:rPr>
        <w:t>deployed by the project management teams with the help of the Programme Office in Ankara. A no-cost extension was granted for the programme on administrative justice.</w:t>
      </w:r>
    </w:p>
    <w:p w14:paraId="50186E11" w14:textId="77777777" w:rsidR="00067458" w:rsidRPr="001406D9" w:rsidRDefault="00067458" w:rsidP="00067458">
      <w:pPr>
        <w:rPr>
          <w:rFonts w:eastAsia="Times New Roman" w:cs="Arial"/>
          <w:szCs w:val="20"/>
          <w:lang w:eastAsia="fr-FR"/>
        </w:rPr>
      </w:pPr>
    </w:p>
    <w:p w14:paraId="54436BC0" w14:textId="77777777" w:rsidR="00067458" w:rsidRDefault="00067458" w:rsidP="00067458">
      <w:pPr>
        <w:rPr>
          <w:rFonts w:eastAsia="Times New Roman" w:cs="Arial"/>
          <w:szCs w:val="20"/>
          <w:lang w:eastAsia="fr-FR"/>
        </w:rPr>
      </w:pPr>
      <w:r w:rsidRPr="001406D9">
        <w:rPr>
          <w:rFonts w:eastAsia="Times New Roman" w:cs="Arial"/>
          <w:szCs w:val="20"/>
          <w:lang w:eastAsia="fr-FR"/>
        </w:rPr>
        <w:t xml:space="preserve">Some of the noteworthy results are as follows: </w:t>
      </w:r>
    </w:p>
    <w:p w14:paraId="6A659D0D" w14:textId="0A8841E1" w:rsidR="00067458" w:rsidRDefault="00067458" w:rsidP="00067458">
      <w:pPr>
        <w:numPr>
          <w:ilvl w:val="0"/>
          <w:numId w:val="12"/>
        </w:numPr>
        <w:rPr>
          <w:rFonts w:eastAsia="Times New Roman" w:cs="Arial"/>
          <w:szCs w:val="20"/>
          <w:lang w:eastAsia="fr-FR"/>
        </w:rPr>
      </w:pPr>
      <w:r>
        <w:rPr>
          <w:rFonts w:eastAsia="Times New Roman" w:cs="Arial"/>
          <w:szCs w:val="20"/>
          <w:lang w:eastAsia="fr-FR"/>
        </w:rPr>
        <w:t>t</w:t>
      </w:r>
      <w:r w:rsidRPr="001406D9">
        <w:rPr>
          <w:rFonts w:eastAsia="Times New Roman" w:cs="Arial"/>
          <w:szCs w:val="20"/>
          <w:lang w:eastAsia="fr-FR"/>
        </w:rPr>
        <w:t>he development of the IT Tool</w:t>
      </w:r>
      <w:r>
        <w:rPr>
          <w:rFonts w:eastAsia="Times New Roman" w:cs="Arial"/>
          <w:szCs w:val="20"/>
          <w:lang w:eastAsia="fr-FR"/>
        </w:rPr>
        <w:t xml:space="preserve"> was completed. It </w:t>
      </w:r>
      <w:r w:rsidRPr="001406D9">
        <w:rPr>
          <w:rFonts w:eastAsia="Times New Roman" w:cs="Arial"/>
          <w:szCs w:val="20"/>
          <w:lang w:eastAsia="fr-FR"/>
        </w:rPr>
        <w:t xml:space="preserve">will </w:t>
      </w:r>
      <w:r>
        <w:rPr>
          <w:rFonts w:eastAsia="Times New Roman" w:cs="Arial"/>
          <w:szCs w:val="20"/>
          <w:lang w:eastAsia="fr-FR"/>
        </w:rPr>
        <w:t>provide</w:t>
      </w:r>
      <w:r w:rsidRPr="001406D9">
        <w:rPr>
          <w:rFonts w:eastAsia="Times New Roman" w:cs="Arial"/>
          <w:szCs w:val="20"/>
          <w:lang w:eastAsia="fr-FR"/>
        </w:rPr>
        <w:t xml:space="preserve"> a communication network between the Union of Turkish Bar Associations (UTBA) and the Human Rights Centre (HRC) of regional bar associations and serve as a database of practice related to human rights violations at local level. The IT tool is in use by the UTBA and the pilot bar associations.</w:t>
      </w:r>
      <w:r w:rsidR="00BA10C5">
        <w:rPr>
          <w:rFonts w:eastAsia="Times New Roman" w:cs="Arial"/>
          <w:szCs w:val="20"/>
          <w:lang w:eastAsia="fr-FR"/>
        </w:rPr>
        <w:t xml:space="preserve"> </w:t>
      </w:r>
      <w:r>
        <w:rPr>
          <w:rFonts w:eastAsia="Times New Roman" w:cs="Arial"/>
          <w:szCs w:val="20"/>
          <w:lang w:eastAsia="fr-FR"/>
        </w:rPr>
        <w:t>A t</w:t>
      </w:r>
      <w:r w:rsidRPr="001406D9">
        <w:rPr>
          <w:rFonts w:eastAsia="Times New Roman" w:cs="Arial"/>
          <w:szCs w:val="20"/>
          <w:lang w:eastAsia="fr-FR"/>
        </w:rPr>
        <w:t xml:space="preserve">utored HELP course on admissibility of applications before the ECtHR was made available to a group of 200 lawyers and 56 of them received completion certificates so far. More than 3 750 lawyers took part in the cascade training </w:t>
      </w:r>
      <w:proofErr w:type="gramStart"/>
      <w:r w:rsidRPr="001406D9">
        <w:rPr>
          <w:rFonts w:eastAsia="Times New Roman" w:cs="Arial"/>
          <w:szCs w:val="20"/>
          <w:lang w:eastAsia="fr-FR"/>
        </w:rPr>
        <w:t>sessions</w:t>
      </w:r>
      <w:r>
        <w:rPr>
          <w:rFonts w:eastAsia="Times New Roman" w:cs="Arial"/>
          <w:szCs w:val="20"/>
          <w:lang w:eastAsia="fr-FR"/>
        </w:rPr>
        <w:t>;</w:t>
      </w:r>
      <w:proofErr w:type="gramEnd"/>
    </w:p>
    <w:p w14:paraId="5746F242" w14:textId="77777777" w:rsidR="00067458" w:rsidRPr="001406D9" w:rsidRDefault="00067458" w:rsidP="00067458">
      <w:pPr>
        <w:ind w:left="1080"/>
        <w:rPr>
          <w:rFonts w:eastAsia="Times New Roman" w:cs="Arial"/>
          <w:szCs w:val="20"/>
          <w:lang w:eastAsia="fr-FR"/>
        </w:rPr>
      </w:pPr>
    </w:p>
    <w:p w14:paraId="57C8B574" w14:textId="77777777" w:rsidR="00067458" w:rsidRPr="001406D9" w:rsidRDefault="00067458" w:rsidP="00067458">
      <w:pPr>
        <w:numPr>
          <w:ilvl w:val="0"/>
          <w:numId w:val="12"/>
        </w:numPr>
        <w:rPr>
          <w:rFonts w:eastAsia="Times New Roman" w:cs="Arial"/>
          <w:szCs w:val="20"/>
          <w:lang w:eastAsia="fr-FR"/>
        </w:rPr>
      </w:pPr>
      <w:r w:rsidRPr="001406D9">
        <w:rPr>
          <w:rFonts w:eastAsia="Times New Roman" w:cs="Arial"/>
          <w:szCs w:val="20"/>
          <w:lang w:eastAsia="fr-FR"/>
        </w:rPr>
        <w:t xml:space="preserve">a “Whole School Model” was developed based on the CoE Reference Framework of Competences for Democratic Culture. A pilot implementation, starting in 110 schools throughout 10 pilot provinces, to test the educational materials and the “Whole School Model” was </w:t>
      </w:r>
      <w:proofErr w:type="gramStart"/>
      <w:r w:rsidRPr="001406D9">
        <w:rPr>
          <w:rFonts w:eastAsia="Times New Roman" w:cs="Arial"/>
          <w:szCs w:val="20"/>
          <w:lang w:eastAsia="fr-FR"/>
        </w:rPr>
        <w:t>launched;</w:t>
      </w:r>
      <w:proofErr w:type="gramEnd"/>
      <w:r w:rsidRPr="001406D9">
        <w:rPr>
          <w:rFonts w:eastAsia="Times New Roman" w:cs="Arial"/>
          <w:szCs w:val="20"/>
          <w:lang w:eastAsia="fr-FR"/>
        </w:rPr>
        <w:t xml:space="preserve"> </w:t>
      </w:r>
    </w:p>
    <w:p w14:paraId="49E5F70F" w14:textId="77777777" w:rsidR="00067458" w:rsidRPr="001406D9" w:rsidRDefault="00067458" w:rsidP="00067458">
      <w:pPr>
        <w:rPr>
          <w:rFonts w:eastAsia="Times New Roman" w:cs="Arial"/>
          <w:szCs w:val="20"/>
          <w:lang w:eastAsia="fr-FR"/>
        </w:rPr>
      </w:pPr>
    </w:p>
    <w:p w14:paraId="1643E513" w14:textId="77777777" w:rsidR="00067458" w:rsidRPr="001406D9" w:rsidRDefault="00067458" w:rsidP="00067458">
      <w:pPr>
        <w:numPr>
          <w:ilvl w:val="0"/>
          <w:numId w:val="12"/>
        </w:numPr>
        <w:rPr>
          <w:rFonts w:eastAsia="Times New Roman" w:cs="Arial"/>
          <w:szCs w:val="20"/>
          <w:lang w:eastAsia="fr-FR"/>
        </w:rPr>
      </w:pPr>
      <w:r w:rsidRPr="001406D9">
        <w:rPr>
          <w:rFonts w:eastAsia="Times New Roman" w:cs="Arial"/>
          <w:szCs w:val="20"/>
          <w:lang w:eastAsia="fr-FR"/>
        </w:rPr>
        <w:t>a review of the legal framework of the Court of Cassation</w:t>
      </w:r>
      <w:r w:rsidRPr="001406D9" w:rsidDel="00131009">
        <w:rPr>
          <w:rFonts w:eastAsia="Times New Roman" w:cs="Arial"/>
          <w:szCs w:val="20"/>
          <w:lang w:eastAsia="fr-FR"/>
        </w:rPr>
        <w:t xml:space="preserve"> </w:t>
      </w:r>
      <w:r w:rsidRPr="001406D9">
        <w:rPr>
          <w:rFonts w:eastAsia="Times New Roman" w:cs="Arial"/>
          <w:szCs w:val="20"/>
          <w:lang w:eastAsia="fr-FR"/>
        </w:rPr>
        <w:t xml:space="preserve">was completed. A Review of European standards and practices for comparative reference source was </w:t>
      </w:r>
      <w:proofErr w:type="gramStart"/>
      <w:r w:rsidRPr="001406D9">
        <w:rPr>
          <w:rFonts w:eastAsia="Times New Roman" w:cs="Arial"/>
          <w:szCs w:val="20"/>
          <w:lang w:eastAsia="fr-FR"/>
        </w:rPr>
        <w:t>finalised</w:t>
      </w:r>
      <w:r>
        <w:rPr>
          <w:rFonts w:eastAsia="Times New Roman" w:cs="Arial"/>
          <w:szCs w:val="20"/>
          <w:lang w:eastAsia="fr-FR"/>
        </w:rPr>
        <w:t>;</w:t>
      </w:r>
      <w:proofErr w:type="gramEnd"/>
    </w:p>
    <w:p w14:paraId="45B7CF96" w14:textId="77777777" w:rsidR="00067458" w:rsidRPr="001406D9" w:rsidRDefault="00067458" w:rsidP="00067458">
      <w:pPr>
        <w:rPr>
          <w:rFonts w:eastAsia="Times New Roman" w:cs="Arial"/>
          <w:szCs w:val="20"/>
          <w:lang w:eastAsia="fr-FR"/>
        </w:rPr>
      </w:pPr>
    </w:p>
    <w:p w14:paraId="37A3847C" w14:textId="77777777" w:rsidR="00067458" w:rsidRPr="001406D9" w:rsidRDefault="00067458" w:rsidP="00067458">
      <w:pPr>
        <w:numPr>
          <w:ilvl w:val="0"/>
          <w:numId w:val="12"/>
        </w:numPr>
        <w:rPr>
          <w:rFonts w:eastAsia="Times New Roman" w:cs="Arial"/>
          <w:szCs w:val="20"/>
          <w:lang w:eastAsia="fr-FR"/>
        </w:rPr>
      </w:pPr>
      <w:r w:rsidRPr="001406D9">
        <w:rPr>
          <w:rFonts w:eastAsia="Times New Roman" w:cs="Arial"/>
          <w:szCs w:val="20"/>
          <w:lang w:eastAsia="fr-FR"/>
        </w:rPr>
        <w:t xml:space="preserve">the Road Map for a Reformed Administrative Justice System was finalised in co-operation with institutional stakeholders. In addition, the testing phase of the court users’ satisfaction survey forms developed </w:t>
      </w:r>
      <w:proofErr w:type="gramStart"/>
      <w:r w:rsidRPr="001406D9">
        <w:rPr>
          <w:rFonts w:eastAsia="Times New Roman" w:cs="Arial"/>
          <w:szCs w:val="20"/>
          <w:lang w:eastAsia="fr-FR"/>
        </w:rPr>
        <w:t>on the basis of</w:t>
      </w:r>
      <w:proofErr w:type="gramEnd"/>
      <w:r w:rsidRPr="001406D9">
        <w:rPr>
          <w:rFonts w:eastAsia="Times New Roman" w:cs="Arial"/>
          <w:szCs w:val="20"/>
          <w:lang w:eastAsia="fr-FR"/>
        </w:rPr>
        <w:t xml:space="preserve"> CEPEJ methodology was completed and field work of face-to-face surveying of court users (lawyers and citizens) in six pilot courts (in Ankara, Istanbul, Izmir and Gaziantep) took place. This will create a baseline for the administrative </w:t>
      </w:r>
      <w:proofErr w:type="gramStart"/>
      <w:r w:rsidRPr="001406D9">
        <w:rPr>
          <w:rFonts w:eastAsia="Times New Roman" w:cs="Arial"/>
          <w:szCs w:val="20"/>
          <w:lang w:eastAsia="fr-FR"/>
        </w:rPr>
        <w:t>judiciary;</w:t>
      </w:r>
      <w:proofErr w:type="gramEnd"/>
    </w:p>
    <w:p w14:paraId="171E5E78" w14:textId="77777777" w:rsidR="00067458" w:rsidRPr="001406D9" w:rsidRDefault="00067458" w:rsidP="00067458">
      <w:pPr>
        <w:rPr>
          <w:rFonts w:eastAsia="Times New Roman" w:cs="Arial"/>
          <w:szCs w:val="20"/>
          <w:lang w:eastAsia="fr-FR"/>
        </w:rPr>
      </w:pPr>
    </w:p>
    <w:p w14:paraId="031AD7C5" w14:textId="77777777" w:rsidR="00067458" w:rsidRPr="001406D9" w:rsidRDefault="00067458" w:rsidP="00067458">
      <w:pPr>
        <w:numPr>
          <w:ilvl w:val="0"/>
          <w:numId w:val="12"/>
        </w:numPr>
        <w:rPr>
          <w:rFonts w:eastAsia="Times New Roman" w:cs="Arial"/>
          <w:szCs w:val="20"/>
          <w:lang w:eastAsia="fr-FR"/>
        </w:rPr>
      </w:pPr>
      <w:r>
        <w:rPr>
          <w:rFonts w:eastAsia="Times New Roman" w:cs="Arial"/>
          <w:szCs w:val="20"/>
          <w:lang w:eastAsia="fr-FR"/>
        </w:rPr>
        <w:t>as part of</w:t>
      </w:r>
      <w:r w:rsidRPr="001406D9">
        <w:rPr>
          <w:rFonts w:eastAsia="Times New Roman" w:cs="Arial"/>
          <w:szCs w:val="20"/>
          <w:lang w:eastAsia="fr-FR"/>
        </w:rPr>
        <w:t xml:space="preserve"> the programme on alternative dispute resolution, on-site visits were carried out to assess the needs of mediation bureaux in </w:t>
      </w:r>
      <w:proofErr w:type="gramStart"/>
      <w:r w:rsidRPr="001406D9">
        <w:rPr>
          <w:rFonts w:eastAsia="Times New Roman" w:cs="Arial"/>
          <w:szCs w:val="20"/>
          <w:lang w:eastAsia="fr-FR"/>
        </w:rPr>
        <w:t>Turkey;</w:t>
      </w:r>
      <w:proofErr w:type="gramEnd"/>
    </w:p>
    <w:p w14:paraId="37D4608E" w14:textId="77777777" w:rsidR="00067458" w:rsidRPr="001406D9" w:rsidRDefault="00067458" w:rsidP="00067458">
      <w:pPr>
        <w:rPr>
          <w:rFonts w:eastAsia="Times New Roman" w:cs="Arial"/>
          <w:szCs w:val="20"/>
          <w:lang w:eastAsia="fr-FR"/>
        </w:rPr>
      </w:pPr>
    </w:p>
    <w:p w14:paraId="69890612" w14:textId="77777777" w:rsidR="00067458" w:rsidRDefault="00067458" w:rsidP="00067458">
      <w:pPr>
        <w:numPr>
          <w:ilvl w:val="0"/>
          <w:numId w:val="12"/>
        </w:numPr>
        <w:rPr>
          <w:rFonts w:eastAsia="Times New Roman" w:cs="Arial"/>
          <w:szCs w:val="20"/>
          <w:lang w:eastAsia="fr-FR"/>
        </w:rPr>
      </w:pPr>
      <w:r w:rsidRPr="001406D9">
        <w:rPr>
          <w:rFonts w:eastAsia="Times New Roman" w:cs="Arial"/>
          <w:szCs w:val="20"/>
          <w:lang w:eastAsia="fr-FR"/>
        </w:rPr>
        <w:t xml:space="preserve">the criminal </w:t>
      </w:r>
      <w:r>
        <w:rPr>
          <w:rFonts w:eastAsia="Times New Roman" w:cs="Arial"/>
          <w:szCs w:val="20"/>
          <w:lang w:eastAsia="fr-FR"/>
        </w:rPr>
        <w:t xml:space="preserve">justice </w:t>
      </w:r>
      <w:r w:rsidRPr="001406D9">
        <w:rPr>
          <w:rFonts w:eastAsia="Times New Roman" w:cs="Arial"/>
          <w:szCs w:val="20"/>
          <w:lang w:eastAsia="fr-FR"/>
        </w:rPr>
        <w:t xml:space="preserve">curricula for candidate judges and prosecutors of the Judicial Academy of Turkey were reinforced with gender-sensitive content and new pre-training modules on the works of criminal judge, of criminal peace judgeship and reasoning of </w:t>
      </w:r>
      <w:proofErr w:type="gramStart"/>
      <w:r w:rsidRPr="001406D9">
        <w:rPr>
          <w:rFonts w:eastAsia="Times New Roman" w:cs="Arial"/>
          <w:szCs w:val="20"/>
          <w:lang w:eastAsia="fr-FR"/>
        </w:rPr>
        <w:t>judgments;</w:t>
      </w:r>
      <w:proofErr w:type="gramEnd"/>
    </w:p>
    <w:p w14:paraId="48BAD341" w14:textId="77777777" w:rsidR="00067458" w:rsidRPr="001406D9" w:rsidRDefault="00067458" w:rsidP="00067458">
      <w:pPr>
        <w:ind w:left="1080"/>
        <w:rPr>
          <w:rFonts w:eastAsia="Times New Roman" w:cs="Arial"/>
          <w:szCs w:val="20"/>
          <w:lang w:eastAsia="fr-FR"/>
        </w:rPr>
      </w:pPr>
    </w:p>
    <w:p w14:paraId="6482282C" w14:textId="77777777" w:rsidR="00C26A3F" w:rsidRDefault="00C26A3F">
      <w:pPr>
        <w:rPr>
          <w:rFonts w:eastAsia="Times New Roman" w:cs="Arial"/>
          <w:szCs w:val="20"/>
          <w:lang w:eastAsia="fr-FR"/>
        </w:rPr>
      </w:pPr>
      <w:r>
        <w:rPr>
          <w:rFonts w:eastAsia="Times New Roman" w:cs="Arial"/>
          <w:szCs w:val="20"/>
          <w:lang w:eastAsia="fr-FR"/>
        </w:rPr>
        <w:br w:type="page"/>
      </w:r>
    </w:p>
    <w:p w14:paraId="424741F9" w14:textId="07550A8B" w:rsidR="00067458" w:rsidRPr="001406D9" w:rsidRDefault="00067458" w:rsidP="00067458">
      <w:pPr>
        <w:numPr>
          <w:ilvl w:val="0"/>
          <w:numId w:val="12"/>
        </w:numPr>
        <w:rPr>
          <w:rFonts w:eastAsia="Times New Roman" w:cs="Arial"/>
          <w:szCs w:val="20"/>
          <w:lang w:eastAsia="fr-FR"/>
        </w:rPr>
      </w:pPr>
      <w:r w:rsidRPr="001406D9">
        <w:rPr>
          <w:rFonts w:eastAsia="Times New Roman" w:cs="Arial"/>
          <w:szCs w:val="20"/>
          <w:lang w:eastAsia="fr-FR"/>
        </w:rPr>
        <w:t>recommendations on effective divorce proceedings were devised and discussed with family court judges and the Ministry of Justice. The recommendations suggest prospective legislative amendments and changes in practice about, primarily</w:t>
      </w:r>
      <w:r>
        <w:rPr>
          <w:rFonts w:eastAsia="Times New Roman" w:cs="Arial"/>
          <w:szCs w:val="20"/>
          <w:lang w:eastAsia="fr-FR"/>
        </w:rPr>
        <w:t>,</w:t>
      </w:r>
      <w:r w:rsidRPr="001406D9">
        <w:rPr>
          <w:rFonts w:eastAsia="Times New Roman" w:cs="Arial"/>
          <w:szCs w:val="20"/>
          <w:lang w:eastAsia="fr-FR"/>
        </w:rPr>
        <w:t xml:space="preserve"> the principle of fault, provisions on divorce in the Turkish Civil Code and the Code of Civil Procedure, legal aid, processes in which children are involved and other procedural issues to improve the effectiveness of divorce proceedings.</w:t>
      </w:r>
    </w:p>
    <w:p w14:paraId="42BAD3BC" w14:textId="77777777" w:rsidR="00067458" w:rsidRPr="001406D9" w:rsidRDefault="00067458" w:rsidP="00067458">
      <w:pPr>
        <w:rPr>
          <w:rFonts w:eastAsia="Times New Roman" w:cs="Arial"/>
          <w:szCs w:val="20"/>
          <w:lang w:eastAsia="fr-FR"/>
        </w:rPr>
      </w:pPr>
    </w:p>
    <w:p w14:paraId="1459AAD1" w14:textId="77777777" w:rsidR="00067458" w:rsidRPr="001406D9" w:rsidRDefault="00067458" w:rsidP="00067458">
      <w:pPr>
        <w:rPr>
          <w:rFonts w:eastAsia="Times New Roman" w:cs="Arial"/>
          <w:b/>
          <w:szCs w:val="20"/>
          <w:lang w:eastAsia="fr-FR"/>
        </w:rPr>
      </w:pPr>
      <w:r w:rsidRPr="001406D9">
        <w:rPr>
          <w:rFonts w:eastAsia="Times New Roman" w:cs="Arial"/>
          <w:szCs w:val="20"/>
          <w:lang w:eastAsia="fr-FR"/>
        </w:rPr>
        <w:t>In addition to the above Joint Programmes,</w:t>
      </w:r>
      <w:r w:rsidRPr="001406D9">
        <w:rPr>
          <w:rFonts w:eastAsia="Times New Roman" w:cs="Arial"/>
          <w:b/>
          <w:szCs w:val="20"/>
          <w:lang w:eastAsia="fr-FR"/>
        </w:rPr>
        <w:t xml:space="preserve"> </w:t>
      </w:r>
      <w:r w:rsidRPr="001406D9">
        <w:rPr>
          <w:rFonts w:eastAsia="Times New Roman" w:cs="Arial"/>
          <w:szCs w:val="20"/>
          <w:lang w:eastAsia="fr-FR"/>
        </w:rPr>
        <w:t>in the framework of the Horizontal Facility – phase II,</w:t>
      </w:r>
      <w:r w:rsidRPr="001406D9" w:rsidDel="002C4640">
        <w:rPr>
          <w:rFonts w:eastAsia="Times New Roman" w:cs="Arial"/>
          <w:szCs w:val="20"/>
          <w:lang w:eastAsia="fr-FR"/>
        </w:rPr>
        <w:t xml:space="preserve"> </w:t>
      </w:r>
      <w:r w:rsidRPr="001406D9">
        <w:rPr>
          <w:rFonts w:eastAsia="Times New Roman" w:cs="Arial"/>
          <w:szCs w:val="20"/>
          <w:lang w:eastAsia="fr-FR"/>
        </w:rPr>
        <w:t>four actions were put in place - on</w:t>
      </w:r>
      <w:r w:rsidRPr="001406D9">
        <w:rPr>
          <w:rFonts w:eastAsia="Times New Roman" w:cs="Arial"/>
          <w:i/>
          <w:iCs/>
          <w:szCs w:val="20"/>
          <w:lang w:eastAsia="fr-FR"/>
        </w:rPr>
        <w:t xml:space="preserve"> </w:t>
      </w:r>
      <w:r w:rsidRPr="001406D9">
        <w:rPr>
          <w:rFonts w:eastAsia="Times New Roman" w:cs="Arial"/>
          <w:szCs w:val="20"/>
          <w:lang w:eastAsia="fr-FR"/>
        </w:rPr>
        <w:t>fostering a comprehensive institutional response to violence against women and domestic violence, on supporting the implementation and reporting on the Action Plan on Human Rights on strengthening the human rights protection of migrants and victims of human trafficking and on fostering women’s access to justice.</w:t>
      </w:r>
      <w:r w:rsidRPr="001406D9">
        <w:rPr>
          <w:rFonts w:eastAsia="Times New Roman" w:cs="Arial"/>
          <w:i/>
          <w:szCs w:val="20"/>
          <w:lang w:eastAsia="fr-FR"/>
        </w:rPr>
        <w:t xml:space="preserve"> </w:t>
      </w:r>
      <w:r w:rsidRPr="001406D9">
        <w:rPr>
          <w:rFonts w:eastAsia="Times New Roman" w:cs="Arial"/>
          <w:iCs/>
          <w:szCs w:val="20"/>
          <w:lang w:eastAsia="fr-FR"/>
        </w:rPr>
        <w:t xml:space="preserve">The total budgetary envelope allocated to the interventions implemented within the framework of the Horizontal Facility in Turkey amounts to </w:t>
      </w:r>
      <w:r w:rsidRPr="001406D9">
        <w:rPr>
          <w:rFonts w:eastAsia="Times New Roman" w:cs="Arial"/>
          <w:szCs w:val="20"/>
          <w:lang w:eastAsia="fr-FR"/>
        </w:rPr>
        <w:t>€4.7 million.</w:t>
      </w:r>
      <w:r w:rsidRPr="001406D9">
        <w:rPr>
          <w:rFonts w:eastAsia="Times New Roman" w:cs="Arial"/>
          <w:iCs/>
          <w:szCs w:val="20"/>
          <w:lang w:eastAsia="fr-FR"/>
        </w:rPr>
        <w:t xml:space="preserve"> </w:t>
      </w:r>
    </w:p>
    <w:p w14:paraId="4EFACD65" w14:textId="77777777" w:rsidR="00067458" w:rsidRPr="001406D9" w:rsidRDefault="00067458" w:rsidP="00067458">
      <w:pPr>
        <w:rPr>
          <w:rFonts w:cs="Arial"/>
          <w:szCs w:val="20"/>
        </w:rPr>
      </w:pPr>
    </w:p>
    <w:p w14:paraId="06A681BF" w14:textId="77777777" w:rsidR="00067458" w:rsidRPr="0087557D" w:rsidRDefault="00067458" w:rsidP="00067458">
      <w:pPr>
        <w:numPr>
          <w:ilvl w:val="0"/>
          <w:numId w:val="2"/>
        </w:numPr>
        <w:tabs>
          <w:tab w:val="left" w:pos="709"/>
        </w:tabs>
        <w:ind w:left="0" w:firstLine="0"/>
        <w:rPr>
          <w:rFonts w:eastAsia="Times New Roman" w:cs="Arial"/>
          <w:b/>
          <w:szCs w:val="20"/>
          <w:lang w:eastAsia="fr-FR"/>
        </w:rPr>
      </w:pPr>
      <w:r w:rsidRPr="0087557D">
        <w:rPr>
          <w:rFonts w:eastAsia="Times New Roman" w:cs="Arial"/>
          <w:b/>
          <w:szCs w:val="20"/>
          <w:lang w:eastAsia="fr-FR"/>
        </w:rPr>
        <w:t xml:space="preserve">Technical assistance programmes in EU member </w:t>
      </w:r>
      <w:r>
        <w:rPr>
          <w:rFonts w:eastAsia="Times New Roman" w:cs="Arial"/>
          <w:b/>
          <w:szCs w:val="20"/>
          <w:lang w:eastAsia="fr-FR"/>
        </w:rPr>
        <w:t>State</w:t>
      </w:r>
      <w:r w:rsidRPr="0087557D">
        <w:rPr>
          <w:rFonts w:eastAsia="Times New Roman" w:cs="Arial"/>
          <w:b/>
          <w:szCs w:val="20"/>
          <w:lang w:eastAsia="fr-FR"/>
        </w:rPr>
        <w:t xml:space="preserve">s </w:t>
      </w:r>
    </w:p>
    <w:p w14:paraId="3CCC3F00" w14:textId="77777777" w:rsidR="00067458" w:rsidRPr="0087557D" w:rsidRDefault="00067458" w:rsidP="00067458">
      <w:pPr>
        <w:rPr>
          <w:rFonts w:eastAsia="Times New Roman" w:cs="Arial"/>
          <w:b/>
          <w:szCs w:val="20"/>
          <w:lang w:eastAsia="fr-FR"/>
        </w:rPr>
      </w:pPr>
    </w:p>
    <w:p w14:paraId="0299A8D6" w14:textId="77777777" w:rsidR="00067458" w:rsidRPr="0087557D" w:rsidRDefault="00067458" w:rsidP="00067458">
      <w:pPr>
        <w:rPr>
          <w:rFonts w:cs="Arial"/>
          <w:szCs w:val="20"/>
        </w:rPr>
      </w:pPr>
      <w:r>
        <w:rPr>
          <w:rFonts w:eastAsia="Times New Roman" w:cs="Arial"/>
          <w:bCs/>
          <w:szCs w:val="20"/>
          <w:lang w:eastAsia="fr-FR"/>
        </w:rPr>
        <w:t>As mentioned earlier in this report, t</w:t>
      </w:r>
      <w:r w:rsidRPr="0087557D">
        <w:rPr>
          <w:rFonts w:eastAsia="Times New Roman" w:cs="Arial"/>
          <w:bCs/>
          <w:szCs w:val="20"/>
          <w:lang w:eastAsia="fr-FR"/>
        </w:rPr>
        <w:t>hanks to</w:t>
      </w:r>
      <w:r w:rsidRPr="0087557D">
        <w:rPr>
          <w:rFonts w:cs="Arial"/>
          <w:szCs w:val="20"/>
          <w:lang w:eastAsia="en-GB"/>
        </w:rPr>
        <w:t xml:space="preserve"> the reinforced co-operation with DG REFORM</w:t>
      </w:r>
      <w:r w:rsidRPr="0087557D">
        <w:rPr>
          <w:rFonts w:cs="Arial"/>
          <w:szCs w:val="20"/>
        </w:rPr>
        <w:t xml:space="preserve">, the volume of CoE technical assistance </w:t>
      </w:r>
      <w:r>
        <w:rPr>
          <w:rFonts w:cs="Arial"/>
          <w:szCs w:val="20"/>
        </w:rPr>
        <w:t>to EU member States</w:t>
      </w:r>
      <w:r w:rsidRPr="0087557D">
        <w:rPr>
          <w:rFonts w:cs="Arial"/>
          <w:szCs w:val="20"/>
        </w:rPr>
        <w:t xml:space="preserve"> </w:t>
      </w:r>
      <w:r>
        <w:rPr>
          <w:rFonts w:cs="Arial"/>
          <w:szCs w:val="20"/>
        </w:rPr>
        <w:t>has increased</w:t>
      </w:r>
      <w:r w:rsidRPr="0087557D">
        <w:rPr>
          <w:rFonts w:cs="Arial"/>
          <w:szCs w:val="20"/>
        </w:rPr>
        <w:t>.</w:t>
      </w:r>
      <w:r>
        <w:rPr>
          <w:rFonts w:cs="Arial"/>
          <w:szCs w:val="20"/>
        </w:rPr>
        <w:t xml:space="preserve"> </w:t>
      </w:r>
      <w:r w:rsidRPr="0087557D">
        <w:rPr>
          <w:rFonts w:cs="Arial"/>
          <w:szCs w:val="20"/>
        </w:rPr>
        <w:t>T</w:t>
      </w:r>
      <w:r>
        <w:rPr>
          <w:rFonts w:cs="Arial"/>
          <w:szCs w:val="20"/>
        </w:rPr>
        <w:t>hree</w:t>
      </w:r>
      <w:r w:rsidRPr="0087557D">
        <w:rPr>
          <w:rFonts w:cs="Arial"/>
          <w:szCs w:val="20"/>
        </w:rPr>
        <w:t xml:space="preserve"> Framework agreements signed in 2019</w:t>
      </w:r>
      <w:r>
        <w:rPr>
          <w:rFonts w:cs="Arial"/>
          <w:szCs w:val="20"/>
        </w:rPr>
        <w:t>,</w:t>
      </w:r>
      <w:r w:rsidRPr="0087557D">
        <w:rPr>
          <w:rFonts w:cs="Arial"/>
          <w:szCs w:val="20"/>
        </w:rPr>
        <w:t xml:space="preserve"> 2020</w:t>
      </w:r>
      <w:r>
        <w:rPr>
          <w:rFonts w:cs="Arial"/>
          <w:szCs w:val="20"/>
        </w:rPr>
        <w:t xml:space="preserve"> and 2021</w:t>
      </w:r>
      <w:r w:rsidRPr="0087557D">
        <w:rPr>
          <w:rFonts w:cs="Arial"/>
          <w:szCs w:val="20"/>
        </w:rPr>
        <w:t xml:space="preserve"> respectively (overall </w:t>
      </w:r>
      <w:r w:rsidRPr="0093067F">
        <w:rPr>
          <w:rFonts w:cs="Arial"/>
          <w:szCs w:val="20"/>
        </w:rPr>
        <w:t>total: €11,4</w:t>
      </w:r>
      <w:r w:rsidRPr="0093067F">
        <w:t xml:space="preserve"> million</w:t>
      </w:r>
      <w:r w:rsidRPr="0087557D">
        <w:t>)</w:t>
      </w:r>
      <w:r w:rsidRPr="0087557D">
        <w:rPr>
          <w:rFonts w:cs="Arial"/>
          <w:szCs w:val="20"/>
        </w:rPr>
        <w:t>, were being implemented in 202</w:t>
      </w:r>
      <w:r>
        <w:rPr>
          <w:rFonts w:cs="Arial"/>
          <w:szCs w:val="20"/>
        </w:rPr>
        <w:t>1</w:t>
      </w:r>
      <w:r w:rsidRPr="0087557D">
        <w:rPr>
          <w:rFonts w:cs="Arial"/>
          <w:szCs w:val="20"/>
        </w:rPr>
        <w:t xml:space="preserve"> encompassing more than twenty country-specific projects tailored to the needs of the </w:t>
      </w:r>
      <w:r>
        <w:rPr>
          <w:rFonts w:cs="Arial"/>
          <w:szCs w:val="20"/>
        </w:rPr>
        <w:t xml:space="preserve">EU </w:t>
      </w:r>
      <w:r w:rsidRPr="0087557D">
        <w:rPr>
          <w:rFonts w:cs="Arial"/>
          <w:szCs w:val="20"/>
        </w:rPr>
        <w:t xml:space="preserve">member </w:t>
      </w:r>
      <w:r>
        <w:rPr>
          <w:rFonts w:cs="Arial"/>
          <w:szCs w:val="20"/>
        </w:rPr>
        <w:t>S</w:t>
      </w:r>
      <w:r w:rsidRPr="0087557D">
        <w:rPr>
          <w:rFonts w:cs="Arial"/>
          <w:szCs w:val="20"/>
        </w:rPr>
        <w:t>tates concerned.</w:t>
      </w:r>
      <w:r>
        <w:rPr>
          <w:rFonts w:cs="Arial"/>
          <w:szCs w:val="20"/>
        </w:rPr>
        <w:t xml:space="preserve"> </w:t>
      </w:r>
      <w:r w:rsidRPr="0087557D">
        <w:rPr>
          <w:rFonts w:cs="Arial"/>
          <w:szCs w:val="20"/>
        </w:rPr>
        <w:t xml:space="preserve">These co-operation frameworks aim at strengthening the member </w:t>
      </w:r>
      <w:r>
        <w:rPr>
          <w:rFonts w:cs="Arial"/>
          <w:szCs w:val="20"/>
        </w:rPr>
        <w:t>S</w:t>
      </w:r>
      <w:r w:rsidRPr="0087557D">
        <w:rPr>
          <w:rFonts w:cs="Arial"/>
          <w:szCs w:val="20"/>
        </w:rPr>
        <w:t>tates’ capacity to prepare growth sustaining structural reforms in the field of rule of law, human rights protection, and democratic governance. The</w:t>
      </w:r>
      <w:r>
        <w:rPr>
          <w:rFonts w:cs="Arial"/>
          <w:szCs w:val="20"/>
        </w:rPr>
        <w:t xml:space="preserve"> fourth</w:t>
      </w:r>
      <w:r w:rsidRPr="0087557D">
        <w:rPr>
          <w:rFonts w:cs="Arial"/>
          <w:szCs w:val="20"/>
        </w:rPr>
        <w:t xml:space="preserve"> Framework agreement is under preparation, to be signed in </w:t>
      </w:r>
      <w:r>
        <w:rPr>
          <w:rFonts w:cs="Arial"/>
          <w:szCs w:val="20"/>
        </w:rPr>
        <w:t xml:space="preserve">early </w:t>
      </w:r>
      <w:r w:rsidRPr="0087557D">
        <w:rPr>
          <w:rFonts w:cs="Arial"/>
          <w:szCs w:val="20"/>
        </w:rPr>
        <w:t>spring 202</w:t>
      </w:r>
      <w:r>
        <w:rPr>
          <w:rFonts w:cs="Arial"/>
          <w:szCs w:val="20"/>
        </w:rPr>
        <w:t>2</w:t>
      </w:r>
      <w:r w:rsidRPr="0087557D">
        <w:rPr>
          <w:rFonts w:cs="Arial"/>
          <w:szCs w:val="20"/>
        </w:rPr>
        <w:t>.</w:t>
      </w:r>
    </w:p>
    <w:p w14:paraId="5BEED84E" w14:textId="77777777" w:rsidR="00067458" w:rsidRPr="0087557D" w:rsidRDefault="00067458" w:rsidP="00067458">
      <w:pPr>
        <w:rPr>
          <w:rFonts w:cs="Arial"/>
          <w:szCs w:val="20"/>
        </w:rPr>
      </w:pPr>
    </w:p>
    <w:p w14:paraId="74ED1BE0" w14:textId="77777777" w:rsidR="00067458" w:rsidRDefault="00067458" w:rsidP="00067458">
      <w:pPr>
        <w:rPr>
          <w:rFonts w:cs="Arial"/>
          <w:szCs w:val="20"/>
        </w:rPr>
      </w:pPr>
      <w:r w:rsidRPr="0087557D">
        <w:rPr>
          <w:rFonts w:cs="Arial"/>
          <w:szCs w:val="20"/>
        </w:rPr>
        <w:t>A non-exhaustive list of results achieved so far includes:</w:t>
      </w:r>
      <w:r>
        <w:rPr>
          <w:rFonts w:cs="Arial"/>
          <w:szCs w:val="20"/>
        </w:rPr>
        <w:t xml:space="preserve"> </w:t>
      </w:r>
    </w:p>
    <w:p w14:paraId="475354AA" w14:textId="77777777" w:rsidR="00067458" w:rsidRPr="0087557D" w:rsidRDefault="00067458" w:rsidP="00067458">
      <w:pPr>
        <w:rPr>
          <w:rFonts w:cs="Arial"/>
          <w:szCs w:val="20"/>
        </w:rPr>
      </w:pPr>
    </w:p>
    <w:p w14:paraId="62E3D400" w14:textId="77777777" w:rsidR="00067458" w:rsidRPr="005947F5" w:rsidRDefault="00067458" w:rsidP="00067458">
      <w:pPr>
        <w:numPr>
          <w:ilvl w:val="0"/>
          <w:numId w:val="9"/>
        </w:numPr>
        <w:rPr>
          <w:rFonts w:eastAsia="Times New Roman" w:cs="Arial"/>
          <w:szCs w:val="20"/>
          <w:lang w:eastAsia="fr-FR"/>
        </w:rPr>
      </w:pPr>
      <w:r>
        <w:rPr>
          <w:rFonts w:eastAsia="Times New Roman" w:cs="Arial"/>
          <w:szCs w:val="20"/>
          <w:lang w:eastAsia="fr-FR"/>
        </w:rPr>
        <w:t>M</w:t>
      </w:r>
      <w:r>
        <w:t>easures adopted to switch to e-communications resulted in a positive impact on the work of judges in Croatia, enabling them to improve both the quality and speediness of the adjudication. An effective e-communication system was a particularly relevant tool for the smooth functioning of the judiciary in times of the pandemic</w:t>
      </w:r>
      <w:r w:rsidRPr="001F766D">
        <w:t xml:space="preserve">. </w:t>
      </w:r>
      <w:r w:rsidRPr="00175F8F">
        <w:t xml:space="preserve">Strengthening and intensifying the take up of the e-communication application helped reducing the time needed for court proceedings, thereby increasing the efficiency and performance of the Croatian judicial </w:t>
      </w:r>
      <w:proofErr w:type="gramStart"/>
      <w:r w:rsidRPr="00175F8F">
        <w:t>system</w:t>
      </w:r>
      <w:r>
        <w:t>;</w:t>
      </w:r>
      <w:proofErr w:type="gramEnd"/>
      <w:r>
        <w:t xml:space="preserve"> </w:t>
      </w:r>
    </w:p>
    <w:p w14:paraId="5948E076" w14:textId="77777777" w:rsidR="00067458" w:rsidRPr="0042764B" w:rsidRDefault="00067458" w:rsidP="00067458">
      <w:pPr>
        <w:ind w:left="1080"/>
        <w:rPr>
          <w:rFonts w:eastAsia="Times New Roman" w:cs="Arial"/>
          <w:szCs w:val="20"/>
          <w:lang w:eastAsia="fr-FR"/>
        </w:rPr>
      </w:pPr>
      <w:r w:rsidRPr="001F766D">
        <w:t xml:space="preserve"> </w:t>
      </w:r>
    </w:p>
    <w:p w14:paraId="5BD7EE40" w14:textId="77777777" w:rsidR="00067458" w:rsidRPr="0087557D" w:rsidRDefault="00067458" w:rsidP="00067458">
      <w:pPr>
        <w:numPr>
          <w:ilvl w:val="0"/>
          <w:numId w:val="9"/>
        </w:numPr>
        <w:rPr>
          <w:rFonts w:eastAsia="Times New Roman"/>
          <w:szCs w:val="24"/>
          <w:lang w:eastAsia="fr-FR"/>
        </w:rPr>
      </w:pPr>
      <w:r>
        <w:rPr>
          <w:rFonts w:eastAsia="Times New Roman" w:cs="Arial"/>
          <w:szCs w:val="20"/>
          <w:lang w:eastAsia="fr-FR"/>
        </w:rPr>
        <w:t xml:space="preserve">new rules of Civil Procedure were drafted and adopted in full collaboration with the Supreme Court of Cyprus and new training programmes and awareness raising tools and activities to train judges, court staff and lawyers on the new Rules of Civil Procedure were </w:t>
      </w:r>
      <w:proofErr w:type="gramStart"/>
      <w:r>
        <w:rPr>
          <w:rFonts w:eastAsia="Times New Roman" w:cs="Arial"/>
          <w:szCs w:val="20"/>
          <w:lang w:eastAsia="fr-FR"/>
        </w:rPr>
        <w:t>developed</w:t>
      </w:r>
      <w:r w:rsidRPr="0087557D">
        <w:rPr>
          <w:rFonts w:eastAsia="Times New Roman"/>
          <w:szCs w:val="24"/>
          <w:lang w:eastAsia="fr-FR"/>
        </w:rPr>
        <w:t>;</w:t>
      </w:r>
      <w:proofErr w:type="gramEnd"/>
      <w:r w:rsidRPr="0087557D">
        <w:rPr>
          <w:rFonts w:eastAsia="Times New Roman"/>
          <w:szCs w:val="24"/>
          <w:lang w:eastAsia="fr-FR"/>
        </w:rPr>
        <w:t xml:space="preserve"> </w:t>
      </w:r>
    </w:p>
    <w:p w14:paraId="05DBEFDC" w14:textId="77777777" w:rsidR="00067458" w:rsidRPr="0087557D" w:rsidRDefault="00067458" w:rsidP="00067458"/>
    <w:p w14:paraId="618D7FE5" w14:textId="77777777" w:rsidR="00067458" w:rsidRPr="0087557D" w:rsidRDefault="00067458" w:rsidP="00067458">
      <w:pPr>
        <w:numPr>
          <w:ilvl w:val="0"/>
          <w:numId w:val="9"/>
        </w:numPr>
        <w:rPr>
          <w:rFonts w:eastAsia="Times New Roman" w:cs="Arial"/>
          <w:szCs w:val="20"/>
          <w:lang w:eastAsia="fr-FR"/>
        </w:rPr>
      </w:pPr>
      <w:r>
        <w:rPr>
          <w:rFonts w:eastAsia="Times New Roman" w:cs="Arial"/>
          <w:szCs w:val="20"/>
          <w:lang w:eastAsia="fr-FR"/>
        </w:rPr>
        <w:t xml:space="preserve">a technical paper on the assessment of ML/TF vulnerabilities </w:t>
      </w:r>
      <w:proofErr w:type="gramStart"/>
      <w:r>
        <w:rPr>
          <w:rFonts w:eastAsia="Times New Roman" w:cs="Arial"/>
          <w:szCs w:val="20"/>
          <w:lang w:eastAsia="fr-FR"/>
        </w:rPr>
        <w:t>with regard to</w:t>
      </w:r>
      <w:proofErr w:type="gramEnd"/>
      <w:r>
        <w:rPr>
          <w:rFonts w:eastAsia="Times New Roman" w:cs="Arial"/>
          <w:szCs w:val="20"/>
          <w:lang w:eastAsia="fr-FR"/>
        </w:rPr>
        <w:t xml:space="preserve"> legal persons and legal arrangements concerning major business activities and customers profiles was presented in the first quarter of 2021 and recommendations were produced on how to address those vulnerabilities.</w:t>
      </w:r>
    </w:p>
    <w:p w14:paraId="0C705E25" w14:textId="77777777" w:rsidR="00067458" w:rsidRPr="0087557D" w:rsidRDefault="00067458" w:rsidP="00067458">
      <w:pPr>
        <w:rPr>
          <w:rFonts w:cs="Arial"/>
          <w:szCs w:val="20"/>
        </w:rPr>
      </w:pPr>
    </w:p>
    <w:p w14:paraId="4DD85EC6" w14:textId="77777777" w:rsidR="00067458" w:rsidRPr="0087557D" w:rsidRDefault="00067458" w:rsidP="00067458">
      <w:pPr>
        <w:numPr>
          <w:ilvl w:val="0"/>
          <w:numId w:val="2"/>
        </w:numPr>
        <w:tabs>
          <w:tab w:val="left" w:pos="709"/>
        </w:tabs>
        <w:ind w:left="0" w:firstLine="0"/>
        <w:rPr>
          <w:rFonts w:eastAsia="Times New Roman" w:cs="Arial"/>
          <w:b/>
          <w:szCs w:val="20"/>
          <w:lang w:eastAsia="fr-FR"/>
        </w:rPr>
      </w:pPr>
      <w:r w:rsidRPr="0087557D">
        <w:rPr>
          <w:rFonts w:eastAsia="Times New Roman" w:cs="Arial"/>
          <w:b/>
          <w:szCs w:val="20"/>
          <w:lang w:eastAsia="fr-FR"/>
        </w:rPr>
        <w:t xml:space="preserve">Programmes in </w:t>
      </w:r>
      <w:r>
        <w:rPr>
          <w:rFonts w:eastAsia="Times New Roman" w:cs="Arial"/>
          <w:b/>
          <w:szCs w:val="20"/>
          <w:lang w:eastAsia="fr-FR"/>
        </w:rPr>
        <w:t xml:space="preserve">the </w:t>
      </w:r>
      <w:r w:rsidRPr="0087557D">
        <w:rPr>
          <w:rFonts w:eastAsia="Times New Roman" w:cs="Arial"/>
          <w:b/>
          <w:szCs w:val="20"/>
          <w:lang w:eastAsia="fr-FR"/>
        </w:rPr>
        <w:t xml:space="preserve">South Mediterranean region </w:t>
      </w:r>
    </w:p>
    <w:p w14:paraId="00B8A7A7" w14:textId="77777777" w:rsidR="00067458" w:rsidRPr="0087557D" w:rsidRDefault="00067458" w:rsidP="00067458">
      <w:pPr>
        <w:rPr>
          <w:rFonts w:eastAsia="Times New Roman" w:cs="Arial"/>
          <w:b/>
          <w:szCs w:val="20"/>
          <w:lang w:eastAsia="fr-FR"/>
        </w:rPr>
      </w:pPr>
    </w:p>
    <w:p w14:paraId="47045D5A" w14:textId="77777777" w:rsidR="00067458" w:rsidRDefault="00067458" w:rsidP="00067458">
      <w:pPr>
        <w:rPr>
          <w:rFonts w:cs="Arial"/>
          <w:szCs w:val="20"/>
        </w:rPr>
      </w:pPr>
      <w:r w:rsidRPr="0087557D">
        <w:rPr>
          <w:rFonts w:eastAsia="Times New Roman" w:cs="Arial"/>
          <w:bCs/>
          <w:szCs w:val="20"/>
          <w:lang w:eastAsia="fr-FR"/>
        </w:rPr>
        <w:t>The CoE and</w:t>
      </w:r>
      <w:r w:rsidRPr="0087557D">
        <w:rPr>
          <w:rFonts w:cs="Arial"/>
          <w:szCs w:val="20"/>
        </w:rPr>
        <w:t xml:space="preserve"> the EU also continued to work in close partnership with beneficiaries from the Southern Mediterranean region to advance democratic reforms in the framework of the South Programme - IV (total: €3.3 million</w:t>
      </w:r>
      <w:r>
        <w:rPr>
          <w:rFonts w:cs="Arial"/>
          <w:szCs w:val="20"/>
        </w:rPr>
        <w:t>)</w:t>
      </w:r>
      <w:r w:rsidRPr="0087557D">
        <w:rPr>
          <w:rFonts w:cs="Arial"/>
          <w:szCs w:val="20"/>
        </w:rPr>
        <w:t xml:space="preserve">. The programme </w:t>
      </w:r>
      <w:r w:rsidRPr="0087557D">
        <w:rPr>
          <w:rFonts w:cs="Arial"/>
          <w:bCs/>
          <w:szCs w:val="20"/>
        </w:rPr>
        <w:t>covers</w:t>
      </w:r>
      <w:r w:rsidRPr="0087557D">
        <w:rPr>
          <w:rFonts w:cs="Arial"/>
          <w:szCs w:val="20"/>
        </w:rPr>
        <w:t xml:space="preserve"> nine beneficiaries </w:t>
      </w:r>
      <w:r>
        <w:rPr>
          <w:rFonts w:cs="Arial"/>
          <w:szCs w:val="20"/>
        </w:rPr>
        <w:t>from</w:t>
      </w:r>
      <w:r w:rsidRPr="0087557D">
        <w:rPr>
          <w:rFonts w:cs="Arial"/>
          <w:szCs w:val="20"/>
        </w:rPr>
        <w:t xml:space="preserve"> the Southern Mediterranean region (Algeria, Egypt, Israel, Jordan, Lebanon, Libya, Morocco, Palestine*</w:t>
      </w:r>
      <w:r w:rsidRPr="0087557D">
        <w:rPr>
          <w:rFonts w:cs="Arial"/>
          <w:szCs w:val="20"/>
          <w:vertAlign w:val="superscript"/>
        </w:rPr>
        <w:footnoteReference w:id="9"/>
      </w:r>
      <w:r w:rsidRPr="0087557D">
        <w:rPr>
          <w:rFonts w:cs="Arial"/>
          <w:szCs w:val="20"/>
        </w:rPr>
        <w:t xml:space="preserve"> and Tunisia). The overall objective of the programme is to reinforce human rights, rule of law and democracy in the region through the creation of a common legal space, institutional support, and networking among peers. The</w:t>
      </w:r>
      <w:r w:rsidRPr="0087557D">
        <w:rPr>
          <w:rFonts w:cs="Arial"/>
          <w:b/>
          <w:szCs w:val="20"/>
        </w:rPr>
        <w:t xml:space="preserve"> </w:t>
      </w:r>
      <w:r w:rsidRPr="0087557D">
        <w:rPr>
          <w:rFonts w:cs="Arial"/>
          <w:bCs/>
          <w:szCs w:val="20"/>
        </w:rPr>
        <w:t>South Programme - IV</w:t>
      </w:r>
      <w:r w:rsidRPr="0087557D">
        <w:rPr>
          <w:rFonts w:cs="Arial"/>
          <w:szCs w:val="20"/>
        </w:rPr>
        <w:t xml:space="preserve"> has a stronger regional dimension which focuses on two thematic strands - preventing and combating violence against women and combating economic crime. </w:t>
      </w:r>
    </w:p>
    <w:p w14:paraId="0D7E1B91" w14:textId="77777777" w:rsidR="00067458" w:rsidRPr="0087557D" w:rsidRDefault="00067458" w:rsidP="00067458">
      <w:pPr>
        <w:rPr>
          <w:rFonts w:cs="Arial"/>
          <w:szCs w:val="20"/>
        </w:rPr>
      </w:pPr>
    </w:p>
    <w:p w14:paraId="39F44EC3" w14:textId="77777777" w:rsidR="00067458" w:rsidRDefault="00067458" w:rsidP="00067458">
      <w:pPr>
        <w:rPr>
          <w:rFonts w:cs="Arial"/>
          <w:szCs w:val="20"/>
        </w:rPr>
      </w:pPr>
      <w:r w:rsidRPr="0087557D">
        <w:rPr>
          <w:rFonts w:cs="Arial"/>
          <w:szCs w:val="20"/>
        </w:rPr>
        <w:t>The South Programme is complemented by the thematic regional initiative CyberSouth, an action against cybercrime with a particular focus on Algeria, Jordan, Lebanon, Morocco and Tunisia</w:t>
      </w:r>
      <w:r>
        <w:rPr>
          <w:rFonts w:cs="Arial"/>
          <w:szCs w:val="20"/>
        </w:rPr>
        <w:t xml:space="preserve"> </w:t>
      </w:r>
      <w:r w:rsidRPr="0087557D">
        <w:rPr>
          <w:rFonts w:cs="Arial"/>
          <w:szCs w:val="20"/>
        </w:rPr>
        <w:t>(cost-extended to €5</w:t>
      </w:r>
      <w:r>
        <w:rPr>
          <w:rFonts w:cs="Arial"/>
          <w:szCs w:val="20"/>
        </w:rPr>
        <w:t> </w:t>
      </w:r>
      <w:r w:rsidRPr="0087557D">
        <w:rPr>
          <w:rFonts w:cs="Arial"/>
          <w:szCs w:val="20"/>
        </w:rPr>
        <w:t>million) and country-specific programmes PAII-T</w:t>
      </w:r>
      <w:proofErr w:type="gramStart"/>
      <w:r w:rsidRPr="0087557D">
        <w:rPr>
          <w:rFonts w:cs="Arial"/>
          <w:szCs w:val="20"/>
        </w:rPr>
        <w:t>/“</w:t>
      </w:r>
      <w:proofErr w:type="gramEnd"/>
      <w:r w:rsidRPr="0087557D">
        <w:rPr>
          <w:rFonts w:cs="Arial"/>
          <w:szCs w:val="20"/>
        </w:rPr>
        <w:t>Support to independent bodies in Tunisia” (total: €5.6</w:t>
      </w:r>
      <w:r>
        <w:rPr>
          <w:rFonts w:cs="Arial"/>
          <w:szCs w:val="20"/>
        </w:rPr>
        <w:t> </w:t>
      </w:r>
      <w:r w:rsidRPr="0087557D">
        <w:rPr>
          <w:rFonts w:cs="Arial"/>
          <w:szCs w:val="20"/>
        </w:rPr>
        <w:t>million) and AP-JUST/”Improving the functioning, performance and access to justice in Tunisia” (total: €5</w:t>
      </w:r>
      <w:r>
        <w:rPr>
          <w:rFonts w:cs="Arial"/>
          <w:szCs w:val="20"/>
        </w:rPr>
        <w:t> </w:t>
      </w:r>
      <w:r w:rsidRPr="0087557D">
        <w:rPr>
          <w:rFonts w:cs="Arial"/>
          <w:szCs w:val="20"/>
        </w:rPr>
        <w:t>million)</w:t>
      </w:r>
      <w:r w:rsidRPr="0087557D">
        <w:rPr>
          <w:color w:val="FF0000"/>
        </w:rPr>
        <w:t xml:space="preserve">. </w:t>
      </w:r>
      <w:r w:rsidRPr="0087557D">
        <w:t xml:space="preserve">Moreover, </w:t>
      </w:r>
      <w:r>
        <w:rPr>
          <w:rFonts w:cs="Arial"/>
          <w:szCs w:val="20"/>
        </w:rPr>
        <w:t>the</w:t>
      </w:r>
      <w:r w:rsidRPr="0087557D">
        <w:rPr>
          <w:rFonts w:cs="Arial"/>
          <w:szCs w:val="20"/>
        </w:rPr>
        <w:t xml:space="preserve"> Joint Programme for Morocco - “Support to the National preventive mechanism against torture and to the development of the key role of Parliament</w:t>
      </w:r>
      <w:r>
        <w:rPr>
          <w:rFonts w:cs="Arial"/>
          <w:szCs w:val="20"/>
        </w:rPr>
        <w:t>”</w:t>
      </w:r>
      <w:r w:rsidRPr="0087557D">
        <w:rPr>
          <w:rFonts w:cs="Arial"/>
          <w:szCs w:val="20"/>
        </w:rPr>
        <w:t xml:space="preserve"> (total: €2.3 million) </w:t>
      </w:r>
      <w:r>
        <w:rPr>
          <w:rFonts w:cs="Arial"/>
          <w:szCs w:val="20"/>
        </w:rPr>
        <w:t xml:space="preserve">is implemented since </w:t>
      </w:r>
      <w:r w:rsidRPr="0087557D">
        <w:rPr>
          <w:rFonts w:cs="Arial"/>
          <w:szCs w:val="20"/>
        </w:rPr>
        <w:t>November 2020.</w:t>
      </w:r>
      <w:r>
        <w:rPr>
          <w:rFonts w:cs="Arial"/>
          <w:szCs w:val="20"/>
        </w:rPr>
        <w:t xml:space="preserve"> </w:t>
      </w:r>
    </w:p>
    <w:p w14:paraId="6C7E5472" w14:textId="77777777" w:rsidR="00067458" w:rsidRPr="0087557D" w:rsidRDefault="00067458" w:rsidP="00067458">
      <w:pPr>
        <w:rPr>
          <w:rFonts w:cs="Arial"/>
          <w:szCs w:val="20"/>
        </w:rPr>
      </w:pPr>
    </w:p>
    <w:p w14:paraId="020A7100" w14:textId="77777777" w:rsidR="00C26A3F" w:rsidRDefault="00C26A3F">
      <w:pPr>
        <w:rPr>
          <w:rFonts w:cs="Arial"/>
          <w:szCs w:val="20"/>
        </w:rPr>
      </w:pPr>
      <w:r>
        <w:rPr>
          <w:rFonts w:cs="Arial"/>
          <w:szCs w:val="20"/>
        </w:rPr>
        <w:br w:type="page"/>
      </w:r>
    </w:p>
    <w:p w14:paraId="457A8FCD" w14:textId="729610AB" w:rsidR="00067458" w:rsidRDefault="00067458" w:rsidP="00067458">
      <w:pPr>
        <w:rPr>
          <w:rFonts w:cs="Arial"/>
          <w:szCs w:val="20"/>
        </w:rPr>
      </w:pPr>
      <w:r w:rsidRPr="0087557D">
        <w:rPr>
          <w:rFonts w:cs="Arial"/>
          <w:szCs w:val="20"/>
        </w:rPr>
        <w:t xml:space="preserve">The programmes targeted at the Southern Neighbourhood </w:t>
      </w:r>
      <w:r>
        <w:rPr>
          <w:rFonts w:cs="Arial"/>
          <w:szCs w:val="20"/>
        </w:rPr>
        <w:t xml:space="preserve">continued to be </w:t>
      </w:r>
      <w:r w:rsidRPr="0087557D">
        <w:rPr>
          <w:rFonts w:cs="Arial"/>
          <w:szCs w:val="20"/>
        </w:rPr>
        <w:t>affected by the C</w:t>
      </w:r>
      <w:r>
        <w:rPr>
          <w:rFonts w:cs="Arial"/>
          <w:szCs w:val="20"/>
        </w:rPr>
        <w:t>ovid</w:t>
      </w:r>
      <w:r w:rsidRPr="0087557D">
        <w:rPr>
          <w:rFonts w:cs="Arial"/>
          <w:szCs w:val="20"/>
        </w:rPr>
        <w:t>-19 crisis and</w:t>
      </w:r>
      <w:r>
        <w:rPr>
          <w:rFonts w:cs="Arial"/>
          <w:szCs w:val="20"/>
        </w:rPr>
        <w:t xml:space="preserve"> used modalities</w:t>
      </w:r>
      <w:r w:rsidRPr="0087557D">
        <w:rPr>
          <w:rFonts w:cs="Arial"/>
          <w:szCs w:val="20"/>
        </w:rPr>
        <w:t xml:space="preserve"> of implementation compatible with the sanitary situation</w:t>
      </w:r>
      <w:r>
        <w:rPr>
          <w:rFonts w:cs="Arial"/>
          <w:szCs w:val="20"/>
        </w:rPr>
        <w:t xml:space="preserve"> and related restrictions</w:t>
      </w:r>
      <w:r w:rsidRPr="0087557D">
        <w:rPr>
          <w:rFonts w:cs="Arial"/>
          <w:szCs w:val="20"/>
        </w:rPr>
        <w:t>. The reduced cost of activities allow</w:t>
      </w:r>
      <w:r>
        <w:rPr>
          <w:rFonts w:cs="Arial"/>
          <w:szCs w:val="20"/>
        </w:rPr>
        <w:t>ed for</w:t>
      </w:r>
      <w:r w:rsidRPr="0087557D">
        <w:rPr>
          <w:rFonts w:cs="Arial"/>
          <w:szCs w:val="20"/>
        </w:rPr>
        <w:t xml:space="preserve"> an extension of the programmes’ implementation period</w:t>
      </w:r>
      <w:r>
        <w:rPr>
          <w:rFonts w:cs="Arial"/>
          <w:szCs w:val="20"/>
        </w:rPr>
        <w:t xml:space="preserve"> (until December 2022 for PAII-T and AP-JUST programmes, for South IV– until end of August 2022)</w:t>
      </w:r>
      <w:r w:rsidRPr="0087557D">
        <w:rPr>
          <w:rFonts w:cs="Arial"/>
          <w:szCs w:val="20"/>
        </w:rPr>
        <w:t xml:space="preserve">. </w:t>
      </w:r>
      <w:r>
        <w:rPr>
          <w:rFonts w:cs="Arial"/>
          <w:szCs w:val="20"/>
        </w:rPr>
        <w:t>Furthermore, projects in Tunisia were impacted by a political context marked by the exceptional measures in place since 25 July 2021 that include, notably, freezing of the Parliament, ruling through presidential decrees and according to which a referendum on the constitution and anticipated parliamentary elections should take place in 2022.</w:t>
      </w:r>
      <w:r w:rsidRPr="0087557D">
        <w:rPr>
          <w:rFonts w:cs="Arial"/>
          <w:szCs w:val="20"/>
        </w:rPr>
        <w:t xml:space="preserve"> </w:t>
      </w:r>
    </w:p>
    <w:p w14:paraId="09EB8504" w14:textId="77777777" w:rsidR="00067458" w:rsidRDefault="00067458" w:rsidP="00067458">
      <w:pPr>
        <w:rPr>
          <w:rFonts w:cs="Arial"/>
          <w:szCs w:val="20"/>
        </w:rPr>
      </w:pPr>
    </w:p>
    <w:p w14:paraId="2B5AA041" w14:textId="77777777" w:rsidR="00067458" w:rsidRDefault="00067458" w:rsidP="00067458">
      <w:pPr>
        <w:rPr>
          <w:rFonts w:cs="Arial"/>
          <w:szCs w:val="20"/>
        </w:rPr>
      </w:pPr>
      <w:r>
        <w:rPr>
          <w:rFonts w:cs="Arial"/>
          <w:szCs w:val="20"/>
        </w:rPr>
        <w:t xml:space="preserve">Regional programme activities in the MENA region as well as country-specific programmes in Morocco and Tunisia were adjusted to mitigate the impact of </w:t>
      </w:r>
      <w:r w:rsidRPr="0087557D">
        <w:rPr>
          <w:rFonts w:cs="Arial"/>
          <w:szCs w:val="20"/>
        </w:rPr>
        <w:t>the</w:t>
      </w:r>
      <w:r>
        <w:rPr>
          <w:rFonts w:cs="Arial"/>
          <w:szCs w:val="20"/>
        </w:rPr>
        <w:t xml:space="preserve"> challenging implementation environment and </w:t>
      </w:r>
      <w:r w:rsidRPr="0087557D">
        <w:rPr>
          <w:rFonts w:cs="Arial"/>
          <w:szCs w:val="20"/>
        </w:rPr>
        <w:t xml:space="preserve">continued to deliver results, a non-exhaustive list of which includes: </w:t>
      </w:r>
    </w:p>
    <w:p w14:paraId="4EC2A120" w14:textId="77777777" w:rsidR="00067458" w:rsidRPr="00454FA8" w:rsidRDefault="00067458" w:rsidP="00067458">
      <w:pPr>
        <w:rPr>
          <w:rFonts w:cs="Arial"/>
          <w:szCs w:val="20"/>
          <w:highlight w:val="yellow"/>
        </w:rPr>
      </w:pPr>
    </w:p>
    <w:p w14:paraId="1BAC155B" w14:textId="77777777" w:rsidR="00067458" w:rsidRPr="0012557D" w:rsidRDefault="00067458" w:rsidP="00067458">
      <w:pPr>
        <w:numPr>
          <w:ilvl w:val="0"/>
          <w:numId w:val="8"/>
        </w:numPr>
        <w:ind w:left="1134" w:hanging="850"/>
        <w:contextualSpacing/>
        <w:rPr>
          <w:rFonts w:eastAsia="Times New Roman" w:cs="Arial"/>
          <w:szCs w:val="20"/>
          <w:lang w:eastAsia="fr-FR"/>
        </w:rPr>
      </w:pPr>
      <w:r>
        <w:rPr>
          <w:rFonts w:eastAsia="Times New Roman" w:cs="Arial"/>
          <w:szCs w:val="20"/>
          <w:lang w:eastAsia="fr-FR"/>
        </w:rPr>
        <w:t>Enlarged</w:t>
      </w:r>
      <w:r w:rsidRPr="0012557D">
        <w:rPr>
          <w:rFonts w:eastAsia="Times New Roman" w:cs="Arial"/>
          <w:szCs w:val="20"/>
          <w:lang w:eastAsia="fr-FR"/>
        </w:rPr>
        <w:t xml:space="preserve"> common legal space with the invitation by the CoE Committee of Ministers to Morocco to accede to the Criminal Law Convention on Corruption and to the Civil Law Convention on Corruption; entry into force of the Council of Europe Convention on Action against Trafficking in Human Beings in Israel; </w:t>
      </w:r>
      <w:r w:rsidRPr="0012557D">
        <w:rPr>
          <w:rFonts w:cs="Arial"/>
          <w:szCs w:val="20"/>
        </w:rPr>
        <w:t xml:space="preserve">and </w:t>
      </w:r>
      <w:r>
        <w:rPr>
          <w:rFonts w:eastAsia="Times New Roman" w:cs="Arial"/>
          <w:szCs w:val="20"/>
          <w:lang w:eastAsia="fr-FR"/>
        </w:rPr>
        <w:t>i</w:t>
      </w:r>
      <w:r w:rsidRPr="0012557D">
        <w:rPr>
          <w:rFonts w:eastAsia="Times New Roman" w:cs="Arial"/>
          <w:szCs w:val="20"/>
          <w:lang w:eastAsia="fr-FR"/>
        </w:rPr>
        <w:t>ncreased harmonisation of legislation with the Budapest Convention</w:t>
      </w:r>
      <w:r w:rsidRPr="0087557D">
        <w:rPr>
          <w:rFonts w:eastAsia="Times New Roman" w:cs="Arial"/>
          <w:szCs w:val="20"/>
          <w:vertAlign w:val="superscript"/>
          <w:lang w:eastAsia="fr-FR"/>
        </w:rPr>
        <w:footnoteReference w:id="10"/>
      </w:r>
      <w:r w:rsidRPr="0012557D">
        <w:rPr>
          <w:rFonts w:eastAsia="Times New Roman" w:cs="Arial"/>
          <w:szCs w:val="20"/>
          <w:lang w:eastAsia="fr-FR"/>
        </w:rPr>
        <w:t>,</w:t>
      </w:r>
      <w:r>
        <w:rPr>
          <w:rFonts w:eastAsia="Times New Roman" w:cs="Arial"/>
          <w:szCs w:val="20"/>
          <w:lang w:eastAsia="fr-FR"/>
        </w:rPr>
        <w:t xml:space="preserve"> (</w:t>
      </w:r>
      <w:r w:rsidRPr="0012557D">
        <w:rPr>
          <w:rFonts w:eastAsia="Times New Roman" w:cs="Arial"/>
          <w:szCs w:val="20"/>
          <w:lang w:eastAsia="fr-FR"/>
        </w:rPr>
        <w:t>Morocco has been a Contracting Party to the Convention since 2018, Lebanon and Jordan have adopted legislation largely compliant with the Budapest Convention</w:t>
      </w:r>
      <w:r>
        <w:rPr>
          <w:rFonts w:eastAsia="Times New Roman" w:cs="Arial"/>
          <w:szCs w:val="20"/>
          <w:lang w:eastAsia="fr-FR"/>
        </w:rPr>
        <w:t>)</w:t>
      </w:r>
      <w:r w:rsidRPr="0012557D">
        <w:rPr>
          <w:rFonts w:eastAsia="Times New Roman" w:cs="Arial"/>
          <w:szCs w:val="20"/>
          <w:lang w:eastAsia="fr-FR"/>
        </w:rPr>
        <w:t xml:space="preserve">; </w:t>
      </w:r>
    </w:p>
    <w:p w14:paraId="33BBF789" w14:textId="77777777" w:rsidR="00067458" w:rsidRPr="00F52869" w:rsidRDefault="00067458" w:rsidP="00067458">
      <w:pPr>
        <w:ind w:left="1134" w:hanging="850"/>
        <w:contextualSpacing/>
        <w:rPr>
          <w:rFonts w:cs="Arial"/>
          <w:szCs w:val="20"/>
        </w:rPr>
      </w:pPr>
    </w:p>
    <w:p w14:paraId="4D141471" w14:textId="77777777" w:rsidR="00067458" w:rsidRPr="0012557D" w:rsidRDefault="00067458" w:rsidP="00067458">
      <w:pPr>
        <w:numPr>
          <w:ilvl w:val="0"/>
          <w:numId w:val="8"/>
        </w:numPr>
        <w:ind w:left="1134" w:hanging="850"/>
        <w:rPr>
          <w:rFonts w:cs="Arial"/>
          <w:szCs w:val="20"/>
        </w:rPr>
      </w:pPr>
      <w:r w:rsidRPr="006A1283">
        <w:rPr>
          <w:rFonts w:eastAsia="Times New Roman" w:cs="Arial"/>
          <w:szCs w:val="20"/>
          <w:lang w:eastAsia="fr-FR"/>
        </w:rPr>
        <w:t>Launch of the National Referral Mechanism for victims of human trafficking in Tunisia</w:t>
      </w:r>
      <w:r>
        <w:rPr>
          <w:rFonts w:eastAsia="Times New Roman" w:cs="Arial"/>
          <w:szCs w:val="20"/>
          <w:lang w:eastAsia="fr-FR"/>
        </w:rPr>
        <w:t xml:space="preserve">, </w:t>
      </w:r>
      <w:r w:rsidRPr="002125D4">
        <w:rPr>
          <w:rFonts w:cs="Arial"/>
          <w:szCs w:val="20"/>
        </w:rPr>
        <w:t>in connection with the Council of Europe convention against Trafficking in Human Beings</w:t>
      </w:r>
      <w:r>
        <w:rPr>
          <w:rFonts w:eastAsia="Times New Roman" w:cs="Arial"/>
          <w:szCs w:val="20"/>
          <w:lang w:eastAsia="fr-FR"/>
        </w:rPr>
        <w:t xml:space="preserve"> and e</w:t>
      </w:r>
      <w:r>
        <w:rPr>
          <w:rFonts w:cs="Arial"/>
          <w:szCs w:val="20"/>
        </w:rPr>
        <w:t xml:space="preserve">xchanges between </w:t>
      </w:r>
      <w:r w:rsidRPr="0087557D">
        <w:rPr>
          <w:rFonts w:cs="Arial"/>
          <w:szCs w:val="20"/>
        </w:rPr>
        <w:t xml:space="preserve">Lebanese, Moroccan, and Tunisian authorities in charge of fighting against trafficking in human beings and civil society </w:t>
      </w:r>
      <w:r>
        <w:rPr>
          <w:rFonts w:cs="Arial"/>
          <w:szCs w:val="20"/>
        </w:rPr>
        <w:t>with a view</w:t>
      </w:r>
      <w:r w:rsidRPr="0087557D">
        <w:rPr>
          <w:rFonts w:cs="Arial"/>
          <w:szCs w:val="20"/>
        </w:rPr>
        <w:t xml:space="preserve"> t</w:t>
      </w:r>
      <w:r>
        <w:rPr>
          <w:rFonts w:cs="Arial"/>
          <w:szCs w:val="20"/>
        </w:rPr>
        <w:t xml:space="preserve">o </w:t>
      </w:r>
      <w:r w:rsidRPr="0087557D">
        <w:rPr>
          <w:rFonts w:cs="Arial"/>
          <w:szCs w:val="20"/>
        </w:rPr>
        <w:t>develop</w:t>
      </w:r>
      <w:r>
        <w:rPr>
          <w:rFonts w:cs="Arial"/>
          <w:szCs w:val="20"/>
        </w:rPr>
        <w:t>ing</w:t>
      </w:r>
      <w:r w:rsidRPr="0087557D">
        <w:rPr>
          <w:rFonts w:cs="Arial"/>
          <w:szCs w:val="20"/>
        </w:rPr>
        <w:t xml:space="preserve"> tools for </w:t>
      </w:r>
      <w:r>
        <w:rPr>
          <w:rFonts w:cs="Arial"/>
          <w:szCs w:val="20"/>
        </w:rPr>
        <w:t xml:space="preserve">regional </w:t>
      </w:r>
      <w:proofErr w:type="gramStart"/>
      <w:r w:rsidRPr="0087557D">
        <w:rPr>
          <w:rFonts w:cs="Arial"/>
          <w:szCs w:val="20"/>
        </w:rPr>
        <w:t>co-operation;</w:t>
      </w:r>
      <w:proofErr w:type="gramEnd"/>
    </w:p>
    <w:p w14:paraId="16610C71" w14:textId="77777777" w:rsidR="00067458" w:rsidRDefault="00067458" w:rsidP="00067458">
      <w:pPr>
        <w:ind w:left="1134" w:hanging="850"/>
        <w:contextualSpacing/>
        <w:rPr>
          <w:rFonts w:eastAsia="Times New Roman" w:cs="Arial"/>
          <w:szCs w:val="20"/>
          <w:lang w:eastAsia="fr-FR"/>
        </w:rPr>
      </w:pPr>
    </w:p>
    <w:p w14:paraId="24271947" w14:textId="77777777" w:rsidR="00067458" w:rsidRDefault="00067458" w:rsidP="00067458">
      <w:pPr>
        <w:numPr>
          <w:ilvl w:val="0"/>
          <w:numId w:val="8"/>
        </w:numPr>
        <w:ind w:left="1134" w:hanging="850"/>
        <w:contextualSpacing/>
        <w:rPr>
          <w:rFonts w:eastAsia="Times New Roman" w:cs="Arial"/>
          <w:szCs w:val="20"/>
          <w:lang w:eastAsia="fr-FR"/>
        </w:rPr>
      </w:pPr>
      <w:r w:rsidRPr="002125D4">
        <w:rPr>
          <w:rFonts w:eastAsia="Times New Roman" w:cs="Arial"/>
          <w:szCs w:val="20"/>
          <w:lang w:eastAsia="fr-FR"/>
        </w:rPr>
        <w:t xml:space="preserve">Increased awareness on media freedom standards in Tunisia following the creation </w:t>
      </w:r>
      <w:r>
        <w:rPr>
          <w:rFonts w:eastAsia="Times New Roman" w:cs="Arial"/>
          <w:szCs w:val="20"/>
          <w:lang w:eastAsia="fr-FR"/>
        </w:rPr>
        <w:t>of t</w:t>
      </w:r>
      <w:r w:rsidRPr="00AD77B6">
        <w:rPr>
          <w:rFonts w:eastAsia="Times New Roman" w:cs="Arial"/>
          <w:szCs w:val="20"/>
          <w:lang w:eastAsia="fr-FR"/>
        </w:rPr>
        <w:t>he Online Resource Centre for Regulation, Self-Regulation and Media Education (CRRM) of the Independent High Authority for Audiovisual Communication (HAICA</w:t>
      </w:r>
      <w:proofErr w:type="gramStart"/>
      <w:r w:rsidRPr="00AD77B6">
        <w:rPr>
          <w:rFonts w:eastAsia="Times New Roman" w:cs="Arial"/>
          <w:szCs w:val="20"/>
          <w:lang w:eastAsia="fr-FR"/>
        </w:rPr>
        <w:t>)</w:t>
      </w:r>
      <w:r>
        <w:rPr>
          <w:rFonts w:eastAsia="Times New Roman" w:cs="Arial"/>
          <w:szCs w:val="20"/>
          <w:lang w:eastAsia="fr-FR"/>
        </w:rPr>
        <w:t>;</w:t>
      </w:r>
      <w:proofErr w:type="gramEnd"/>
    </w:p>
    <w:p w14:paraId="7519670E" w14:textId="0BC0EB46" w:rsidR="00701B55" w:rsidRDefault="00701B55">
      <w:pPr>
        <w:rPr>
          <w:rFonts w:eastAsia="Times New Roman" w:cs="Arial"/>
          <w:szCs w:val="20"/>
          <w:lang w:eastAsia="fr-FR"/>
        </w:rPr>
      </w:pPr>
    </w:p>
    <w:p w14:paraId="5446BAD6" w14:textId="75E5346E" w:rsidR="00067458" w:rsidRPr="00F52869" w:rsidRDefault="00067458" w:rsidP="00067458">
      <w:pPr>
        <w:pStyle w:val="ListParagraph"/>
        <w:numPr>
          <w:ilvl w:val="0"/>
          <w:numId w:val="8"/>
        </w:numPr>
        <w:ind w:left="1134" w:hanging="850"/>
        <w:rPr>
          <w:rFonts w:eastAsia="Times New Roman" w:cs="Arial"/>
          <w:szCs w:val="20"/>
          <w:lang w:eastAsia="fr-FR"/>
        </w:rPr>
      </w:pPr>
      <w:r w:rsidRPr="002125D4">
        <w:rPr>
          <w:rFonts w:eastAsia="Times New Roman" w:cs="Arial"/>
          <w:szCs w:val="20"/>
          <w:lang w:eastAsia="fr-FR"/>
        </w:rPr>
        <w:t>Enhanced capacities of legal professionals in the region on human rights</w:t>
      </w:r>
      <w:r>
        <w:rPr>
          <w:rFonts w:eastAsia="Times New Roman" w:cs="Arial"/>
          <w:szCs w:val="20"/>
          <w:lang w:eastAsia="fr-FR"/>
        </w:rPr>
        <w:t xml:space="preserve">, </w:t>
      </w:r>
      <w:r w:rsidRPr="002125D4">
        <w:rPr>
          <w:rFonts w:eastAsia="Times New Roman" w:cs="Arial"/>
          <w:szCs w:val="20"/>
          <w:lang w:eastAsia="fr-FR"/>
        </w:rPr>
        <w:t>European and international standards as shown by a significantly increased number of users of the HELP platform (increase of around 33% in 2021)</w:t>
      </w:r>
      <w:r>
        <w:rPr>
          <w:rFonts w:eastAsia="Times New Roman" w:cs="Arial"/>
          <w:szCs w:val="20"/>
          <w:lang w:eastAsia="fr-FR"/>
        </w:rPr>
        <w:t xml:space="preserve"> and of number of HELP courses translated into Arabic and </w:t>
      </w:r>
      <w:proofErr w:type="gramStart"/>
      <w:r>
        <w:rPr>
          <w:rFonts w:eastAsia="Times New Roman" w:cs="Arial"/>
          <w:szCs w:val="20"/>
          <w:lang w:eastAsia="fr-FR"/>
        </w:rPr>
        <w:t>contextualised</w:t>
      </w:r>
      <w:r w:rsidRPr="002125D4">
        <w:rPr>
          <w:rFonts w:eastAsia="Times New Roman" w:cs="Arial"/>
          <w:szCs w:val="20"/>
          <w:lang w:eastAsia="fr-FR"/>
        </w:rPr>
        <w:t>;</w:t>
      </w:r>
      <w:proofErr w:type="gramEnd"/>
    </w:p>
    <w:p w14:paraId="387A84A0" w14:textId="77777777" w:rsidR="00067458" w:rsidRDefault="00067458" w:rsidP="00067458">
      <w:pPr>
        <w:ind w:left="1134" w:hanging="850"/>
        <w:contextualSpacing/>
        <w:rPr>
          <w:rFonts w:eastAsia="Times New Roman" w:cs="Arial"/>
          <w:szCs w:val="20"/>
          <w:lang w:eastAsia="fr-FR"/>
        </w:rPr>
      </w:pPr>
    </w:p>
    <w:p w14:paraId="4F3EC2A5" w14:textId="77777777" w:rsidR="00067458" w:rsidRPr="00454FA8" w:rsidRDefault="00067458" w:rsidP="00067458">
      <w:pPr>
        <w:numPr>
          <w:ilvl w:val="0"/>
          <w:numId w:val="8"/>
        </w:numPr>
        <w:ind w:left="1134" w:hanging="850"/>
        <w:contextualSpacing/>
        <w:rPr>
          <w:rFonts w:eastAsia="Times New Roman" w:cs="Arial"/>
          <w:szCs w:val="20"/>
          <w:lang w:eastAsia="fr-FR"/>
        </w:rPr>
      </w:pPr>
      <w:r w:rsidRPr="00454FA8">
        <w:rPr>
          <w:rFonts w:eastAsia="Times New Roman" w:cs="Arial"/>
          <w:szCs w:val="20"/>
          <w:lang w:eastAsia="fr-FR"/>
        </w:rPr>
        <w:t xml:space="preserve">Increased awareness of persons in detention about their rights and duties thanks to the dissemination of a “Guidebook for Prisoners” in Tunisia and to the preparation of the first edition of the same document in </w:t>
      </w:r>
      <w:proofErr w:type="gramStart"/>
      <w:r w:rsidRPr="00454FA8">
        <w:rPr>
          <w:rFonts w:eastAsia="Times New Roman" w:cs="Arial"/>
          <w:szCs w:val="20"/>
          <w:lang w:eastAsia="fr-FR"/>
        </w:rPr>
        <w:t>Morocco;</w:t>
      </w:r>
      <w:proofErr w:type="gramEnd"/>
      <w:r w:rsidRPr="00454FA8">
        <w:rPr>
          <w:rFonts w:eastAsia="Times New Roman" w:cs="Arial"/>
          <w:szCs w:val="20"/>
          <w:lang w:eastAsia="fr-FR"/>
        </w:rPr>
        <w:t xml:space="preserve"> </w:t>
      </w:r>
    </w:p>
    <w:p w14:paraId="35BE0996" w14:textId="77777777" w:rsidR="00067458" w:rsidRPr="002125D4" w:rsidRDefault="00067458" w:rsidP="00067458">
      <w:pPr>
        <w:ind w:left="1134" w:hanging="850"/>
        <w:contextualSpacing/>
        <w:rPr>
          <w:rFonts w:eastAsia="Times New Roman" w:cs="Arial"/>
          <w:szCs w:val="20"/>
          <w:lang w:eastAsia="fr-FR"/>
        </w:rPr>
      </w:pPr>
    </w:p>
    <w:p w14:paraId="56828A92" w14:textId="77777777" w:rsidR="00067458" w:rsidRPr="00175F8F" w:rsidRDefault="00067458" w:rsidP="00067458">
      <w:pPr>
        <w:numPr>
          <w:ilvl w:val="0"/>
          <w:numId w:val="8"/>
        </w:numPr>
        <w:ind w:left="1134" w:hanging="850"/>
        <w:contextualSpacing/>
        <w:rPr>
          <w:rFonts w:eastAsia="Times New Roman" w:cs="Arial"/>
          <w:szCs w:val="20"/>
          <w:lang w:eastAsia="fr-FR"/>
        </w:rPr>
      </w:pPr>
      <w:r>
        <w:rPr>
          <w:rFonts w:eastAsia="Times New Roman" w:cs="Arial"/>
          <w:szCs w:val="20"/>
          <w:lang w:eastAsia="fr-FR"/>
        </w:rPr>
        <w:t xml:space="preserve">Reinforced collaboration and joint action by the independent bodies on access to information (INAI) and protection of data (INPDP) to step up efforts on systematic capacity building in these areas in Tunisia, including establishment of a pool of 20 master trainers and 80 information officers on access to </w:t>
      </w:r>
      <w:proofErr w:type="gramStart"/>
      <w:r>
        <w:rPr>
          <w:rFonts w:eastAsia="Times New Roman" w:cs="Arial"/>
          <w:szCs w:val="20"/>
          <w:lang w:eastAsia="fr-FR"/>
        </w:rPr>
        <w:t>information;</w:t>
      </w:r>
      <w:proofErr w:type="gramEnd"/>
    </w:p>
    <w:p w14:paraId="60CE3526" w14:textId="77777777" w:rsidR="00067458" w:rsidRPr="00454FA8" w:rsidRDefault="00067458" w:rsidP="00067458">
      <w:pPr>
        <w:ind w:left="1134" w:hanging="850"/>
        <w:contextualSpacing/>
        <w:rPr>
          <w:rFonts w:cs="Arial"/>
          <w:szCs w:val="20"/>
        </w:rPr>
      </w:pPr>
    </w:p>
    <w:p w14:paraId="61D9EA50" w14:textId="77777777" w:rsidR="00067458" w:rsidRPr="00C81D65" w:rsidRDefault="00067458" w:rsidP="00067458">
      <w:pPr>
        <w:pStyle w:val="ListParagraph"/>
        <w:numPr>
          <w:ilvl w:val="0"/>
          <w:numId w:val="8"/>
        </w:numPr>
        <w:ind w:left="1134" w:hanging="850"/>
        <w:rPr>
          <w:rFonts w:cs="Arial"/>
          <w:szCs w:val="20"/>
        </w:rPr>
      </w:pPr>
      <w:r w:rsidRPr="00454FA8">
        <w:rPr>
          <w:rFonts w:cs="Arial"/>
          <w:szCs w:val="20"/>
        </w:rPr>
        <w:t xml:space="preserve">Increased justice performance through the use of tools of the European Commission for the efficiency of justice in Morocco and Tunisia contributing to a better performance of the judicial system, including as regards remote trials, the reinforcement of capacities of judges and life-long learning for </w:t>
      </w:r>
      <w:proofErr w:type="gramStart"/>
      <w:r w:rsidRPr="00454FA8">
        <w:rPr>
          <w:rFonts w:cs="Arial"/>
          <w:szCs w:val="20"/>
        </w:rPr>
        <w:t>lawyers</w:t>
      </w:r>
      <w:r>
        <w:rPr>
          <w:rFonts w:cs="Arial"/>
          <w:szCs w:val="20"/>
        </w:rPr>
        <w:t>;</w:t>
      </w:r>
      <w:proofErr w:type="gramEnd"/>
    </w:p>
    <w:p w14:paraId="7FFEF466" w14:textId="77777777" w:rsidR="00067458" w:rsidRPr="0087557D" w:rsidRDefault="00067458" w:rsidP="00067458">
      <w:pPr>
        <w:ind w:left="1134" w:hanging="850"/>
        <w:contextualSpacing/>
        <w:rPr>
          <w:rFonts w:eastAsia="Times New Roman" w:cs="Arial"/>
          <w:szCs w:val="20"/>
          <w:lang w:eastAsia="fr-FR"/>
        </w:rPr>
      </w:pPr>
    </w:p>
    <w:p w14:paraId="695A3331" w14:textId="77777777" w:rsidR="00067458" w:rsidRPr="0087557D" w:rsidRDefault="00067458" w:rsidP="00067458">
      <w:pPr>
        <w:numPr>
          <w:ilvl w:val="0"/>
          <w:numId w:val="8"/>
        </w:numPr>
        <w:ind w:left="1134" w:hanging="850"/>
        <w:rPr>
          <w:rFonts w:cs="Arial"/>
          <w:szCs w:val="20"/>
        </w:rPr>
      </w:pPr>
      <w:r>
        <w:rPr>
          <w:rFonts w:eastAsia="Times New Roman" w:cs="Arial"/>
          <w:szCs w:val="20"/>
          <w:lang w:eastAsia="fr-FR"/>
        </w:rPr>
        <w:t xml:space="preserve">Finalisation of the </w:t>
      </w:r>
      <w:r w:rsidRPr="00B41918">
        <w:rPr>
          <w:rFonts w:cs="Arial"/>
          <w:szCs w:val="20"/>
        </w:rPr>
        <w:t xml:space="preserve">Corruption Risk Assessment of the Moroccan banking sector in close co-operation with the Moroccan banking sector and anti-corruption body (INPPLC) and </w:t>
      </w:r>
      <w:r>
        <w:rPr>
          <w:rFonts w:cs="Arial"/>
          <w:szCs w:val="20"/>
        </w:rPr>
        <w:t xml:space="preserve">the use of </w:t>
      </w:r>
      <w:r w:rsidRPr="00B41918">
        <w:rPr>
          <w:rFonts w:cs="Arial"/>
          <w:szCs w:val="20"/>
        </w:rPr>
        <w:t>its recommendations by the Central bank of Morocco in the drafting of a directive on the prevention and management of corruption</w:t>
      </w:r>
      <w:r w:rsidRPr="00175F8F">
        <w:rPr>
          <w:rFonts w:cs="Arial"/>
          <w:szCs w:val="20"/>
        </w:rPr>
        <w:t xml:space="preserve"> risks by credit </w:t>
      </w:r>
      <w:proofErr w:type="gramStart"/>
      <w:r w:rsidRPr="00175F8F">
        <w:rPr>
          <w:rFonts w:cs="Arial"/>
          <w:szCs w:val="20"/>
        </w:rPr>
        <w:t>institutions</w:t>
      </w:r>
      <w:r>
        <w:rPr>
          <w:rFonts w:cs="Arial"/>
          <w:szCs w:val="20"/>
        </w:rPr>
        <w:t>;</w:t>
      </w:r>
      <w:proofErr w:type="gramEnd"/>
      <w:r w:rsidRPr="00175F8F">
        <w:rPr>
          <w:rFonts w:cs="Arial"/>
          <w:szCs w:val="20"/>
        </w:rPr>
        <w:t xml:space="preserve"> </w:t>
      </w:r>
    </w:p>
    <w:p w14:paraId="4FE65E78" w14:textId="77777777" w:rsidR="00067458" w:rsidRPr="0087557D" w:rsidRDefault="00067458" w:rsidP="00067458">
      <w:pPr>
        <w:ind w:left="1134" w:hanging="850"/>
        <w:rPr>
          <w:rFonts w:cs="Arial"/>
          <w:szCs w:val="20"/>
        </w:rPr>
      </w:pPr>
    </w:p>
    <w:p w14:paraId="53C30B9E" w14:textId="77777777" w:rsidR="00067458" w:rsidRPr="0087557D" w:rsidRDefault="00067458" w:rsidP="00067458">
      <w:pPr>
        <w:numPr>
          <w:ilvl w:val="0"/>
          <w:numId w:val="8"/>
        </w:numPr>
        <w:ind w:left="1134" w:hanging="850"/>
        <w:contextualSpacing/>
        <w:rPr>
          <w:rFonts w:cs="Arial"/>
          <w:szCs w:val="20"/>
        </w:rPr>
      </w:pPr>
      <w:r>
        <w:rPr>
          <w:rFonts w:eastAsia="Times New Roman" w:cs="Arial"/>
          <w:szCs w:val="20"/>
          <w:lang w:eastAsia="fr-FR"/>
        </w:rPr>
        <w:t>F</w:t>
      </w:r>
      <w:r w:rsidRPr="0087557D">
        <w:rPr>
          <w:rFonts w:eastAsia="Times New Roman" w:cs="Arial"/>
          <w:szCs w:val="20"/>
          <w:lang w:eastAsia="fr-FR"/>
        </w:rPr>
        <w:t xml:space="preserve">urther development of the </w:t>
      </w:r>
      <w:r w:rsidRPr="0087557D">
        <w:rPr>
          <w:rFonts w:eastAsia="Times New Roman"/>
          <w:szCs w:val="24"/>
          <w:lang w:eastAsia="fr-FR"/>
        </w:rPr>
        <w:t xml:space="preserve">peer-to-peer </w:t>
      </w:r>
      <w:r>
        <w:rPr>
          <w:rFonts w:eastAsia="Times New Roman"/>
          <w:szCs w:val="24"/>
          <w:lang w:eastAsia="fr-FR"/>
        </w:rPr>
        <w:t>exchanges</w:t>
      </w:r>
      <w:r w:rsidRPr="0087557D">
        <w:rPr>
          <w:rFonts w:eastAsia="Times New Roman"/>
          <w:szCs w:val="24"/>
          <w:lang w:eastAsia="fr-FR"/>
        </w:rPr>
        <w:t xml:space="preserve"> through Council of Europe networks such as </w:t>
      </w:r>
      <w:r>
        <w:rPr>
          <w:rFonts w:eastAsia="Times New Roman"/>
          <w:szCs w:val="24"/>
          <w:lang w:eastAsia="fr-FR"/>
        </w:rPr>
        <w:t xml:space="preserve">the </w:t>
      </w:r>
      <w:r w:rsidRPr="0087557D">
        <w:rPr>
          <w:rFonts w:eastAsia="Times New Roman"/>
          <w:szCs w:val="24"/>
          <w:lang w:eastAsia="fr-FR"/>
        </w:rPr>
        <w:t>UniDem Med campus (University for Democracy)</w:t>
      </w:r>
      <w:r>
        <w:rPr>
          <w:rFonts w:eastAsia="Times New Roman" w:cs="Arial"/>
          <w:szCs w:val="20"/>
          <w:lang w:eastAsia="fr-FR"/>
        </w:rPr>
        <w:t>.</w:t>
      </w:r>
    </w:p>
    <w:p w14:paraId="7CA1870F" w14:textId="77777777" w:rsidR="00067458" w:rsidRDefault="00067458" w:rsidP="00067458">
      <w:pPr>
        <w:rPr>
          <w:rFonts w:eastAsia="Times New Roman" w:cs="Arial"/>
          <w:b/>
          <w:szCs w:val="20"/>
          <w:lang w:eastAsia="fr-FR"/>
        </w:rPr>
      </w:pPr>
    </w:p>
    <w:p w14:paraId="134803A7" w14:textId="77777777" w:rsidR="00A04033" w:rsidRDefault="00A04033">
      <w:pPr>
        <w:rPr>
          <w:rFonts w:eastAsia="Times New Roman" w:cs="Arial"/>
          <w:b/>
          <w:szCs w:val="20"/>
          <w:lang w:eastAsia="fr-FR"/>
        </w:rPr>
      </w:pPr>
      <w:bookmarkStart w:id="14" w:name="_Hlk92975439"/>
      <w:r>
        <w:rPr>
          <w:rFonts w:eastAsia="Times New Roman" w:cs="Arial"/>
          <w:b/>
          <w:szCs w:val="20"/>
          <w:lang w:eastAsia="fr-FR"/>
        </w:rPr>
        <w:br w:type="page"/>
      </w:r>
    </w:p>
    <w:p w14:paraId="5BC74268" w14:textId="65F8C26F" w:rsidR="00067458" w:rsidRPr="0087557D" w:rsidRDefault="00067458" w:rsidP="00067458">
      <w:pPr>
        <w:numPr>
          <w:ilvl w:val="0"/>
          <w:numId w:val="2"/>
        </w:numPr>
        <w:tabs>
          <w:tab w:val="left" w:pos="709"/>
          <w:tab w:val="left" w:pos="1276"/>
        </w:tabs>
        <w:ind w:left="709" w:hanging="709"/>
        <w:rPr>
          <w:rFonts w:eastAsia="Times New Roman" w:cs="Arial"/>
          <w:b/>
          <w:szCs w:val="20"/>
          <w:lang w:eastAsia="fr-FR"/>
        </w:rPr>
      </w:pPr>
      <w:r w:rsidRPr="0087557D">
        <w:rPr>
          <w:rFonts w:eastAsia="Times New Roman" w:cs="Arial"/>
          <w:b/>
          <w:szCs w:val="20"/>
          <w:lang w:eastAsia="fr-FR"/>
        </w:rPr>
        <w:t>Programmes in Central Asia</w:t>
      </w:r>
    </w:p>
    <w:p w14:paraId="064B88A5" w14:textId="77777777" w:rsidR="00067458" w:rsidRPr="0087557D" w:rsidRDefault="00067458" w:rsidP="00067458">
      <w:pPr>
        <w:rPr>
          <w:rFonts w:cs="Arial"/>
          <w:bCs/>
          <w:szCs w:val="20"/>
        </w:rPr>
      </w:pPr>
    </w:p>
    <w:p w14:paraId="1AC5D4E5" w14:textId="77777777" w:rsidR="00067458" w:rsidRDefault="00067458" w:rsidP="00067458">
      <w:pPr>
        <w:rPr>
          <w:rFonts w:cs="Arial"/>
          <w:szCs w:val="20"/>
        </w:rPr>
      </w:pPr>
      <w:r w:rsidRPr="0087557D">
        <w:rPr>
          <w:rFonts w:cs="Arial"/>
          <w:bCs/>
          <w:szCs w:val="20"/>
        </w:rPr>
        <w:t>The EU</w:t>
      </w:r>
      <w:r w:rsidRPr="0087557D">
        <w:rPr>
          <w:rFonts w:cs="Arial"/>
          <w:b/>
          <w:szCs w:val="20"/>
        </w:rPr>
        <w:t>/</w:t>
      </w:r>
      <w:r w:rsidRPr="0087557D">
        <w:rPr>
          <w:rFonts w:cs="Arial"/>
          <w:szCs w:val="20"/>
        </w:rPr>
        <w:t>CoE joint “Central Asia Rule of Law Programme” (total</w:t>
      </w:r>
      <w:r>
        <w:rPr>
          <w:rFonts w:cs="Arial"/>
          <w:szCs w:val="20"/>
        </w:rPr>
        <w:t xml:space="preserve"> budget</w:t>
      </w:r>
      <w:r w:rsidRPr="0087557D">
        <w:rPr>
          <w:rFonts w:cs="Arial"/>
          <w:szCs w:val="20"/>
        </w:rPr>
        <w:t xml:space="preserve"> €8.9 million) </w:t>
      </w:r>
      <w:r>
        <w:rPr>
          <w:rFonts w:cs="Arial"/>
          <w:szCs w:val="20"/>
        </w:rPr>
        <w:t>has been implemented since 2020</w:t>
      </w:r>
      <w:r w:rsidRPr="0087557D">
        <w:rPr>
          <w:rFonts w:cs="Arial"/>
          <w:szCs w:val="20"/>
        </w:rPr>
        <w:t xml:space="preserve">. The programme is open to all five countries of the region – Kazakhstan, </w:t>
      </w:r>
      <w:r>
        <w:rPr>
          <w:rFonts w:cs="Arial"/>
          <w:szCs w:val="20"/>
        </w:rPr>
        <w:t>The Kyrgyz Republic</w:t>
      </w:r>
      <w:r w:rsidRPr="0087557D">
        <w:rPr>
          <w:rFonts w:cs="Arial"/>
          <w:szCs w:val="20"/>
        </w:rPr>
        <w:t>, Tajikistan, Turkmenistan, and Uzbekistan – and is in line with the CoE Policy for Neighbouring regions. The programme is implemented by the CoE in close collaboration with national partners and is based on a demand-driven approach. More specifically, the programme aims at</w:t>
      </w:r>
      <w:r>
        <w:rPr>
          <w:rFonts w:cs="Arial"/>
          <w:szCs w:val="20"/>
        </w:rPr>
        <w:t xml:space="preserve"> facilitating the creation of the common legal space between Europe and Central Asia,</w:t>
      </w:r>
      <w:r w:rsidRPr="0087557D">
        <w:rPr>
          <w:rFonts w:cs="Arial"/>
          <w:szCs w:val="20"/>
        </w:rPr>
        <w:t xml:space="preserve"> supporting the fight against economic </w:t>
      </w:r>
      <w:proofErr w:type="gramStart"/>
      <w:r w:rsidRPr="0087557D">
        <w:rPr>
          <w:rFonts w:cs="Arial"/>
          <w:szCs w:val="20"/>
        </w:rPr>
        <w:t>crime</w:t>
      </w:r>
      <w:proofErr w:type="gramEnd"/>
      <w:r>
        <w:rPr>
          <w:rFonts w:cs="Arial"/>
          <w:szCs w:val="20"/>
        </w:rPr>
        <w:t xml:space="preserve"> and enhancing human rights protection by </w:t>
      </w:r>
      <w:r w:rsidRPr="0087557D">
        <w:rPr>
          <w:rFonts w:cs="Arial"/>
          <w:szCs w:val="20"/>
        </w:rPr>
        <w:t>training legal professionals based on the HELP methodology</w:t>
      </w:r>
      <w:r>
        <w:rPr>
          <w:rFonts w:cs="Arial"/>
          <w:szCs w:val="20"/>
        </w:rPr>
        <w:t xml:space="preserve">. It also </w:t>
      </w:r>
      <w:r w:rsidRPr="0087557D">
        <w:rPr>
          <w:rFonts w:cs="Arial"/>
          <w:szCs w:val="20"/>
        </w:rPr>
        <w:t xml:space="preserve">includes the assistance of the Venice Commission to the functioning of </w:t>
      </w:r>
      <w:r>
        <w:rPr>
          <w:rFonts w:cs="Arial"/>
          <w:szCs w:val="20"/>
        </w:rPr>
        <w:t>state</w:t>
      </w:r>
      <w:r w:rsidRPr="0087557D">
        <w:rPr>
          <w:rFonts w:cs="Arial"/>
          <w:szCs w:val="20"/>
        </w:rPr>
        <w:t xml:space="preserve"> institutions and public administration. </w:t>
      </w:r>
      <w:r>
        <w:rPr>
          <w:rFonts w:eastAsia="Times New Roman" w:cs="Arial"/>
          <w:color w:val="000000"/>
          <w:szCs w:val="20"/>
          <w:lang w:eastAsia="en-GB"/>
        </w:rPr>
        <w:t>S</w:t>
      </w:r>
      <w:r w:rsidRPr="0087557D">
        <w:rPr>
          <w:rFonts w:eastAsia="Times New Roman" w:cs="Arial"/>
          <w:color w:val="000000"/>
          <w:szCs w:val="20"/>
          <w:lang w:eastAsia="en-GB"/>
        </w:rPr>
        <w:t>ome</w:t>
      </w:r>
      <w:r w:rsidRPr="0087557D">
        <w:rPr>
          <w:rFonts w:cs="Arial"/>
          <w:szCs w:val="20"/>
        </w:rPr>
        <w:t xml:space="preserve"> of the results are outlined below: </w:t>
      </w:r>
    </w:p>
    <w:p w14:paraId="32851C73" w14:textId="77777777" w:rsidR="00067458" w:rsidRPr="0087557D" w:rsidRDefault="00067458" w:rsidP="00067458">
      <w:pPr>
        <w:rPr>
          <w:rFonts w:cs="Arial"/>
          <w:szCs w:val="20"/>
        </w:rPr>
      </w:pPr>
    </w:p>
    <w:p w14:paraId="37A137A7" w14:textId="77777777" w:rsidR="00067458" w:rsidRDefault="00067458" w:rsidP="00067458">
      <w:pPr>
        <w:pStyle w:val="ListParagraph"/>
        <w:numPr>
          <w:ilvl w:val="0"/>
          <w:numId w:val="16"/>
        </w:numPr>
        <w:tabs>
          <w:tab w:val="left" w:pos="3285"/>
        </w:tabs>
        <w:ind w:left="993"/>
        <w:rPr>
          <w:rFonts w:eastAsia="Times New Roman" w:cs="Arial"/>
          <w:szCs w:val="20"/>
          <w:lang w:eastAsia="fr-FR"/>
        </w:rPr>
      </w:pPr>
      <w:r w:rsidRPr="00BA5445">
        <w:rPr>
          <w:rFonts w:eastAsia="Times New Roman" w:cs="Arial"/>
          <w:szCs w:val="20"/>
          <w:lang w:eastAsia="fr-FR"/>
        </w:rPr>
        <w:t>Regarding human rights protection, the programme carried out an assessment of the training needs allowing to identifying</w:t>
      </w:r>
      <w:r w:rsidRPr="00BA5445">
        <w:rPr>
          <w:rFonts w:cs="Arial"/>
          <w:szCs w:val="20"/>
        </w:rPr>
        <w:t xml:space="preserve"> HELP courses to be implemented at the national level</w:t>
      </w:r>
      <w:r w:rsidRPr="00BA5445">
        <w:rPr>
          <w:rFonts w:eastAsia="Times New Roman" w:cs="Arial"/>
          <w:szCs w:val="20"/>
          <w:lang w:eastAsia="fr-FR"/>
        </w:rPr>
        <w:t xml:space="preserve"> with all five of the Central Asian countries</w:t>
      </w:r>
      <w:r w:rsidRPr="00BA5445">
        <w:rPr>
          <w:rFonts w:cs="Arial"/>
          <w:szCs w:val="20"/>
        </w:rPr>
        <w:t xml:space="preserve">. </w:t>
      </w:r>
      <w:r w:rsidRPr="00BA5445">
        <w:rPr>
          <w:rFonts w:eastAsia="Times New Roman" w:cs="Arial"/>
          <w:szCs w:val="20"/>
          <w:lang w:eastAsia="fr-FR"/>
        </w:rPr>
        <w:t xml:space="preserve">The first regional HELP Training for Trainers for 37 legal professionals from the Central Asian region was organised in spring 2021 with the aim to equip future trainers with </w:t>
      </w:r>
      <w:r>
        <w:rPr>
          <w:rFonts w:eastAsia="Times New Roman" w:cs="Arial"/>
          <w:szCs w:val="20"/>
          <w:lang w:eastAsia="fr-FR"/>
        </w:rPr>
        <w:t xml:space="preserve">the </w:t>
      </w:r>
      <w:r w:rsidRPr="00BA5445">
        <w:rPr>
          <w:rFonts w:eastAsia="Times New Roman" w:cs="Arial"/>
          <w:szCs w:val="20"/>
          <w:lang w:eastAsia="fr-FR"/>
        </w:rPr>
        <w:t xml:space="preserve">necessary skills to play </w:t>
      </w:r>
      <w:r>
        <w:rPr>
          <w:rFonts w:eastAsia="Times New Roman" w:cs="Arial"/>
          <w:szCs w:val="20"/>
          <w:lang w:eastAsia="fr-FR"/>
        </w:rPr>
        <w:t>the</w:t>
      </w:r>
      <w:r w:rsidRPr="00BA5445">
        <w:rPr>
          <w:rFonts w:eastAsia="Times New Roman" w:cs="Arial"/>
          <w:szCs w:val="20"/>
          <w:lang w:eastAsia="fr-FR"/>
        </w:rPr>
        <w:t xml:space="preserve"> role of tutors of HELP courses in Central Asia. Having a regional scope, the training gathered judges, prosecutors, lawyers, legal professionals and civil servants from Kazakhstan, the Kyrgyz Republic, Tajikistan and </w:t>
      </w:r>
      <w:proofErr w:type="gramStart"/>
      <w:r w:rsidRPr="00BA5445">
        <w:rPr>
          <w:rFonts w:eastAsia="Times New Roman" w:cs="Arial"/>
          <w:szCs w:val="20"/>
          <w:lang w:eastAsia="fr-FR"/>
        </w:rPr>
        <w:t>Uzbekistan</w:t>
      </w:r>
      <w:r>
        <w:rPr>
          <w:rFonts w:eastAsia="Times New Roman" w:cs="Arial"/>
          <w:szCs w:val="20"/>
          <w:lang w:eastAsia="fr-FR"/>
        </w:rPr>
        <w:t>;</w:t>
      </w:r>
      <w:proofErr w:type="gramEnd"/>
    </w:p>
    <w:p w14:paraId="3EE0CD45" w14:textId="77777777" w:rsidR="00067458" w:rsidRDefault="00067458" w:rsidP="00067458">
      <w:pPr>
        <w:pStyle w:val="ListParagraph"/>
        <w:tabs>
          <w:tab w:val="left" w:pos="3285"/>
        </w:tabs>
        <w:ind w:left="993"/>
        <w:rPr>
          <w:rFonts w:eastAsia="Times New Roman" w:cs="Arial"/>
          <w:szCs w:val="20"/>
          <w:lang w:eastAsia="fr-FR"/>
        </w:rPr>
      </w:pPr>
    </w:p>
    <w:p w14:paraId="512FB478" w14:textId="77777777" w:rsidR="00067458" w:rsidRDefault="00067458" w:rsidP="00067458">
      <w:pPr>
        <w:pStyle w:val="ListParagraph"/>
        <w:numPr>
          <w:ilvl w:val="0"/>
          <w:numId w:val="16"/>
        </w:numPr>
        <w:tabs>
          <w:tab w:val="left" w:pos="3285"/>
        </w:tabs>
        <w:ind w:left="993"/>
        <w:rPr>
          <w:rFonts w:eastAsia="Times New Roman" w:cs="Arial"/>
          <w:szCs w:val="20"/>
          <w:lang w:eastAsia="fr-FR"/>
        </w:rPr>
      </w:pPr>
      <w:r w:rsidRPr="007F1FB2">
        <w:rPr>
          <w:rFonts w:eastAsia="Times New Roman" w:cs="Arial"/>
          <w:szCs w:val="20"/>
          <w:lang w:eastAsia="fr-FR"/>
        </w:rPr>
        <w:t xml:space="preserve">In the field of fight against economic crime, the programme facilitated a regional exchange among representatives of state authorities and law enforcement institutions of the region on the improvement of regulatory and procedural frameworks on financial investigations in </w:t>
      </w:r>
      <w:r>
        <w:rPr>
          <w:rFonts w:eastAsia="Times New Roman" w:cs="Arial"/>
          <w:szCs w:val="20"/>
          <w:lang w:eastAsia="fr-FR"/>
        </w:rPr>
        <w:t>the Kyrgyz Republic</w:t>
      </w:r>
      <w:r w:rsidRPr="007F1FB2">
        <w:rPr>
          <w:rFonts w:eastAsia="Times New Roman" w:cs="Arial"/>
          <w:szCs w:val="20"/>
          <w:lang w:eastAsia="fr-FR"/>
        </w:rPr>
        <w:t xml:space="preserve"> at the end of </w:t>
      </w:r>
      <w:proofErr w:type="gramStart"/>
      <w:r w:rsidRPr="007F1FB2">
        <w:rPr>
          <w:rFonts w:eastAsia="Times New Roman" w:cs="Arial"/>
          <w:szCs w:val="20"/>
          <w:lang w:eastAsia="fr-FR"/>
        </w:rPr>
        <w:t>2021</w:t>
      </w:r>
      <w:r>
        <w:rPr>
          <w:rFonts w:eastAsia="Times New Roman" w:cs="Arial"/>
          <w:szCs w:val="20"/>
          <w:lang w:eastAsia="fr-FR"/>
        </w:rPr>
        <w:t>;</w:t>
      </w:r>
      <w:proofErr w:type="gramEnd"/>
    </w:p>
    <w:p w14:paraId="2E2B48B8" w14:textId="77777777" w:rsidR="00067458" w:rsidRPr="007F1FB2" w:rsidRDefault="00067458" w:rsidP="00067458">
      <w:pPr>
        <w:pStyle w:val="ListParagraph"/>
        <w:ind w:left="993"/>
        <w:rPr>
          <w:rFonts w:eastAsia="Times New Roman" w:cs="Arial"/>
          <w:szCs w:val="20"/>
          <w:lang w:eastAsia="fr-FR"/>
        </w:rPr>
      </w:pPr>
    </w:p>
    <w:p w14:paraId="4D918E9D" w14:textId="77777777" w:rsidR="00067458" w:rsidRPr="007F1FB2" w:rsidRDefault="00067458" w:rsidP="00067458">
      <w:pPr>
        <w:pStyle w:val="ListParagraph"/>
        <w:numPr>
          <w:ilvl w:val="0"/>
          <w:numId w:val="16"/>
        </w:numPr>
        <w:tabs>
          <w:tab w:val="left" w:pos="3285"/>
        </w:tabs>
        <w:ind w:left="993"/>
        <w:rPr>
          <w:rFonts w:eastAsia="Times New Roman" w:cs="Arial"/>
          <w:szCs w:val="20"/>
          <w:lang w:eastAsia="fr-FR"/>
        </w:rPr>
      </w:pPr>
      <w:r w:rsidRPr="007F1FB2">
        <w:rPr>
          <w:rFonts w:eastAsia="Times New Roman" w:cs="Arial"/>
          <w:szCs w:val="20"/>
          <w:lang w:eastAsia="fr-FR"/>
        </w:rPr>
        <w:t>In Kazakhstan, the Programme, supported the Anti-corruption Agency and the Office of the Business Ombudsman in the areas of business integrity and the protection of the rights of entrepreneurs. T</w:t>
      </w:r>
      <w:r w:rsidRPr="007F1FB2">
        <w:rPr>
          <w:rFonts w:eastAsia="Times New Roman" w:cs="Arial"/>
          <w:szCs w:val="20"/>
          <w:lang w:val="en-US" w:eastAsia="fr-FR"/>
        </w:rPr>
        <w:t xml:space="preserve">he Programme also reviewed draft legislative amendments on whistle-blower protection to support ongoing efforts to improving the current legislative and institutional </w:t>
      </w:r>
      <w:proofErr w:type="gramStart"/>
      <w:r w:rsidRPr="007F1FB2">
        <w:rPr>
          <w:rFonts w:eastAsia="Times New Roman" w:cs="Arial"/>
          <w:szCs w:val="20"/>
          <w:lang w:val="en-US" w:eastAsia="fr-FR"/>
        </w:rPr>
        <w:t>framework</w:t>
      </w:r>
      <w:r>
        <w:rPr>
          <w:rFonts w:eastAsia="Times New Roman" w:cs="Arial"/>
          <w:szCs w:val="20"/>
          <w:lang w:val="en-US" w:eastAsia="fr-FR"/>
        </w:rPr>
        <w:t>;</w:t>
      </w:r>
      <w:proofErr w:type="gramEnd"/>
    </w:p>
    <w:p w14:paraId="6418F9B8" w14:textId="77777777" w:rsidR="00067458" w:rsidRPr="007F1FB2" w:rsidRDefault="00067458" w:rsidP="00067458">
      <w:pPr>
        <w:pStyle w:val="ListParagraph"/>
        <w:ind w:left="993"/>
        <w:rPr>
          <w:rFonts w:eastAsia="Times New Roman" w:cs="Arial"/>
          <w:szCs w:val="20"/>
          <w:lang w:eastAsia="fr-FR"/>
        </w:rPr>
      </w:pPr>
    </w:p>
    <w:p w14:paraId="2D30FC22" w14:textId="77777777" w:rsidR="00067458" w:rsidRDefault="00067458" w:rsidP="00067458">
      <w:pPr>
        <w:pStyle w:val="ListParagraph"/>
        <w:numPr>
          <w:ilvl w:val="0"/>
          <w:numId w:val="16"/>
        </w:numPr>
        <w:tabs>
          <w:tab w:val="left" w:pos="3285"/>
        </w:tabs>
        <w:ind w:left="993"/>
        <w:rPr>
          <w:rFonts w:eastAsia="Times New Roman" w:cs="Arial"/>
          <w:szCs w:val="20"/>
          <w:lang w:eastAsia="fr-FR"/>
        </w:rPr>
      </w:pPr>
      <w:r w:rsidRPr="007F1FB2">
        <w:rPr>
          <w:rFonts w:eastAsia="Times New Roman" w:cs="Arial"/>
          <w:szCs w:val="20"/>
          <w:lang w:eastAsia="fr-FR"/>
        </w:rPr>
        <w:t xml:space="preserve">As for </w:t>
      </w:r>
      <w:r>
        <w:rPr>
          <w:rFonts w:eastAsia="Times New Roman" w:cs="Arial"/>
          <w:szCs w:val="20"/>
          <w:lang w:eastAsia="fr-FR"/>
        </w:rPr>
        <w:t>the Kyrgyz Republic</w:t>
      </w:r>
      <w:r w:rsidRPr="007F1FB2">
        <w:rPr>
          <w:rFonts w:eastAsia="Times New Roman" w:cs="Arial"/>
          <w:szCs w:val="20"/>
          <w:lang w:eastAsia="fr-FR"/>
        </w:rPr>
        <w:t xml:space="preserve">, the efforts focused on improving existing mechanisms and interagency co-operation in the area of protection of the rights of entrepreneurs as well as promoting Council of Europe conventions on laundering, search, seizure and confiscation of the proceeds from crime and on the financing of </w:t>
      </w:r>
      <w:proofErr w:type="gramStart"/>
      <w:r w:rsidRPr="007F1FB2">
        <w:rPr>
          <w:rFonts w:eastAsia="Times New Roman" w:cs="Arial"/>
          <w:szCs w:val="20"/>
          <w:lang w:eastAsia="fr-FR"/>
        </w:rPr>
        <w:t>terrorism</w:t>
      </w:r>
      <w:r>
        <w:rPr>
          <w:rFonts w:eastAsia="Times New Roman" w:cs="Arial"/>
          <w:szCs w:val="20"/>
          <w:lang w:eastAsia="fr-FR"/>
        </w:rPr>
        <w:t>;</w:t>
      </w:r>
      <w:proofErr w:type="gramEnd"/>
    </w:p>
    <w:p w14:paraId="4B457A98" w14:textId="77777777" w:rsidR="00067458" w:rsidRPr="007F1FB2" w:rsidRDefault="00067458" w:rsidP="00067458">
      <w:pPr>
        <w:pStyle w:val="ListParagraph"/>
        <w:ind w:left="993"/>
        <w:rPr>
          <w:rFonts w:eastAsia="Times New Roman" w:cs="Arial"/>
          <w:szCs w:val="20"/>
          <w:lang w:eastAsia="fr-FR"/>
        </w:rPr>
      </w:pPr>
    </w:p>
    <w:p w14:paraId="437CF5AE" w14:textId="6A93711B" w:rsidR="00067458" w:rsidRDefault="00067458" w:rsidP="00067458">
      <w:pPr>
        <w:pStyle w:val="ListParagraph"/>
        <w:numPr>
          <w:ilvl w:val="0"/>
          <w:numId w:val="16"/>
        </w:numPr>
        <w:tabs>
          <w:tab w:val="left" w:pos="3285"/>
        </w:tabs>
        <w:ind w:left="993"/>
        <w:rPr>
          <w:rFonts w:eastAsia="Times New Roman" w:cs="Arial"/>
          <w:szCs w:val="20"/>
          <w:lang w:eastAsia="fr-FR"/>
        </w:rPr>
      </w:pPr>
      <w:r w:rsidRPr="007F1FB2">
        <w:rPr>
          <w:rFonts w:eastAsia="Times New Roman" w:cs="Arial"/>
          <w:szCs w:val="20"/>
          <w:lang w:eastAsia="fr-FR"/>
        </w:rPr>
        <w:t xml:space="preserve">In Uzbekistan, the programme supported the authorities in revising and improving the legal framework on establishment and regulation of the Anti-Corruption Agency (ACA) as well as in establishing and managing an electronic asset declarations system for the ACA staff. In addition, awareness-raising webinars were organised for public officials on ethics, </w:t>
      </w:r>
      <w:proofErr w:type="gramStart"/>
      <w:r w:rsidRPr="007F1FB2">
        <w:rPr>
          <w:rFonts w:eastAsia="Times New Roman" w:cs="Arial"/>
          <w:szCs w:val="20"/>
          <w:lang w:eastAsia="fr-FR"/>
        </w:rPr>
        <w:t>integrity</w:t>
      </w:r>
      <w:proofErr w:type="gramEnd"/>
      <w:r w:rsidRPr="007F1FB2">
        <w:rPr>
          <w:rFonts w:eastAsia="Times New Roman" w:cs="Arial"/>
          <w:szCs w:val="20"/>
          <w:lang w:eastAsia="fr-FR"/>
        </w:rPr>
        <w:t xml:space="preserve"> and conflict of interest. The programme also reviewed Uzbekistan’s current legislative framework, comparing it to the provisions of the Council of Europe Mutual Legal Assistance in Criminal Matters Convention and its Additional Protocols, and developed a model bilateral agreement on mutual legal assistance in criminal matters for </w:t>
      </w:r>
      <w:proofErr w:type="gramStart"/>
      <w:r w:rsidRPr="007F1FB2">
        <w:rPr>
          <w:rFonts w:eastAsia="Times New Roman" w:cs="Arial"/>
          <w:szCs w:val="20"/>
          <w:lang w:eastAsia="fr-FR"/>
        </w:rPr>
        <w:t>Uzbekistan</w:t>
      </w:r>
      <w:r>
        <w:rPr>
          <w:rFonts w:eastAsia="Times New Roman" w:cs="Arial"/>
          <w:szCs w:val="20"/>
          <w:lang w:eastAsia="fr-FR"/>
        </w:rPr>
        <w:t>;</w:t>
      </w:r>
      <w:proofErr w:type="gramEnd"/>
    </w:p>
    <w:p w14:paraId="2BE9F399" w14:textId="77777777" w:rsidR="00067458" w:rsidRPr="007F1FB2" w:rsidRDefault="00067458" w:rsidP="00067458">
      <w:pPr>
        <w:pStyle w:val="ListParagraph"/>
        <w:ind w:left="993"/>
        <w:rPr>
          <w:rFonts w:eastAsia="Times New Roman" w:cs="Arial"/>
          <w:szCs w:val="20"/>
          <w:lang w:eastAsia="fr-FR"/>
        </w:rPr>
      </w:pPr>
    </w:p>
    <w:p w14:paraId="4932F0D3" w14:textId="77777777" w:rsidR="00067458" w:rsidRDefault="00067458" w:rsidP="00067458">
      <w:pPr>
        <w:pStyle w:val="ListParagraph"/>
        <w:numPr>
          <w:ilvl w:val="0"/>
          <w:numId w:val="16"/>
        </w:numPr>
        <w:tabs>
          <w:tab w:val="left" w:pos="3285"/>
        </w:tabs>
        <w:ind w:left="993"/>
        <w:rPr>
          <w:rFonts w:eastAsia="Times New Roman" w:cs="Arial"/>
          <w:szCs w:val="20"/>
          <w:lang w:eastAsia="fr-FR"/>
        </w:rPr>
      </w:pPr>
      <w:r w:rsidRPr="007F1FB2">
        <w:rPr>
          <w:rFonts w:eastAsia="Times New Roman" w:cs="Arial"/>
          <w:szCs w:val="20"/>
          <w:lang w:eastAsia="fr-FR"/>
        </w:rPr>
        <w:t xml:space="preserve">In summer 2021 a co-ordination meeting on promoting transparency and action against economic crime was held in Tajikistan allowing to identify the authorities’ priorities in this area. A similar meeting was held with the authorities of Turkmenistan in early </w:t>
      </w:r>
      <w:proofErr w:type="gramStart"/>
      <w:r w:rsidRPr="007F1FB2">
        <w:rPr>
          <w:rFonts w:eastAsia="Times New Roman" w:cs="Arial"/>
          <w:szCs w:val="20"/>
          <w:lang w:eastAsia="fr-FR"/>
        </w:rPr>
        <w:t>2021</w:t>
      </w:r>
      <w:r>
        <w:rPr>
          <w:rFonts w:eastAsia="Times New Roman" w:cs="Arial"/>
          <w:szCs w:val="20"/>
          <w:lang w:eastAsia="fr-FR"/>
        </w:rPr>
        <w:t>;</w:t>
      </w:r>
      <w:proofErr w:type="gramEnd"/>
    </w:p>
    <w:p w14:paraId="424DA9FD" w14:textId="77777777" w:rsidR="00067458" w:rsidRPr="007F1FB2" w:rsidRDefault="00067458" w:rsidP="00067458">
      <w:pPr>
        <w:pStyle w:val="ListParagraph"/>
        <w:ind w:left="993"/>
        <w:rPr>
          <w:rFonts w:eastAsia="Times New Roman" w:cs="Arial"/>
          <w:color w:val="000000"/>
          <w:szCs w:val="20"/>
          <w:shd w:val="clear" w:color="auto" w:fill="FFFFFF"/>
          <w:lang w:eastAsia="fr-FR"/>
        </w:rPr>
      </w:pPr>
    </w:p>
    <w:p w14:paraId="387F38DC" w14:textId="77777777" w:rsidR="00067458" w:rsidRPr="007F1FB2" w:rsidRDefault="00067458" w:rsidP="00067458">
      <w:pPr>
        <w:pStyle w:val="ListParagraph"/>
        <w:numPr>
          <w:ilvl w:val="0"/>
          <w:numId w:val="16"/>
        </w:numPr>
        <w:tabs>
          <w:tab w:val="left" w:pos="3285"/>
        </w:tabs>
        <w:ind w:left="993"/>
        <w:rPr>
          <w:rFonts w:eastAsia="Times New Roman" w:cs="Arial"/>
          <w:szCs w:val="20"/>
          <w:lang w:eastAsia="fr-FR"/>
        </w:rPr>
      </w:pPr>
      <w:r w:rsidRPr="007F1FB2">
        <w:rPr>
          <w:rFonts w:eastAsia="Times New Roman" w:cs="Arial"/>
          <w:color w:val="000000"/>
          <w:szCs w:val="20"/>
          <w:shd w:val="clear" w:color="auto" w:fill="FFFFFF"/>
          <w:lang w:eastAsia="fr-FR"/>
        </w:rPr>
        <w:t>To promote</w:t>
      </w:r>
      <w:r w:rsidRPr="007F1FB2">
        <w:rPr>
          <w:rFonts w:eastAsia="Times New Roman" w:cs="Arial"/>
          <w:szCs w:val="20"/>
          <w:lang w:eastAsia="fr-FR"/>
        </w:rPr>
        <w:t xml:space="preserve"> efficient functioning of State institutions and public administration, </w:t>
      </w:r>
      <w:r w:rsidRPr="007F1FB2">
        <w:rPr>
          <w:rFonts w:eastAsia="Times New Roman" w:cs="Arial"/>
          <w:color w:val="000000"/>
          <w:szCs w:val="20"/>
          <w:shd w:val="clear" w:color="auto" w:fill="FFFFFF"/>
          <w:lang w:eastAsia="fr-FR"/>
        </w:rPr>
        <w:t xml:space="preserve">the </w:t>
      </w:r>
      <w:r w:rsidRPr="007F1FB2">
        <w:rPr>
          <w:rFonts w:eastAsia="Times New Roman" w:cs="Arial"/>
          <w:szCs w:val="20"/>
          <w:lang w:eastAsia="fr-FR"/>
        </w:rPr>
        <w:t>Venice Commission focused on delivering high-level expertise through the adoption of opinions and facilitating exchanges during high</w:t>
      </w:r>
      <w:r>
        <w:rPr>
          <w:rFonts w:eastAsia="Times New Roman" w:cs="Arial"/>
          <w:szCs w:val="20"/>
          <w:lang w:eastAsia="fr-FR"/>
        </w:rPr>
        <w:t>-</w:t>
      </w:r>
      <w:r w:rsidRPr="007F1FB2">
        <w:rPr>
          <w:rFonts w:eastAsia="Times New Roman" w:cs="Arial"/>
          <w:szCs w:val="20"/>
          <w:lang w:eastAsia="fr-FR"/>
        </w:rPr>
        <w:t>level national and international events. Upon request from the national authorities of Kazakhstan</w:t>
      </w:r>
      <w:r>
        <w:rPr>
          <w:rFonts w:eastAsia="Times New Roman" w:cs="Arial"/>
          <w:szCs w:val="20"/>
          <w:lang w:eastAsia="fr-FR"/>
        </w:rPr>
        <w:t>,</w:t>
      </w:r>
      <w:r w:rsidRPr="007F1FB2">
        <w:rPr>
          <w:rFonts w:eastAsia="Times New Roman" w:cs="Arial"/>
          <w:szCs w:val="20"/>
          <w:lang w:eastAsia="fr-FR"/>
        </w:rPr>
        <w:t xml:space="preserve"> the Venice Commission prepared an opinion on the concept paper on improving the legal framework of the Constitutional Council. The Venice Commission also prepared a Joint Opinion of the OSCE/ODIHR and the Venice Commission on the Draft Constitution of the Kyrgyz Republic. In addition, the Venice Commission organised </w:t>
      </w:r>
      <w:proofErr w:type="gramStart"/>
      <w:r w:rsidRPr="007F1FB2">
        <w:rPr>
          <w:rFonts w:eastAsia="Times New Roman" w:cs="Arial"/>
          <w:szCs w:val="20"/>
          <w:lang w:eastAsia="fr-FR"/>
        </w:rPr>
        <w:t>a number of</w:t>
      </w:r>
      <w:proofErr w:type="gramEnd"/>
      <w:r w:rsidRPr="007F1FB2">
        <w:rPr>
          <w:rFonts w:eastAsia="Times New Roman" w:cs="Arial"/>
          <w:szCs w:val="20"/>
          <w:lang w:eastAsia="fr-FR"/>
        </w:rPr>
        <w:t xml:space="preserve"> high-level events on the issues pertaining to constitutional and administrative justice, including on the judiciary in Kazakhstan. </w:t>
      </w:r>
    </w:p>
    <w:p w14:paraId="03B5239F" w14:textId="77777777" w:rsidR="00067458" w:rsidRPr="0087557D" w:rsidRDefault="00067458" w:rsidP="00067458">
      <w:pPr>
        <w:rPr>
          <w:rFonts w:cs="Arial"/>
          <w:szCs w:val="20"/>
          <w:highlight w:val="yellow"/>
        </w:rPr>
      </w:pPr>
    </w:p>
    <w:p w14:paraId="11EE7865" w14:textId="77777777" w:rsidR="00A04033" w:rsidRDefault="00A04033">
      <w:pPr>
        <w:rPr>
          <w:rFonts w:eastAsia="Times New Roman" w:cs="Arial"/>
          <w:szCs w:val="20"/>
          <w:lang w:eastAsia="fr-FR"/>
        </w:rPr>
      </w:pPr>
      <w:r>
        <w:rPr>
          <w:rFonts w:eastAsia="Times New Roman" w:cs="Arial"/>
          <w:szCs w:val="20"/>
          <w:lang w:eastAsia="fr-FR"/>
        </w:rPr>
        <w:br w:type="page"/>
      </w:r>
    </w:p>
    <w:p w14:paraId="57243A1E" w14:textId="39D3EB16" w:rsidR="00067458" w:rsidRDefault="00067458" w:rsidP="00067458">
      <w:pPr>
        <w:rPr>
          <w:rFonts w:eastAsia="Times New Roman" w:cs="Arial"/>
          <w:szCs w:val="20"/>
          <w:lang w:eastAsia="fr-FR"/>
        </w:rPr>
      </w:pPr>
      <w:r w:rsidRPr="0087557D">
        <w:rPr>
          <w:rFonts w:eastAsia="Times New Roman" w:cs="Arial"/>
          <w:szCs w:val="20"/>
          <w:lang w:eastAsia="fr-FR"/>
        </w:rPr>
        <w:t>Additionally, the countries of Central Asia can benefit from support of the Venice Commission on electoral matters, in the context of another Joint Programme, “Support to reforms of electoral legislation and practice and regional Human Rights instruments and mechanisms” (total: €0.5 million),</w:t>
      </w:r>
      <w:r>
        <w:rPr>
          <w:rFonts w:eastAsia="Times New Roman" w:cs="Arial"/>
          <w:szCs w:val="20"/>
          <w:lang w:eastAsia="fr-FR"/>
        </w:rPr>
        <w:t xml:space="preserve"> </w:t>
      </w:r>
      <w:r w:rsidRPr="0087557D">
        <w:rPr>
          <w:rFonts w:eastAsia="Times New Roman" w:cs="Arial"/>
          <w:szCs w:val="20"/>
          <w:lang w:eastAsia="fr-FR"/>
        </w:rPr>
        <w:t>which also covers</w:t>
      </w:r>
      <w:r>
        <w:rPr>
          <w:rFonts w:eastAsia="Times New Roman" w:cs="Arial"/>
          <w:szCs w:val="20"/>
          <w:lang w:eastAsia="fr-FR"/>
        </w:rPr>
        <w:t xml:space="preserve"> </w:t>
      </w:r>
      <w:r w:rsidRPr="0087557D">
        <w:rPr>
          <w:rFonts w:eastAsia="Times New Roman" w:cs="Arial"/>
          <w:szCs w:val="20"/>
          <w:lang w:eastAsia="fr-FR"/>
        </w:rPr>
        <w:t>Mongolia and Latin America</w:t>
      </w:r>
      <w:r>
        <w:rPr>
          <w:rFonts w:eastAsia="Times New Roman" w:cs="Arial"/>
          <w:szCs w:val="20"/>
          <w:lang w:eastAsia="fr-FR"/>
        </w:rPr>
        <w:t>, which was extended until 30 April 2022</w:t>
      </w:r>
      <w:r w:rsidRPr="0087557D">
        <w:rPr>
          <w:rFonts w:eastAsia="Times New Roman" w:cs="Arial"/>
          <w:szCs w:val="20"/>
          <w:lang w:eastAsia="fr-FR"/>
        </w:rPr>
        <w:t xml:space="preserve">. </w:t>
      </w:r>
      <w:r>
        <w:rPr>
          <w:rFonts w:eastAsia="Times New Roman" w:cs="Arial"/>
          <w:szCs w:val="20"/>
          <w:lang w:eastAsia="fr-FR"/>
        </w:rPr>
        <w:t xml:space="preserve">Within this Programme, the Venice Commission adopted an opinion </w:t>
      </w:r>
      <w:r w:rsidRPr="0006225F">
        <w:rPr>
          <w:rFonts w:eastAsia="Times New Roman" w:cs="Arial"/>
          <w:szCs w:val="20"/>
          <w:lang w:eastAsia="fr-FR"/>
        </w:rPr>
        <w:t>on the draft law “On the Commissioner for Human Rights"</w:t>
      </w:r>
      <w:r>
        <w:rPr>
          <w:rFonts w:eastAsia="Times New Roman" w:cs="Arial"/>
          <w:szCs w:val="20"/>
          <w:lang w:eastAsia="fr-FR"/>
        </w:rPr>
        <w:t xml:space="preserve"> of Kazakhstan in December 2021. </w:t>
      </w:r>
    </w:p>
    <w:p w14:paraId="23D662F2" w14:textId="77777777" w:rsidR="00067458" w:rsidRDefault="00067458" w:rsidP="00067458">
      <w:pPr>
        <w:rPr>
          <w:rFonts w:eastAsia="Times New Roman" w:cs="Arial"/>
          <w:szCs w:val="20"/>
          <w:lang w:eastAsia="fr-FR"/>
        </w:rPr>
      </w:pPr>
    </w:p>
    <w:bookmarkEnd w:id="14"/>
    <w:p w14:paraId="0F70CD9A" w14:textId="77777777" w:rsidR="00067458" w:rsidRPr="0087557D" w:rsidRDefault="00067458" w:rsidP="00067458">
      <w:pPr>
        <w:rPr>
          <w:rFonts w:eastAsia="Times New Roman" w:cs="Arial"/>
          <w:b/>
          <w:szCs w:val="20"/>
          <w:lang w:eastAsia="fr-FR"/>
        </w:rPr>
      </w:pPr>
      <w:r w:rsidRPr="0087557D">
        <w:rPr>
          <w:rFonts w:eastAsia="Times New Roman" w:cs="Arial"/>
          <w:b/>
          <w:szCs w:val="20"/>
          <w:lang w:eastAsia="fr-FR"/>
        </w:rPr>
        <w:t>IV.</w:t>
      </w:r>
      <w:r w:rsidRPr="0087557D">
        <w:rPr>
          <w:rFonts w:eastAsia="Times New Roman" w:cs="Arial"/>
          <w:b/>
          <w:szCs w:val="20"/>
          <w:lang w:eastAsia="fr-FR"/>
        </w:rPr>
        <w:tab/>
      </w:r>
      <w:r w:rsidRPr="0087557D">
        <w:rPr>
          <w:rFonts w:cs="Arial"/>
          <w:b/>
          <w:bCs/>
          <w:szCs w:val="20"/>
        </w:rPr>
        <w:t>LESSONS LEARNED</w:t>
      </w:r>
    </w:p>
    <w:p w14:paraId="758C44D7" w14:textId="77777777" w:rsidR="00067458" w:rsidRPr="0087557D" w:rsidRDefault="00067458" w:rsidP="00067458">
      <w:pPr>
        <w:ind w:left="360"/>
        <w:rPr>
          <w:rFonts w:eastAsia="Times New Roman" w:cs="Arial"/>
          <w:b/>
          <w:szCs w:val="20"/>
          <w:lang w:eastAsia="fr-FR"/>
        </w:rPr>
      </w:pPr>
    </w:p>
    <w:p w14:paraId="2139D947" w14:textId="77777777" w:rsidR="00067458" w:rsidRDefault="00067458" w:rsidP="00067458">
      <w:pPr>
        <w:rPr>
          <w:rFonts w:cs="Arial"/>
          <w:szCs w:val="20"/>
        </w:rPr>
      </w:pPr>
      <w:r w:rsidRPr="0087557D">
        <w:rPr>
          <w:rFonts w:cs="Arial"/>
          <w:szCs w:val="20"/>
        </w:rPr>
        <w:t>The following lessons learned can be drawn from the implementation of Joint Programmes during the reference period, including in terms of crisis management related to the pandemic:</w:t>
      </w:r>
    </w:p>
    <w:p w14:paraId="4351454B" w14:textId="77777777" w:rsidR="00067458" w:rsidRPr="0087557D" w:rsidRDefault="00067458" w:rsidP="00067458">
      <w:pPr>
        <w:rPr>
          <w:rFonts w:cs="Arial"/>
          <w:szCs w:val="20"/>
        </w:rPr>
      </w:pPr>
    </w:p>
    <w:p w14:paraId="1FDC398C" w14:textId="77777777" w:rsidR="00067458" w:rsidRPr="00524E9A" w:rsidRDefault="00067458" w:rsidP="00067458">
      <w:pPr>
        <w:pStyle w:val="ListParagraph"/>
        <w:numPr>
          <w:ilvl w:val="0"/>
          <w:numId w:val="3"/>
        </w:numPr>
        <w:rPr>
          <w:rFonts w:cs="Arial"/>
          <w:color w:val="000000"/>
          <w:szCs w:val="20"/>
        </w:rPr>
      </w:pPr>
      <w:r>
        <w:rPr>
          <w:rFonts w:cs="Arial"/>
          <w:color w:val="000000"/>
          <w:szCs w:val="20"/>
        </w:rPr>
        <w:t>F</w:t>
      </w:r>
      <w:r w:rsidRPr="00524E9A">
        <w:rPr>
          <w:rFonts w:cs="Arial"/>
          <w:color w:val="000000"/>
          <w:szCs w:val="20"/>
        </w:rPr>
        <w:t xml:space="preserve">acility-type regional programmes </w:t>
      </w:r>
      <w:r>
        <w:rPr>
          <w:rFonts w:cs="Arial"/>
          <w:color w:val="000000"/>
          <w:szCs w:val="20"/>
        </w:rPr>
        <w:t>are</w:t>
      </w:r>
      <w:r w:rsidRPr="00524E9A">
        <w:rPr>
          <w:rFonts w:cs="Arial"/>
          <w:color w:val="000000"/>
          <w:szCs w:val="20"/>
        </w:rPr>
        <w:t xml:space="preserve"> a flexible and effective tool to address new challenges and risks. The right balance between flexibility and adaptability of these programmes is a strong added value</w:t>
      </w:r>
      <w:r>
        <w:rPr>
          <w:rFonts w:cs="Arial"/>
          <w:color w:val="000000"/>
          <w:szCs w:val="20"/>
        </w:rPr>
        <w:t xml:space="preserve">, which allows to achieve clearly defined </w:t>
      </w:r>
      <w:proofErr w:type="gramStart"/>
      <w:r>
        <w:rPr>
          <w:rFonts w:cs="Arial"/>
          <w:color w:val="000000"/>
          <w:szCs w:val="20"/>
        </w:rPr>
        <w:t>objectives;</w:t>
      </w:r>
      <w:proofErr w:type="gramEnd"/>
    </w:p>
    <w:p w14:paraId="5E986788" w14:textId="77777777" w:rsidR="00067458" w:rsidRPr="00150CBA" w:rsidRDefault="00067458" w:rsidP="00067458">
      <w:pPr>
        <w:pStyle w:val="ListParagraph"/>
        <w:rPr>
          <w:rFonts w:eastAsia="Times New Roman" w:cs="Arial"/>
          <w:color w:val="000000"/>
          <w:szCs w:val="20"/>
        </w:rPr>
      </w:pPr>
    </w:p>
    <w:p w14:paraId="17C8A4AD" w14:textId="77777777" w:rsidR="00067458" w:rsidRDefault="00067458" w:rsidP="00067458">
      <w:pPr>
        <w:numPr>
          <w:ilvl w:val="0"/>
          <w:numId w:val="3"/>
        </w:numPr>
        <w:rPr>
          <w:rFonts w:eastAsia="Times New Roman" w:cs="Arial"/>
          <w:szCs w:val="20"/>
          <w:lang w:eastAsia="fr-FR"/>
        </w:rPr>
      </w:pPr>
      <w:r>
        <w:rPr>
          <w:rFonts w:eastAsia="Times New Roman" w:cs="Arial"/>
          <w:szCs w:val="20"/>
          <w:lang w:eastAsia="fr-FR"/>
        </w:rPr>
        <w:t xml:space="preserve">In a situation that continued to be influenced by the COVID-19 pandemic, a certain fatigue of purely online events has been noted. It was important to use all windows of opportunity to organise in-person events as sanitary constraints improved and related travel restrictions were relaxed for some geographical zones. In addition, the organisation of hybrid events allowed to overcome a number of challenges related to projects implementation in the time of </w:t>
      </w:r>
      <w:proofErr w:type="gramStart"/>
      <w:r>
        <w:rPr>
          <w:rFonts w:eastAsia="Times New Roman" w:cs="Arial"/>
          <w:szCs w:val="20"/>
          <w:lang w:eastAsia="fr-FR"/>
        </w:rPr>
        <w:t>pandemic;</w:t>
      </w:r>
      <w:proofErr w:type="gramEnd"/>
      <w:r>
        <w:rPr>
          <w:rFonts w:eastAsia="Times New Roman" w:cs="Arial"/>
          <w:szCs w:val="20"/>
          <w:lang w:eastAsia="fr-FR"/>
        </w:rPr>
        <w:t xml:space="preserve">  </w:t>
      </w:r>
    </w:p>
    <w:p w14:paraId="07623347" w14:textId="77777777" w:rsidR="00067458" w:rsidRPr="00150CBA" w:rsidRDefault="00067458" w:rsidP="00067458">
      <w:pPr>
        <w:pStyle w:val="ListParagraph"/>
        <w:rPr>
          <w:rFonts w:eastAsia="Times New Roman" w:cs="Arial"/>
          <w:color w:val="000000"/>
          <w:szCs w:val="20"/>
        </w:rPr>
      </w:pPr>
    </w:p>
    <w:p w14:paraId="5D55E7A2" w14:textId="77777777" w:rsidR="00067458" w:rsidRPr="0087557D" w:rsidRDefault="00067458" w:rsidP="00067458">
      <w:pPr>
        <w:numPr>
          <w:ilvl w:val="0"/>
          <w:numId w:val="3"/>
        </w:numPr>
        <w:rPr>
          <w:rFonts w:eastAsia="Times New Roman" w:cs="Arial"/>
          <w:szCs w:val="20"/>
          <w:lang w:eastAsia="fr-FR"/>
        </w:rPr>
      </w:pPr>
      <w:r>
        <w:rPr>
          <w:rFonts w:eastAsia="Times New Roman"/>
          <w:szCs w:val="24"/>
          <w:lang w:eastAsia="fr-FR"/>
        </w:rPr>
        <w:t>T</w:t>
      </w:r>
      <w:r w:rsidRPr="0087557D">
        <w:rPr>
          <w:rFonts w:eastAsia="Times New Roman"/>
          <w:szCs w:val="24"/>
          <w:lang w:eastAsia="fr-FR"/>
        </w:rPr>
        <w:t xml:space="preserve">he high quality of </w:t>
      </w:r>
      <w:r w:rsidRPr="0087557D">
        <w:rPr>
          <w:rFonts w:eastAsia="Times New Roman"/>
          <w:bCs/>
          <w:szCs w:val="24"/>
          <w:lang w:eastAsia="fr-FR"/>
        </w:rPr>
        <w:t>expertise</w:t>
      </w:r>
      <w:r w:rsidRPr="0087557D">
        <w:rPr>
          <w:rFonts w:eastAsia="Times New Roman"/>
          <w:szCs w:val="24"/>
          <w:lang w:eastAsia="fr-FR"/>
        </w:rPr>
        <w:t xml:space="preserve"> provided through Joint Programmes both by technical support and the targeted expertise (Expertise Co-ordination Mechanism within the Horizontal Facility and the Quick Response Mechanism within PGG) </w:t>
      </w:r>
      <w:r>
        <w:rPr>
          <w:rFonts w:eastAsia="Times New Roman"/>
          <w:szCs w:val="24"/>
          <w:lang w:eastAsia="fr-FR"/>
        </w:rPr>
        <w:t xml:space="preserve">is much appreciated by </w:t>
      </w:r>
      <w:r w:rsidRPr="0087557D">
        <w:rPr>
          <w:rFonts w:eastAsia="Times New Roman"/>
          <w:szCs w:val="24"/>
          <w:lang w:eastAsia="fr-FR"/>
        </w:rPr>
        <w:t>beneficiary institutions</w:t>
      </w:r>
      <w:r>
        <w:rPr>
          <w:rFonts w:eastAsia="Times New Roman"/>
          <w:szCs w:val="24"/>
          <w:lang w:eastAsia="fr-FR"/>
        </w:rPr>
        <w:t xml:space="preserve"> and brings tangible </w:t>
      </w:r>
      <w:proofErr w:type="gramStart"/>
      <w:r>
        <w:rPr>
          <w:rFonts w:eastAsia="Times New Roman"/>
          <w:szCs w:val="24"/>
          <w:lang w:eastAsia="fr-FR"/>
        </w:rPr>
        <w:t>results</w:t>
      </w:r>
      <w:r>
        <w:rPr>
          <w:rFonts w:eastAsia="Times New Roman" w:cs="Arial"/>
          <w:szCs w:val="20"/>
          <w:lang w:eastAsia="fr-FR"/>
        </w:rPr>
        <w:t>;</w:t>
      </w:r>
      <w:proofErr w:type="gramEnd"/>
      <w:r>
        <w:rPr>
          <w:rFonts w:eastAsia="Times New Roman" w:cs="Arial"/>
          <w:szCs w:val="20"/>
          <w:lang w:eastAsia="fr-FR"/>
        </w:rPr>
        <w:t xml:space="preserve"> </w:t>
      </w:r>
    </w:p>
    <w:p w14:paraId="43A41E93" w14:textId="77777777" w:rsidR="00067458" w:rsidRDefault="00067458" w:rsidP="00067458">
      <w:pPr>
        <w:pStyle w:val="ListParagraph"/>
        <w:rPr>
          <w:rFonts w:eastAsia="Times New Roman" w:cs="Arial"/>
          <w:color w:val="000000"/>
          <w:szCs w:val="20"/>
        </w:rPr>
      </w:pPr>
    </w:p>
    <w:p w14:paraId="0A35B663" w14:textId="77777777" w:rsidR="00067458" w:rsidRPr="0087557D" w:rsidRDefault="00067458" w:rsidP="00067458">
      <w:pPr>
        <w:numPr>
          <w:ilvl w:val="0"/>
          <w:numId w:val="3"/>
        </w:numPr>
        <w:rPr>
          <w:rFonts w:eastAsia="Times New Roman" w:cs="Arial"/>
          <w:szCs w:val="20"/>
          <w:lang w:eastAsia="fr-FR"/>
        </w:rPr>
      </w:pPr>
      <w:r>
        <w:rPr>
          <w:rFonts w:eastAsia="Times New Roman" w:cs="Arial"/>
          <w:szCs w:val="20"/>
          <w:lang w:eastAsia="fr-FR"/>
        </w:rPr>
        <w:t>A</w:t>
      </w:r>
      <w:r w:rsidRPr="0087557D">
        <w:rPr>
          <w:rFonts w:eastAsia="Times New Roman" w:cs="Arial"/>
          <w:szCs w:val="20"/>
          <w:lang w:eastAsia="fr-FR"/>
        </w:rPr>
        <w:t>n increased inclusion of representatives of civil society in Joint Programmes represents a real added value to interventions. CSOs and authorities at local level should be acting as a direct vector of communication to citizens, reflecting concrete changes brought by Joint Programmes to their daily lives.</w:t>
      </w:r>
    </w:p>
    <w:p w14:paraId="49A2A44B" w14:textId="77EB2548" w:rsidR="00067458" w:rsidRDefault="00067458" w:rsidP="00067458">
      <w:pPr>
        <w:rPr>
          <w:rFonts w:eastAsia="Times New Roman" w:cs="Arial"/>
          <w:color w:val="000000" w:themeColor="text1"/>
          <w:szCs w:val="20"/>
          <w:lang w:eastAsia="fr-FR"/>
        </w:rPr>
      </w:pPr>
    </w:p>
    <w:p w14:paraId="1302439B" w14:textId="58E83BF1" w:rsidR="007D3924" w:rsidRDefault="007D3924" w:rsidP="00067458">
      <w:pPr>
        <w:rPr>
          <w:rFonts w:eastAsia="Times New Roman" w:cs="Arial"/>
          <w:color w:val="000000" w:themeColor="text1"/>
          <w:szCs w:val="20"/>
          <w:lang w:eastAsia="fr-FR"/>
        </w:rPr>
      </w:pPr>
    </w:p>
    <w:p w14:paraId="605073F3" w14:textId="097D2498" w:rsidR="007D3924" w:rsidRDefault="007D3924" w:rsidP="00067458">
      <w:pPr>
        <w:rPr>
          <w:rFonts w:eastAsia="Times New Roman" w:cs="Arial"/>
          <w:color w:val="000000" w:themeColor="text1"/>
          <w:szCs w:val="20"/>
          <w:lang w:eastAsia="fr-FR"/>
        </w:rPr>
      </w:pPr>
    </w:p>
    <w:p w14:paraId="20F1A39A" w14:textId="77777777" w:rsidR="007D3924" w:rsidRDefault="007D3924" w:rsidP="00067458">
      <w:pPr>
        <w:rPr>
          <w:rFonts w:eastAsia="Times New Roman" w:cs="Arial"/>
          <w:color w:val="000000" w:themeColor="text1"/>
          <w:szCs w:val="20"/>
          <w:lang w:eastAsia="fr-FR"/>
        </w:rPr>
      </w:pPr>
    </w:p>
    <w:p w14:paraId="1D824147" w14:textId="517523CA" w:rsidR="00067458" w:rsidRPr="0087557D" w:rsidRDefault="00067458" w:rsidP="00067458">
      <w:pPr>
        <w:rPr>
          <w:rFonts w:cs="Arial"/>
          <w:b/>
          <w:szCs w:val="20"/>
        </w:rPr>
      </w:pPr>
      <w:r w:rsidRPr="0087557D">
        <w:rPr>
          <w:rFonts w:cs="Arial"/>
          <w:b/>
          <w:szCs w:val="20"/>
        </w:rPr>
        <w:t xml:space="preserve">Appendices </w:t>
      </w:r>
    </w:p>
    <w:p w14:paraId="290EF9E4" w14:textId="77777777" w:rsidR="00067458" w:rsidRPr="0087557D" w:rsidRDefault="00067458" w:rsidP="00067458">
      <w:pPr>
        <w:rPr>
          <w:rFonts w:cs="Arial"/>
          <w:b/>
          <w:szCs w:val="20"/>
        </w:rPr>
      </w:pPr>
    </w:p>
    <w:p w14:paraId="3E95630A" w14:textId="77777777" w:rsidR="00067458" w:rsidRPr="0087557D" w:rsidRDefault="00067458" w:rsidP="00067458">
      <w:pPr>
        <w:rPr>
          <w:rFonts w:cs="Arial"/>
          <w:b/>
          <w:bCs/>
          <w:szCs w:val="20"/>
        </w:rPr>
      </w:pPr>
      <w:r w:rsidRPr="0087557D">
        <w:rPr>
          <w:rFonts w:cs="Arial"/>
          <w:b/>
          <w:bCs/>
          <w:szCs w:val="20"/>
        </w:rPr>
        <w:t>Appendix I. Joint Programmes active in 202</w:t>
      </w:r>
      <w:r>
        <w:rPr>
          <w:rFonts w:cs="Arial"/>
          <w:b/>
          <w:bCs/>
          <w:szCs w:val="20"/>
        </w:rPr>
        <w:t>1</w:t>
      </w:r>
    </w:p>
    <w:p w14:paraId="04054DDA" w14:textId="77777777" w:rsidR="00067458" w:rsidRPr="0087557D" w:rsidRDefault="00067458" w:rsidP="00067458">
      <w:pPr>
        <w:rPr>
          <w:rFonts w:cs="Arial"/>
          <w:b/>
          <w:bCs/>
          <w:szCs w:val="20"/>
        </w:rPr>
      </w:pPr>
    </w:p>
    <w:p w14:paraId="17467F59" w14:textId="77777777" w:rsidR="006C06AD" w:rsidRDefault="00067458" w:rsidP="00067458">
      <w:pPr>
        <w:rPr>
          <w:rFonts w:cs="Arial"/>
          <w:b/>
          <w:bCs/>
          <w:szCs w:val="20"/>
        </w:rPr>
      </w:pPr>
      <w:r w:rsidRPr="0087557D">
        <w:rPr>
          <w:rFonts w:cs="Arial"/>
          <w:b/>
          <w:bCs/>
          <w:szCs w:val="20"/>
        </w:rPr>
        <w:t>Appendix II.</w:t>
      </w:r>
      <w:r>
        <w:rPr>
          <w:rFonts w:cs="Arial"/>
          <w:b/>
          <w:bCs/>
          <w:szCs w:val="20"/>
        </w:rPr>
        <w:t xml:space="preserve"> </w:t>
      </w:r>
      <w:r w:rsidRPr="0087557D">
        <w:rPr>
          <w:rFonts w:cs="Arial"/>
          <w:b/>
          <w:bCs/>
          <w:szCs w:val="20"/>
        </w:rPr>
        <w:t xml:space="preserve">Joint Programmes </w:t>
      </w:r>
      <w:r>
        <w:rPr>
          <w:rFonts w:cs="Arial"/>
          <w:b/>
          <w:bCs/>
          <w:szCs w:val="20"/>
        </w:rPr>
        <w:t>contracted in</w:t>
      </w:r>
      <w:r w:rsidRPr="0087557D">
        <w:rPr>
          <w:rFonts w:cs="Arial"/>
          <w:b/>
          <w:bCs/>
          <w:szCs w:val="20"/>
        </w:rPr>
        <w:t xml:space="preserve"> 202</w:t>
      </w:r>
      <w:r>
        <w:rPr>
          <w:rFonts w:cs="Arial"/>
          <w:b/>
          <w:bCs/>
          <w:szCs w:val="20"/>
        </w:rPr>
        <w:t>1</w:t>
      </w:r>
    </w:p>
    <w:p w14:paraId="680A8538" w14:textId="77777777" w:rsidR="006C06AD" w:rsidRDefault="006C06AD" w:rsidP="00067458">
      <w:pPr>
        <w:rPr>
          <w:rFonts w:cs="Arial"/>
          <w:b/>
          <w:bCs/>
          <w:szCs w:val="20"/>
        </w:rPr>
      </w:pPr>
    </w:p>
    <w:p w14:paraId="48D76B38" w14:textId="77777777" w:rsidR="006C06AD" w:rsidRDefault="006C06AD" w:rsidP="00067458">
      <w:pPr>
        <w:rPr>
          <w:rFonts w:cs="Arial"/>
          <w:b/>
          <w:bCs/>
          <w:szCs w:val="20"/>
        </w:rPr>
      </w:pPr>
    </w:p>
    <w:p w14:paraId="2A74967D" w14:textId="77777777" w:rsidR="006C06AD" w:rsidRDefault="006C06AD" w:rsidP="00067458">
      <w:pPr>
        <w:rPr>
          <w:rFonts w:cs="Arial"/>
          <w:b/>
          <w:bCs/>
          <w:szCs w:val="20"/>
        </w:rPr>
      </w:pPr>
    </w:p>
    <w:p w14:paraId="74017D71" w14:textId="77777777" w:rsidR="006C06AD" w:rsidRDefault="006C06AD" w:rsidP="00067458">
      <w:pPr>
        <w:rPr>
          <w:rFonts w:cs="Arial"/>
          <w:b/>
          <w:bCs/>
          <w:szCs w:val="20"/>
        </w:rPr>
      </w:pPr>
    </w:p>
    <w:p w14:paraId="605D96A4" w14:textId="77777777" w:rsidR="006C06AD" w:rsidRDefault="006C06AD" w:rsidP="00067458">
      <w:pPr>
        <w:rPr>
          <w:rFonts w:cs="Arial"/>
          <w:b/>
          <w:bCs/>
          <w:caps/>
          <w:szCs w:val="20"/>
        </w:rPr>
        <w:sectPr w:rsidR="006C06AD" w:rsidSect="006C06AD">
          <w:headerReference w:type="even" r:id="rId17"/>
          <w:headerReference w:type="default" r:id="rId18"/>
          <w:headerReference w:type="first" r:id="rId19"/>
          <w:pgSz w:w="11907" w:h="16840" w:code="9"/>
          <w:pgMar w:top="992" w:right="1162" w:bottom="709" w:left="1077" w:header="454" w:footer="340" w:gutter="113"/>
          <w:pgNumType w:start="1" w:chapStyle="1"/>
          <w:cols w:space="708"/>
          <w:titlePg/>
          <w:docGrid w:linePitch="299"/>
        </w:sectPr>
      </w:pPr>
    </w:p>
    <w:p w14:paraId="3E1096B4" w14:textId="7B5E011C" w:rsidR="00067458" w:rsidRPr="00032312" w:rsidRDefault="00067458" w:rsidP="00067458">
      <w:pPr>
        <w:rPr>
          <w:rFonts w:cs="Arial"/>
          <w:b/>
          <w:bCs/>
          <w:caps/>
          <w:szCs w:val="20"/>
        </w:rPr>
      </w:pPr>
      <w:r w:rsidRPr="00032312">
        <w:rPr>
          <w:rFonts w:cs="Arial"/>
          <w:b/>
          <w:bCs/>
          <w:caps/>
          <w:szCs w:val="20"/>
        </w:rPr>
        <w:t>ApPendix I</w:t>
      </w:r>
    </w:p>
    <w:p w14:paraId="1D725EDE" w14:textId="03750AE0" w:rsidR="00067458" w:rsidRDefault="00067458">
      <w:pPr>
        <w:rPr>
          <w:rFonts w:cs="Arial"/>
          <w:b/>
          <w:bCs/>
          <w:caps/>
          <w:szCs w:val="20"/>
        </w:rPr>
      </w:pPr>
    </w:p>
    <w:p w14:paraId="0F604070" w14:textId="77777777" w:rsidR="00067458" w:rsidRPr="00032312" w:rsidRDefault="00067458" w:rsidP="00067458">
      <w:pPr>
        <w:rPr>
          <w:rFonts w:cs="Arial"/>
          <w:b/>
          <w:bCs/>
          <w:caps/>
          <w:szCs w:val="20"/>
        </w:rPr>
      </w:pPr>
    </w:p>
    <w:tbl>
      <w:tblPr>
        <w:tblW w:w="4917" w:type="pct"/>
        <w:tblLayout w:type="fixed"/>
        <w:tblCellMar>
          <w:left w:w="70" w:type="dxa"/>
          <w:right w:w="70" w:type="dxa"/>
        </w:tblCellMar>
        <w:tblLook w:val="04A0" w:firstRow="1" w:lastRow="0" w:firstColumn="1" w:lastColumn="0" w:noHBand="0" w:noVBand="1"/>
      </w:tblPr>
      <w:tblGrid>
        <w:gridCol w:w="1556"/>
        <w:gridCol w:w="5808"/>
        <w:gridCol w:w="1277"/>
        <w:gridCol w:w="1277"/>
        <w:gridCol w:w="1419"/>
        <w:gridCol w:w="1699"/>
        <w:gridCol w:w="1842"/>
      </w:tblGrid>
      <w:tr w:rsidR="00067458" w:rsidRPr="00032312" w14:paraId="02A32B4E" w14:textId="77777777" w:rsidTr="00A04033">
        <w:trPr>
          <w:trHeight w:val="402"/>
          <w:tblHeader/>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7AE3E91" w14:textId="77777777" w:rsidR="00067458" w:rsidRPr="00032312" w:rsidRDefault="00067458" w:rsidP="00412260">
            <w:pPr>
              <w:jc w:val="center"/>
              <w:rPr>
                <w:rFonts w:eastAsia="Times New Roman" w:cs="Arial"/>
                <w:b/>
                <w:bCs/>
                <w:color w:val="000000"/>
                <w:szCs w:val="20"/>
                <w:lang w:eastAsia="fr-FR"/>
              </w:rPr>
            </w:pPr>
            <w:r w:rsidRPr="00032312">
              <w:rPr>
                <w:rFonts w:eastAsia="Times New Roman" w:cs="Arial"/>
                <w:b/>
                <w:bCs/>
                <w:color w:val="000000"/>
                <w:szCs w:val="20"/>
                <w:lang w:eastAsia="fr-FR"/>
              </w:rPr>
              <w:t xml:space="preserve">JOINT PROGRAMMES IN </w:t>
            </w:r>
            <w:r w:rsidRPr="00301A07">
              <w:rPr>
                <w:rFonts w:eastAsia="Times New Roman" w:cs="Arial"/>
                <w:b/>
                <w:bCs/>
                <w:color w:val="000000"/>
                <w:szCs w:val="20"/>
                <w:lang w:eastAsia="fr-FR"/>
              </w:rPr>
              <w:t>OPERATION IN 20</w:t>
            </w:r>
            <w:r>
              <w:rPr>
                <w:rFonts w:eastAsia="Times New Roman" w:cs="Arial"/>
                <w:b/>
                <w:bCs/>
                <w:color w:val="000000"/>
                <w:szCs w:val="20"/>
                <w:lang w:eastAsia="fr-FR"/>
              </w:rPr>
              <w:t>21</w:t>
            </w:r>
          </w:p>
        </w:tc>
      </w:tr>
      <w:tr w:rsidR="00A04033" w:rsidRPr="00032312" w14:paraId="0CCD206F" w14:textId="77777777" w:rsidTr="00A04033">
        <w:trPr>
          <w:trHeight w:val="600"/>
          <w:tblHeader/>
        </w:trPr>
        <w:tc>
          <w:tcPr>
            <w:tcW w:w="523"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48C0EEA8" w14:textId="77777777" w:rsidR="00067458" w:rsidRPr="00032312" w:rsidRDefault="00067458" w:rsidP="00412260">
            <w:pPr>
              <w:jc w:val="center"/>
              <w:rPr>
                <w:rFonts w:eastAsia="Times New Roman" w:cs="Arial"/>
                <w:b/>
                <w:bCs/>
                <w:color w:val="000000"/>
                <w:szCs w:val="20"/>
                <w:lang w:eastAsia="fr-FR"/>
              </w:rPr>
            </w:pPr>
            <w:r w:rsidRPr="00032312">
              <w:rPr>
                <w:rFonts w:eastAsia="Times New Roman" w:cs="Arial"/>
                <w:b/>
                <w:bCs/>
                <w:color w:val="000000"/>
                <w:szCs w:val="20"/>
                <w:lang w:eastAsia="fr-FR"/>
              </w:rPr>
              <w:t xml:space="preserve">Financing instrument </w:t>
            </w:r>
          </w:p>
        </w:tc>
        <w:tc>
          <w:tcPr>
            <w:tcW w:w="1952" w:type="pct"/>
            <w:tcBorders>
              <w:top w:val="single" w:sz="4" w:space="0" w:color="auto"/>
              <w:left w:val="nil"/>
              <w:bottom w:val="single" w:sz="4" w:space="0" w:color="auto"/>
              <w:right w:val="single" w:sz="4" w:space="0" w:color="auto"/>
            </w:tcBorders>
            <w:shd w:val="clear" w:color="000000" w:fill="92D050"/>
            <w:vAlign w:val="center"/>
            <w:hideMark/>
          </w:tcPr>
          <w:p w14:paraId="2C907A07" w14:textId="77777777" w:rsidR="00067458" w:rsidRPr="00032312" w:rsidRDefault="00067458" w:rsidP="00412260">
            <w:pPr>
              <w:jc w:val="center"/>
              <w:rPr>
                <w:rFonts w:eastAsia="Times New Roman" w:cs="Arial"/>
                <w:b/>
                <w:bCs/>
                <w:color w:val="000000"/>
                <w:szCs w:val="20"/>
                <w:lang w:eastAsia="fr-FR"/>
              </w:rPr>
            </w:pPr>
            <w:r w:rsidRPr="00032312">
              <w:rPr>
                <w:rFonts w:eastAsia="Times New Roman" w:cs="Arial"/>
                <w:b/>
                <w:bCs/>
                <w:color w:val="000000"/>
                <w:szCs w:val="20"/>
                <w:lang w:eastAsia="fr-FR"/>
              </w:rPr>
              <w:t>Contract title</w:t>
            </w:r>
          </w:p>
        </w:tc>
        <w:tc>
          <w:tcPr>
            <w:tcW w:w="429" w:type="pct"/>
            <w:tcBorders>
              <w:top w:val="single" w:sz="4" w:space="0" w:color="auto"/>
              <w:left w:val="nil"/>
              <w:bottom w:val="single" w:sz="4" w:space="0" w:color="auto"/>
              <w:right w:val="single" w:sz="4" w:space="0" w:color="auto"/>
            </w:tcBorders>
            <w:shd w:val="clear" w:color="000000" w:fill="92D050"/>
            <w:vAlign w:val="center"/>
            <w:hideMark/>
          </w:tcPr>
          <w:p w14:paraId="3DA6249A" w14:textId="77777777" w:rsidR="00067458" w:rsidRPr="00032312" w:rsidRDefault="00067458" w:rsidP="00412260">
            <w:pPr>
              <w:jc w:val="center"/>
              <w:rPr>
                <w:rFonts w:eastAsia="Times New Roman" w:cs="Arial"/>
                <w:b/>
                <w:bCs/>
                <w:color w:val="000000"/>
                <w:szCs w:val="20"/>
                <w:lang w:eastAsia="fr-FR"/>
              </w:rPr>
            </w:pPr>
            <w:r w:rsidRPr="00032312">
              <w:rPr>
                <w:rFonts w:eastAsia="Times New Roman" w:cs="Arial"/>
                <w:b/>
                <w:bCs/>
                <w:color w:val="000000"/>
                <w:szCs w:val="20"/>
                <w:lang w:eastAsia="fr-FR"/>
              </w:rPr>
              <w:t>Start date of covenant</w:t>
            </w:r>
          </w:p>
        </w:tc>
        <w:tc>
          <w:tcPr>
            <w:tcW w:w="429" w:type="pct"/>
            <w:tcBorders>
              <w:top w:val="single" w:sz="4" w:space="0" w:color="auto"/>
              <w:left w:val="nil"/>
              <w:bottom w:val="single" w:sz="4" w:space="0" w:color="auto"/>
              <w:right w:val="single" w:sz="4" w:space="0" w:color="auto"/>
            </w:tcBorders>
            <w:shd w:val="clear" w:color="000000" w:fill="92D050"/>
            <w:vAlign w:val="center"/>
            <w:hideMark/>
          </w:tcPr>
          <w:p w14:paraId="29D6FB6B" w14:textId="77777777" w:rsidR="00067458" w:rsidRPr="00032312" w:rsidRDefault="00067458" w:rsidP="00412260">
            <w:pPr>
              <w:jc w:val="center"/>
              <w:rPr>
                <w:rFonts w:eastAsia="Times New Roman" w:cs="Arial"/>
                <w:b/>
                <w:bCs/>
                <w:color w:val="000000"/>
                <w:szCs w:val="20"/>
                <w:lang w:eastAsia="fr-FR"/>
              </w:rPr>
            </w:pPr>
            <w:r w:rsidRPr="00032312">
              <w:rPr>
                <w:rFonts w:eastAsia="Times New Roman" w:cs="Arial"/>
                <w:b/>
                <w:bCs/>
                <w:color w:val="000000"/>
                <w:szCs w:val="20"/>
                <w:lang w:eastAsia="fr-FR"/>
              </w:rPr>
              <w:t>End date of covenant</w:t>
            </w:r>
          </w:p>
        </w:tc>
        <w:tc>
          <w:tcPr>
            <w:tcW w:w="477" w:type="pct"/>
            <w:tcBorders>
              <w:top w:val="single" w:sz="4" w:space="0" w:color="auto"/>
              <w:left w:val="nil"/>
              <w:bottom w:val="single" w:sz="4" w:space="0" w:color="auto"/>
              <w:right w:val="single" w:sz="4" w:space="0" w:color="auto"/>
            </w:tcBorders>
            <w:shd w:val="clear" w:color="000000" w:fill="92D050"/>
            <w:vAlign w:val="center"/>
            <w:hideMark/>
          </w:tcPr>
          <w:p w14:paraId="3777F8AF" w14:textId="77777777" w:rsidR="00067458" w:rsidRPr="00032312" w:rsidRDefault="00067458" w:rsidP="00412260">
            <w:pPr>
              <w:jc w:val="center"/>
              <w:rPr>
                <w:rFonts w:eastAsia="Times New Roman" w:cs="Arial"/>
                <w:b/>
                <w:bCs/>
                <w:color w:val="000000"/>
                <w:szCs w:val="20"/>
                <w:lang w:eastAsia="fr-FR"/>
              </w:rPr>
            </w:pPr>
            <w:r w:rsidRPr="00032312">
              <w:rPr>
                <w:rFonts w:eastAsia="Times New Roman" w:cs="Arial"/>
                <w:b/>
                <w:bCs/>
                <w:color w:val="000000"/>
                <w:szCs w:val="20"/>
                <w:lang w:eastAsia="fr-FR"/>
              </w:rPr>
              <w:t>Total programme envelope in €</w:t>
            </w:r>
          </w:p>
        </w:tc>
        <w:tc>
          <w:tcPr>
            <w:tcW w:w="571" w:type="pct"/>
            <w:tcBorders>
              <w:top w:val="single" w:sz="4" w:space="0" w:color="auto"/>
              <w:left w:val="nil"/>
              <w:bottom w:val="single" w:sz="4" w:space="0" w:color="auto"/>
              <w:right w:val="single" w:sz="4" w:space="0" w:color="auto"/>
            </w:tcBorders>
            <w:shd w:val="clear" w:color="000000" w:fill="92D050"/>
            <w:vAlign w:val="center"/>
            <w:hideMark/>
          </w:tcPr>
          <w:p w14:paraId="108C2FFD" w14:textId="77777777" w:rsidR="00067458" w:rsidRPr="00032312" w:rsidRDefault="00067458" w:rsidP="00412260">
            <w:pPr>
              <w:jc w:val="center"/>
              <w:rPr>
                <w:rFonts w:eastAsia="Times New Roman" w:cs="Arial"/>
                <w:b/>
                <w:bCs/>
                <w:color w:val="000000"/>
                <w:szCs w:val="20"/>
                <w:lang w:eastAsia="fr-FR"/>
              </w:rPr>
            </w:pPr>
            <w:r w:rsidRPr="00032312">
              <w:rPr>
                <w:rFonts w:eastAsia="Times New Roman" w:cs="Arial"/>
                <w:b/>
                <w:bCs/>
                <w:color w:val="000000"/>
                <w:szCs w:val="20"/>
                <w:lang w:eastAsia="fr-FR"/>
              </w:rPr>
              <w:t xml:space="preserve">Contribution of the European Union </w:t>
            </w:r>
          </w:p>
        </w:tc>
        <w:tc>
          <w:tcPr>
            <w:tcW w:w="619" w:type="pct"/>
            <w:tcBorders>
              <w:top w:val="single" w:sz="4" w:space="0" w:color="auto"/>
              <w:left w:val="nil"/>
              <w:bottom w:val="single" w:sz="4" w:space="0" w:color="auto"/>
              <w:right w:val="single" w:sz="4" w:space="0" w:color="auto"/>
            </w:tcBorders>
            <w:shd w:val="clear" w:color="000000" w:fill="92D050"/>
            <w:vAlign w:val="center"/>
            <w:hideMark/>
          </w:tcPr>
          <w:p w14:paraId="6D19AB4A" w14:textId="77777777" w:rsidR="00067458" w:rsidRPr="00032312" w:rsidRDefault="00067458" w:rsidP="00412260">
            <w:pPr>
              <w:jc w:val="center"/>
              <w:rPr>
                <w:rFonts w:eastAsia="Times New Roman" w:cs="Arial"/>
                <w:b/>
                <w:bCs/>
                <w:color w:val="000000"/>
                <w:szCs w:val="20"/>
                <w:lang w:eastAsia="fr-FR"/>
              </w:rPr>
            </w:pPr>
            <w:r w:rsidRPr="00032312">
              <w:rPr>
                <w:rFonts w:eastAsia="Times New Roman" w:cs="Arial"/>
                <w:b/>
                <w:bCs/>
                <w:color w:val="000000"/>
                <w:szCs w:val="20"/>
                <w:lang w:eastAsia="fr-FR"/>
              </w:rPr>
              <w:t xml:space="preserve">Contribution of the Council of Europe </w:t>
            </w:r>
          </w:p>
        </w:tc>
      </w:tr>
      <w:tr w:rsidR="00067458" w:rsidRPr="00032312" w14:paraId="2ED4777D" w14:textId="77777777" w:rsidTr="00A04033">
        <w:trPr>
          <w:trHeight w:val="600"/>
        </w:trPr>
        <w:tc>
          <w:tcPr>
            <w:tcW w:w="5000" w:type="pct"/>
            <w:gridSpan w:val="7"/>
            <w:tcBorders>
              <w:top w:val="single" w:sz="4" w:space="0" w:color="auto"/>
              <w:left w:val="single" w:sz="4" w:space="0" w:color="auto"/>
              <w:bottom w:val="single" w:sz="4" w:space="0" w:color="auto"/>
              <w:right w:val="single" w:sz="4" w:space="0" w:color="000000"/>
            </w:tcBorders>
            <w:shd w:val="clear" w:color="000000" w:fill="5B9BD5"/>
            <w:vAlign w:val="center"/>
            <w:hideMark/>
          </w:tcPr>
          <w:p w14:paraId="34620131" w14:textId="77777777" w:rsidR="00067458" w:rsidRPr="00032312" w:rsidRDefault="00067458" w:rsidP="00412260">
            <w:pPr>
              <w:rPr>
                <w:rFonts w:eastAsia="Times New Roman" w:cs="Arial"/>
                <w:b/>
                <w:bCs/>
                <w:color w:val="000000"/>
                <w:szCs w:val="20"/>
                <w:lang w:eastAsia="fr-FR"/>
              </w:rPr>
            </w:pPr>
            <w:r w:rsidRPr="00032312">
              <w:rPr>
                <w:rFonts w:eastAsia="Times New Roman" w:cs="Arial"/>
                <w:b/>
                <w:bCs/>
                <w:color w:val="000000"/>
                <w:szCs w:val="20"/>
                <w:lang w:eastAsia="fr-FR"/>
              </w:rPr>
              <w:t xml:space="preserve">South-East Europe and Turkey </w:t>
            </w:r>
          </w:p>
        </w:tc>
      </w:tr>
      <w:tr w:rsidR="00067458" w:rsidRPr="00032312" w14:paraId="0D65CF6E" w14:textId="77777777" w:rsidTr="00A04033">
        <w:trPr>
          <w:trHeight w:val="6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7F8C337" w14:textId="77777777" w:rsidR="00067458" w:rsidRPr="00301A07" w:rsidRDefault="00067458" w:rsidP="00412260">
            <w:pPr>
              <w:rPr>
                <w:rFonts w:eastAsia="Times New Roman" w:cs="Arial"/>
                <w:b/>
                <w:bCs/>
                <w:color w:val="000000"/>
                <w:szCs w:val="20"/>
                <w:lang w:eastAsia="fr-FR"/>
              </w:rPr>
            </w:pPr>
            <w:r w:rsidRPr="00301A07">
              <w:rPr>
                <w:rFonts w:eastAsia="Times New Roman" w:cs="Arial"/>
                <w:b/>
                <w:bCs/>
                <w:color w:val="000000"/>
                <w:szCs w:val="20"/>
                <w:lang w:eastAsia="fr-FR"/>
              </w:rPr>
              <w:t>Serbia</w:t>
            </w:r>
          </w:p>
        </w:tc>
      </w:tr>
      <w:tr w:rsidR="00A04033" w:rsidRPr="00032312" w14:paraId="719D0934"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D35627" w14:textId="77777777" w:rsidR="00067458" w:rsidRPr="0081566C" w:rsidRDefault="00067458" w:rsidP="00412260">
            <w:pPr>
              <w:jc w:val="center"/>
              <w:rPr>
                <w:rFonts w:eastAsia="Times New Roman" w:cs="Arial"/>
                <w:color w:val="000000"/>
                <w:szCs w:val="20"/>
                <w:lang w:eastAsia="fr-FR"/>
              </w:rPr>
            </w:pPr>
            <w:r w:rsidRPr="0081566C">
              <w:rPr>
                <w:rFonts w:eastAsia="Times New Roman" w:cs="Arial"/>
                <w:color w:val="000000"/>
                <w:szCs w:val="20"/>
                <w:lang w:eastAsia="fr-FR"/>
              </w:rPr>
              <w:t>IPA</w:t>
            </w:r>
          </w:p>
        </w:tc>
        <w:tc>
          <w:tcPr>
            <w:tcW w:w="1952" w:type="pct"/>
            <w:tcBorders>
              <w:top w:val="single" w:sz="4" w:space="0" w:color="auto"/>
              <w:left w:val="nil"/>
              <w:bottom w:val="single" w:sz="4" w:space="0" w:color="auto"/>
              <w:right w:val="single" w:sz="4" w:space="0" w:color="auto"/>
            </w:tcBorders>
            <w:shd w:val="clear" w:color="auto" w:fill="auto"/>
            <w:vAlign w:val="center"/>
            <w:hideMark/>
          </w:tcPr>
          <w:p w14:paraId="679CC991" w14:textId="77777777" w:rsidR="00067458" w:rsidRPr="0081566C" w:rsidRDefault="00067458" w:rsidP="00412260">
            <w:pPr>
              <w:rPr>
                <w:rFonts w:eastAsia="Times New Roman" w:cs="Arial"/>
                <w:color w:val="000000"/>
                <w:szCs w:val="20"/>
                <w:lang w:eastAsia="fr-FR"/>
              </w:rPr>
            </w:pPr>
            <w:r w:rsidRPr="0081566C">
              <w:rPr>
                <w:rFonts w:eastAsia="Times New Roman" w:cs="Arial"/>
                <w:color w:val="000000"/>
                <w:szCs w:val="20"/>
                <w:lang w:eastAsia="fr-FR"/>
              </w:rPr>
              <w:t>Human resources management in local self-governments - Phase 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DB0BF" w14:textId="77777777" w:rsidR="00067458" w:rsidRPr="0081566C" w:rsidRDefault="00067458" w:rsidP="00412260">
            <w:pPr>
              <w:jc w:val="center"/>
              <w:rPr>
                <w:rFonts w:eastAsia="Times New Roman" w:cs="Arial"/>
                <w:color w:val="000000"/>
                <w:szCs w:val="20"/>
                <w:lang w:eastAsia="fr-FR"/>
              </w:rPr>
            </w:pPr>
            <w:r w:rsidRPr="0081566C">
              <w:rPr>
                <w:rFonts w:cs="Arial"/>
                <w:color w:val="000000"/>
                <w:sz w:val="18"/>
                <w:szCs w:val="18"/>
              </w:rPr>
              <w:t>19/12/2018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A24689" w14:textId="77777777" w:rsidR="00067458" w:rsidRPr="0081566C" w:rsidRDefault="00067458" w:rsidP="00412260">
            <w:pPr>
              <w:jc w:val="center"/>
              <w:rPr>
                <w:rFonts w:eastAsia="Times New Roman" w:cs="Arial"/>
                <w:color w:val="000000"/>
                <w:szCs w:val="20"/>
                <w:lang w:eastAsia="fr-FR"/>
              </w:rPr>
            </w:pPr>
            <w:r w:rsidRPr="0081566C">
              <w:rPr>
                <w:rFonts w:cs="Arial"/>
                <w:color w:val="000000"/>
                <w:sz w:val="18"/>
                <w:szCs w:val="18"/>
              </w:rPr>
              <w:t>18/06/2022</w:t>
            </w:r>
          </w:p>
        </w:tc>
        <w:tc>
          <w:tcPr>
            <w:tcW w:w="477" w:type="pct"/>
            <w:tcBorders>
              <w:top w:val="single" w:sz="4" w:space="0" w:color="auto"/>
              <w:left w:val="nil"/>
              <w:bottom w:val="single" w:sz="4" w:space="0" w:color="auto"/>
              <w:right w:val="single" w:sz="4" w:space="0" w:color="auto"/>
            </w:tcBorders>
            <w:shd w:val="clear" w:color="auto" w:fill="auto"/>
            <w:vAlign w:val="center"/>
            <w:hideMark/>
          </w:tcPr>
          <w:p w14:paraId="4578C39F" w14:textId="77777777" w:rsidR="00067458" w:rsidRPr="0081566C" w:rsidRDefault="00067458" w:rsidP="00412260">
            <w:pPr>
              <w:jc w:val="right"/>
              <w:rPr>
                <w:rFonts w:eastAsia="Times New Roman" w:cs="Arial"/>
                <w:color w:val="000000"/>
                <w:szCs w:val="20"/>
                <w:lang w:eastAsia="fr-FR"/>
              </w:rPr>
            </w:pPr>
            <w:r w:rsidRPr="0081566C">
              <w:rPr>
                <w:rFonts w:eastAsia="Times New Roman" w:cs="Arial"/>
                <w:color w:val="000000"/>
                <w:szCs w:val="20"/>
                <w:lang w:eastAsia="fr-FR"/>
              </w:rPr>
              <w:t xml:space="preserve">4 000 000,00 </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44F57A09" w14:textId="77777777" w:rsidR="00067458" w:rsidRPr="0081566C" w:rsidRDefault="00067458" w:rsidP="00412260">
            <w:pPr>
              <w:jc w:val="right"/>
              <w:rPr>
                <w:rFonts w:eastAsia="Times New Roman" w:cs="Arial"/>
                <w:color w:val="000000"/>
                <w:szCs w:val="20"/>
                <w:lang w:eastAsia="fr-FR"/>
              </w:rPr>
            </w:pPr>
            <w:r w:rsidRPr="0081566C">
              <w:rPr>
                <w:rFonts w:eastAsia="Times New Roman" w:cs="Arial"/>
                <w:color w:val="000000"/>
                <w:szCs w:val="20"/>
                <w:lang w:eastAsia="fr-FR"/>
              </w:rPr>
              <w:t xml:space="preserve">3 600 000,00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8578BDB" w14:textId="77777777" w:rsidR="00067458" w:rsidRPr="0081566C" w:rsidRDefault="00067458" w:rsidP="00412260">
            <w:pPr>
              <w:jc w:val="right"/>
              <w:rPr>
                <w:rFonts w:eastAsia="Times New Roman" w:cs="Arial"/>
                <w:color w:val="000000"/>
                <w:szCs w:val="20"/>
                <w:lang w:eastAsia="fr-FR"/>
              </w:rPr>
            </w:pPr>
            <w:r w:rsidRPr="0081566C">
              <w:rPr>
                <w:rFonts w:eastAsia="Times New Roman" w:cs="Arial"/>
                <w:color w:val="000000"/>
                <w:szCs w:val="20"/>
                <w:lang w:eastAsia="fr-FR"/>
              </w:rPr>
              <w:t xml:space="preserve">400 000,00 </w:t>
            </w:r>
          </w:p>
        </w:tc>
      </w:tr>
      <w:tr w:rsidR="00067458" w:rsidRPr="00032312" w14:paraId="5EC8E778" w14:textId="77777777" w:rsidTr="00A04033">
        <w:trPr>
          <w:trHeight w:val="6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076F605" w14:textId="77777777" w:rsidR="00067458" w:rsidRPr="00050598" w:rsidRDefault="00067458" w:rsidP="00412260">
            <w:pPr>
              <w:rPr>
                <w:rFonts w:eastAsia="Times New Roman" w:cs="Arial"/>
                <w:b/>
                <w:bCs/>
                <w:color w:val="000000"/>
                <w:szCs w:val="20"/>
                <w:lang w:eastAsia="fr-FR"/>
              </w:rPr>
            </w:pPr>
            <w:r w:rsidRPr="00050598">
              <w:rPr>
                <w:rFonts w:eastAsia="Times New Roman" w:cs="Arial"/>
                <w:b/>
                <w:bCs/>
                <w:color w:val="000000"/>
                <w:szCs w:val="20"/>
                <w:lang w:eastAsia="fr-FR"/>
              </w:rPr>
              <w:t>Turkey</w:t>
            </w:r>
          </w:p>
        </w:tc>
      </w:tr>
      <w:tr w:rsidR="00A04033" w:rsidRPr="00032312" w14:paraId="7E6A60BF" w14:textId="77777777" w:rsidTr="00A04033">
        <w:trPr>
          <w:trHeight w:val="600"/>
        </w:trPr>
        <w:tc>
          <w:tcPr>
            <w:tcW w:w="523" w:type="pct"/>
            <w:tcBorders>
              <w:top w:val="nil"/>
              <w:left w:val="single" w:sz="4" w:space="0" w:color="auto"/>
              <w:bottom w:val="single" w:sz="4" w:space="0" w:color="auto"/>
              <w:right w:val="single" w:sz="4" w:space="0" w:color="auto"/>
            </w:tcBorders>
            <w:shd w:val="clear" w:color="auto" w:fill="auto"/>
            <w:vAlign w:val="center"/>
            <w:hideMark/>
          </w:tcPr>
          <w:p w14:paraId="5C64D5A3" w14:textId="77777777" w:rsidR="00067458" w:rsidRPr="00D86101" w:rsidRDefault="00067458" w:rsidP="00412260">
            <w:pPr>
              <w:jc w:val="center"/>
              <w:rPr>
                <w:rFonts w:eastAsia="Times New Roman" w:cs="Arial"/>
                <w:color w:val="000000"/>
                <w:szCs w:val="20"/>
                <w:lang w:eastAsia="fr-FR"/>
              </w:rPr>
            </w:pPr>
            <w:r w:rsidRPr="00D86101">
              <w:rPr>
                <w:rFonts w:eastAsia="Times New Roman" w:cs="Arial"/>
                <w:color w:val="000000"/>
                <w:szCs w:val="20"/>
                <w:lang w:eastAsia="fr-FR"/>
              </w:rPr>
              <w:t>IPA</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2364AF66" w14:textId="77777777" w:rsidR="00067458" w:rsidRPr="00D86101" w:rsidRDefault="00067458" w:rsidP="00412260">
            <w:pPr>
              <w:rPr>
                <w:rFonts w:eastAsia="Times New Roman" w:cs="Arial"/>
                <w:color w:val="000000"/>
                <w:szCs w:val="20"/>
                <w:lang w:eastAsia="fr-FR"/>
              </w:rPr>
            </w:pPr>
            <w:r w:rsidRPr="00D86101">
              <w:rPr>
                <w:rFonts w:cs="Arial"/>
                <w:color w:val="000000"/>
                <w:szCs w:val="20"/>
              </w:rPr>
              <w:t>Strengthening the Capacity of Bar Associations and Lawyers on European Human Rights Standards (SCOBAL)</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8A9A615" w14:textId="77777777" w:rsidR="00067458" w:rsidRPr="00D86101" w:rsidRDefault="00067458" w:rsidP="00412260">
            <w:pPr>
              <w:jc w:val="center"/>
              <w:rPr>
                <w:rFonts w:eastAsia="Times New Roman" w:cs="Arial"/>
                <w:color w:val="000000"/>
                <w:szCs w:val="20"/>
                <w:lang w:eastAsia="fr-FR"/>
              </w:rPr>
            </w:pPr>
            <w:r w:rsidRPr="00D86101">
              <w:rPr>
                <w:rFonts w:cs="Arial"/>
                <w:color w:val="000000"/>
                <w:szCs w:val="20"/>
              </w:rPr>
              <w:t>01/04/2018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F555F27" w14:textId="77777777" w:rsidR="00067458" w:rsidRPr="00D86101" w:rsidRDefault="00067458" w:rsidP="00412260">
            <w:pPr>
              <w:jc w:val="center"/>
              <w:rPr>
                <w:rFonts w:eastAsia="Times New Roman" w:cs="Arial"/>
                <w:color w:val="000000"/>
                <w:szCs w:val="20"/>
                <w:lang w:eastAsia="fr-FR"/>
              </w:rPr>
            </w:pPr>
            <w:r w:rsidRPr="00D86101">
              <w:rPr>
                <w:rFonts w:cs="Arial"/>
                <w:color w:val="000000"/>
                <w:szCs w:val="20"/>
              </w:rPr>
              <w:t>31/03/2022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193027BF" w14:textId="77777777" w:rsidR="00067458" w:rsidRPr="00D86101" w:rsidRDefault="00067458" w:rsidP="00412260">
            <w:pPr>
              <w:jc w:val="right"/>
              <w:rPr>
                <w:rFonts w:eastAsia="Times New Roman" w:cs="Arial"/>
                <w:color w:val="000000"/>
                <w:szCs w:val="20"/>
                <w:lang w:eastAsia="fr-FR"/>
              </w:rPr>
            </w:pPr>
            <w:r w:rsidRPr="00D86101">
              <w:rPr>
                <w:rFonts w:cs="Arial"/>
                <w:color w:val="000000"/>
                <w:szCs w:val="20"/>
              </w:rPr>
              <w:t xml:space="preserve">3 890 000.00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67719649" w14:textId="77777777" w:rsidR="00067458" w:rsidRPr="00D86101" w:rsidRDefault="00067458" w:rsidP="00412260">
            <w:pPr>
              <w:jc w:val="right"/>
              <w:rPr>
                <w:rFonts w:eastAsia="Times New Roman" w:cs="Arial"/>
                <w:color w:val="000000"/>
                <w:szCs w:val="20"/>
                <w:lang w:eastAsia="fr-FR"/>
              </w:rPr>
            </w:pPr>
            <w:r w:rsidRPr="00D86101">
              <w:rPr>
                <w:rFonts w:cs="Arial"/>
                <w:color w:val="000000"/>
                <w:szCs w:val="20"/>
              </w:rPr>
              <w:t xml:space="preserve">3 500 000.00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0B9F6ECD" w14:textId="77777777" w:rsidR="00067458" w:rsidRPr="00D86101" w:rsidRDefault="00067458" w:rsidP="00412260">
            <w:pPr>
              <w:jc w:val="right"/>
              <w:rPr>
                <w:rFonts w:eastAsia="Times New Roman" w:cs="Arial"/>
                <w:color w:val="000000"/>
                <w:szCs w:val="20"/>
                <w:lang w:eastAsia="fr-FR"/>
              </w:rPr>
            </w:pPr>
            <w:r w:rsidRPr="00D86101">
              <w:rPr>
                <w:rFonts w:cs="Arial"/>
                <w:color w:val="000000"/>
                <w:szCs w:val="20"/>
              </w:rPr>
              <w:t xml:space="preserve">390 000.00  </w:t>
            </w:r>
          </w:p>
        </w:tc>
      </w:tr>
      <w:tr w:rsidR="00A04033" w:rsidRPr="00032312" w14:paraId="1C6D89CB" w14:textId="77777777" w:rsidTr="00A04033">
        <w:trPr>
          <w:trHeight w:val="600"/>
        </w:trPr>
        <w:tc>
          <w:tcPr>
            <w:tcW w:w="523" w:type="pct"/>
            <w:tcBorders>
              <w:top w:val="nil"/>
              <w:left w:val="single" w:sz="4" w:space="0" w:color="auto"/>
              <w:bottom w:val="single" w:sz="4" w:space="0" w:color="auto"/>
              <w:right w:val="single" w:sz="4" w:space="0" w:color="auto"/>
            </w:tcBorders>
            <w:shd w:val="clear" w:color="auto" w:fill="auto"/>
            <w:vAlign w:val="center"/>
            <w:hideMark/>
          </w:tcPr>
          <w:p w14:paraId="520E7B05" w14:textId="77777777" w:rsidR="00067458" w:rsidRPr="00D86101" w:rsidRDefault="00067458" w:rsidP="00412260">
            <w:pPr>
              <w:jc w:val="center"/>
              <w:rPr>
                <w:rFonts w:eastAsia="Times New Roman" w:cs="Arial"/>
                <w:color w:val="000000"/>
                <w:szCs w:val="20"/>
                <w:lang w:eastAsia="fr-FR"/>
              </w:rPr>
            </w:pPr>
            <w:r w:rsidRPr="00D86101">
              <w:rPr>
                <w:rFonts w:eastAsia="Times New Roman" w:cs="Arial"/>
                <w:color w:val="000000"/>
                <w:szCs w:val="20"/>
                <w:lang w:eastAsia="fr-FR"/>
              </w:rPr>
              <w:t>IPA</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10923D92" w14:textId="77777777" w:rsidR="00067458" w:rsidRPr="00D86101" w:rsidRDefault="00067458" w:rsidP="00412260">
            <w:pPr>
              <w:rPr>
                <w:rFonts w:eastAsia="Times New Roman" w:cs="Arial"/>
                <w:color w:val="000000"/>
                <w:szCs w:val="20"/>
                <w:lang w:eastAsia="fr-FR"/>
              </w:rPr>
            </w:pPr>
            <w:r w:rsidRPr="00D86101">
              <w:rPr>
                <w:rFonts w:cs="Arial"/>
                <w:color w:val="000000"/>
                <w:szCs w:val="20"/>
              </w:rPr>
              <w:t>Generation Democracy Strengthening a Culture of Democracy in Basic Education Institutions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550B9D8" w14:textId="77777777" w:rsidR="00067458" w:rsidRPr="00D86101" w:rsidRDefault="00067458" w:rsidP="00412260">
            <w:pPr>
              <w:jc w:val="center"/>
              <w:rPr>
                <w:rFonts w:eastAsia="Times New Roman" w:cs="Arial"/>
                <w:color w:val="000000"/>
                <w:szCs w:val="20"/>
                <w:lang w:eastAsia="fr-FR"/>
              </w:rPr>
            </w:pPr>
            <w:r w:rsidRPr="00D86101">
              <w:rPr>
                <w:rFonts w:cs="Arial"/>
                <w:color w:val="000000"/>
                <w:szCs w:val="20"/>
              </w:rPr>
              <w:t>03/08/2018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4F668F7" w14:textId="77777777" w:rsidR="00067458" w:rsidRPr="00D86101" w:rsidRDefault="00067458" w:rsidP="00412260">
            <w:pPr>
              <w:jc w:val="center"/>
              <w:rPr>
                <w:rFonts w:eastAsia="Times New Roman" w:cs="Arial"/>
                <w:color w:val="000000"/>
                <w:szCs w:val="20"/>
                <w:lang w:eastAsia="fr-FR"/>
              </w:rPr>
            </w:pPr>
            <w:r w:rsidRPr="00D86101">
              <w:rPr>
                <w:rFonts w:cs="Arial"/>
                <w:color w:val="000000"/>
                <w:szCs w:val="20"/>
              </w:rPr>
              <w:t>02/11/2022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C2588DF" w14:textId="77777777" w:rsidR="00067458" w:rsidRPr="00D86101" w:rsidRDefault="00067458" w:rsidP="00412260">
            <w:pPr>
              <w:jc w:val="right"/>
              <w:rPr>
                <w:rFonts w:eastAsia="Times New Roman" w:cs="Arial"/>
                <w:color w:val="000000"/>
                <w:szCs w:val="20"/>
                <w:lang w:eastAsia="fr-FR"/>
              </w:rPr>
            </w:pPr>
            <w:r w:rsidRPr="00D86101">
              <w:rPr>
                <w:rFonts w:cs="Arial"/>
                <w:color w:val="000000"/>
                <w:szCs w:val="20"/>
              </w:rPr>
              <w:t xml:space="preserve">4 000 000.00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5700B53E" w14:textId="77777777" w:rsidR="00067458" w:rsidRPr="00D86101" w:rsidRDefault="00067458" w:rsidP="00412260">
            <w:pPr>
              <w:jc w:val="right"/>
              <w:rPr>
                <w:rFonts w:eastAsia="Times New Roman" w:cs="Arial"/>
                <w:color w:val="000000"/>
                <w:szCs w:val="20"/>
                <w:lang w:eastAsia="fr-FR"/>
              </w:rPr>
            </w:pPr>
            <w:r w:rsidRPr="00D86101">
              <w:rPr>
                <w:rFonts w:cs="Arial"/>
                <w:color w:val="000000"/>
                <w:szCs w:val="20"/>
              </w:rPr>
              <w:t xml:space="preserve">3 600 000.00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5135EA62" w14:textId="77777777" w:rsidR="00067458" w:rsidRPr="00D86101" w:rsidRDefault="00067458" w:rsidP="00412260">
            <w:pPr>
              <w:jc w:val="right"/>
              <w:rPr>
                <w:rFonts w:eastAsia="Times New Roman" w:cs="Arial"/>
                <w:color w:val="000000"/>
                <w:szCs w:val="20"/>
                <w:lang w:eastAsia="fr-FR"/>
              </w:rPr>
            </w:pPr>
            <w:r w:rsidRPr="00D86101">
              <w:rPr>
                <w:rFonts w:cs="Arial"/>
                <w:color w:val="000000"/>
                <w:szCs w:val="20"/>
              </w:rPr>
              <w:t xml:space="preserve">400 000.00  </w:t>
            </w:r>
          </w:p>
        </w:tc>
      </w:tr>
      <w:tr w:rsidR="00A04033" w:rsidRPr="00032312" w14:paraId="51305F24" w14:textId="77777777" w:rsidTr="00A04033">
        <w:trPr>
          <w:trHeight w:val="600"/>
        </w:trPr>
        <w:tc>
          <w:tcPr>
            <w:tcW w:w="523" w:type="pct"/>
            <w:tcBorders>
              <w:top w:val="nil"/>
              <w:left w:val="single" w:sz="4" w:space="0" w:color="auto"/>
              <w:bottom w:val="single" w:sz="4" w:space="0" w:color="auto"/>
              <w:right w:val="single" w:sz="4" w:space="0" w:color="auto"/>
            </w:tcBorders>
            <w:shd w:val="clear" w:color="auto" w:fill="auto"/>
            <w:vAlign w:val="center"/>
          </w:tcPr>
          <w:p w14:paraId="314C0292" w14:textId="77777777" w:rsidR="00067458" w:rsidRPr="00D86101" w:rsidRDefault="00067458" w:rsidP="00412260">
            <w:pPr>
              <w:jc w:val="center"/>
              <w:rPr>
                <w:rFonts w:eastAsia="Times New Roman" w:cs="Arial"/>
                <w:color w:val="000000"/>
                <w:szCs w:val="20"/>
                <w:lang w:eastAsia="fr-FR"/>
              </w:rPr>
            </w:pPr>
            <w:r w:rsidRPr="00D86101">
              <w:rPr>
                <w:rFonts w:eastAsia="Times New Roman" w:cs="Arial"/>
                <w:color w:val="000000"/>
                <w:szCs w:val="20"/>
                <w:lang w:eastAsia="fr-FR"/>
              </w:rPr>
              <w:t>IPA</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4C0B5C00" w14:textId="77777777" w:rsidR="00067458" w:rsidRPr="00D86101" w:rsidRDefault="00067458" w:rsidP="00412260">
            <w:pPr>
              <w:rPr>
                <w:rFonts w:eastAsia="Times New Roman" w:cs="Arial"/>
                <w:color w:val="000000"/>
                <w:szCs w:val="20"/>
                <w:lang w:eastAsia="fr-FR"/>
              </w:rPr>
            </w:pPr>
            <w:r w:rsidRPr="00D86101">
              <w:rPr>
                <w:rFonts w:cs="Arial"/>
                <w:color w:val="000000"/>
                <w:szCs w:val="20"/>
              </w:rPr>
              <w:t xml:space="preserve">Improving the Effectiveness of the Administrative Judiciary and Strengthening the institutional Capacity of Council of State </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AD55858" w14:textId="77777777" w:rsidR="00067458" w:rsidRPr="00D86101" w:rsidRDefault="00067458" w:rsidP="00412260">
            <w:pPr>
              <w:jc w:val="center"/>
              <w:rPr>
                <w:rFonts w:eastAsia="Times New Roman" w:cs="Arial"/>
                <w:color w:val="000000"/>
                <w:szCs w:val="20"/>
                <w:lang w:eastAsia="fr-FR"/>
              </w:rPr>
            </w:pPr>
            <w:r w:rsidRPr="00D86101">
              <w:rPr>
                <w:rFonts w:cs="Arial"/>
                <w:color w:val="000000"/>
                <w:szCs w:val="20"/>
              </w:rPr>
              <w:t>21/12/2018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5AB1AD6" w14:textId="77777777" w:rsidR="00067458" w:rsidRPr="00D86101" w:rsidRDefault="00067458" w:rsidP="00412260">
            <w:pPr>
              <w:jc w:val="center"/>
              <w:rPr>
                <w:rFonts w:eastAsia="Times New Roman" w:cs="Arial"/>
                <w:color w:val="000000"/>
                <w:szCs w:val="20"/>
                <w:lang w:eastAsia="fr-FR"/>
              </w:rPr>
            </w:pPr>
            <w:r w:rsidRPr="00D86101">
              <w:rPr>
                <w:rFonts w:cs="Arial"/>
                <w:color w:val="000000"/>
                <w:szCs w:val="20"/>
              </w:rPr>
              <w:t>20/12/2022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603148C0" w14:textId="77777777" w:rsidR="00067458" w:rsidRPr="00D86101" w:rsidRDefault="00067458" w:rsidP="00412260">
            <w:pPr>
              <w:jc w:val="right"/>
              <w:rPr>
                <w:rFonts w:eastAsia="Times New Roman" w:cs="Arial"/>
                <w:color w:val="000000"/>
                <w:szCs w:val="20"/>
                <w:lang w:eastAsia="fr-FR"/>
              </w:rPr>
            </w:pPr>
            <w:r w:rsidRPr="00D86101">
              <w:rPr>
                <w:rFonts w:cs="Arial"/>
                <w:color w:val="000000"/>
                <w:szCs w:val="20"/>
              </w:rPr>
              <w:t xml:space="preserve">3 335 000.00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5DC0D2C0" w14:textId="77777777" w:rsidR="00067458" w:rsidRPr="00D86101" w:rsidRDefault="00067458" w:rsidP="00412260">
            <w:pPr>
              <w:jc w:val="right"/>
              <w:rPr>
                <w:rFonts w:eastAsia="Times New Roman" w:cs="Arial"/>
                <w:color w:val="000000"/>
                <w:szCs w:val="20"/>
                <w:lang w:eastAsia="fr-FR"/>
              </w:rPr>
            </w:pPr>
            <w:r w:rsidRPr="00D86101">
              <w:rPr>
                <w:rFonts w:cs="Arial"/>
                <w:color w:val="000000"/>
                <w:szCs w:val="20"/>
              </w:rPr>
              <w:t xml:space="preserve">3 000 000.00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49620A42" w14:textId="77777777" w:rsidR="00067458" w:rsidRPr="00D86101" w:rsidRDefault="00067458" w:rsidP="00412260">
            <w:pPr>
              <w:jc w:val="right"/>
              <w:rPr>
                <w:rFonts w:eastAsia="Times New Roman" w:cs="Arial"/>
                <w:color w:val="000000"/>
                <w:szCs w:val="20"/>
                <w:lang w:eastAsia="fr-FR"/>
              </w:rPr>
            </w:pPr>
            <w:r w:rsidRPr="00D86101">
              <w:rPr>
                <w:rFonts w:cs="Arial"/>
                <w:color w:val="000000"/>
                <w:szCs w:val="20"/>
              </w:rPr>
              <w:t xml:space="preserve">335 000.00  </w:t>
            </w:r>
          </w:p>
        </w:tc>
      </w:tr>
      <w:tr w:rsidR="00A04033" w:rsidRPr="00032312" w14:paraId="1855220F" w14:textId="77777777" w:rsidTr="00A04033">
        <w:trPr>
          <w:trHeight w:val="600"/>
        </w:trPr>
        <w:tc>
          <w:tcPr>
            <w:tcW w:w="523" w:type="pct"/>
            <w:tcBorders>
              <w:top w:val="nil"/>
              <w:left w:val="single" w:sz="4" w:space="0" w:color="auto"/>
              <w:bottom w:val="single" w:sz="4" w:space="0" w:color="auto"/>
              <w:right w:val="single" w:sz="4" w:space="0" w:color="auto"/>
            </w:tcBorders>
            <w:shd w:val="clear" w:color="auto" w:fill="auto"/>
            <w:vAlign w:val="center"/>
            <w:hideMark/>
          </w:tcPr>
          <w:p w14:paraId="47BEC7C3" w14:textId="77777777" w:rsidR="00067458" w:rsidRPr="00D86101" w:rsidRDefault="00067458" w:rsidP="00412260">
            <w:pPr>
              <w:jc w:val="center"/>
              <w:rPr>
                <w:rFonts w:eastAsia="Times New Roman" w:cs="Arial"/>
                <w:color w:val="000000"/>
                <w:szCs w:val="20"/>
                <w:lang w:eastAsia="fr-FR"/>
              </w:rPr>
            </w:pPr>
            <w:r w:rsidRPr="00D86101">
              <w:rPr>
                <w:rFonts w:eastAsia="Times New Roman" w:cs="Arial"/>
                <w:color w:val="000000"/>
                <w:szCs w:val="20"/>
                <w:lang w:eastAsia="fr-FR"/>
              </w:rPr>
              <w:t>IPA</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7D025BF4" w14:textId="77777777" w:rsidR="00067458" w:rsidRPr="00D86101" w:rsidRDefault="00067458" w:rsidP="00412260">
            <w:pPr>
              <w:rPr>
                <w:rFonts w:eastAsia="Times New Roman" w:cs="Arial"/>
                <w:color w:val="000000"/>
                <w:szCs w:val="20"/>
                <w:lang w:eastAsia="fr-FR"/>
              </w:rPr>
            </w:pPr>
            <w:r w:rsidRPr="00D86101">
              <w:rPr>
                <w:rFonts w:cs="Arial"/>
                <w:color w:val="000000"/>
                <w:szCs w:val="20"/>
              </w:rPr>
              <w:t>Strengthening the Institutional Capacity of Court of Cassation</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E8E90DB" w14:textId="77777777" w:rsidR="00067458" w:rsidRPr="00D86101" w:rsidRDefault="00067458" w:rsidP="00412260">
            <w:pPr>
              <w:jc w:val="center"/>
              <w:rPr>
                <w:rFonts w:eastAsia="Times New Roman" w:cs="Arial"/>
                <w:color w:val="000000"/>
                <w:szCs w:val="20"/>
                <w:lang w:eastAsia="fr-FR"/>
              </w:rPr>
            </w:pPr>
            <w:r w:rsidRPr="00D86101">
              <w:rPr>
                <w:rFonts w:cs="Arial"/>
                <w:color w:val="000000"/>
                <w:szCs w:val="20"/>
              </w:rPr>
              <w:t>22/02/2019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E580D15" w14:textId="77777777" w:rsidR="00067458" w:rsidRPr="00D86101" w:rsidRDefault="00067458" w:rsidP="00412260">
            <w:pPr>
              <w:jc w:val="center"/>
              <w:rPr>
                <w:rFonts w:eastAsia="Times New Roman" w:cs="Arial"/>
                <w:color w:val="000000"/>
                <w:szCs w:val="20"/>
                <w:lang w:eastAsia="fr-FR"/>
              </w:rPr>
            </w:pPr>
            <w:r w:rsidRPr="00D86101">
              <w:rPr>
                <w:rFonts w:cs="Arial"/>
                <w:color w:val="000000"/>
                <w:szCs w:val="20"/>
              </w:rPr>
              <w:t>21/02/2022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32FAAB35" w14:textId="77777777" w:rsidR="00067458" w:rsidRPr="00D86101" w:rsidRDefault="00067458" w:rsidP="00412260">
            <w:pPr>
              <w:jc w:val="right"/>
              <w:rPr>
                <w:rFonts w:eastAsia="Times New Roman" w:cs="Arial"/>
                <w:color w:val="000000"/>
                <w:szCs w:val="20"/>
                <w:lang w:eastAsia="fr-FR"/>
              </w:rPr>
            </w:pPr>
            <w:r w:rsidRPr="00D86101">
              <w:rPr>
                <w:rFonts w:cs="Arial"/>
                <w:color w:val="000000"/>
                <w:szCs w:val="20"/>
              </w:rPr>
              <w:t xml:space="preserve">3 000 000.00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5586DC28" w14:textId="77777777" w:rsidR="00067458" w:rsidRPr="00D86101" w:rsidRDefault="00067458" w:rsidP="00412260">
            <w:pPr>
              <w:jc w:val="right"/>
              <w:rPr>
                <w:rFonts w:eastAsia="Times New Roman" w:cs="Arial"/>
                <w:color w:val="000000"/>
                <w:szCs w:val="20"/>
                <w:lang w:eastAsia="fr-FR"/>
              </w:rPr>
            </w:pPr>
            <w:r w:rsidRPr="00D86101">
              <w:rPr>
                <w:rFonts w:cs="Arial"/>
                <w:color w:val="000000"/>
                <w:szCs w:val="20"/>
              </w:rPr>
              <w:t xml:space="preserve">2 700 000.00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31B8C472" w14:textId="77777777" w:rsidR="00067458" w:rsidRPr="00D86101" w:rsidRDefault="00067458" w:rsidP="00412260">
            <w:pPr>
              <w:jc w:val="right"/>
              <w:rPr>
                <w:rFonts w:eastAsia="Times New Roman" w:cs="Arial"/>
                <w:color w:val="000000"/>
                <w:szCs w:val="20"/>
                <w:lang w:eastAsia="fr-FR"/>
              </w:rPr>
            </w:pPr>
            <w:r w:rsidRPr="00D86101">
              <w:rPr>
                <w:rFonts w:cs="Arial"/>
                <w:color w:val="000000"/>
                <w:szCs w:val="20"/>
              </w:rPr>
              <w:t xml:space="preserve">300 000.00  </w:t>
            </w:r>
          </w:p>
        </w:tc>
      </w:tr>
      <w:tr w:rsidR="00A04033" w:rsidRPr="00032312" w14:paraId="1D9E8960" w14:textId="77777777" w:rsidTr="00A04033">
        <w:trPr>
          <w:trHeight w:val="600"/>
        </w:trPr>
        <w:tc>
          <w:tcPr>
            <w:tcW w:w="523" w:type="pct"/>
            <w:tcBorders>
              <w:top w:val="nil"/>
              <w:left w:val="single" w:sz="4" w:space="0" w:color="auto"/>
              <w:bottom w:val="single" w:sz="4" w:space="0" w:color="auto"/>
              <w:right w:val="single" w:sz="4" w:space="0" w:color="auto"/>
            </w:tcBorders>
            <w:shd w:val="clear" w:color="auto" w:fill="auto"/>
            <w:vAlign w:val="center"/>
          </w:tcPr>
          <w:p w14:paraId="1508485B" w14:textId="77777777" w:rsidR="00067458" w:rsidRPr="00D86101" w:rsidRDefault="00067458" w:rsidP="00412260">
            <w:pPr>
              <w:jc w:val="center"/>
              <w:rPr>
                <w:rFonts w:eastAsia="Times New Roman" w:cs="Arial"/>
                <w:color w:val="000000"/>
                <w:szCs w:val="20"/>
                <w:lang w:eastAsia="fr-FR"/>
              </w:rPr>
            </w:pPr>
          </w:p>
          <w:p w14:paraId="79CC99A8" w14:textId="77777777" w:rsidR="00067458" w:rsidRPr="00D86101" w:rsidRDefault="00067458" w:rsidP="00412260">
            <w:pPr>
              <w:jc w:val="center"/>
              <w:rPr>
                <w:rFonts w:eastAsia="Times New Roman" w:cs="Arial"/>
                <w:color w:val="000000"/>
                <w:szCs w:val="20"/>
                <w:lang w:eastAsia="fr-FR"/>
              </w:rPr>
            </w:pPr>
            <w:r w:rsidRPr="00D86101">
              <w:rPr>
                <w:rFonts w:eastAsia="Times New Roman" w:cs="Arial"/>
                <w:color w:val="000000"/>
                <w:szCs w:val="20"/>
                <w:lang w:eastAsia="fr-FR"/>
              </w:rPr>
              <w:t>IPA</w:t>
            </w:r>
          </w:p>
          <w:p w14:paraId="392FB0A0" w14:textId="77777777" w:rsidR="00067458" w:rsidRPr="00D86101" w:rsidRDefault="00067458" w:rsidP="00412260">
            <w:pPr>
              <w:jc w:val="center"/>
              <w:rPr>
                <w:rFonts w:eastAsia="Times New Roman" w:cs="Arial"/>
                <w:color w:val="000000"/>
                <w:szCs w:val="20"/>
                <w:lang w:eastAsia="fr-FR"/>
              </w:rPr>
            </w:pPr>
          </w:p>
          <w:p w14:paraId="7597C7DB" w14:textId="77777777" w:rsidR="00067458" w:rsidRPr="00D86101" w:rsidRDefault="00067458" w:rsidP="00412260">
            <w:pPr>
              <w:jc w:val="center"/>
              <w:rPr>
                <w:rFonts w:eastAsia="Times New Roman" w:cs="Arial"/>
                <w:color w:val="000000"/>
                <w:szCs w:val="20"/>
                <w:lang w:eastAsia="fr-FR"/>
              </w:rPr>
            </w:pP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5ADB25AD" w14:textId="77777777" w:rsidR="00067458" w:rsidRPr="00D86101" w:rsidRDefault="00067458" w:rsidP="00412260">
            <w:pPr>
              <w:rPr>
                <w:rFonts w:eastAsia="Times New Roman" w:cs="Arial"/>
                <w:color w:val="000000"/>
                <w:szCs w:val="20"/>
                <w:lang w:eastAsia="fr-FR"/>
              </w:rPr>
            </w:pPr>
            <w:r w:rsidRPr="00D86101">
              <w:rPr>
                <w:rFonts w:cs="Arial"/>
                <w:color w:val="000000"/>
                <w:szCs w:val="20"/>
              </w:rPr>
              <w:t>Strengthening the Criminal Justice System and the Capacity of Justice Professionals on prevention of the European Convention on Human Rights Violations in Turkey</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4414746" w14:textId="77777777" w:rsidR="00067458" w:rsidRPr="00D86101" w:rsidRDefault="00067458" w:rsidP="00412260">
            <w:pPr>
              <w:jc w:val="center"/>
              <w:rPr>
                <w:rFonts w:eastAsia="Times New Roman" w:cs="Arial"/>
                <w:color w:val="000000"/>
                <w:szCs w:val="20"/>
                <w:lang w:eastAsia="fr-FR"/>
              </w:rPr>
            </w:pPr>
            <w:r w:rsidRPr="00D86101">
              <w:rPr>
                <w:rFonts w:cs="Arial"/>
                <w:color w:val="000000"/>
                <w:szCs w:val="20"/>
              </w:rPr>
              <w:t>15/03/2019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75811B5" w14:textId="77777777" w:rsidR="00067458" w:rsidRPr="00D86101" w:rsidRDefault="00067458" w:rsidP="00412260">
            <w:pPr>
              <w:jc w:val="center"/>
              <w:rPr>
                <w:rFonts w:eastAsia="Times New Roman" w:cs="Arial"/>
                <w:color w:val="000000"/>
                <w:szCs w:val="20"/>
                <w:lang w:eastAsia="fr-FR"/>
              </w:rPr>
            </w:pPr>
            <w:r w:rsidRPr="00D86101">
              <w:rPr>
                <w:rFonts w:cs="Arial"/>
                <w:color w:val="000000"/>
                <w:szCs w:val="20"/>
              </w:rPr>
              <w:t>14/03/2022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08AC3F53" w14:textId="77777777" w:rsidR="00067458" w:rsidRPr="00D86101" w:rsidRDefault="00067458" w:rsidP="00412260">
            <w:pPr>
              <w:jc w:val="right"/>
              <w:rPr>
                <w:rFonts w:eastAsia="Times New Roman" w:cs="Arial"/>
                <w:color w:val="000000"/>
                <w:szCs w:val="20"/>
                <w:lang w:eastAsia="fr-FR"/>
              </w:rPr>
            </w:pPr>
            <w:r w:rsidRPr="00D86101">
              <w:rPr>
                <w:rFonts w:cs="Arial"/>
                <w:color w:val="000000"/>
                <w:szCs w:val="20"/>
              </w:rPr>
              <w:t xml:space="preserve">5 000 000.00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5305FC4A" w14:textId="77777777" w:rsidR="00067458" w:rsidRPr="00D86101" w:rsidRDefault="00067458" w:rsidP="00412260">
            <w:pPr>
              <w:jc w:val="right"/>
              <w:rPr>
                <w:rFonts w:eastAsia="Times New Roman" w:cs="Arial"/>
                <w:color w:val="000000"/>
                <w:szCs w:val="20"/>
                <w:lang w:eastAsia="fr-FR"/>
              </w:rPr>
            </w:pPr>
            <w:r w:rsidRPr="00D86101">
              <w:rPr>
                <w:rFonts w:cs="Arial"/>
                <w:color w:val="000000"/>
                <w:szCs w:val="20"/>
              </w:rPr>
              <w:t xml:space="preserve">4 500 000.00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27AC7202" w14:textId="77777777" w:rsidR="00067458" w:rsidRPr="00D86101" w:rsidRDefault="00067458" w:rsidP="00412260">
            <w:pPr>
              <w:jc w:val="right"/>
              <w:rPr>
                <w:rFonts w:eastAsia="Times New Roman" w:cs="Arial"/>
                <w:color w:val="000000"/>
                <w:szCs w:val="20"/>
                <w:lang w:eastAsia="fr-FR"/>
              </w:rPr>
            </w:pPr>
            <w:r w:rsidRPr="00D86101">
              <w:rPr>
                <w:rFonts w:cs="Arial"/>
                <w:color w:val="000000"/>
                <w:szCs w:val="20"/>
              </w:rPr>
              <w:t xml:space="preserve">500 000.00  </w:t>
            </w:r>
          </w:p>
        </w:tc>
      </w:tr>
      <w:tr w:rsidR="00A04033" w:rsidRPr="00032312" w14:paraId="45C1D775"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608E8C3" w14:textId="77777777" w:rsidR="00067458" w:rsidRPr="00D86101" w:rsidRDefault="00067458" w:rsidP="00412260">
            <w:pPr>
              <w:jc w:val="center"/>
              <w:rPr>
                <w:rFonts w:eastAsia="Times New Roman" w:cs="Arial"/>
                <w:color w:val="000000"/>
                <w:szCs w:val="20"/>
                <w:lang w:eastAsia="fr-FR"/>
              </w:rPr>
            </w:pPr>
            <w:r w:rsidRPr="00D86101">
              <w:rPr>
                <w:rFonts w:eastAsia="Times New Roman" w:cs="Arial"/>
                <w:color w:val="000000"/>
                <w:szCs w:val="20"/>
                <w:lang w:eastAsia="fr-FR"/>
              </w:rPr>
              <w:t>IPA</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7ED66637" w14:textId="77777777" w:rsidR="00067458" w:rsidRPr="00D86101" w:rsidRDefault="00067458" w:rsidP="00412260">
            <w:pPr>
              <w:rPr>
                <w:rFonts w:eastAsia="Times New Roman" w:cs="Arial"/>
                <w:color w:val="000000"/>
                <w:szCs w:val="20"/>
                <w:lang w:eastAsia="fr-FR"/>
              </w:rPr>
            </w:pPr>
            <w:r w:rsidRPr="00D86101">
              <w:rPr>
                <w:rFonts w:cs="Arial"/>
                <w:color w:val="000000"/>
                <w:szCs w:val="20"/>
              </w:rPr>
              <w:t xml:space="preserve">Improving International Judicial Cooperation in Criminal Matters in Turkey </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21C42F8" w14:textId="77777777" w:rsidR="00067458" w:rsidRPr="00D86101" w:rsidRDefault="00067458" w:rsidP="00412260">
            <w:pPr>
              <w:jc w:val="center"/>
              <w:rPr>
                <w:rFonts w:cs="Arial"/>
                <w:szCs w:val="20"/>
              </w:rPr>
            </w:pPr>
            <w:r w:rsidRPr="00D86101">
              <w:rPr>
                <w:rFonts w:cs="Arial"/>
                <w:color w:val="000000"/>
                <w:szCs w:val="20"/>
              </w:rPr>
              <w:t>11/12/2020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141E8A8" w14:textId="77777777" w:rsidR="00067458" w:rsidRPr="00D86101" w:rsidRDefault="00067458" w:rsidP="00412260">
            <w:pPr>
              <w:jc w:val="center"/>
              <w:rPr>
                <w:rFonts w:cs="Arial"/>
                <w:szCs w:val="20"/>
              </w:rPr>
            </w:pPr>
            <w:r w:rsidRPr="00D86101">
              <w:rPr>
                <w:rFonts w:cs="Arial"/>
                <w:color w:val="000000"/>
                <w:szCs w:val="20"/>
              </w:rPr>
              <w:t>10/12/2023</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2887303B" w14:textId="77777777" w:rsidR="00067458" w:rsidRPr="00D86101" w:rsidRDefault="00067458" w:rsidP="00412260">
            <w:pPr>
              <w:jc w:val="right"/>
              <w:rPr>
                <w:rFonts w:cs="Arial"/>
                <w:szCs w:val="20"/>
              </w:rPr>
            </w:pPr>
            <w:r w:rsidRPr="00D86101">
              <w:rPr>
                <w:rFonts w:cs="Arial"/>
                <w:color w:val="000000"/>
                <w:szCs w:val="20"/>
              </w:rPr>
              <w:t xml:space="preserve">3 000 000.00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6551FE94" w14:textId="77777777" w:rsidR="00067458" w:rsidRPr="00D86101" w:rsidRDefault="00067458" w:rsidP="00412260">
            <w:pPr>
              <w:jc w:val="right"/>
              <w:rPr>
                <w:rFonts w:cs="Arial"/>
                <w:szCs w:val="20"/>
              </w:rPr>
            </w:pPr>
            <w:r w:rsidRPr="00D86101">
              <w:rPr>
                <w:rFonts w:cs="Arial"/>
                <w:color w:val="000000"/>
                <w:szCs w:val="20"/>
              </w:rPr>
              <w:t xml:space="preserve">2 700 000.00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15A067FB" w14:textId="77777777" w:rsidR="00067458" w:rsidRPr="00D86101" w:rsidRDefault="00067458" w:rsidP="00412260">
            <w:pPr>
              <w:jc w:val="right"/>
              <w:rPr>
                <w:rFonts w:cs="Arial"/>
                <w:szCs w:val="20"/>
              </w:rPr>
            </w:pPr>
            <w:r w:rsidRPr="00D86101">
              <w:rPr>
                <w:rFonts w:cs="Arial"/>
                <w:color w:val="000000"/>
                <w:szCs w:val="20"/>
              </w:rPr>
              <w:t xml:space="preserve">300 000.00  </w:t>
            </w:r>
          </w:p>
        </w:tc>
      </w:tr>
      <w:tr w:rsidR="00A04033" w:rsidRPr="00032312" w14:paraId="4D33092F"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8738416" w14:textId="77777777" w:rsidR="00067458" w:rsidRPr="00D86101" w:rsidRDefault="00067458" w:rsidP="00412260">
            <w:pPr>
              <w:jc w:val="center"/>
              <w:rPr>
                <w:rFonts w:eastAsia="Times New Roman" w:cs="Arial"/>
                <w:color w:val="000000"/>
                <w:szCs w:val="20"/>
                <w:lang w:eastAsia="fr-FR"/>
              </w:rPr>
            </w:pPr>
            <w:r w:rsidRPr="00D86101">
              <w:rPr>
                <w:rFonts w:eastAsia="Times New Roman" w:cs="Arial"/>
                <w:color w:val="000000"/>
                <w:szCs w:val="20"/>
                <w:lang w:eastAsia="fr-FR"/>
              </w:rPr>
              <w:t>IPA</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429F1F00" w14:textId="77777777" w:rsidR="00067458" w:rsidRPr="00D86101" w:rsidRDefault="00067458" w:rsidP="00412260">
            <w:pPr>
              <w:rPr>
                <w:rFonts w:eastAsia="Times New Roman" w:cs="Arial"/>
                <w:color w:val="000000"/>
                <w:szCs w:val="20"/>
                <w:lang w:eastAsia="fr-FR"/>
              </w:rPr>
            </w:pPr>
            <w:r w:rsidRPr="00D86101">
              <w:rPr>
                <w:rFonts w:cs="Arial"/>
                <w:color w:val="000000"/>
                <w:szCs w:val="20"/>
              </w:rPr>
              <w:t xml:space="preserve">Promoting Alternative Dispute Resolution (ADR) in Turkey </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D752920" w14:textId="77777777" w:rsidR="00067458" w:rsidRPr="00D86101" w:rsidRDefault="00067458" w:rsidP="00412260">
            <w:pPr>
              <w:jc w:val="center"/>
              <w:rPr>
                <w:rFonts w:cs="Arial"/>
                <w:szCs w:val="20"/>
              </w:rPr>
            </w:pPr>
            <w:r w:rsidRPr="00D86101">
              <w:rPr>
                <w:rFonts w:cs="Arial"/>
                <w:color w:val="000000"/>
                <w:szCs w:val="20"/>
              </w:rPr>
              <w:t>17/12/2020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2B7A091" w14:textId="77777777" w:rsidR="00067458" w:rsidRPr="00D86101" w:rsidRDefault="00067458" w:rsidP="00412260">
            <w:pPr>
              <w:jc w:val="center"/>
              <w:rPr>
                <w:rFonts w:cs="Arial"/>
                <w:szCs w:val="20"/>
              </w:rPr>
            </w:pPr>
            <w:r w:rsidRPr="00D86101">
              <w:rPr>
                <w:rFonts w:cs="Arial"/>
                <w:color w:val="000000"/>
                <w:szCs w:val="20"/>
              </w:rPr>
              <w:t>16/12/2023</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1997C2E7" w14:textId="77777777" w:rsidR="00067458" w:rsidRPr="00D86101" w:rsidRDefault="00067458" w:rsidP="00412260">
            <w:pPr>
              <w:jc w:val="right"/>
              <w:rPr>
                <w:rFonts w:cs="Arial"/>
                <w:szCs w:val="20"/>
              </w:rPr>
            </w:pPr>
            <w:r w:rsidRPr="00D86101">
              <w:rPr>
                <w:rFonts w:cs="Arial"/>
                <w:color w:val="000000"/>
                <w:szCs w:val="20"/>
              </w:rPr>
              <w:t xml:space="preserve">4 000 000.00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6E1CE4CB" w14:textId="77777777" w:rsidR="00067458" w:rsidRPr="00D86101" w:rsidRDefault="00067458" w:rsidP="00412260">
            <w:pPr>
              <w:jc w:val="right"/>
              <w:rPr>
                <w:rFonts w:cs="Arial"/>
                <w:szCs w:val="20"/>
              </w:rPr>
            </w:pPr>
            <w:r w:rsidRPr="00D86101">
              <w:rPr>
                <w:rFonts w:cs="Arial"/>
                <w:color w:val="000000"/>
                <w:szCs w:val="20"/>
              </w:rPr>
              <w:t xml:space="preserve">3 600 000.00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65822785" w14:textId="77777777" w:rsidR="00067458" w:rsidRPr="00D86101" w:rsidRDefault="00067458" w:rsidP="00412260">
            <w:pPr>
              <w:jc w:val="right"/>
              <w:rPr>
                <w:rFonts w:cs="Arial"/>
                <w:szCs w:val="20"/>
              </w:rPr>
            </w:pPr>
            <w:r w:rsidRPr="00D86101">
              <w:rPr>
                <w:rFonts w:cs="Arial"/>
                <w:color w:val="000000"/>
                <w:szCs w:val="20"/>
              </w:rPr>
              <w:t xml:space="preserve">400 000.00  </w:t>
            </w:r>
          </w:p>
        </w:tc>
      </w:tr>
      <w:tr w:rsidR="00A04033" w:rsidRPr="00032312" w14:paraId="53D75924"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9F4312F" w14:textId="77777777" w:rsidR="00067458" w:rsidRPr="00D86101" w:rsidRDefault="00067458" w:rsidP="00412260">
            <w:pPr>
              <w:jc w:val="center"/>
              <w:rPr>
                <w:rFonts w:eastAsia="Times New Roman" w:cs="Arial"/>
                <w:color w:val="000000"/>
                <w:szCs w:val="20"/>
                <w:lang w:eastAsia="fr-FR"/>
              </w:rPr>
            </w:pPr>
            <w:r w:rsidRPr="00D86101">
              <w:rPr>
                <w:rFonts w:eastAsia="Times New Roman" w:cs="Arial"/>
                <w:color w:val="000000"/>
                <w:szCs w:val="20"/>
                <w:lang w:eastAsia="fr-FR"/>
              </w:rPr>
              <w:t>IPA</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80F9B22" w14:textId="77777777" w:rsidR="00067458" w:rsidRPr="00D86101" w:rsidRDefault="00067458" w:rsidP="00412260">
            <w:pPr>
              <w:rPr>
                <w:rFonts w:eastAsia="Times New Roman" w:cs="Arial"/>
                <w:color w:val="000000"/>
                <w:szCs w:val="20"/>
                <w:lang w:eastAsia="fr-FR"/>
              </w:rPr>
            </w:pPr>
            <w:r w:rsidRPr="00D86101">
              <w:rPr>
                <w:rFonts w:cs="Arial"/>
                <w:color w:val="000000"/>
                <w:szCs w:val="20"/>
              </w:rPr>
              <w:t>Improving the effectiveness of family courts: better protection of the rights of family members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9BF56FF" w14:textId="77777777" w:rsidR="00067458" w:rsidRPr="00D86101" w:rsidRDefault="00067458" w:rsidP="00412260">
            <w:pPr>
              <w:jc w:val="center"/>
              <w:rPr>
                <w:rFonts w:cs="Arial"/>
                <w:szCs w:val="20"/>
              </w:rPr>
            </w:pPr>
            <w:r w:rsidRPr="00D86101">
              <w:rPr>
                <w:rFonts w:cs="Arial"/>
                <w:color w:val="000000"/>
                <w:szCs w:val="20"/>
              </w:rPr>
              <w:t>20/03/2021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C7940D6" w14:textId="77777777" w:rsidR="00067458" w:rsidRPr="00D86101" w:rsidRDefault="00067458" w:rsidP="00412260">
            <w:pPr>
              <w:jc w:val="center"/>
              <w:rPr>
                <w:rFonts w:cs="Arial"/>
                <w:szCs w:val="20"/>
              </w:rPr>
            </w:pPr>
            <w:r w:rsidRPr="00D86101">
              <w:rPr>
                <w:rFonts w:cs="Arial"/>
                <w:color w:val="000000"/>
                <w:szCs w:val="20"/>
              </w:rPr>
              <w:t>19/12/2023</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52B94787" w14:textId="77777777" w:rsidR="00067458" w:rsidRPr="00D86101" w:rsidRDefault="00067458" w:rsidP="00412260">
            <w:pPr>
              <w:jc w:val="right"/>
              <w:rPr>
                <w:rFonts w:cs="Arial"/>
                <w:szCs w:val="20"/>
              </w:rPr>
            </w:pPr>
            <w:r w:rsidRPr="00D86101">
              <w:rPr>
                <w:rFonts w:cs="Arial"/>
                <w:color w:val="000000"/>
                <w:szCs w:val="20"/>
              </w:rPr>
              <w:t xml:space="preserve">2 223 000.00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28F9F490" w14:textId="77777777" w:rsidR="00067458" w:rsidRPr="00D86101" w:rsidRDefault="00067458" w:rsidP="00412260">
            <w:pPr>
              <w:jc w:val="right"/>
              <w:rPr>
                <w:rFonts w:cs="Arial"/>
                <w:szCs w:val="20"/>
              </w:rPr>
            </w:pPr>
            <w:r w:rsidRPr="00D86101">
              <w:rPr>
                <w:rFonts w:cs="Arial"/>
                <w:color w:val="000000"/>
                <w:szCs w:val="20"/>
              </w:rPr>
              <w:t xml:space="preserve">2 000 000.00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18280F15" w14:textId="77777777" w:rsidR="00067458" w:rsidRPr="00D86101" w:rsidRDefault="00067458" w:rsidP="00412260">
            <w:pPr>
              <w:jc w:val="right"/>
              <w:rPr>
                <w:rFonts w:cs="Arial"/>
                <w:szCs w:val="20"/>
              </w:rPr>
            </w:pPr>
            <w:r w:rsidRPr="00D86101">
              <w:rPr>
                <w:rFonts w:cs="Arial"/>
                <w:color w:val="000000"/>
                <w:szCs w:val="20"/>
              </w:rPr>
              <w:t xml:space="preserve">223 000.00  </w:t>
            </w:r>
          </w:p>
        </w:tc>
      </w:tr>
      <w:tr w:rsidR="00A04033" w:rsidRPr="00032312" w14:paraId="1A2F9A61"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783A2FB" w14:textId="77777777" w:rsidR="00067458" w:rsidRPr="00D86101" w:rsidRDefault="00067458" w:rsidP="00412260">
            <w:pPr>
              <w:jc w:val="center"/>
              <w:rPr>
                <w:rFonts w:eastAsia="Times New Roman" w:cs="Arial"/>
                <w:color w:val="000000"/>
                <w:szCs w:val="20"/>
                <w:lang w:eastAsia="fr-FR"/>
              </w:rPr>
            </w:pPr>
            <w:r w:rsidRPr="00D86101">
              <w:rPr>
                <w:rFonts w:eastAsia="Times New Roman" w:cs="Arial"/>
                <w:color w:val="000000"/>
                <w:szCs w:val="20"/>
                <w:lang w:eastAsia="fr-FR"/>
              </w:rPr>
              <w:t>IPA</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010360C" w14:textId="77777777" w:rsidR="00067458" w:rsidRPr="00D86101" w:rsidRDefault="00067458" w:rsidP="00412260">
            <w:pPr>
              <w:rPr>
                <w:rFonts w:eastAsia="Times New Roman" w:cs="Arial"/>
                <w:color w:val="000000"/>
                <w:szCs w:val="20"/>
                <w:lang w:eastAsia="fr-FR"/>
              </w:rPr>
            </w:pPr>
            <w:r w:rsidRPr="00D86101">
              <w:rPr>
                <w:rFonts w:cs="Arial"/>
                <w:color w:val="000000"/>
                <w:szCs w:val="20"/>
              </w:rPr>
              <w:t>Supporting the Effective Implementation of Turkish Constitutional Court Judgments in the field of Fundamental Rights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8F65368" w14:textId="77777777" w:rsidR="00067458" w:rsidRPr="00D86101" w:rsidRDefault="00067458" w:rsidP="00412260">
            <w:pPr>
              <w:jc w:val="center"/>
              <w:rPr>
                <w:rFonts w:cs="Arial"/>
                <w:szCs w:val="20"/>
              </w:rPr>
            </w:pPr>
            <w:r w:rsidRPr="00D86101">
              <w:rPr>
                <w:rFonts w:cs="Arial"/>
                <w:color w:val="000000"/>
                <w:szCs w:val="20"/>
              </w:rPr>
              <w:t>17/09/2021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CEAAFF2" w14:textId="77777777" w:rsidR="00067458" w:rsidRPr="00D86101" w:rsidRDefault="00067458" w:rsidP="00412260">
            <w:pPr>
              <w:jc w:val="center"/>
              <w:rPr>
                <w:rFonts w:cs="Arial"/>
                <w:szCs w:val="20"/>
              </w:rPr>
            </w:pPr>
            <w:r w:rsidRPr="00D86101">
              <w:rPr>
                <w:rFonts w:cs="Arial"/>
                <w:color w:val="000000"/>
                <w:szCs w:val="20"/>
              </w:rPr>
              <w:t>16/09/2025</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626CB7B8" w14:textId="77777777" w:rsidR="00067458" w:rsidRPr="00D86101" w:rsidRDefault="00067458" w:rsidP="00412260">
            <w:pPr>
              <w:jc w:val="right"/>
              <w:rPr>
                <w:rFonts w:cs="Arial"/>
                <w:szCs w:val="20"/>
              </w:rPr>
            </w:pPr>
            <w:r w:rsidRPr="00D86101">
              <w:rPr>
                <w:rFonts w:cs="Arial"/>
                <w:color w:val="000000"/>
                <w:szCs w:val="20"/>
              </w:rPr>
              <w:t xml:space="preserve">5 500 000.00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7FD101C1" w14:textId="77777777" w:rsidR="00067458" w:rsidRPr="00D86101" w:rsidRDefault="00067458" w:rsidP="00412260">
            <w:pPr>
              <w:jc w:val="right"/>
              <w:rPr>
                <w:rFonts w:cs="Arial"/>
                <w:szCs w:val="20"/>
              </w:rPr>
            </w:pPr>
            <w:r w:rsidRPr="00D86101">
              <w:rPr>
                <w:rFonts w:cs="Arial"/>
                <w:color w:val="000000"/>
                <w:szCs w:val="20"/>
              </w:rPr>
              <w:t xml:space="preserve">4 950 000.00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103D493E" w14:textId="77777777" w:rsidR="00067458" w:rsidRPr="00D86101" w:rsidRDefault="00067458" w:rsidP="00412260">
            <w:pPr>
              <w:jc w:val="right"/>
              <w:rPr>
                <w:rFonts w:cs="Arial"/>
                <w:szCs w:val="20"/>
              </w:rPr>
            </w:pPr>
            <w:r w:rsidRPr="00D86101">
              <w:rPr>
                <w:rFonts w:cs="Arial"/>
                <w:color w:val="000000"/>
                <w:szCs w:val="20"/>
              </w:rPr>
              <w:t xml:space="preserve">550 000.00  </w:t>
            </w:r>
          </w:p>
        </w:tc>
      </w:tr>
      <w:tr w:rsidR="00067458" w:rsidRPr="00032312" w14:paraId="1BAA75C3" w14:textId="77777777" w:rsidTr="00A04033">
        <w:trPr>
          <w:trHeight w:val="6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F424053" w14:textId="77777777" w:rsidR="00067458" w:rsidRPr="00D86101" w:rsidRDefault="00067458" w:rsidP="00412260">
            <w:pPr>
              <w:rPr>
                <w:rFonts w:eastAsia="Times New Roman" w:cs="Arial"/>
                <w:color w:val="000000"/>
                <w:szCs w:val="20"/>
                <w:lang w:eastAsia="fr-FR"/>
              </w:rPr>
            </w:pPr>
            <w:r w:rsidRPr="00D86101">
              <w:rPr>
                <w:rFonts w:eastAsia="Times New Roman" w:cs="Arial"/>
                <w:b/>
                <w:bCs/>
                <w:color w:val="000000"/>
                <w:szCs w:val="20"/>
                <w:lang w:eastAsia="fr-FR"/>
              </w:rPr>
              <w:t>Kosovo*</w:t>
            </w:r>
          </w:p>
        </w:tc>
      </w:tr>
      <w:tr w:rsidR="00A04033" w:rsidRPr="00032312" w14:paraId="0A73C2AA" w14:textId="77777777" w:rsidTr="00A04033">
        <w:trPr>
          <w:trHeight w:val="600"/>
        </w:trPr>
        <w:tc>
          <w:tcPr>
            <w:tcW w:w="523" w:type="pct"/>
            <w:tcBorders>
              <w:top w:val="nil"/>
              <w:left w:val="single" w:sz="4" w:space="0" w:color="auto"/>
              <w:bottom w:val="single" w:sz="4" w:space="0" w:color="auto"/>
              <w:right w:val="single" w:sz="4" w:space="0" w:color="auto"/>
            </w:tcBorders>
            <w:shd w:val="clear" w:color="auto" w:fill="auto"/>
            <w:vAlign w:val="center"/>
          </w:tcPr>
          <w:p w14:paraId="757489DC" w14:textId="77777777" w:rsidR="00067458" w:rsidRPr="00D86101" w:rsidRDefault="00067458" w:rsidP="00412260">
            <w:pPr>
              <w:jc w:val="center"/>
              <w:rPr>
                <w:rFonts w:eastAsia="Times New Roman" w:cs="Arial"/>
                <w:color w:val="000000"/>
                <w:szCs w:val="20"/>
                <w:lang w:eastAsia="fr-FR"/>
              </w:rPr>
            </w:pPr>
            <w:r w:rsidRPr="00D86101">
              <w:rPr>
                <w:rFonts w:eastAsia="Times New Roman" w:cs="Arial"/>
                <w:color w:val="000000"/>
                <w:szCs w:val="20"/>
                <w:lang w:eastAsia="fr-FR"/>
              </w:rPr>
              <w:t>IPA</w:t>
            </w:r>
          </w:p>
        </w:tc>
        <w:tc>
          <w:tcPr>
            <w:tcW w:w="1952" w:type="pct"/>
            <w:tcBorders>
              <w:top w:val="single" w:sz="4" w:space="0" w:color="auto"/>
              <w:left w:val="single" w:sz="4" w:space="0" w:color="auto"/>
              <w:bottom w:val="single" w:sz="4" w:space="0" w:color="8EA9DB"/>
              <w:right w:val="single" w:sz="4" w:space="0" w:color="auto"/>
            </w:tcBorders>
            <w:shd w:val="clear" w:color="auto" w:fill="auto"/>
            <w:vAlign w:val="center"/>
          </w:tcPr>
          <w:p w14:paraId="12D9BCD4" w14:textId="77777777" w:rsidR="00067458" w:rsidRPr="00D86101" w:rsidRDefault="00067458" w:rsidP="00412260">
            <w:pPr>
              <w:rPr>
                <w:rFonts w:eastAsia="Times New Roman" w:cs="Arial"/>
                <w:color w:val="000000"/>
                <w:szCs w:val="20"/>
                <w:lang w:eastAsia="fr-FR"/>
              </w:rPr>
            </w:pPr>
            <w:r w:rsidRPr="00D86101">
              <w:rPr>
                <w:rFonts w:cs="Arial"/>
                <w:color w:val="000000"/>
                <w:szCs w:val="20"/>
              </w:rPr>
              <w:t>Building capacity for inclusion in education - INCLUDE</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462DC6E4" w14:textId="77777777" w:rsidR="00067458" w:rsidRPr="00D86101" w:rsidRDefault="00067458" w:rsidP="00412260">
            <w:pPr>
              <w:jc w:val="center"/>
              <w:rPr>
                <w:rFonts w:eastAsia="Times New Roman" w:cs="Arial"/>
                <w:color w:val="000000"/>
                <w:szCs w:val="20"/>
                <w:lang w:eastAsia="fr-FR"/>
              </w:rPr>
            </w:pPr>
            <w:r>
              <w:rPr>
                <w:rFonts w:cs="Arial"/>
                <w:color w:val="000000"/>
                <w:sz w:val="18"/>
                <w:szCs w:val="18"/>
              </w:rPr>
              <w:t>01/01/2020</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6533E34E" w14:textId="77777777" w:rsidR="00067458" w:rsidRPr="00D86101" w:rsidRDefault="00067458" w:rsidP="00412260">
            <w:pPr>
              <w:jc w:val="center"/>
              <w:rPr>
                <w:rFonts w:eastAsia="Times New Roman" w:cs="Arial"/>
                <w:color w:val="000000"/>
                <w:szCs w:val="20"/>
                <w:lang w:eastAsia="fr-FR"/>
              </w:rPr>
            </w:pPr>
            <w:r>
              <w:rPr>
                <w:rFonts w:cs="Arial"/>
                <w:color w:val="000000"/>
                <w:sz w:val="18"/>
                <w:szCs w:val="18"/>
              </w:rPr>
              <w:t>31/12/2023</w:t>
            </w:r>
          </w:p>
        </w:tc>
        <w:tc>
          <w:tcPr>
            <w:tcW w:w="477" w:type="pct"/>
            <w:tcBorders>
              <w:top w:val="single" w:sz="4" w:space="0" w:color="auto"/>
              <w:left w:val="single" w:sz="4" w:space="0" w:color="auto"/>
              <w:bottom w:val="single" w:sz="4" w:space="0" w:color="8EA9DB"/>
              <w:right w:val="single" w:sz="4" w:space="0" w:color="auto"/>
            </w:tcBorders>
            <w:shd w:val="clear" w:color="auto" w:fill="auto"/>
            <w:vAlign w:val="center"/>
          </w:tcPr>
          <w:p w14:paraId="12A4164F" w14:textId="77777777" w:rsidR="00067458" w:rsidRPr="00D86101" w:rsidRDefault="00067458" w:rsidP="00412260">
            <w:pPr>
              <w:jc w:val="right"/>
              <w:rPr>
                <w:rFonts w:eastAsia="Times New Roman" w:cs="Arial"/>
                <w:color w:val="000000"/>
                <w:szCs w:val="20"/>
                <w:lang w:eastAsia="fr-FR"/>
              </w:rPr>
            </w:pPr>
            <w:r>
              <w:rPr>
                <w:rFonts w:cs="Arial"/>
                <w:color w:val="000000"/>
                <w:sz w:val="18"/>
                <w:szCs w:val="18"/>
              </w:rPr>
              <w:t xml:space="preserve">2 223 000.00  </w:t>
            </w:r>
          </w:p>
        </w:tc>
        <w:tc>
          <w:tcPr>
            <w:tcW w:w="571" w:type="pct"/>
            <w:tcBorders>
              <w:top w:val="single" w:sz="4" w:space="0" w:color="auto"/>
              <w:left w:val="single" w:sz="4" w:space="0" w:color="auto"/>
              <w:bottom w:val="single" w:sz="4" w:space="0" w:color="8EA9DB"/>
              <w:right w:val="single" w:sz="4" w:space="0" w:color="auto"/>
            </w:tcBorders>
            <w:shd w:val="clear" w:color="auto" w:fill="auto"/>
            <w:vAlign w:val="center"/>
          </w:tcPr>
          <w:p w14:paraId="3BF8888D" w14:textId="77777777" w:rsidR="00067458" w:rsidRPr="00D86101" w:rsidRDefault="00067458" w:rsidP="00412260">
            <w:pPr>
              <w:jc w:val="right"/>
              <w:rPr>
                <w:rFonts w:eastAsia="Times New Roman" w:cs="Arial"/>
                <w:color w:val="000000"/>
                <w:szCs w:val="20"/>
                <w:lang w:eastAsia="fr-FR"/>
              </w:rPr>
            </w:pPr>
            <w:r>
              <w:rPr>
                <w:rFonts w:cs="Arial"/>
                <w:color w:val="000000"/>
                <w:sz w:val="18"/>
                <w:szCs w:val="18"/>
              </w:rPr>
              <w:t xml:space="preserve">2 000 000.00  </w:t>
            </w:r>
          </w:p>
        </w:tc>
        <w:tc>
          <w:tcPr>
            <w:tcW w:w="619" w:type="pct"/>
            <w:tcBorders>
              <w:top w:val="single" w:sz="4" w:space="0" w:color="auto"/>
              <w:left w:val="single" w:sz="4" w:space="0" w:color="auto"/>
              <w:bottom w:val="single" w:sz="4" w:space="0" w:color="8EA9DB"/>
              <w:right w:val="single" w:sz="4" w:space="0" w:color="auto"/>
            </w:tcBorders>
            <w:shd w:val="clear" w:color="auto" w:fill="auto"/>
            <w:vAlign w:val="center"/>
          </w:tcPr>
          <w:p w14:paraId="489B575F" w14:textId="77777777" w:rsidR="00067458" w:rsidRPr="00D86101" w:rsidRDefault="00067458" w:rsidP="00412260">
            <w:pPr>
              <w:jc w:val="right"/>
              <w:rPr>
                <w:rFonts w:eastAsia="Times New Roman" w:cs="Arial"/>
                <w:color w:val="000000"/>
                <w:szCs w:val="20"/>
                <w:lang w:eastAsia="fr-FR"/>
              </w:rPr>
            </w:pPr>
            <w:r>
              <w:rPr>
                <w:rFonts w:cs="Arial"/>
                <w:color w:val="000000"/>
                <w:sz w:val="18"/>
                <w:szCs w:val="18"/>
              </w:rPr>
              <w:t xml:space="preserve">223 000.00  </w:t>
            </w:r>
          </w:p>
        </w:tc>
      </w:tr>
      <w:tr w:rsidR="00A04033" w:rsidRPr="00032312" w14:paraId="16D50338" w14:textId="77777777" w:rsidTr="00A04033">
        <w:trPr>
          <w:trHeight w:val="600"/>
        </w:trPr>
        <w:tc>
          <w:tcPr>
            <w:tcW w:w="523" w:type="pct"/>
            <w:tcBorders>
              <w:top w:val="nil"/>
              <w:left w:val="single" w:sz="4" w:space="0" w:color="auto"/>
              <w:bottom w:val="single" w:sz="4" w:space="0" w:color="auto"/>
              <w:right w:val="single" w:sz="4" w:space="0" w:color="auto"/>
            </w:tcBorders>
            <w:shd w:val="clear" w:color="auto" w:fill="auto"/>
            <w:vAlign w:val="center"/>
          </w:tcPr>
          <w:p w14:paraId="15FF9D7F" w14:textId="77777777" w:rsidR="00067458" w:rsidRPr="00D86101" w:rsidRDefault="00067458" w:rsidP="00412260">
            <w:pPr>
              <w:jc w:val="center"/>
              <w:rPr>
                <w:rFonts w:eastAsia="Times New Roman" w:cs="Arial"/>
                <w:color w:val="000000"/>
                <w:szCs w:val="20"/>
                <w:lang w:eastAsia="fr-FR"/>
              </w:rPr>
            </w:pPr>
            <w:r w:rsidRPr="00D86101">
              <w:rPr>
                <w:rFonts w:eastAsia="Times New Roman" w:cs="Arial"/>
                <w:color w:val="000000"/>
                <w:szCs w:val="20"/>
                <w:lang w:eastAsia="fr-FR"/>
              </w:rPr>
              <w:t>IPA</w:t>
            </w:r>
          </w:p>
        </w:tc>
        <w:tc>
          <w:tcPr>
            <w:tcW w:w="1952" w:type="pct"/>
            <w:tcBorders>
              <w:top w:val="single" w:sz="4" w:space="0" w:color="auto"/>
              <w:left w:val="single" w:sz="4" w:space="0" w:color="auto"/>
              <w:bottom w:val="single" w:sz="4" w:space="0" w:color="8EA9DB"/>
              <w:right w:val="single" w:sz="4" w:space="0" w:color="auto"/>
            </w:tcBorders>
            <w:shd w:val="clear" w:color="auto" w:fill="auto"/>
            <w:vAlign w:val="center"/>
          </w:tcPr>
          <w:p w14:paraId="0A49CB49" w14:textId="77777777" w:rsidR="00067458" w:rsidRPr="00D86101" w:rsidRDefault="00067458" w:rsidP="00412260">
            <w:pPr>
              <w:rPr>
                <w:rFonts w:eastAsia="Times New Roman" w:cs="Arial"/>
                <w:color w:val="000000"/>
                <w:szCs w:val="20"/>
                <w:lang w:eastAsia="fr-FR"/>
              </w:rPr>
            </w:pPr>
            <w:r w:rsidRPr="00D86101">
              <w:rPr>
                <w:rFonts w:cs="Arial"/>
                <w:color w:val="000000"/>
                <w:szCs w:val="20"/>
              </w:rPr>
              <w:t>Project against Economic Crime (PECK) Phase III</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4C086132" w14:textId="77777777" w:rsidR="00067458" w:rsidRPr="00D86101" w:rsidRDefault="00067458" w:rsidP="00412260">
            <w:pPr>
              <w:jc w:val="center"/>
              <w:rPr>
                <w:rFonts w:eastAsia="Times New Roman" w:cs="Arial"/>
                <w:color w:val="000000"/>
                <w:szCs w:val="20"/>
                <w:lang w:eastAsia="fr-FR"/>
              </w:rPr>
            </w:pPr>
            <w:r>
              <w:rPr>
                <w:rFonts w:cs="Arial"/>
                <w:color w:val="000000"/>
                <w:sz w:val="18"/>
                <w:szCs w:val="18"/>
              </w:rPr>
              <w:t>01/07/2020</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7885A569" w14:textId="77777777" w:rsidR="00067458" w:rsidRPr="00D86101" w:rsidRDefault="00067458" w:rsidP="00412260">
            <w:pPr>
              <w:jc w:val="center"/>
              <w:rPr>
                <w:rFonts w:eastAsia="Times New Roman" w:cs="Arial"/>
                <w:color w:val="000000"/>
                <w:szCs w:val="20"/>
                <w:lang w:eastAsia="fr-FR"/>
              </w:rPr>
            </w:pPr>
            <w:r>
              <w:rPr>
                <w:rFonts w:cs="Arial"/>
                <w:color w:val="000000"/>
                <w:sz w:val="18"/>
                <w:szCs w:val="18"/>
              </w:rPr>
              <w:t>30/06/2023</w:t>
            </w:r>
          </w:p>
        </w:tc>
        <w:tc>
          <w:tcPr>
            <w:tcW w:w="477" w:type="pct"/>
            <w:tcBorders>
              <w:top w:val="single" w:sz="4" w:space="0" w:color="auto"/>
              <w:left w:val="single" w:sz="4" w:space="0" w:color="auto"/>
              <w:bottom w:val="single" w:sz="4" w:space="0" w:color="8EA9DB"/>
              <w:right w:val="single" w:sz="4" w:space="0" w:color="auto"/>
            </w:tcBorders>
            <w:shd w:val="clear" w:color="auto" w:fill="auto"/>
            <w:vAlign w:val="center"/>
          </w:tcPr>
          <w:p w14:paraId="3A279CB7" w14:textId="77777777" w:rsidR="00067458" w:rsidRPr="00D86101" w:rsidRDefault="00067458" w:rsidP="00412260">
            <w:pPr>
              <w:jc w:val="right"/>
              <w:rPr>
                <w:rFonts w:eastAsia="Times New Roman" w:cs="Arial"/>
                <w:color w:val="000000"/>
                <w:szCs w:val="20"/>
                <w:lang w:eastAsia="fr-FR"/>
              </w:rPr>
            </w:pPr>
            <w:r>
              <w:rPr>
                <w:rFonts w:cs="Arial"/>
                <w:color w:val="000000"/>
                <w:sz w:val="18"/>
                <w:szCs w:val="18"/>
              </w:rPr>
              <w:t xml:space="preserve">2 460 000.00  </w:t>
            </w:r>
          </w:p>
        </w:tc>
        <w:tc>
          <w:tcPr>
            <w:tcW w:w="571" w:type="pct"/>
            <w:tcBorders>
              <w:top w:val="single" w:sz="4" w:space="0" w:color="auto"/>
              <w:left w:val="single" w:sz="4" w:space="0" w:color="auto"/>
              <w:bottom w:val="single" w:sz="4" w:space="0" w:color="8EA9DB"/>
              <w:right w:val="single" w:sz="4" w:space="0" w:color="auto"/>
            </w:tcBorders>
            <w:shd w:val="clear" w:color="auto" w:fill="auto"/>
            <w:vAlign w:val="center"/>
          </w:tcPr>
          <w:p w14:paraId="1CB3DDCB" w14:textId="77777777" w:rsidR="00067458" w:rsidRPr="00D86101" w:rsidRDefault="00067458" w:rsidP="00412260">
            <w:pPr>
              <w:jc w:val="right"/>
              <w:rPr>
                <w:rFonts w:eastAsia="Times New Roman" w:cs="Arial"/>
                <w:color w:val="000000"/>
                <w:szCs w:val="20"/>
                <w:lang w:eastAsia="fr-FR"/>
              </w:rPr>
            </w:pPr>
            <w:r>
              <w:rPr>
                <w:rFonts w:cs="Arial"/>
                <w:color w:val="000000"/>
                <w:sz w:val="18"/>
                <w:szCs w:val="18"/>
              </w:rPr>
              <w:t xml:space="preserve">2 214 000.00  </w:t>
            </w:r>
          </w:p>
        </w:tc>
        <w:tc>
          <w:tcPr>
            <w:tcW w:w="619" w:type="pct"/>
            <w:tcBorders>
              <w:top w:val="single" w:sz="4" w:space="0" w:color="auto"/>
              <w:left w:val="single" w:sz="4" w:space="0" w:color="auto"/>
              <w:bottom w:val="single" w:sz="4" w:space="0" w:color="8EA9DB"/>
              <w:right w:val="single" w:sz="4" w:space="0" w:color="auto"/>
            </w:tcBorders>
            <w:shd w:val="clear" w:color="auto" w:fill="auto"/>
            <w:vAlign w:val="center"/>
          </w:tcPr>
          <w:p w14:paraId="3B5068E6" w14:textId="77777777" w:rsidR="00067458" w:rsidRPr="00D86101" w:rsidRDefault="00067458" w:rsidP="00412260">
            <w:pPr>
              <w:jc w:val="right"/>
              <w:rPr>
                <w:rFonts w:eastAsia="Times New Roman" w:cs="Arial"/>
                <w:color w:val="000000"/>
                <w:szCs w:val="20"/>
                <w:lang w:eastAsia="fr-FR"/>
              </w:rPr>
            </w:pPr>
            <w:r>
              <w:rPr>
                <w:rFonts w:cs="Arial"/>
                <w:color w:val="000000"/>
                <w:sz w:val="18"/>
                <w:szCs w:val="18"/>
              </w:rPr>
              <w:t xml:space="preserve">246 000.00  </w:t>
            </w:r>
          </w:p>
        </w:tc>
      </w:tr>
      <w:tr w:rsidR="00067458" w:rsidRPr="00032312" w14:paraId="00D59E8B" w14:textId="77777777" w:rsidTr="00A04033">
        <w:trPr>
          <w:trHeight w:val="6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4E92FA6" w14:textId="77777777" w:rsidR="00067458" w:rsidRPr="00D86101" w:rsidRDefault="00067458" w:rsidP="00412260">
            <w:pPr>
              <w:rPr>
                <w:rFonts w:eastAsia="Times New Roman" w:cs="Arial"/>
                <w:b/>
                <w:bCs/>
                <w:color w:val="000000"/>
                <w:szCs w:val="20"/>
                <w:lang w:eastAsia="fr-FR"/>
              </w:rPr>
            </w:pPr>
            <w:r w:rsidRPr="00D86101">
              <w:rPr>
                <w:rFonts w:eastAsia="Times New Roman" w:cs="Arial"/>
                <w:b/>
                <w:bCs/>
                <w:color w:val="000000"/>
                <w:szCs w:val="20"/>
                <w:lang w:eastAsia="fr-FR"/>
              </w:rPr>
              <w:t xml:space="preserve">Regional </w:t>
            </w:r>
          </w:p>
        </w:tc>
      </w:tr>
      <w:tr w:rsidR="00A04033" w:rsidRPr="00032312" w14:paraId="26EC93A4" w14:textId="77777777" w:rsidTr="00A04033">
        <w:trPr>
          <w:trHeight w:val="600"/>
        </w:trPr>
        <w:tc>
          <w:tcPr>
            <w:tcW w:w="523" w:type="pct"/>
            <w:tcBorders>
              <w:top w:val="nil"/>
              <w:left w:val="single" w:sz="4" w:space="0" w:color="auto"/>
              <w:bottom w:val="single" w:sz="4" w:space="0" w:color="auto"/>
              <w:right w:val="single" w:sz="4" w:space="0" w:color="auto"/>
            </w:tcBorders>
            <w:shd w:val="clear" w:color="auto" w:fill="auto"/>
            <w:vAlign w:val="center"/>
            <w:hideMark/>
          </w:tcPr>
          <w:p w14:paraId="1E2FE68E" w14:textId="77777777" w:rsidR="00067458" w:rsidRPr="00D86101" w:rsidRDefault="00067458" w:rsidP="00412260">
            <w:pPr>
              <w:jc w:val="center"/>
              <w:rPr>
                <w:rFonts w:eastAsia="Times New Roman" w:cs="Arial"/>
                <w:color w:val="000000"/>
                <w:szCs w:val="20"/>
                <w:lang w:eastAsia="fr-FR"/>
              </w:rPr>
            </w:pPr>
            <w:r w:rsidRPr="00D86101">
              <w:rPr>
                <w:rFonts w:eastAsia="Times New Roman" w:cs="Arial"/>
                <w:color w:val="000000"/>
                <w:szCs w:val="20"/>
                <w:lang w:eastAsia="fr-FR"/>
              </w:rPr>
              <w:t>IPA</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CA7EF" w14:textId="77777777" w:rsidR="00067458" w:rsidRPr="005546E7" w:rsidRDefault="00067458" w:rsidP="00412260">
            <w:pPr>
              <w:rPr>
                <w:rFonts w:eastAsia="Times New Roman" w:cs="Arial"/>
                <w:color w:val="000000"/>
                <w:szCs w:val="20"/>
                <w:lang w:eastAsia="fr-FR"/>
              </w:rPr>
            </w:pPr>
            <w:r w:rsidRPr="005546E7">
              <w:rPr>
                <w:rFonts w:cs="Arial"/>
                <w:color w:val="000000"/>
                <w:szCs w:val="20"/>
              </w:rPr>
              <w:t>European Union/Council of Europe Horizontal facility for the Western Balkans and Turkey – Phase II</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352B4" w14:textId="77777777" w:rsidR="00067458" w:rsidRPr="005546E7" w:rsidRDefault="00067458" w:rsidP="00412260">
            <w:pPr>
              <w:jc w:val="center"/>
              <w:rPr>
                <w:rFonts w:eastAsia="Times New Roman" w:cs="Arial"/>
                <w:color w:val="000000"/>
                <w:szCs w:val="20"/>
                <w:lang w:eastAsia="fr-FR"/>
              </w:rPr>
            </w:pPr>
            <w:r w:rsidRPr="005546E7">
              <w:rPr>
                <w:rFonts w:cs="Arial"/>
                <w:color w:val="000000"/>
                <w:szCs w:val="20"/>
              </w:rPr>
              <w:t>24/05/2019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78A189" w14:textId="77777777" w:rsidR="00067458" w:rsidRPr="005546E7" w:rsidRDefault="00067458" w:rsidP="00412260">
            <w:pPr>
              <w:jc w:val="center"/>
              <w:rPr>
                <w:rFonts w:eastAsia="Times New Roman" w:cs="Arial"/>
                <w:color w:val="000000"/>
                <w:szCs w:val="20"/>
                <w:lang w:eastAsia="fr-FR"/>
              </w:rPr>
            </w:pPr>
            <w:r w:rsidRPr="005546E7">
              <w:rPr>
                <w:rFonts w:cs="Arial"/>
                <w:color w:val="000000"/>
                <w:szCs w:val="20"/>
              </w:rPr>
              <w:t>31/12/2022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9FAAC" w14:textId="77777777" w:rsidR="00067458" w:rsidRPr="005546E7" w:rsidRDefault="00067458" w:rsidP="00412260">
            <w:pPr>
              <w:jc w:val="right"/>
              <w:rPr>
                <w:rFonts w:eastAsia="Times New Roman" w:cs="Arial"/>
                <w:color w:val="000000"/>
                <w:szCs w:val="20"/>
                <w:lang w:eastAsia="fr-FR"/>
              </w:rPr>
            </w:pPr>
            <w:r w:rsidRPr="005546E7">
              <w:rPr>
                <w:rFonts w:cs="Arial"/>
                <w:color w:val="000000"/>
                <w:szCs w:val="20"/>
              </w:rPr>
              <w:t xml:space="preserve">41 175 000.00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7257E0" w14:textId="77777777" w:rsidR="00067458" w:rsidRPr="005546E7" w:rsidRDefault="00067458" w:rsidP="00412260">
            <w:pPr>
              <w:jc w:val="right"/>
              <w:rPr>
                <w:rFonts w:eastAsia="Times New Roman" w:cs="Arial"/>
                <w:color w:val="000000"/>
                <w:szCs w:val="20"/>
                <w:lang w:eastAsia="fr-FR"/>
              </w:rPr>
            </w:pPr>
            <w:r w:rsidRPr="005546E7">
              <w:rPr>
                <w:rFonts w:cs="Arial"/>
                <w:color w:val="000000"/>
                <w:szCs w:val="20"/>
              </w:rPr>
              <w:t xml:space="preserve">35 000 000.00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A1F979" w14:textId="77777777" w:rsidR="00067458" w:rsidRPr="005546E7" w:rsidRDefault="00067458" w:rsidP="00412260">
            <w:pPr>
              <w:jc w:val="right"/>
              <w:rPr>
                <w:rFonts w:eastAsia="Times New Roman" w:cs="Arial"/>
                <w:color w:val="000000"/>
                <w:szCs w:val="20"/>
                <w:lang w:eastAsia="fr-FR"/>
              </w:rPr>
            </w:pPr>
            <w:r w:rsidRPr="005546E7">
              <w:rPr>
                <w:rFonts w:cs="Arial"/>
                <w:color w:val="000000"/>
                <w:szCs w:val="20"/>
              </w:rPr>
              <w:t xml:space="preserve">6 175 000.00  </w:t>
            </w:r>
          </w:p>
        </w:tc>
      </w:tr>
      <w:tr w:rsidR="00A04033" w:rsidRPr="008F3D04" w14:paraId="1393482E" w14:textId="77777777" w:rsidTr="00A04033">
        <w:trPr>
          <w:trHeight w:val="600"/>
        </w:trPr>
        <w:tc>
          <w:tcPr>
            <w:tcW w:w="523" w:type="pct"/>
            <w:tcBorders>
              <w:top w:val="nil"/>
              <w:left w:val="single" w:sz="4" w:space="0" w:color="auto"/>
              <w:bottom w:val="single" w:sz="4" w:space="0" w:color="auto"/>
              <w:right w:val="single" w:sz="4" w:space="0" w:color="auto"/>
            </w:tcBorders>
            <w:shd w:val="clear" w:color="auto" w:fill="auto"/>
            <w:vAlign w:val="center"/>
          </w:tcPr>
          <w:p w14:paraId="5CE8B7A5" w14:textId="77777777" w:rsidR="00067458" w:rsidRPr="00D86101" w:rsidRDefault="00067458" w:rsidP="00412260">
            <w:pPr>
              <w:jc w:val="center"/>
              <w:rPr>
                <w:rFonts w:eastAsia="Times New Roman" w:cs="Arial"/>
                <w:color w:val="000000"/>
                <w:szCs w:val="20"/>
                <w:lang w:eastAsia="fr-FR"/>
              </w:rPr>
            </w:pPr>
            <w:r w:rsidRPr="00D86101">
              <w:rPr>
                <w:rFonts w:eastAsia="Times New Roman" w:cs="Arial"/>
                <w:color w:val="000000"/>
                <w:szCs w:val="20"/>
                <w:lang w:eastAsia="fr-FR"/>
              </w:rPr>
              <w:t>IPA</w:t>
            </w:r>
          </w:p>
        </w:tc>
        <w:tc>
          <w:tcPr>
            <w:tcW w:w="1952" w:type="pct"/>
            <w:tcBorders>
              <w:top w:val="single" w:sz="4" w:space="0" w:color="auto"/>
              <w:left w:val="single" w:sz="4" w:space="0" w:color="auto"/>
              <w:bottom w:val="single" w:sz="4" w:space="0" w:color="8EA9DB"/>
              <w:right w:val="single" w:sz="4" w:space="0" w:color="auto"/>
            </w:tcBorders>
            <w:shd w:val="clear" w:color="auto" w:fill="auto"/>
            <w:vAlign w:val="center"/>
          </w:tcPr>
          <w:p w14:paraId="66DA1034" w14:textId="77777777" w:rsidR="00067458" w:rsidRPr="005546E7" w:rsidRDefault="00067458" w:rsidP="00412260">
            <w:pPr>
              <w:rPr>
                <w:rFonts w:eastAsia="Times New Roman" w:cs="Arial"/>
                <w:color w:val="000000"/>
                <w:szCs w:val="20"/>
                <w:lang w:eastAsia="fr-FR"/>
              </w:rPr>
            </w:pPr>
            <w:r w:rsidRPr="005546E7">
              <w:rPr>
                <w:rFonts w:cs="Arial"/>
                <w:color w:val="000000"/>
                <w:szCs w:val="20"/>
              </w:rPr>
              <w:t>Cooperation on Cybercrime: targeting crime proceeds on the Internet and securing electronic evidence (“iPROCEEDS2”)</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56AC7DDF" w14:textId="77777777" w:rsidR="00067458" w:rsidRPr="005546E7" w:rsidRDefault="00067458" w:rsidP="00412260">
            <w:pPr>
              <w:jc w:val="center"/>
              <w:rPr>
                <w:rFonts w:eastAsia="Times New Roman" w:cs="Arial"/>
                <w:color w:val="000000"/>
                <w:szCs w:val="20"/>
                <w:lang w:eastAsia="fr-FR"/>
              </w:rPr>
            </w:pPr>
            <w:r w:rsidRPr="005546E7">
              <w:rPr>
                <w:rFonts w:cs="Arial"/>
                <w:color w:val="000000"/>
                <w:szCs w:val="20"/>
              </w:rPr>
              <w:t>01/01/2020</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3265ABD4" w14:textId="77777777" w:rsidR="00067458" w:rsidRPr="005546E7" w:rsidRDefault="00067458" w:rsidP="00412260">
            <w:pPr>
              <w:jc w:val="center"/>
              <w:rPr>
                <w:rFonts w:eastAsia="Times New Roman" w:cs="Arial"/>
                <w:color w:val="000000"/>
                <w:szCs w:val="20"/>
                <w:lang w:eastAsia="fr-FR"/>
              </w:rPr>
            </w:pPr>
            <w:r w:rsidRPr="005546E7">
              <w:rPr>
                <w:rFonts w:cs="Arial"/>
                <w:color w:val="000000"/>
                <w:szCs w:val="20"/>
              </w:rPr>
              <w:t>30/06/2023</w:t>
            </w:r>
          </w:p>
        </w:tc>
        <w:tc>
          <w:tcPr>
            <w:tcW w:w="477" w:type="pct"/>
            <w:tcBorders>
              <w:top w:val="single" w:sz="4" w:space="0" w:color="auto"/>
              <w:left w:val="single" w:sz="4" w:space="0" w:color="auto"/>
              <w:bottom w:val="single" w:sz="4" w:space="0" w:color="8EA9DB"/>
              <w:right w:val="single" w:sz="4" w:space="0" w:color="auto"/>
            </w:tcBorders>
            <w:shd w:val="clear" w:color="auto" w:fill="auto"/>
            <w:vAlign w:val="center"/>
          </w:tcPr>
          <w:p w14:paraId="017DB95D" w14:textId="77777777" w:rsidR="00067458" w:rsidRPr="005546E7" w:rsidRDefault="00067458" w:rsidP="00412260">
            <w:pPr>
              <w:jc w:val="right"/>
              <w:rPr>
                <w:rFonts w:eastAsia="Times New Roman" w:cs="Arial"/>
                <w:color w:val="000000"/>
                <w:szCs w:val="20"/>
                <w:lang w:eastAsia="fr-FR"/>
              </w:rPr>
            </w:pPr>
            <w:r w:rsidRPr="005546E7">
              <w:rPr>
                <w:rFonts w:cs="Arial"/>
                <w:color w:val="000000"/>
                <w:szCs w:val="20"/>
              </w:rPr>
              <w:t xml:space="preserve">4 945 000.00  </w:t>
            </w:r>
          </w:p>
        </w:tc>
        <w:tc>
          <w:tcPr>
            <w:tcW w:w="571" w:type="pct"/>
            <w:tcBorders>
              <w:top w:val="single" w:sz="4" w:space="0" w:color="auto"/>
              <w:left w:val="single" w:sz="4" w:space="0" w:color="auto"/>
              <w:bottom w:val="single" w:sz="4" w:space="0" w:color="8EA9DB"/>
              <w:right w:val="single" w:sz="4" w:space="0" w:color="auto"/>
            </w:tcBorders>
            <w:shd w:val="clear" w:color="auto" w:fill="auto"/>
            <w:vAlign w:val="center"/>
          </w:tcPr>
          <w:p w14:paraId="4F3CD3FD" w14:textId="77777777" w:rsidR="00067458" w:rsidRPr="005546E7" w:rsidRDefault="00067458" w:rsidP="00412260">
            <w:pPr>
              <w:jc w:val="right"/>
              <w:rPr>
                <w:rFonts w:eastAsia="Times New Roman" w:cs="Arial"/>
                <w:color w:val="000000"/>
                <w:szCs w:val="20"/>
                <w:lang w:eastAsia="fr-FR"/>
              </w:rPr>
            </w:pPr>
            <w:r w:rsidRPr="005546E7">
              <w:rPr>
                <w:rFonts w:cs="Arial"/>
                <w:color w:val="000000"/>
                <w:szCs w:val="20"/>
              </w:rPr>
              <w:t xml:space="preserve">4 450 000.00  </w:t>
            </w:r>
          </w:p>
        </w:tc>
        <w:tc>
          <w:tcPr>
            <w:tcW w:w="619" w:type="pct"/>
            <w:tcBorders>
              <w:top w:val="single" w:sz="4" w:space="0" w:color="auto"/>
              <w:left w:val="single" w:sz="4" w:space="0" w:color="auto"/>
              <w:bottom w:val="single" w:sz="4" w:space="0" w:color="8EA9DB"/>
              <w:right w:val="single" w:sz="4" w:space="0" w:color="auto"/>
            </w:tcBorders>
            <w:shd w:val="clear" w:color="auto" w:fill="auto"/>
            <w:vAlign w:val="center"/>
          </w:tcPr>
          <w:p w14:paraId="6B9D7B62" w14:textId="77777777" w:rsidR="00067458" w:rsidRPr="005546E7" w:rsidRDefault="00067458" w:rsidP="00412260">
            <w:pPr>
              <w:jc w:val="right"/>
              <w:rPr>
                <w:rFonts w:eastAsia="Times New Roman" w:cs="Arial"/>
                <w:color w:val="000000"/>
                <w:szCs w:val="20"/>
                <w:lang w:eastAsia="fr-FR"/>
              </w:rPr>
            </w:pPr>
            <w:r w:rsidRPr="005546E7">
              <w:rPr>
                <w:rFonts w:cs="Arial"/>
                <w:color w:val="000000"/>
                <w:szCs w:val="20"/>
              </w:rPr>
              <w:t xml:space="preserve">495 000.00  </w:t>
            </w:r>
          </w:p>
        </w:tc>
      </w:tr>
      <w:tr w:rsidR="00A04033" w:rsidRPr="008F3D04" w14:paraId="0ACDC9F6" w14:textId="77777777" w:rsidTr="00A04033">
        <w:trPr>
          <w:trHeight w:val="600"/>
        </w:trPr>
        <w:tc>
          <w:tcPr>
            <w:tcW w:w="523" w:type="pct"/>
            <w:tcBorders>
              <w:top w:val="nil"/>
              <w:left w:val="single" w:sz="4" w:space="0" w:color="auto"/>
              <w:bottom w:val="single" w:sz="4" w:space="0" w:color="auto"/>
              <w:right w:val="single" w:sz="4" w:space="0" w:color="auto"/>
            </w:tcBorders>
            <w:shd w:val="clear" w:color="auto" w:fill="auto"/>
            <w:vAlign w:val="center"/>
          </w:tcPr>
          <w:p w14:paraId="1444BDA4" w14:textId="77777777" w:rsidR="00067458" w:rsidRPr="00D86101" w:rsidRDefault="00067458" w:rsidP="00412260">
            <w:pPr>
              <w:jc w:val="center"/>
              <w:rPr>
                <w:rFonts w:eastAsia="Times New Roman" w:cs="Arial"/>
                <w:color w:val="000000"/>
                <w:szCs w:val="20"/>
                <w:lang w:eastAsia="fr-FR"/>
              </w:rPr>
            </w:pPr>
            <w:r w:rsidRPr="00D86101">
              <w:rPr>
                <w:rFonts w:eastAsia="Times New Roman" w:cs="Arial"/>
                <w:color w:val="000000"/>
                <w:szCs w:val="20"/>
                <w:lang w:eastAsia="fr-FR"/>
              </w:rPr>
              <w:t>IPA</w:t>
            </w:r>
          </w:p>
        </w:tc>
        <w:tc>
          <w:tcPr>
            <w:tcW w:w="1952" w:type="pct"/>
            <w:tcBorders>
              <w:top w:val="single" w:sz="4" w:space="0" w:color="auto"/>
              <w:left w:val="single" w:sz="4" w:space="0" w:color="auto"/>
              <w:bottom w:val="single" w:sz="4" w:space="0" w:color="8EA9DB"/>
              <w:right w:val="single" w:sz="4" w:space="0" w:color="auto"/>
            </w:tcBorders>
            <w:shd w:val="clear" w:color="auto" w:fill="auto"/>
            <w:vAlign w:val="center"/>
          </w:tcPr>
          <w:p w14:paraId="2C2C0782" w14:textId="77777777" w:rsidR="00067458" w:rsidRPr="005546E7" w:rsidRDefault="00067458" w:rsidP="00412260">
            <w:pPr>
              <w:rPr>
                <w:rFonts w:eastAsia="Times New Roman" w:cs="Arial"/>
                <w:color w:val="000000"/>
                <w:szCs w:val="20"/>
                <w:lang w:eastAsia="fr-FR"/>
              </w:rPr>
            </w:pPr>
            <w:r w:rsidRPr="005546E7">
              <w:rPr>
                <w:rFonts w:cs="Arial"/>
                <w:color w:val="000000"/>
                <w:szCs w:val="20"/>
              </w:rPr>
              <w:t>ROMACTED phase II: Promoting good governance and Roma empowerment at local level</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3028D248" w14:textId="77777777" w:rsidR="00067458" w:rsidRPr="005546E7" w:rsidRDefault="00067458" w:rsidP="00412260">
            <w:pPr>
              <w:jc w:val="center"/>
              <w:rPr>
                <w:rFonts w:cs="Arial"/>
                <w:szCs w:val="20"/>
              </w:rPr>
            </w:pPr>
            <w:r w:rsidRPr="005546E7">
              <w:rPr>
                <w:rFonts w:cs="Arial"/>
                <w:color w:val="000000"/>
                <w:szCs w:val="20"/>
              </w:rPr>
              <w:t>01/01/2021</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2917D5A5" w14:textId="77777777" w:rsidR="00067458" w:rsidRPr="005546E7" w:rsidRDefault="00067458" w:rsidP="00412260">
            <w:pPr>
              <w:jc w:val="center"/>
              <w:rPr>
                <w:rFonts w:cs="Arial"/>
                <w:szCs w:val="20"/>
              </w:rPr>
            </w:pPr>
            <w:r w:rsidRPr="005546E7">
              <w:rPr>
                <w:rFonts w:cs="Arial"/>
                <w:color w:val="000000"/>
                <w:szCs w:val="20"/>
              </w:rPr>
              <w:t>31/12/2024</w:t>
            </w:r>
          </w:p>
        </w:tc>
        <w:tc>
          <w:tcPr>
            <w:tcW w:w="477" w:type="pct"/>
            <w:tcBorders>
              <w:top w:val="single" w:sz="4" w:space="0" w:color="auto"/>
              <w:left w:val="single" w:sz="4" w:space="0" w:color="auto"/>
              <w:bottom w:val="single" w:sz="4" w:space="0" w:color="8EA9DB"/>
              <w:right w:val="single" w:sz="4" w:space="0" w:color="auto"/>
            </w:tcBorders>
            <w:shd w:val="clear" w:color="auto" w:fill="auto"/>
            <w:vAlign w:val="center"/>
          </w:tcPr>
          <w:p w14:paraId="126BEB58" w14:textId="77777777" w:rsidR="00067458" w:rsidRPr="005546E7" w:rsidRDefault="00067458" w:rsidP="00412260">
            <w:pPr>
              <w:jc w:val="right"/>
              <w:rPr>
                <w:rFonts w:cs="Arial"/>
                <w:szCs w:val="20"/>
              </w:rPr>
            </w:pPr>
            <w:r w:rsidRPr="005546E7">
              <w:rPr>
                <w:rFonts w:cs="Arial"/>
                <w:color w:val="000000"/>
                <w:szCs w:val="20"/>
              </w:rPr>
              <w:t xml:space="preserve">6 500 000.00  </w:t>
            </w:r>
          </w:p>
        </w:tc>
        <w:tc>
          <w:tcPr>
            <w:tcW w:w="571" w:type="pct"/>
            <w:tcBorders>
              <w:top w:val="single" w:sz="4" w:space="0" w:color="auto"/>
              <w:left w:val="single" w:sz="4" w:space="0" w:color="auto"/>
              <w:bottom w:val="single" w:sz="4" w:space="0" w:color="8EA9DB"/>
              <w:right w:val="single" w:sz="4" w:space="0" w:color="auto"/>
            </w:tcBorders>
            <w:shd w:val="clear" w:color="auto" w:fill="auto"/>
            <w:vAlign w:val="center"/>
          </w:tcPr>
          <w:p w14:paraId="51303E9F" w14:textId="77777777" w:rsidR="00067458" w:rsidRPr="005546E7" w:rsidRDefault="00067458" w:rsidP="00412260">
            <w:pPr>
              <w:jc w:val="right"/>
              <w:rPr>
                <w:rFonts w:cs="Arial"/>
                <w:szCs w:val="20"/>
              </w:rPr>
            </w:pPr>
            <w:r w:rsidRPr="005546E7">
              <w:rPr>
                <w:rFonts w:cs="Arial"/>
                <w:color w:val="000000"/>
                <w:szCs w:val="20"/>
              </w:rPr>
              <w:t xml:space="preserve">5 700 000.00  </w:t>
            </w:r>
          </w:p>
        </w:tc>
        <w:tc>
          <w:tcPr>
            <w:tcW w:w="619" w:type="pct"/>
            <w:tcBorders>
              <w:top w:val="single" w:sz="4" w:space="0" w:color="auto"/>
              <w:left w:val="single" w:sz="4" w:space="0" w:color="auto"/>
              <w:bottom w:val="single" w:sz="4" w:space="0" w:color="8EA9DB"/>
              <w:right w:val="single" w:sz="4" w:space="0" w:color="auto"/>
            </w:tcBorders>
            <w:shd w:val="clear" w:color="auto" w:fill="auto"/>
            <w:vAlign w:val="center"/>
          </w:tcPr>
          <w:p w14:paraId="42DF47AF" w14:textId="77777777" w:rsidR="00067458" w:rsidRPr="005546E7" w:rsidRDefault="00067458" w:rsidP="00412260">
            <w:pPr>
              <w:jc w:val="right"/>
              <w:rPr>
                <w:rFonts w:cs="Arial"/>
                <w:szCs w:val="20"/>
              </w:rPr>
            </w:pPr>
            <w:r w:rsidRPr="005546E7">
              <w:rPr>
                <w:rFonts w:cs="Arial"/>
                <w:color w:val="000000"/>
                <w:szCs w:val="20"/>
              </w:rPr>
              <w:t xml:space="preserve">800 000.00  </w:t>
            </w:r>
          </w:p>
        </w:tc>
      </w:tr>
      <w:tr w:rsidR="00067458" w:rsidRPr="00032312" w14:paraId="38AB83F3" w14:textId="77777777" w:rsidTr="00A04033">
        <w:trPr>
          <w:trHeight w:val="600"/>
        </w:trPr>
        <w:tc>
          <w:tcPr>
            <w:tcW w:w="5000" w:type="pct"/>
            <w:gridSpan w:val="7"/>
            <w:tcBorders>
              <w:top w:val="single" w:sz="4" w:space="0" w:color="auto"/>
              <w:left w:val="single" w:sz="4" w:space="0" w:color="auto"/>
              <w:bottom w:val="single" w:sz="4" w:space="0" w:color="auto"/>
              <w:right w:val="single" w:sz="4" w:space="0" w:color="000000"/>
            </w:tcBorders>
            <w:shd w:val="clear" w:color="000000" w:fill="5B9BD5"/>
            <w:vAlign w:val="center"/>
            <w:hideMark/>
          </w:tcPr>
          <w:p w14:paraId="13C99D7D" w14:textId="77777777" w:rsidR="00067458" w:rsidRPr="007F3656" w:rsidRDefault="00067458" w:rsidP="00412260">
            <w:pPr>
              <w:rPr>
                <w:rFonts w:eastAsia="Times New Roman" w:cs="Arial"/>
                <w:b/>
                <w:bCs/>
                <w:color w:val="000000"/>
                <w:szCs w:val="20"/>
                <w:highlight w:val="yellow"/>
                <w:lang w:eastAsia="fr-FR"/>
              </w:rPr>
            </w:pPr>
            <w:r w:rsidRPr="008B7693">
              <w:rPr>
                <w:rFonts w:eastAsia="Times New Roman" w:cs="Arial"/>
                <w:b/>
                <w:bCs/>
                <w:color w:val="000000"/>
                <w:szCs w:val="20"/>
                <w:lang w:eastAsia="fr-FR"/>
              </w:rPr>
              <w:t xml:space="preserve">Eastern Europe and South Caucasus </w:t>
            </w:r>
          </w:p>
        </w:tc>
      </w:tr>
      <w:tr w:rsidR="00067458" w:rsidRPr="00032312" w14:paraId="279DDD81" w14:textId="77777777" w:rsidTr="00A04033">
        <w:trPr>
          <w:trHeight w:val="6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26F1DC51" w14:textId="77777777" w:rsidR="00067458" w:rsidRPr="00032312" w:rsidRDefault="00067458" w:rsidP="00412260">
            <w:pPr>
              <w:rPr>
                <w:rFonts w:eastAsia="Times New Roman" w:cs="Arial"/>
                <w:b/>
                <w:bCs/>
                <w:color w:val="000000"/>
                <w:szCs w:val="20"/>
                <w:lang w:eastAsia="fr-FR"/>
              </w:rPr>
            </w:pPr>
            <w:r>
              <w:rPr>
                <w:rFonts w:eastAsia="Times New Roman" w:cs="Arial"/>
                <w:b/>
                <w:bCs/>
                <w:color w:val="000000"/>
                <w:szCs w:val="20"/>
                <w:lang w:eastAsia="fr-FR"/>
              </w:rPr>
              <w:t>Azerbaijan</w:t>
            </w:r>
          </w:p>
        </w:tc>
      </w:tr>
      <w:tr w:rsidR="00A04033" w:rsidRPr="00032312" w14:paraId="78D6E9ED"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E475BAD" w14:textId="77777777" w:rsidR="00067458" w:rsidRPr="00305318" w:rsidRDefault="00067458" w:rsidP="00412260">
            <w:pPr>
              <w:jc w:val="center"/>
              <w:rPr>
                <w:rFonts w:eastAsia="Times New Roman" w:cs="Arial"/>
                <w:color w:val="000000"/>
                <w:szCs w:val="20"/>
                <w:lang w:eastAsia="fr-FR"/>
              </w:rPr>
            </w:pPr>
            <w:r w:rsidRPr="00305318">
              <w:rPr>
                <w:rFonts w:eastAsia="Times New Roman" w:cs="Arial"/>
                <w:color w:val="000000"/>
                <w:szCs w:val="20"/>
                <w:lang w:eastAsia="fr-FR"/>
              </w:rPr>
              <w:t>ENI</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4294F66E" w14:textId="77777777" w:rsidR="00067458" w:rsidRPr="00305318" w:rsidRDefault="00067458" w:rsidP="00412260">
            <w:pPr>
              <w:rPr>
                <w:rFonts w:eastAsia="Times New Roman" w:cs="Arial"/>
                <w:color w:val="000000"/>
                <w:szCs w:val="20"/>
                <w:lang w:eastAsia="fr-FR"/>
              </w:rPr>
            </w:pPr>
            <w:r w:rsidRPr="00305318">
              <w:rPr>
                <w:rFonts w:eastAsia="Times New Roman" w:cs="Arial"/>
                <w:color w:val="000000"/>
                <w:szCs w:val="20"/>
                <w:lang w:eastAsia="fr-FR"/>
              </w:rPr>
              <w:t>Further Support to the Penitentiary Reform in Azerbaijan 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7BEBA18" w14:textId="77777777" w:rsidR="00067458" w:rsidRPr="00305318" w:rsidRDefault="00067458" w:rsidP="00412260">
            <w:pPr>
              <w:jc w:val="center"/>
              <w:rPr>
                <w:rFonts w:eastAsia="Times New Roman" w:cs="Arial"/>
                <w:color w:val="000000"/>
                <w:szCs w:val="20"/>
                <w:lang w:eastAsia="fr-FR"/>
              </w:rPr>
            </w:pPr>
            <w:r w:rsidRPr="00305318">
              <w:rPr>
                <w:rFonts w:cs="Arial"/>
                <w:color w:val="000000"/>
                <w:szCs w:val="20"/>
              </w:rPr>
              <w:t>01/02/2019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AF60649" w14:textId="77777777" w:rsidR="00067458" w:rsidRPr="00305318" w:rsidRDefault="00067458" w:rsidP="00412260">
            <w:pPr>
              <w:jc w:val="center"/>
              <w:rPr>
                <w:rFonts w:eastAsia="Times New Roman" w:cs="Arial"/>
                <w:color w:val="000000"/>
                <w:szCs w:val="20"/>
                <w:lang w:eastAsia="fr-FR"/>
              </w:rPr>
            </w:pPr>
            <w:r w:rsidRPr="00305318">
              <w:rPr>
                <w:rFonts w:cs="Arial"/>
                <w:color w:val="000000"/>
                <w:szCs w:val="20"/>
              </w:rPr>
              <w:t>31/10/2021</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6B5BD0A5" w14:textId="77777777" w:rsidR="00067458" w:rsidRPr="00305318" w:rsidRDefault="00067458" w:rsidP="00412260">
            <w:pPr>
              <w:jc w:val="center"/>
              <w:rPr>
                <w:rFonts w:eastAsia="Times New Roman" w:cs="Arial"/>
                <w:color w:val="000000"/>
                <w:szCs w:val="20"/>
                <w:lang w:eastAsia="fr-FR"/>
              </w:rPr>
            </w:pPr>
            <w:r w:rsidRPr="00305318">
              <w:rPr>
                <w:rFonts w:cs="Arial"/>
                <w:color w:val="000000"/>
                <w:szCs w:val="20"/>
              </w:rPr>
              <w:t xml:space="preserve">773 940.00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3C6037A3" w14:textId="77777777" w:rsidR="00067458" w:rsidRPr="00305318" w:rsidRDefault="00067458" w:rsidP="00412260">
            <w:pPr>
              <w:jc w:val="center"/>
              <w:rPr>
                <w:rFonts w:eastAsia="Times New Roman" w:cs="Arial"/>
                <w:color w:val="000000"/>
                <w:szCs w:val="20"/>
                <w:lang w:eastAsia="fr-FR"/>
              </w:rPr>
            </w:pPr>
            <w:r w:rsidRPr="00305318">
              <w:rPr>
                <w:rFonts w:cs="Arial"/>
                <w:color w:val="000000"/>
                <w:szCs w:val="20"/>
              </w:rPr>
              <w:t xml:space="preserve">619 152.00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52433F0E" w14:textId="77777777" w:rsidR="00067458" w:rsidRPr="00305318" w:rsidRDefault="00067458" w:rsidP="00412260">
            <w:pPr>
              <w:jc w:val="center"/>
              <w:rPr>
                <w:rFonts w:eastAsia="Times New Roman" w:cs="Arial"/>
                <w:color w:val="000000"/>
                <w:szCs w:val="20"/>
                <w:lang w:eastAsia="fr-FR"/>
              </w:rPr>
            </w:pPr>
            <w:r w:rsidRPr="00305318">
              <w:rPr>
                <w:rFonts w:eastAsia="Times New Roman" w:cs="Arial"/>
                <w:color w:val="000000"/>
                <w:szCs w:val="20"/>
                <w:lang w:eastAsia="fr-FR"/>
              </w:rPr>
              <w:t xml:space="preserve">154 788.00  </w:t>
            </w:r>
          </w:p>
        </w:tc>
      </w:tr>
      <w:tr w:rsidR="00067458" w:rsidRPr="00032312" w14:paraId="12B5EDD7" w14:textId="77777777" w:rsidTr="00A04033">
        <w:trPr>
          <w:trHeight w:val="600"/>
        </w:trPr>
        <w:tc>
          <w:tcPr>
            <w:tcW w:w="5000" w:type="pct"/>
            <w:gridSpan w:val="7"/>
            <w:tcBorders>
              <w:top w:val="nil"/>
              <w:left w:val="single" w:sz="4" w:space="0" w:color="auto"/>
              <w:bottom w:val="single" w:sz="4" w:space="0" w:color="auto"/>
              <w:right w:val="single" w:sz="4" w:space="0" w:color="auto"/>
            </w:tcBorders>
            <w:shd w:val="clear" w:color="auto" w:fill="auto"/>
            <w:vAlign w:val="center"/>
          </w:tcPr>
          <w:p w14:paraId="67D9343D" w14:textId="77777777" w:rsidR="00067458" w:rsidRPr="008C0283" w:rsidRDefault="00067458" w:rsidP="00412260">
            <w:pPr>
              <w:rPr>
                <w:rFonts w:eastAsia="Times New Roman" w:cs="Arial"/>
                <w:b/>
                <w:bCs/>
                <w:color w:val="000000"/>
                <w:szCs w:val="20"/>
                <w:lang w:eastAsia="fr-FR"/>
              </w:rPr>
            </w:pPr>
            <w:r w:rsidRPr="008C0283">
              <w:rPr>
                <w:rFonts w:eastAsia="Times New Roman" w:cs="Arial"/>
                <w:b/>
                <w:bCs/>
                <w:color w:val="000000"/>
                <w:szCs w:val="20"/>
                <w:lang w:eastAsia="fr-FR"/>
              </w:rPr>
              <w:t>Russian Federation</w:t>
            </w:r>
          </w:p>
        </w:tc>
      </w:tr>
      <w:tr w:rsidR="00A04033" w:rsidRPr="00032312" w14:paraId="2E423D00"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872173C" w14:textId="77777777" w:rsidR="00067458" w:rsidRPr="00FF3F2B" w:rsidRDefault="00067458" w:rsidP="00412260">
            <w:pPr>
              <w:jc w:val="center"/>
              <w:rPr>
                <w:rFonts w:eastAsia="Times New Roman" w:cs="Arial"/>
                <w:color w:val="000000"/>
                <w:szCs w:val="20"/>
                <w:lang w:eastAsia="fr-FR"/>
              </w:rPr>
            </w:pPr>
            <w:r w:rsidRPr="00FF3F2B">
              <w:rPr>
                <w:rFonts w:eastAsia="Times New Roman" w:cs="Arial"/>
                <w:color w:val="000000"/>
                <w:szCs w:val="20"/>
                <w:lang w:eastAsia="fr-FR"/>
              </w:rPr>
              <w:t>FPI</w:t>
            </w:r>
          </w:p>
        </w:tc>
        <w:tc>
          <w:tcPr>
            <w:tcW w:w="1952" w:type="pct"/>
            <w:tcBorders>
              <w:top w:val="single" w:sz="4" w:space="0" w:color="auto"/>
              <w:left w:val="nil"/>
              <w:bottom w:val="single" w:sz="4" w:space="0" w:color="auto"/>
              <w:right w:val="single" w:sz="4" w:space="0" w:color="auto"/>
            </w:tcBorders>
            <w:shd w:val="clear" w:color="auto" w:fill="auto"/>
            <w:vAlign w:val="center"/>
          </w:tcPr>
          <w:p w14:paraId="7BF25998" w14:textId="77777777" w:rsidR="00067458" w:rsidRPr="00FF3F2B" w:rsidRDefault="00067458" w:rsidP="00412260">
            <w:pPr>
              <w:rPr>
                <w:rFonts w:eastAsia="Times New Roman" w:cs="Arial"/>
                <w:color w:val="000000"/>
                <w:szCs w:val="20"/>
                <w:lang w:eastAsia="fr-FR"/>
              </w:rPr>
            </w:pPr>
            <w:r w:rsidRPr="00FF3F2B">
              <w:rPr>
                <w:rFonts w:eastAsia="Times New Roman" w:cs="Arial"/>
                <w:color w:val="000000"/>
                <w:szCs w:val="20"/>
                <w:lang w:eastAsia="fr-FR"/>
              </w:rPr>
              <w:t>Co-operation for implementing the RF National Action Strategy for Women (2017-2022): Applying best practices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B6425A4" w14:textId="77777777" w:rsidR="00067458" w:rsidRPr="00FF3F2B" w:rsidRDefault="00067458" w:rsidP="00412260">
            <w:pPr>
              <w:jc w:val="center"/>
              <w:rPr>
                <w:rFonts w:eastAsia="Times New Roman" w:cs="Arial"/>
                <w:color w:val="000000"/>
                <w:szCs w:val="20"/>
                <w:lang w:eastAsia="fr-FR"/>
              </w:rPr>
            </w:pPr>
            <w:r w:rsidRPr="00FF3F2B">
              <w:rPr>
                <w:rFonts w:cs="Arial"/>
                <w:color w:val="000000"/>
                <w:szCs w:val="20"/>
              </w:rPr>
              <w:t>18/09/2021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C04BD26" w14:textId="77777777" w:rsidR="00067458" w:rsidRPr="00FF3F2B" w:rsidRDefault="00067458" w:rsidP="00412260">
            <w:pPr>
              <w:jc w:val="center"/>
              <w:rPr>
                <w:rFonts w:eastAsia="Times New Roman" w:cs="Arial"/>
                <w:color w:val="000000"/>
                <w:szCs w:val="20"/>
                <w:lang w:eastAsia="fr-FR"/>
              </w:rPr>
            </w:pPr>
            <w:r w:rsidRPr="00FF3F2B">
              <w:rPr>
                <w:rFonts w:cs="Arial"/>
                <w:color w:val="000000"/>
                <w:szCs w:val="20"/>
              </w:rPr>
              <w:t>17/03/2023</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0CD939F8" w14:textId="77777777" w:rsidR="00067458" w:rsidRPr="00FF3F2B" w:rsidRDefault="00067458" w:rsidP="00412260">
            <w:pPr>
              <w:jc w:val="right"/>
              <w:rPr>
                <w:rFonts w:eastAsia="Times New Roman" w:cs="Arial"/>
                <w:color w:val="000000"/>
                <w:szCs w:val="20"/>
                <w:lang w:eastAsia="fr-FR"/>
              </w:rPr>
            </w:pPr>
            <w:r w:rsidRPr="00FF3F2B">
              <w:rPr>
                <w:rFonts w:cs="Arial"/>
                <w:color w:val="000000"/>
                <w:szCs w:val="20"/>
              </w:rPr>
              <w:t xml:space="preserve">556 000.00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04918696" w14:textId="77777777" w:rsidR="00067458" w:rsidRPr="00FF3F2B" w:rsidRDefault="00067458" w:rsidP="00412260">
            <w:pPr>
              <w:jc w:val="right"/>
              <w:rPr>
                <w:rFonts w:eastAsia="Times New Roman" w:cs="Arial"/>
                <w:color w:val="000000"/>
                <w:szCs w:val="20"/>
                <w:lang w:eastAsia="fr-FR"/>
              </w:rPr>
            </w:pPr>
            <w:r w:rsidRPr="00FF3F2B">
              <w:rPr>
                <w:rFonts w:cs="Arial"/>
                <w:color w:val="000000"/>
                <w:szCs w:val="20"/>
              </w:rPr>
              <w:t xml:space="preserve">500 000.00  </w:t>
            </w:r>
          </w:p>
        </w:tc>
        <w:tc>
          <w:tcPr>
            <w:tcW w:w="619" w:type="pct"/>
            <w:tcBorders>
              <w:top w:val="single" w:sz="4" w:space="0" w:color="auto"/>
              <w:left w:val="nil"/>
              <w:bottom w:val="single" w:sz="4" w:space="0" w:color="auto"/>
              <w:right w:val="single" w:sz="4" w:space="0" w:color="auto"/>
            </w:tcBorders>
            <w:shd w:val="clear" w:color="auto" w:fill="auto"/>
            <w:vAlign w:val="center"/>
          </w:tcPr>
          <w:p w14:paraId="5DE4D167" w14:textId="77777777" w:rsidR="00067458" w:rsidRPr="00FF3F2B" w:rsidRDefault="00067458" w:rsidP="00412260">
            <w:pPr>
              <w:jc w:val="right"/>
              <w:rPr>
                <w:rFonts w:eastAsia="Times New Roman" w:cs="Arial"/>
                <w:color w:val="000000"/>
                <w:szCs w:val="20"/>
                <w:lang w:eastAsia="fr-FR"/>
              </w:rPr>
            </w:pPr>
            <w:r w:rsidRPr="00FF3F2B">
              <w:rPr>
                <w:rFonts w:eastAsia="Times New Roman" w:cs="Arial"/>
                <w:color w:val="000000"/>
                <w:szCs w:val="20"/>
                <w:lang w:eastAsia="fr-FR"/>
              </w:rPr>
              <w:t xml:space="preserve">56 000.00  </w:t>
            </w:r>
          </w:p>
        </w:tc>
      </w:tr>
      <w:tr w:rsidR="00067458" w:rsidRPr="00032312" w14:paraId="13DF1ADB" w14:textId="77777777" w:rsidTr="00A04033">
        <w:trPr>
          <w:trHeight w:val="6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E2B0802" w14:textId="77777777" w:rsidR="00067458" w:rsidRPr="00FF3F2B" w:rsidRDefault="00067458" w:rsidP="00412260">
            <w:pPr>
              <w:rPr>
                <w:rFonts w:eastAsia="Times New Roman" w:cs="Arial"/>
                <w:b/>
                <w:bCs/>
                <w:color w:val="000000"/>
                <w:szCs w:val="20"/>
                <w:lang w:eastAsia="fr-FR"/>
              </w:rPr>
            </w:pPr>
            <w:r w:rsidRPr="00FF3F2B">
              <w:rPr>
                <w:rFonts w:eastAsia="Times New Roman" w:cs="Arial"/>
                <w:b/>
                <w:bCs/>
                <w:color w:val="000000"/>
                <w:szCs w:val="20"/>
                <w:lang w:eastAsia="fr-FR"/>
              </w:rPr>
              <w:t>Ukraine</w:t>
            </w:r>
          </w:p>
        </w:tc>
      </w:tr>
      <w:tr w:rsidR="00A04033" w:rsidRPr="00032312" w14:paraId="2B9096BD"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1160D23" w14:textId="77777777" w:rsidR="00067458" w:rsidRPr="00DC1575" w:rsidRDefault="00067458" w:rsidP="00412260">
            <w:pPr>
              <w:jc w:val="center"/>
              <w:rPr>
                <w:rFonts w:eastAsia="Times New Roman" w:cs="Arial"/>
                <w:color w:val="000000"/>
                <w:szCs w:val="20"/>
                <w:lang w:eastAsia="fr-FR"/>
              </w:rPr>
            </w:pPr>
            <w:r w:rsidRPr="00DC1575">
              <w:rPr>
                <w:rFonts w:eastAsia="Times New Roman" w:cs="Arial"/>
                <w:color w:val="000000"/>
                <w:szCs w:val="20"/>
                <w:lang w:eastAsia="fr-FR"/>
              </w:rPr>
              <w:t>ENI</w:t>
            </w:r>
          </w:p>
        </w:tc>
        <w:tc>
          <w:tcPr>
            <w:tcW w:w="1952" w:type="pct"/>
            <w:tcBorders>
              <w:top w:val="single" w:sz="4" w:space="0" w:color="auto"/>
              <w:left w:val="nil"/>
              <w:bottom w:val="single" w:sz="4" w:space="0" w:color="auto"/>
              <w:right w:val="single" w:sz="4" w:space="0" w:color="auto"/>
            </w:tcBorders>
            <w:shd w:val="clear" w:color="auto" w:fill="auto"/>
            <w:vAlign w:val="center"/>
          </w:tcPr>
          <w:p w14:paraId="7602DFCA" w14:textId="77777777" w:rsidR="00067458" w:rsidRPr="00DC1575" w:rsidRDefault="00067458" w:rsidP="00412260">
            <w:pPr>
              <w:rPr>
                <w:rFonts w:eastAsia="Times New Roman" w:cs="Arial"/>
                <w:color w:val="000000"/>
                <w:szCs w:val="20"/>
                <w:lang w:eastAsia="fr-FR"/>
              </w:rPr>
            </w:pPr>
            <w:r w:rsidRPr="00DC1575">
              <w:rPr>
                <w:rFonts w:eastAsia="Times New Roman" w:cs="Arial"/>
                <w:color w:val="000000"/>
                <w:szCs w:val="20"/>
                <w:lang w:eastAsia="fr-FR"/>
              </w:rPr>
              <w:t>European Union and Council of Europe working together to strengthening the protection of human rights in Ukraine</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7502DC2" w14:textId="77777777" w:rsidR="00067458" w:rsidRPr="00DC1575" w:rsidRDefault="00067458" w:rsidP="00412260">
            <w:pPr>
              <w:jc w:val="center"/>
              <w:rPr>
                <w:rFonts w:eastAsia="Times New Roman" w:cs="Arial"/>
                <w:color w:val="000000"/>
                <w:szCs w:val="20"/>
                <w:lang w:eastAsia="fr-FR"/>
              </w:rPr>
            </w:pPr>
            <w:r w:rsidRPr="00DC1575">
              <w:rPr>
                <w:rFonts w:cs="Arial"/>
                <w:color w:val="000000"/>
                <w:szCs w:val="20"/>
              </w:rPr>
              <w:t>10/07/2019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9F8628B" w14:textId="77777777" w:rsidR="00067458" w:rsidRPr="00DC1575" w:rsidRDefault="00067458" w:rsidP="00412260">
            <w:pPr>
              <w:jc w:val="center"/>
              <w:rPr>
                <w:rFonts w:eastAsia="Times New Roman" w:cs="Arial"/>
                <w:color w:val="000000"/>
                <w:szCs w:val="20"/>
                <w:lang w:eastAsia="fr-FR"/>
              </w:rPr>
            </w:pPr>
            <w:r w:rsidRPr="00DC1575">
              <w:rPr>
                <w:rFonts w:cs="Arial"/>
                <w:color w:val="000000"/>
                <w:szCs w:val="20"/>
              </w:rPr>
              <w:t>09/04/2022</w:t>
            </w:r>
          </w:p>
        </w:tc>
        <w:tc>
          <w:tcPr>
            <w:tcW w:w="477" w:type="pct"/>
            <w:tcBorders>
              <w:top w:val="single" w:sz="4" w:space="0" w:color="auto"/>
              <w:left w:val="nil"/>
              <w:bottom w:val="nil"/>
              <w:right w:val="single" w:sz="4" w:space="0" w:color="auto"/>
            </w:tcBorders>
            <w:shd w:val="clear" w:color="auto" w:fill="auto"/>
            <w:vAlign w:val="center"/>
          </w:tcPr>
          <w:p w14:paraId="18E913AA" w14:textId="77777777" w:rsidR="00067458" w:rsidRPr="00DC1575" w:rsidRDefault="00067458" w:rsidP="00412260">
            <w:pPr>
              <w:jc w:val="right"/>
              <w:rPr>
                <w:rFonts w:eastAsia="Times New Roman" w:cs="Arial"/>
                <w:color w:val="000000"/>
                <w:szCs w:val="20"/>
                <w:lang w:eastAsia="fr-FR"/>
              </w:rPr>
            </w:pPr>
            <w:r w:rsidRPr="00DC1575">
              <w:rPr>
                <w:rFonts w:cs="Arial"/>
                <w:szCs w:val="20"/>
              </w:rPr>
              <w:t xml:space="preserve">3 334 000,00  </w:t>
            </w:r>
          </w:p>
        </w:tc>
        <w:tc>
          <w:tcPr>
            <w:tcW w:w="571" w:type="pct"/>
            <w:tcBorders>
              <w:top w:val="single" w:sz="4" w:space="0" w:color="auto"/>
              <w:left w:val="nil"/>
              <w:bottom w:val="nil"/>
              <w:right w:val="single" w:sz="4" w:space="0" w:color="auto"/>
            </w:tcBorders>
            <w:shd w:val="clear" w:color="auto" w:fill="auto"/>
            <w:vAlign w:val="center"/>
          </w:tcPr>
          <w:p w14:paraId="40A417D5" w14:textId="77777777" w:rsidR="00067458" w:rsidRPr="00DC1575" w:rsidRDefault="00067458" w:rsidP="00412260">
            <w:pPr>
              <w:jc w:val="right"/>
              <w:rPr>
                <w:rFonts w:eastAsia="Times New Roman" w:cs="Arial"/>
                <w:color w:val="000000"/>
                <w:szCs w:val="20"/>
                <w:lang w:eastAsia="fr-FR"/>
              </w:rPr>
            </w:pPr>
            <w:r w:rsidRPr="00DC1575">
              <w:rPr>
                <w:rFonts w:cs="Arial"/>
                <w:szCs w:val="20"/>
              </w:rPr>
              <w:t xml:space="preserve">3 000 000,00  </w:t>
            </w:r>
          </w:p>
        </w:tc>
        <w:tc>
          <w:tcPr>
            <w:tcW w:w="619" w:type="pct"/>
            <w:tcBorders>
              <w:top w:val="single" w:sz="4" w:space="0" w:color="auto"/>
              <w:left w:val="nil"/>
              <w:bottom w:val="nil"/>
              <w:right w:val="single" w:sz="4" w:space="0" w:color="auto"/>
            </w:tcBorders>
            <w:shd w:val="clear" w:color="auto" w:fill="auto"/>
            <w:vAlign w:val="center"/>
          </w:tcPr>
          <w:p w14:paraId="72330D42" w14:textId="77777777" w:rsidR="00067458" w:rsidRPr="00DC1575" w:rsidRDefault="00067458" w:rsidP="00412260">
            <w:pPr>
              <w:jc w:val="right"/>
              <w:rPr>
                <w:rFonts w:eastAsia="Times New Roman" w:cs="Arial"/>
                <w:color w:val="000000"/>
                <w:szCs w:val="20"/>
                <w:lang w:eastAsia="fr-FR"/>
              </w:rPr>
            </w:pPr>
            <w:r w:rsidRPr="00DC1575">
              <w:rPr>
                <w:rFonts w:cs="Arial"/>
                <w:szCs w:val="20"/>
              </w:rPr>
              <w:t xml:space="preserve">334 000,00  </w:t>
            </w:r>
          </w:p>
        </w:tc>
      </w:tr>
      <w:tr w:rsidR="00067458" w:rsidRPr="00032312" w14:paraId="6E183943" w14:textId="77777777" w:rsidTr="00A04033">
        <w:trPr>
          <w:trHeight w:val="6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4F38A94" w14:textId="77777777" w:rsidR="00067458" w:rsidRPr="00050598" w:rsidRDefault="00067458" w:rsidP="00412260">
            <w:pPr>
              <w:rPr>
                <w:rFonts w:eastAsia="Times New Roman" w:cs="Arial"/>
                <w:b/>
                <w:bCs/>
                <w:color w:val="000000"/>
                <w:szCs w:val="20"/>
                <w:lang w:eastAsia="fr-FR"/>
              </w:rPr>
            </w:pPr>
            <w:r w:rsidRPr="00050598">
              <w:rPr>
                <w:rFonts w:eastAsia="Times New Roman" w:cs="Arial"/>
                <w:b/>
                <w:bCs/>
                <w:color w:val="000000"/>
                <w:szCs w:val="20"/>
                <w:lang w:eastAsia="fr-FR"/>
              </w:rPr>
              <w:t>Regional Eastern Europe and South Caucasus</w:t>
            </w:r>
          </w:p>
        </w:tc>
      </w:tr>
      <w:tr w:rsidR="00A04033" w:rsidRPr="001C5AB1" w14:paraId="292712CF"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59B5F4" w14:textId="77777777" w:rsidR="00067458" w:rsidRPr="001C5AB1" w:rsidRDefault="00067458" w:rsidP="00412260">
            <w:pPr>
              <w:jc w:val="center"/>
              <w:rPr>
                <w:rFonts w:eastAsia="Times New Roman" w:cs="Arial"/>
                <w:color w:val="000000"/>
                <w:szCs w:val="20"/>
                <w:lang w:eastAsia="fr-FR"/>
              </w:rPr>
            </w:pPr>
            <w:r w:rsidRPr="001C5AB1">
              <w:rPr>
                <w:rFonts w:eastAsia="Times New Roman" w:cs="Arial"/>
                <w:color w:val="000000"/>
                <w:szCs w:val="20"/>
                <w:lang w:eastAsia="fr-FR"/>
              </w:rPr>
              <w:t>ENI</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36A619CC" w14:textId="77777777" w:rsidR="00067458" w:rsidRPr="001C5AB1" w:rsidRDefault="00067458" w:rsidP="00412260">
            <w:pPr>
              <w:rPr>
                <w:rFonts w:eastAsia="Times New Roman" w:cs="Arial"/>
                <w:color w:val="000000"/>
                <w:szCs w:val="20"/>
                <w:lang w:eastAsia="fr-FR"/>
              </w:rPr>
            </w:pPr>
            <w:r w:rsidRPr="001C5AB1">
              <w:rPr>
                <w:rFonts w:cs="Arial"/>
                <w:color w:val="000000"/>
                <w:szCs w:val="20"/>
              </w:rPr>
              <w:t>Partnership for Good Governance II</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D387DE1" w14:textId="77777777" w:rsidR="00067458" w:rsidRPr="001C5AB1" w:rsidRDefault="00067458" w:rsidP="00412260">
            <w:pPr>
              <w:jc w:val="center"/>
              <w:rPr>
                <w:rFonts w:eastAsia="Times New Roman" w:cs="Arial"/>
                <w:color w:val="000000"/>
                <w:szCs w:val="20"/>
                <w:lang w:eastAsia="fr-FR"/>
              </w:rPr>
            </w:pPr>
            <w:r w:rsidRPr="001C5AB1">
              <w:rPr>
                <w:rFonts w:cs="Arial"/>
                <w:color w:val="000000"/>
                <w:szCs w:val="20"/>
              </w:rPr>
              <w:t>01/01/2019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B41E141" w14:textId="77777777" w:rsidR="00067458" w:rsidRPr="001C5AB1" w:rsidRDefault="00067458" w:rsidP="00412260">
            <w:pPr>
              <w:jc w:val="center"/>
              <w:rPr>
                <w:rFonts w:eastAsia="Times New Roman" w:cs="Arial"/>
                <w:color w:val="000000"/>
                <w:szCs w:val="20"/>
                <w:lang w:eastAsia="fr-FR"/>
              </w:rPr>
            </w:pPr>
            <w:r w:rsidRPr="001C5AB1">
              <w:rPr>
                <w:rFonts w:cs="Arial"/>
                <w:color w:val="000000"/>
                <w:szCs w:val="20"/>
              </w:rPr>
              <w:t>31/08/2022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96B3D26" w14:textId="77777777" w:rsidR="00067458" w:rsidRPr="001C5AB1" w:rsidRDefault="00067458" w:rsidP="00412260">
            <w:pPr>
              <w:jc w:val="right"/>
              <w:rPr>
                <w:rFonts w:eastAsia="Times New Roman" w:cs="Arial"/>
                <w:color w:val="000000"/>
                <w:szCs w:val="20"/>
                <w:lang w:eastAsia="fr-FR"/>
              </w:rPr>
            </w:pPr>
            <w:r w:rsidRPr="001C5AB1">
              <w:rPr>
                <w:rFonts w:cs="Arial"/>
                <w:color w:val="000000"/>
                <w:szCs w:val="20"/>
              </w:rPr>
              <w:t xml:space="preserve">17 500 000.00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3215C009" w14:textId="77777777" w:rsidR="00067458" w:rsidRPr="001C5AB1" w:rsidRDefault="00067458" w:rsidP="00412260">
            <w:pPr>
              <w:jc w:val="right"/>
              <w:rPr>
                <w:rFonts w:eastAsia="Times New Roman" w:cs="Arial"/>
                <w:color w:val="000000"/>
                <w:szCs w:val="20"/>
                <w:lang w:eastAsia="fr-FR"/>
              </w:rPr>
            </w:pPr>
            <w:r w:rsidRPr="001C5AB1">
              <w:rPr>
                <w:rFonts w:cs="Arial"/>
                <w:color w:val="000000"/>
                <w:szCs w:val="20"/>
              </w:rPr>
              <w:t xml:space="preserve">14 000 000.00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0774DBF6" w14:textId="77777777" w:rsidR="00067458" w:rsidRPr="001C5AB1" w:rsidRDefault="00067458" w:rsidP="00412260">
            <w:pPr>
              <w:jc w:val="right"/>
              <w:rPr>
                <w:rFonts w:eastAsia="Times New Roman" w:cs="Arial"/>
                <w:color w:val="000000"/>
                <w:szCs w:val="20"/>
                <w:lang w:eastAsia="fr-FR"/>
              </w:rPr>
            </w:pPr>
            <w:r w:rsidRPr="001C5AB1">
              <w:rPr>
                <w:rFonts w:cs="Arial"/>
                <w:color w:val="000000"/>
                <w:szCs w:val="20"/>
              </w:rPr>
              <w:t xml:space="preserve">3 500 000.00  </w:t>
            </w:r>
          </w:p>
        </w:tc>
      </w:tr>
      <w:tr w:rsidR="00A04033" w:rsidRPr="001C5AB1" w14:paraId="7D7ABA63"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B0949A4" w14:textId="77777777" w:rsidR="00067458" w:rsidRPr="001C5AB1" w:rsidRDefault="00067458" w:rsidP="00412260">
            <w:pPr>
              <w:jc w:val="center"/>
              <w:rPr>
                <w:rFonts w:eastAsia="Times New Roman" w:cs="Arial"/>
                <w:color w:val="000000"/>
                <w:szCs w:val="20"/>
                <w:lang w:eastAsia="fr-FR"/>
              </w:rPr>
            </w:pPr>
            <w:r w:rsidRPr="001C5AB1">
              <w:rPr>
                <w:rFonts w:eastAsia="Times New Roman" w:cs="Arial"/>
                <w:color w:val="000000"/>
                <w:szCs w:val="20"/>
                <w:lang w:eastAsia="fr-FR"/>
              </w:rPr>
              <w:t>ENI</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0E5B0C7F" w14:textId="77777777" w:rsidR="00067458" w:rsidRPr="001C5AB1" w:rsidRDefault="00067458" w:rsidP="00412260">
            <w:pPr>
              <w:rPr>
                <w:rFonts w:eastAsia="Times New Roman" w:cs="Arial"/>
                <w:color w:val="000000"/>
                <w:szCs w:val="20"/>
                <w:lang w:eastAsia="fr-FR"/>
              </w:rPr>
            </w:pPr>
            <w:r w:rsidRPr="001C5AB1">
              <w:rPr>
                <w:rFonts w:cs="Arial"/>
                <w:color w:val="000000"/>
                <w:szCs w:val="20"/>
              </w:rPr>
              <w:t xml:space="preserve">CyberEast - Action on Cybercrime for Cyber Resilience in the Eastern Partnership Region </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5FB1789" w14:textId="77777777" w:rsidR="00067458" w:rsidRPr="001C5AB1" w:rsidRDefault="00067458" w:rsidP="00412260">
            <w:pPr>
              <w:jc w:val="center"/>
              <w:rPr>
                <w:rFonts w:cs="Arial"/>
                <w:szCs w:val="20"/>
              </w:rPr>
            </w:pPr>
            <w:r w:rsidRPr="001C5AB1">
              <w:rPr>
                <w:rFonts w:cs="Arial"/>
                <w:color w:val="000000"/>
                <w:szCs w:val="20"/>
              </w:rPr>
              <w:t>20/06/2019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CC2D3D7" w14:textId="77777777" w:rsidR="00067458" w:rsidRPr="001C5AB1" w:rsidRDefault="00067458" w:rsidP="00412260">
            <w:pPr>
              <w:jc w:val="center"/>
              <w:rPr>
                <w:rFonts w:cs="Arial"/>
                <w:szCs w:val="20"/>
              </w:rPr>
            </w:pPr>
            <w:r w:rsidRPr="001C5AB1">
              <w:rPr>
                <w:rFonts w:cs="Arial"/>
                <w:color w:val="000000"/>
                <w:szCs w:val="20"/>
              </w:rPr>
              <w:t>19/12/2023</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79459640" w14:textId="77777777" w:rsidR="00067458" w:rsidRPr="001C5AB1" w:rsidRDefault="00067458" w:rsidP="00412260">
            <w:pPr>
              <w:jc w:val="right"/>
              <w:rPr>
                <w:rFonts w:cs="Arial"/>
                <w:szCs w:val="20"/>
              </w:rPr>
            </w:pPr>
            <w:r w:rsidRPr="001C5AB1">
              <w:rPr>
                <w:rFonts w:cs="Arial"/>
                <w:color w:val="000000"/>
                <w:szCs w:val="20"/>
              </w:rPr>
              <w:t xml:space="preserve">5 333 333.00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7DA20976" w14:textId="77777777" w:rsidR="00067458" w:rsidRPr="001C5AB1" w:rsidRDefault="00067458" w:rsidP="00412260">
            <w:pPr>
              <w:jc w:val="right"/>
              <w:rPr>
                <w:rFonts w:cs="Arial"/>
                <w:szCs w:val="20"/>
              </w:rPr>
            </w:pPr>
            <w:r w:rsidRPr="001C5AB1">
              <w:rPr>
                <w:rFonts w:cs="Arial"/>
                <w:color w:val="000000"/>
                <w:szCs w:val="20"/>
              </w:rPr>
              <w:t xml:space="preserve">4 800 000.00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4C51E994" w14:textId="77777777" w:rsidR="00067458" w:rsidRPr="001C5AB1" w:rsidRDefault="00067458" w:rsidP="00412260">
            <w:pPr>
              <w:jc w:val="right"/>
              <w:rPr>
                <w:rFonts w:cs="Arial"/>
                <w:szCs w:val="20"/>
              </w:rPr>
            </w:pPr>
            <w:r w:rsidRPr="001C5AB1">
              <w:rPr>
                <w:rFonts w:cs="Arial"/>
                <w:color w:val="000000"/>
                <w:szCs w:val="20"/>
              </w:rPr>
              <w:t xml:space="preserve">533 333.00  </w:t>
            </w:r>
          </w:p>
        </w:tc>
      </w:tr>
      <w:tr w:rsidR="00A04033" w:rsidRPr="001C5AB1" w14:paraId="0374478A"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84D702F" w14:textId="77777777" w:rsidR="00067458" w:rsidRPr="001C5AB1" w:rsidRDefault="00067458" w:rsidP="00412260">
            <w:pPr>
              <w:jc w:val="center"/>
              <w:rPr>
                <w:rFonts w:eastAsia="Times New Roman" w:cs="Arial"/>
                <w:color w:val="000000"/>
                <w:szCs w:val="20"/>
                <w:lang w:eastAsia="fr-FR"/>
              </w:rPr>
            </w:pPr>
            <w:r w:rsidRPr="001C5AB1">
              <w:rPr>
                <w:rFonts w:eastAsia="Times New Roman" w:cs="Arial"/>
                <w:color w:val="000000"/>
                <w:szCs w:val="20"/>
                <w:lang w:eastAsia="fr-FR"/>
              </w:rPr>
              <w:t>ENI</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7DD59D9A" w14:textId="77777777" w:rsidR="00067458" w:rsidRPr="001C5AB1" w:rsidRDefault="00067458" w:rsidP="00412260">
            <w:pPr>
              <w:rPr>
                <w:rFonts w:eastAsia="Times New Roman" w:cs="Arial"/>
                <w:color w:val="000000"/>
                <w:szCs w:val="20"/>
                <w:lang w:eastAsia="fr-FR"/>
              </w:rPr>
            </w:pPr>
            <w:r w:rsidRPr="001C5AB1">
              <w:rPr>
                <w:rFonts w:cs="Arial"/>
                <w:color w:val="000000"/>
                <w:szCs w:val="20"/>
              </w:rPr>
              <w:t>Support for a better evaluation of the result of judicial reform efforts in the Eastern Partnership ‘Justice Dashboard EaP’</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70C17AF" w14:textId="77777777" w:rsidR="00067458" w:rsidRPr="001C5AB1" w:rsidRDefault="00067458" w:rsidP="00412260">
            <w:pPr>
              <w:jc w:val="center"/>
              <w:rPr>
                <w:rFonts w:cs="Arial"/>
                <w:szCs w:val="20"/>
              </w:rPr>
            </w:pPr>
            <w:r w:rsidRPr="001C5AB1">
              <w:rPr>
                <w:rFonts w:cs="Arial"/>
                <w:color w:val="000000"/>
                <w:szCs w:val="20"/>
              </w:rPr>
              <w:t>15/01/2021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5F53610" w14:textId="77777777" w:rsidR="00067458" w:rsidRPr="001C5AB1" w:rsidRDefault="00067458" w:rsidP="00412260">
            <w:pPr>
              <w:jc w:val="center"/>
              <w:rPr>
                <w:rFonts w:cs="Arial"/>
                <w:szCs w:val="20"/>
              </w:rPr>
            </w:pPr>
            <w:r w:rsidRPr="001C5AB1">
              <w:rPr>
                <w:rFonts w:cs="Arial"/>
                <w:color w:val="000000"/>
                <w:szCs w:val="20"/>
              </w:rPr>
              <w:t>14/01/2024</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5B280B6E" w14:textId="77777777" w:rsidR="00067458" w:rsidRPr="001C5AB1" w:rsidRDefault="00067458" w:rsidP="00412260">
            <w:pPr>
              <w:jc w:val="right"/>
              <w:rPr>
                <w:rFonts w:cs="Arial"/>
                <w:szCs w:val="20"/>
              </w:rPr>
            </w:pPr>
            <w:r w:rsidRPr="001C5AB1">
              <w:rPr>
                <w:rFonts w:cs="Arial"/>
                <w:color w:val="000000"/>
                <w:szCs w:val="20"/>
              </w:rPr>
              <w:t xml:space="preserve">2 223 000.00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2A4B7279" w14:textId="77777777" w:rsidR="00067458" w:rsidRPr="001C5AB1" w:rsidRDefault="00067458" w:rsidP="00412260">
            <w:pPr>
              <w:jc w:val="right"/>
              <w:rPr>
                <w:rFonts w:cs="Arial"/>
                <w:szCs w:val="20"/>
              </w:rPr>
            </w:pPr>
            <w:r w:rsidRPr="001C5AB1">
              <w:rPr>
                <w:rFonts w:cs="Arial"/>
                <w:color w:val="000000"/>
                <w:szCs w:val="20"/>
              </w:rPr>
              <w:t xml:space="preserve">2 000 000.00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2B735AEF" w14:textId="77777777" w:rsidR="00067458" w:rsidRPr="001C5AB1" w:rsidRDefault="00067458" w:rsidP="00412260">
            <w:pPr>
              <w:jc w:val="right"/>
              <w:rPr>
                <w:rFonts w:cs="Arial"/>
                <w:szCs w:val="20"/>
              </w:rPr>
            </w:pPr>
            <w:r w:rsidRPr="001C5AB1">
              <w:rPr>
                <w:rFonts w:cs="Arial"/>
                <w:color w:val="000000"/>
                <w:szCs w:val="20"/>
              </w:rPr>
              <w:t xml:space="preserve">223 000.00  </w:t>
            </w:r>
          </w:p>
        </w:tc>
      </w:tr>
      <w:tr w:rsidR="00067458" w:rsidRPr="00032312" w14:paraId="6FE02B2E" w14:textId="77777777" w:rsidTr="00A04033">
        <w:trPr>
          <w:trHeight w:val="600"/>
        </w:trPr>
        <w:tc>
          <w:tcPr>
            <w:tcW w:w="5000" w:type="pct"/>
            <w:gridSpan w:val="7"/>
            <w:tcBorders>
              <w:top w:val="single" w:sz="4" w:space="0" w:color="auto"/>
              <w:left w:val="single" w:sz="4" w:space="0" w:color="auto"/>
              <w:bottom w:val="single" w:sz="4" w:space="0" w:color="auto"/>
              <w:right w:val="single" w:sz="4" w:space="0" w:color="000000"/>
            </w:tcBorders>
            <w:shd w:val="clear" w:color="000000" w:fill="5B9BD5"/>
            <w:vAlign w:val="center"/>
            <w:hideMark/>
          </w:tcPr>
          <w:p w14:paraId="1EE91BE7" w14:textId="77777777" w:rsidR="00067458" w:rsidRPr="003C24F7" w:rsidRDefault="00067458" w:rsidP="00412260">
            <w:pPr>
              <w:rPr>
                <w:rFonts w:eastAsia="Times New Roman" w:cs="Arial"/>
                <w:b/>
                <w:bCs/>
                <w:color w:val="000000"/>
                <w:szCs w:val="20"/>
                <w:lang w:eastAsia="fr-FR"/>
              </w:rPr>
            </w:pPr>
            <w:r w:rsidRPr="003C24F7">
              <w:rPr>
                <w:rFonts w:eastAsia="Times New Roman" w:cs="Arial"/>
                <w:b/>
                <w:bCs/>
                <w:color w:val="000000"/>
                <w:szCs w:val="20"/>
                <w:lang w:eastAsia="fr-FR"/>
              </w:rPr>
              <w:t xml:space="preserve">Multilateral </w:t>
            </w:r>
          </w:p>
        </w:tc>
      </w:tr>
      <w:tr w:rsidR="00A04033" w:rsidRPr="003B29B1" w14:paraId="0DDEFF04"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5E581BF"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 xml:space="preserve">DG JUST </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50AF1D94" w14:textId="77777777" w:rsidR="00067458" w:rsidRPr="003B29B1" w:rsidRDefault="00067458" w:rsidP="00412260">
            <w:pPr>
              <w:rPr>
                <w:rFonts w:eastAsia="Times New Roman" w:cs="Arial"/>
                <w:color w:val="000000"/>
                <w:szCs w:val="20"/>
                <w:lang w:eastAsia="fr-FR"/>
              </w:rPr>
            </w:pPr>
            <w:r w:rsidRPr="003B29B1">
              <w:rPr>
                <w:rFonts w:cs="Arial"/>
                <w:color w:val="000000"/>
                <w:szCs w:val="20"/>
              </w:rPr>
              <w:t>Space reports and European NPM Forum</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90EA283"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01/10/2019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17D5D12"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30/09/2021</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71686170" w14:textId="77777777" w:rsidR="00067458" w:rsidRPr="003B29B1" w:rsidRDefault="00067458" w:rsidP="00412260">
            <w:pPr>
              <w:jc w:val="right"/>
              <w:rPr>
                <w:rFonts w:eastAsia="Times New Roman" w:cs="Arial"/>
                <w:color w:val="000000"/>
                <w:szCs w:val="20"/>
                <w:lang w:eastAsia="fr-FR"/>
              </w:rPr>
            </w:pPr>
            <w:r w:rsidRPr="003B29B1">
              <w:rPr>
                <w:rFonts w:cs="Arial"/>
                <w:color w:val="000000"/>
                <w:szCs w:val="20"/>
              </w:rPr>
              <w:t xml:space="preserve">375 000.00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4C6F0717" w14:textId="77777777" w:rsidR="00067458" w:rsidRPr="003B29B1" w:rsidRDefault="00067458" w:rsidP="00412260">
            <w:pPr>
              <w:jc w:val="right"/>
              <w:rPr>
                <w:rFonts w:eastAsia="Times New Roman" w:cs="Arial"/>
                <w:color w:val="000000"/>
                <w:szCs w:val="20"/>
                <w:lang w:eastAsia="fr-FR"/>
              </w:rPr>
            </w:pPr>
            <w:r w:rsidRPr="003B29B1">
              <w:rPr>
                <w:rFonts w:cs="Arial"/>
                <w:color w:val="000000"/>
                <w:szCs w:val="20"/>
              </w:rPr>
              <w:t xml:space="preserve">300 000.00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5A6FCB81" w14:textId="77777777" w:rsidR="00067458" w:rsidRPr="003B29B1" w:rsidRDefault="00067458" w:rsidP="00412260">
            <w:pPr>
              <w:jc w:val="right"/>
              <w:rPr>
                <w:rFonts w:eastAsia="Times New Roman" w:cs="Arial"/>
                <w:color w:val="000000"/>
                <w:szCs w:val="20"/>
                <w:lang w:eastAsia="fr-FR"/>
              </w:rPr>
            </w:pPr>
            <w:r w:rsidRPr="003B29B1">
              <w:rPr>
                <w:rFonts w:cs="Arial"/>
                <w:color w:val="000000"/>
                <w:szCs w:val="20"/>
              </w:rPr>
              <w:t xml:space="preserve">75 000.00  </w:t>
            </w:r>
          </w:p>
        </w:tc>
      </w:tr>
      <w:tr w:rsidR="00A04033" w:rsidRPr="003B29B1" w14:paraId="2B357DED"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EE9E630"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IfSP</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2E309FF2" w14:textId="77777777" w:rsidR="00067458" w:rsidRPr="003B29B1" w:rsidRDefault="00067458" w:rsidP="00412260">
            <w:pPr>
              <w:rPr>
                <w:rFonts w:eastAsia="Times New Roman" w:cs="Arial"/>
                <w:color w:val="000000"/>
                <w:szCs w:val="20"/>
                <w:lang w:eastAsia="fr-FR"/>
              </w:rPr>
            </w:pPr>
            <w:r w:rsidRPr="003B29B1">
              <w:rPr>
                <w:rFonts w:cs="Arial"/>
                <w:color w:val="000000"/>
                <w:szCs w:val="20"/>
              </w:rPr>
              <w:t>Global Action on Cybercrime extended (GLACY+)</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A74DEF5"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01/03/2016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09A20E4"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29/02/2024</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03EC9409" w14:textId="77777777" w:rsidR="00067458" w:rsidRPr="003B29B1" w:rsidRDefault="00067458" w:rsidP="00412260">
            <w:pPr>
              <w:jc w:val="right"/>
              <w:rPr>
                <w:rFonts w:eastAsia="Times New Roman" w:cs="Arial"/>
                <w:color w:val="000000"/>
                <w:szCs w:val="20"/>
                <w:lang w:eastAsia="fr-FR"/>
              </w:rPr>
            </w:pPr>
            <w:r w:rsidRPr="003B29B1">
              <w:rPr>
                <w:rFonts w:cs="Arial"/>
                <w:color w:val="000000"/>
                <w:szCs w:val="20"/>
              </w:rPr>
              <w:t xml:space="preserve">18 890 000.00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25F7E281" w14:textId="77777777" w:rsidR="00067458" w:rsidRPr="003B29B1" w:rsidRDefault="00067458" w:rsidP="00412260">
            <w:pPr>
              <w:jc w:val="right"/>
              <w:rPr>
                <w:rFonts w:eastAsia="Times New Roman" w:cs="Arial"/>
                <w:color w:val="000000"/>
                <w:szCs w:val="20"/>
                <w:lang w:eastAsia="fr-FR"/>
              </w:rPr>
            </w:pPr>
            <w:r w:rsidRPr="003B29B1">
              <w:rPr>
                <w:rFonts w:cs="Arial"/>
                <w:color w:val="000000"/>
                <w:szCs w:val="20"/>
              </w:rPr>
              <w:t xml:space="preserve">17 000 000.00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31B94269" w14:textId="77777777" w:rsidR="00067458" w:rsidRPr="003B29B1" w:rsidRDefault="00067458" w:rsidP="00412260">
            <w:pPr>
              <w:jc w:val="right"/>
              <w:rPr>
                <w:rFonts w:eastAsia="Times New Roman" w:cs="Arial"/>
                <w:color w:val="000000"/>
                <w:szCs w:val="20"/>
                <w:lang w:eastAsia="fr-FR"/>
              </w:rPr>
            </w:pPr>
            <w:r w:rsidRPr="003B29B1">
              <w:rPr>
                <w:rFonts w:cs="Arial"/>
                <w:color w:val="000000"/>
                <w:szCs w:val="20"/>
              </w:rPr>
              <w:t xml:space="preserve">1 890 000.00  </w:t>
            </w:r>
          </w:p>
        </w:tc>
      </w:tr>
      <w:tr w:rsidR="00A04033" w:rsidRPr="003B29B1" w14:paraId="6F5E9CA1"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E2CC763"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DCI - NSA</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56E9F615" w14:textId="77777777" w:rsidR="00067458" w:rsidRPr="003B29B1" w:rsidRDefault="00067458" w:rsidP="00412260">
            <w:pPr>
              <w:rPr>
                <w:rFonts w:eastAsia="Times New Roman" w:cs="Arial"/>
                <w:color w:val="000000"/>
                <w:szCs w:val="20"/>
                <w:lang w:eastAsia="fr-FR"/>
              </w:rPr>
            </w:pPr>
            <w:r w:rsidRPr="003B29B1">
              <w:rPr>
                <w:rFonts w:cs="Arial"/>
                <w:color w:val="000000"/>
                <w:szCs w:val="20"/>
              </w:rPr>
              <w:t>iLEGEND II, Intercultural Learning Exchange through Global Education, Networking and Dialogue</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8926AA7"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24/10/2019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4127F81"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23/10/2022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64B254D9" w14:textId="77777777" w:rsidR="00067458" w:rsidRPr="003B29B1" w:rsidRDefault="00067458" w:rsidP="00412260">
            <w:pPr>
              <w:jc w:val="right"/>
              <w:rPr>
                <w:rFonts w:eastAsia="Times New Roman" w:cs="Arial"/>
                <w:color w:val="000000"/>
                <w:szCs w:val="20"/>
                <w:lang w:eastAsia="fr-FR"/>
              </w:rPr>
            </w:pPr>
            <w:r w:rsidRPr="003B29B1">
              <w:rPr>
                <w:rFonts w:cs="Arial"/>
                <w:color w:val="000000"/>
                <w:szCs w:val="20"/>
              </w:rPr>
              <w:t xml:space="preserve">1 333 333.00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286DF2A2" w14:textId="77777777" w:rsidR="00067458" w:rsidRPr="003B29B1" w:rsidRDefault="00067458" w:rsidP="00412260">
            <w:pPr>
              <w:jc w:val="right"/>
              <w:rPr>
                <w:rFonts w:eastAsia="Times New Roman" w:cs="Arial"/>
                <w:color w:val="000000"/>
                <w:szCs w:val="20"/>
                <w:lang w:eastAsia="fr-FR"/>
              </w:rPr>
            </w:pPr>
            <w:r w:rsidRPr="003B29B1">
              <w:rPr>
                <w:rFonts w:cs="Arial"/>
                <w:color w:val="000000"/>
                <w:szCs w:val="20"/>
              </w:rPr>
              <w:t xml:space="preserve">1 000 000.00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1D01F69D" w14:textId="77777777" w:rsidR="00067458" w:rsidRPr="003B29B1" w:rsidRDefault="00067458" w:rsidP="00412260">
            <w:pPr>
              <w:jc w:val="right"/>
              <w:rPr>
                <w:rFonts w:eastAsia="Times New Roman" w:cs="Arial"/>
                <w:color w:val="000000"/>
                <w:szCs w:val="20"/>
                <w:lang w:eastAsia="fr-FR"/>
              </w:rPr>
            </w:pPr>
            <w:r w:rsidRPr="003B29B1">
              <w:rPr>
                <w:rFonts w:cs="Arial"/>
                <w:color w:val="000000"/>
                <w:szCs w:val="20"/>
              </w:rPr>
              <w:t xml:space="preserve">333 333.00  </w:t>
            </w:r>
          </w:p>
        </w:tc>
      </w:tr>
      <w:tr w:rsidR="00A04033" w:rsidRPr="003B29B1" w14:paraId="661E65CA"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BABC427"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DG EAC</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2790C2CB" w14:textId="77777777" w:rsidR="00067458" w:rsidRPr="003B29B1" w:rsidRDefault="00067458" w:rsidP="00412260">
            <w:pPr>
              <w:rPr>
                <w:rFonts w:eastAsia="Times New Roman" w:cs="Arial"/>
                <w:color w:val="000000"/>
                <w:szCs w:val="20"/>
                <w:lang w:eastAsia="fr-FR"/>
              </w:rPr>
            </w:pPr>
            <w:r w:rsidRPr="003B29B1">
              <w:rPr>
                <w:rFonts w:cs="Arial"/>
                <w:color w:val="000000"/>
                <w:szCs w:val="20"/>
              </w:rPr>
              <w:t xml:space="preserve">Democratic and Inclusive School Culture in Operation (DISCO 2020-2021) </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78DA92E"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01/01/2020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0A035D6"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31/12/2021</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6D3E0A69" w14:textId="77777777" w:rsidR="00067458" w:rsidRPr="003B29B1" w:rsidRDefault="00067458" w:rsidP="00412260">
            <w:pPr>
              <w:jc w:val="right"/>
              <w:rPr>
                <w:rFonts w:eastAsia="Times New Roman" w:cs="Arial"/>
                <w:color w:val="000000"/>
                <w:szCs w:val="20"/>
                <w:lang w:eastAsia="fr-FR"/>
              </w:rPr>
            </w:pPr>
            <w:r w:rsidRPr="003B29B1">
              <w:rPr>
                <w:rFonts w:cs="Arial"/>
                <w:color w:val="000000"/>
                <w:szCs w:val="20"/>
              </w:rPr>
              <w:t xml:space="preserve">1 150 000.00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00225CC7" w14:textId="77777777" w:rsidR="00067458" w:rsidRPr="003B29B1" w:rsidRDefault="00067458" w:rsidP="00412260">
            <w:pPr>
              <w:jc w:val="right"/>
              <w:rPr>
                <w:rFonts w:eastAsia="Times New Roman" w:cs="Arial"/>
                <w:color w:val="000000"/>
                <w:szCs w:val="20"/>
                <w:lang w:eastAsia="fr-FR"/>
              </w:rPr>
            </w:pPr>
            <w:r w:rsidRPr="003B29B1">
              <w:rPr>
                <w:rFonts w:cs="Arial"/>
                <w:color w:val="000000"/>
                <w:szCs w:val="20"/>
              </w:rPr>
              <w:t xml:space="preserve">690 000.00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414DF0DF" w14:textId="77777777" w:rsidR="00067458" w:rsidRPr="003B29B1" w:rsidRDefault="00067458" w:rsidP="00412260">
            <w:pPr>
              <w:jc w:val="right"/>
              <w:rPr>
                <w:rFonts w:eastAsia="Times New Roman" w:cs="Arial"/>
                <w:color w:val="000000"/>
                <w:szCs w:val="20"/>
                <w:lang w:eastAsia="fr-FR"/>
              </w:rPr>
            </w:pPr>
            <w:r w:rsidRPr="003B29B1">
              <w:rPr>
                <w:rFonts w:cs="Arial"/>
                <w:color w:val="000000"/>
                <w:szCs w:val="20"/>
              </w:rPr>
              <w:t xml:space="preserve">460 000.00  </w:t>
            </w:r>
          </w:p>
        </w:tc>
      </w:tr>
      <w:tr w:rsidR="00A04033" w:rsidRPr="003B29B1" w14:paraId="78ABDF49"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733E940"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DG EAC</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5D88012F" w14:textId="77777777" w:rsidR="00067458" w:rsidRPr="003B29B1" w:rsidRDefault="00067458" w:rsidP="00412260">
            <w:pPr>
              <w:rPr>
                <w:rFonts w:eastAsia="Times New Roman" w:cs="Arial"/>
                <w:color w:val="000000"/>
                <w:szCs w:val="20"/>
                <w:lang w:eastAsia="fr-FR"/>
              </w:rPr>
            </w:pPr>
            <w:r w:rsidRPr="003B29B1">
              <w:rPr>
                <w:rFonts w:cs="Arial"/>
                <w:color w:val="000000"/>
                <w:szCs w:val="20"/>
              </w:rPr>
              <w:t>European Heritage Days 2020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5A2461C"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01/01/2020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D68786F"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31/12/2021</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2BE1397B" w14:textId="77777777" w:rsidR="00067458" w:rsidRPr="003B29B1" w:rsidRDefault="00067458" w:rsidP="00412260">
            <w:pPr>
              <w:jc w:val="right"/>
              <w:rPr>
                <w:rFonts w:eastAsia="Times New Roman" w:cs="Arial"/>
                <w:color w:val="000000"/>
                <w:szCs w:val="20"/>
                <w:lang w:eastAsia="fr-FR"/>
              </w:rPr>
            </w:pPr>
            <w:r w:rsidRPr="003B29B1">
              <w:rPr>
                <w:rFonts w:cs="Arial"/>
                <w:color w:val="000000"/>
                <w:szCs w:val="20"/>
              </w:rPr>
              <w:t xml:space="preserve">800 000.00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7A66E099" w14:textId="77777777" w:rsidR="00067458" w:rsidRPr="003B29B1" w:rsidRDefault="00067458" w:rsidP="00412260">
            <w:pPr>
              <w:jc w:val="right"/>
              <w:rPr>
                <w:rFonts w:eastAsia="Times New Roman" w:cs="Arial"/>
                <w:color w:val="000000"/>
                <w:szCs w:val="20"/>
                <w:lang w:eastAsia="fr-FR"/>
              </w:rPr>
            </w:pPr>
            <w:r w:rsidRPr="003B29B1">
              <w:rPr>
                <w:rFonts w:cs="Arial"/>
                <w:color w:val="000000"/>
                <w:szCs w:val="20"/>
              </w:rPr>
              <w:t xml:space="preserve">400 000.00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57C34145" w14:textId="77777777" w:rsidR="00067458" w:rsidRPr="003B29B1" w:rsidRDefault="00067458" w:rsidP="00412260">
            <w:pPr>
              <w:jc w:val="right"/>
              <w:rPr>
                <w:rFonts w:eastAsia="Times New Roman" w:cs="Arial"/>
                <w:color w:val="000000"/>
                <w:szCs w:val="20"/>
                <w:lang w:eastAsia="fr-FR"/>
              </w:rPr>
            </w:pPr>
            <w:r w:rsidRPr="003B29B1">
              <w:rPr>
                <w:rFonts w:cs="Arial"/>
                <w:color w:val="000000"/>
                <w:szCs w:val="20"/>
              </w:rPr>
              <w:t xml:space="preserve">400 000.00  </w:t>
            </w:r>
          </w:p>
        </w:tc>
      </w:tr>
      <w:tr w:rsidR="00A04033" w:rsidRPr="003B29B1" w14:paraId="4ED3A80C"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4A1F0F2"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DG EAC</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03A576D1" w14:textId="77777777" w:rsidR="00067458" w:rsidRPr="003B29B1" w:rsidRDefault="00067458" w:rsidP="00412260">
            <w:pPr>
              <w:rPr>
                <w:rFonts w:eastAsia="Times New Roman" w:cs="Arial"/>
                <w:color w:val="000000"/>
                <w:szCs w:val="20"/>
                <w:lang w:eastAsia="fr-FR"/>
              </w:rPr>
            </w:pPr>
            <w:r w:rsidRPr="003B29B1">
              <w:rPr>
                <w:rFonts w:cs="Arial"/>
                <w:color w:val="000000"/>
                <w:szCs w:val="20"/>
              </w:rPr>
              <w:t>The Partnership between the European Commission and the</w:t>
            </w:r>
            <w:r w:rsidRPr="003B29B1">
              <w:rPr>
                <w:rFonts w:cs="Arial"/>
                <w:color w:val="000000"/>
                <w:szCs w:val="20"/>
              </w:rPr>
              <w:br/>
              <w:t>Council of Europe in the field of youth 2021 agreement (YP 2021)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DCBEFFC"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01/01/2021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3C2A25E"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31/12/2021</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2CDBA187" w14:textId="77777777" w:rsidR="00067458" w:rsidRPr="003B29B1" w:rsidRDefault="00067458" w:rsidP="00412260">
            <w:pPr>
              <w:jc w:val="right"/>
              <w:rPr>
                <w:rFonts w:eastAsia="Times New Roman" w:cs="Arial"/>
                <w:color w:val="000000"/>
                <w:szCs w:val="20"/>
                <w:lang w:eastAsia="fr-FR"/>
              </w:rPr>
            </w:pPr>
            <w:r w:rsidRPr="003B29B1">
              <w:rPr>
                <w:rFonts w:cs="Arial"/>
                <w:color w:val="000000"/>
                <w:szCs w:val="20"/>
              </w:rPr>
              <w:t xml:space="preserve">1 200 000.00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00D0866C" w14:textId="77777777" w:rsidR="00067458" w:rsidRPr="003B29B1" w:rsidRDefault="00067458" w:rsidP="00412260">
            <w:pPr>
              <w:jc w:val="right"/>
              <w:rPr>
                <w:rFonts w:eastAsia="Times New Roman" w:cs="Arial"/>
                <w:color w:val="000000"/>
                <w:szCs w:val="20"/>
                <w:lang w:eastAsia="fr-FR"/>
              </w:rPr>
            </w:pPr>
            <w:r w:rsidRPr="003B29B1">
              <w:rPr>
                <w:rFonts w:cs="Arial"/>
                <w:color w:val="000000"/>
                <w:szCs w:val="20"/>
              </w:rPr>
              <w:t xml:space="preserve">600 000.00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5AC1908F" w14:textId="77777777" w:rsidR="00067458" w:rsidRPr="003B29B1" w:rsidRDefault="00067458" w:rsidP="00412260">
            <w:pPr>
              <w:jc w:val="right"/>
              <w:rPr>
                <w:rFonts w:eastAsia="Times New Roman" w:cs="Arial"/>
                <w:color w:val="000000"/>
                <w:szCs w:val="20"/>
                <w:lang w:eastAsia="fr-FR"/>
              </w:rPr>
            </w:pPr>
            <w:r w:rsidRPr="003B29B1">
              <w:rPr>
                <w:rFonts w:cs="Arial"/>
                <w:color w:val="000000"/>
                <w:szCs w:val="20"/>
              </w:rPr>
              <w:t xml:space="preserve">600 000.00  </w:t>
            </w:r>
          </w:p>
        </w:tc>
      </w:tr>
      <w:tr w:rsidR="00A04033" w:rsidRPr="003B29B1" w14:paraId="4E453A50"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8E2C175"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DG EAC</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1E246AF7" w14:textId="77777777" w:rsidR="00067458" w:rsidRPr="003B29B1" w:rsidRDefault="00067458" w:rsidP="00412260">
            <w:pPr>
              <w:rPr>
                <w:rFonts w:eastAsia="Times New Roman" w:cs="Arial"/>
                <w:color w:val="000000"/>
                <w:szCs w:val="20"/>
                <w:lang w:eastAsia="fr-FR"/>
              </w:rPr>
            </w:pPr>
            <w:r w:rsidRPr="003B29B1">
              <w:rPr>
                <w:rFonts w:cs="Arial"/>
                <w:color w:val="000000"/>
                <w:szCs w:val="20"/>
              </w:rPr>
              <w:t>European Heritage Days 2021-2022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62847D0" w14:textId="77777777" w:rsidR="00067458" w:rsidRPr="003B29B1" w:rsidRDefault="00067458" w:rsidP="00412260">
            <w:pPr>
              <w:jc w:val="center"/>
              <w:rPr>
                <w:rFonts w:cs="Arial"/>
                <w:szCs w:val="20"/>
              </w:rPr>
            </w:pPr>
            <w:r w:rsidRPr="003B29B1">
              <w:rPr>
                <w:rFonts w:cs="Arial"/>
                <w:color w:val="000000"/>
                <w:szCs w:val="20"/>
              </w:rPr>
              <w:t>01/10/2021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257FEB6" w14:textId="77777777" w:rsidR="00067458" w:rsidRPr="003B29B1" w:rsidRDefault="00067458" w:rsidP="00412260">
            <w:pPr>
              <w:jc w:val="center"/>
              <w:rPr>
                <w:rFonts w:cs="Arial"/>
                <w:szCs w:val="20"/>
              </w:rPr>
            </w:pPr>
            <w:r w:rsidRPr="003B29B1">
              <w:rPr>
                <w:rFonts w:cs="Arial"/>
                <w:color w:val="000000"/>
                <w:szCs w:val="20"/>
              </w:rPr>
              <w:t>31/03/2023</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04D3413F" w14:textId="77777777" w:rsidR="00067458" w:rsidRPr="003B29B1" w:rsidRDefault="00067458" w:rsidP="00412260">
            <w:pPr>
              <w:jc w:val="right"/>
              <w:rPr>
                <w:rFonts w:cs="Arial"/>
                <w:szCs w:val="20"/>
              </w:rPr>
            </w:pPr>
            <w:r w:rsidRPr="003B29B1">
              <w:rPr>
                <w:rFonts w:cs="Arial"/>
                <w:color w:val="000000"/>
                <w:szCs w:val="20"/>
              </w:rPr>
              <w:t xml:space="preserve">800 000.00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377AB90C" w14:textId="77777777" w:rsidR="00067458" w:rsidRPr="003B29B1" w:rsidRDefault="00067458" w:rsidP="00412260">
            <w:pPr>
              <w:jc w:val="right"/>
              <w:rPr>
                <w:rFonts w:cs="Arial"/>
                <w:szCs w:val="20"/>
              </w:rPr>
            </w:pPr>
            <w:r w:rsidRPr="003B29B1">
              <w:rPr>
                <w:rFonts w:cs="Arial"/>
                <w:color w:val="000000"/>
                <w:szCs w:val="20"/>
              </w:rPr>
              <w:t xml:space="preserve">400 000.00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7A19E3CD" w14:textId="77777777" w:rsidR="00067458" w:rsidRPr="003B29B1" w:rsidRDefault="00067458" w:rsidP="00412260">
            <w:pPr>
              <w:jc w:val="right"/>
              <w:rPr>
                <w:rFonts w:cs="Arial"/>
                <w:szCs w:val="20"/>
              </w:rPr>
            </w:pPr>
            <w:r w:rsidRPr="003B29B1">
              <w:rPr>
                <w:rFonts w:cs="Arial"/>
                <w:color w:val="000000"/>
                <w:szCs w:val="20"/>
              </w:rPr>
              <w:t xml:space="preserve">400 000.00  </w:t>
            </w:r>
          </w:p>
        </w:tc>
      </w:tr>
      <w:tr w:rsidR="00A04033" w:rsidRPr="003B29B1" w14:paraId="6324B3CF"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0DAFF3B" w14:textId="77777777" w:rsidR="00067458" w:rsidRPr="003B29B1" w:rsidRDefault="00067458" w:rsidP="00412260">
            <w:pPr>
              <w:jc w:val="center"/>
              <w:rPr>
                <w:rFonts w:eastAsia="Times New Roman" w:cs="Arial"/>
                <w:color w:val="000000"/>
                <w:szCs w:val="20"/>
                <w:lang w:eastAsia="fr-FR"/>
              </w:rPr>
            </w:pPr>
            <w:r w:rsidRPr="003B29B1">
              <w:rPr>
                <w:rFonts w:cs="Arial"/>
                <w:color w:val="000000"/>
                <w:szCs w:val="20"/>
              </w:rPr>
              <w:t>DG EAC</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7C7E510C" w14:textId="77777777" w:rsidR="00067458" w:rsidRPr="003B29B1" w:rsidRDefault="00067458" w:rsidP="00412260">
            <w:pPr>
              <w:rPr>
                <w:rFonts w:eastAsia="Times New Roman" w:cs="Arial"/>
                <w:color w:val="000000"/>
                <w:szCs w:val="20"/>
                <w:lang w:eastAsia="fr-FR"/>
              </w:rPr>
            </w:pPr>
            <w:r w:rsidRPr="003B29B1">
              <w:rPr>
                <w:rFonts w:cs="Arial"/>
                <w:color w:val="000000"/>
                <w:szCs w:val="20"/>
              </w:rPr>
              <w:t>The Faro Convention Way: enhanced participation in cultural heritage</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4F838AA" w14:textId="77777777" w:rsidR="00067458" w:rsidRPr="003B29B1" w:rsidRDefault="00067458" w:rsidP="00412260">
            <w:pPr>
              <w:jc w:val="center"/>
              <w:rPr>
                <w:rFonts w:cs="Arial"/>
                <w:szCs w:val="20"/>
              </w:rPr>
            </w:pPr>
            <w:r w:rsidRPr="003B29B1">
              <w:rPr>
                <w:rFonts w:cs="Arial"/>
                <w:color w:val="000000"/>
                <w:szCs w:val="20"/>
              </w:rPr>
              <w:t>16/06/2018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1A29C9D" w14:textId="77777777" w:rsidR="00067458" w:rsidRPr="003B29B1" w:rsidRDefault="00067458" w:rsidP="00412260">
            <w:pPr>
              <w:jc w:val="center"/>
              <w:rPr>
                <w:rFonts w:cs="Arial"/>
                <w:szCs w:val="20"/>
              </w:rPr>
            </w:pPr>
            <w:r w:rsidRPr="003B29B1">
              <w:rPr>
                <w:rFonts w:cs="Arial"/>
                <w:color w:val="000000"/>
                <w:szCs w:val="20"/>
              </w:rPr>
              <w:t>15/12/2021</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265EF81F" w14:textId="77777777" w:rsidR="00067458" w:rsidRPr="003B29B1" w:rsidRDefault="00067458" w:rsidP="00412260">
            <w:pPr>
              <w:jc w:val="right"/>
              <w:rPr>
                <w:rFonts w:cs="Arial"/>
                <w:szCs w:val="20"/>
              </w:rPr>
            </w:pPr>
            <w:r w:rsidRPr="003B29B1">
              <w:rPr>
                <w:rFonts w:cs="Arial"/>
                <w:color w:val="000000"/>
                <w:szCs w:val="20"/>
              </w:rPr>
              <w:t xml:space="preserve">300 000.00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246182DF" w14:textId="77777777" w:rsidR="00067458" w:rsidRPr="003B29B1" w:rsidRDefault="00067458" w:rsidP="00412260">
            <w:pPr>
              <w:jc w:val="right"/>
              <w:rPr>
                <w:rFonts w:cs="Arial"/>
                <w:szCs w:val="20"/>
              </w:rPr>
            </w:pPr>
            <w:r w:rsidRPr="003B29B1">
              <w:rPr>
                <w:rFonts w:cs="Arial"/>
                <w:color w:val="000000"/>
                <w:szCs w:val="20"/>
              </w:rPr>
              <w:t xml:space="preserve">150 000.00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4BE67509" w14:textId="77777777" w:rsidR="00067458" w:rsidRPr="003B29B1" w:rsidRDefault="00067458" w:rsidP="00412260">
            <w:pPr>
              <w:jc w:val="right"/>
              <w:rPr>
                <w:rFonts w:cs="Arial"/>
                <w:szCs w:val="20"/>
              </w:rPr>
            </w:pPr>
            <w:r w:rsidRPr="003B29B1">
              <w:rPr>
                <w:rFonts w:cs="Arial"/>
                <w:color w:val="000000"/>
                <w:szCs w:val="20"/>
              </w:rPr>
              <w:t xml:space="preserve">150 000.00  </w:t>
            </w:r>
          </w:p>
        </w:tc>
      </w:tr>
      <w:tr w:rsidR="00067458" w:rsidRPr="00032312" w14:paraId="7A68FB4B" w14:textId="77777777" w:rsidTr="00A04033">
        <w:trPr>
          <w:trHeight w:val="600"/>
        </w:trPr>
        <w:tc>
          <w:tcPr>
            <w:tcW w:w="5000" w:type="pct"/>
            <w:gridSpan w:val="7"/>
            <w:tcBorders>
              <w:top w:val="single" w:sz="4" w:space="0" w:color="auto"/>
              <w:left w:val="single" w:sz="4" w:space="0" w:color="auto"/>
              <w:bottom w:val="single" w:sz="4" w:space="0" w:color="auto"/>
              <w:right w:val="single" w:sz="4" w:space="0" w:color="000000"/>
            </w:tcBorders>
            <w:shd w:val="clear" w:color="000000" w:fill="5B9BD5"/>
            <w:vAlign w:val="center"/>
            <w:hideMark/>
          </w:tcPr>
          <w:p w14:paraId="1212E85D" w14:textId="77777777" w:rsidR="00067458" w:rsidRPr="00032312" w:rsidRDefault="00067458" w:rsidP="00412260">
            <w:pPr>
              <w:rPr>
                <w:rFonts w:eastAsia="Times New Roman" w:cs="Arial"/>
                <w:b/>
                <w:bCs/>
                <w:color w:val="000000"/>
                <w:szCs w:val="20"/>
                <w:lang w:eastAsia="fr-FR"/>
              </w:rPr>
            </w:pPr>
            <w:r w:rsidRPr="00032312">
              <w:rPr>
                <w:rFonts w:eastAsia="Times New Roman" w:cs="Arial"/>
                <w:b/>
                <w:bCs/>
                <w:color w:val="000000"/>
                <w:szCs w:val="20"/>
                <w:lang w:eastAsia="fr-FR"/>
              </w:rPr>
              <w:t>EU Member States</w:t>
            </w:r>
          </w:p>
        </w:tc>
      </w:tr>
      <w:tr w:rsidR="00A04033" w:rsidRPr="00DE0E21" w14:paraId="28CB5123" w14:textId="77777777" w:rsidTr="00A04033">
        <w:trPr>
          <w:trHeight w:val="600"/>
        </w:trPr>
        <w:tc>
          <w:tcPr>
            <w:tcW w:w="523" w:type="pct"/>
            <w:tcBorders>
              <w:top w:val="single" w:sz="4" w:space="0" w:color="auto"/>
              <w:left w:val="single" w:sz="4" w:space="0" w:color="auto"/>
              <w:bottom w:val="single" w:sz="4" w:space="0" w:color="8EA9DB"/>
              <w:right w:val="single" w:sz="4" w:space="0" w:color="auto"/>
            </w:tcBorders>
            <w:shd w:val="clear" w:color="auto" w:fill="auto"/>
            <w:vAlign w:val="center"/>
          </w:tcPr>
          <w:p w14:paraId="287D5F56" w14:textId="77777777" w:rsidR="00067458" w:rsidRPr="00DE0E21" w:rsidRDefault="00067458" w:rsidP="00412260">
            <w:pPr>
              <w:jc w:val="center"/>
              <w:rPr>
                <w:rFonts w:eastAsia="Times New Roman" w:cs="Arial"/>
                <w:color w:val="000000"/>
                <w:szCs w:val="20"/>
                <w:lang w:eastAsia="fr-FR"/>
              </w:rPr>
            </w:pPr>
            <w:r w:rsidRPr="00DE0E21">
              <w:rPr>
                <w:rFonts w:cs="Arial"/>
                <w:color w:val="000000"/>
                <w:szCs w:val="20"/>
              </w:rPr>
              <w:t>DG REFORM</w:t>
            </w:r>
          </w:p>
        </w:tc>
        <w:tc>
          <w:tcPr>
            <w:tcW w:w="1952" w:type="pct"/>
            <w:tcBorders>
              <w:top w:val="single" w:sz="4" w:space="0" w:color="auto"/>
              <w:left w:val="single" w:sz="4" w:space="0" w:color="auto"/>
              <w:bottom w:val="single" w:sz="4" w:space="0" w:color="8EA9DB"/>
              <w:right w:val="single" w:sz="4" w:space="0" w:color="auto"/>
            </w:tcBorders>
            <w:shd w:val="clear" w:color="auto" w:fill="auto"/>
            <w:vAlign w:val="center"/>
          </w:tcPr>
          <w:p w14:paraId="6CBF4014" w14:textId="77777777" w:rsidR="00067458" w:rsidRPr="00DE0E21" w:rsidRDefault="00067458" w:rsidP="00412260">
            <w:pPr>
              <w:rPr>
                <w:rFonts w:eastAsia="Times New Roman" w:cs="Arial"/>
                <w:color w:val="000000"/>
                <w:szCs w:val="20"/>
                <w:lang w:eastAsia="fr-FR"/>
              </w:rPr>
            </w:pPr>
            <w:r w:rsidRPr="00DE0E21">
              <w:rPr>
                <w:rFonts w:cs="Arial"/>
                <w:color w:val="000000"/>
                <w:szCs w:val="20"/>
              </w:rPr>
              <w:t xml:space="preserve">Technical assistance project on delivering good governance in Greece </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000A374E" w14:textId="77777777" w:rsidR="00067458" w:rsidRPr="00DE0E21" w:rsidRDefault="00067458" w:rsidP="00412260">
            <w:pPr>
              <w:jc w:val="center"/>
              <w:rPr>
                <w:rFonts w:eastAsia="Times New Roman" w:cs="Arial"/>
                <w:color w:val="000000"/>
                <w:szCs w:val="20"/>
                <w:lang w:eastAsia="fr-FR"/>
              </w:rPr>
            </w:pPr>
            <w:r w:rsidRPr="00DE0E21">
              <w:rPr>
                <w:rFonts w:cs="Arial"/>
                <w:color w:val="000000"/>
                <w:szCs w:val="20"/>
              </w:rPr>
              <w:t>01/02/2019</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22F85E84" w14:textId="77777777" w:rsidR="00067458" w:rsidRPr="00DE0E21" w:rsidRDefault="00067458" w:rsidP="00412260">
            <w:pPr>
              <w:jc w:val="center"/>
              <w:rPr>
                <w:rFonts w:eastAsia="Times New Roman" w:cs="Arial"/>
                <w:color w:val="000000"/>
                <w:szCs w:val="20"/>
                <w:lang w:eastAsia="fr-FR"/>
              </w:rPr>
            </w:pPr>
            <w:r w:rsidRPr="00DE0E21">
              <w:rPr>
                <w:rFonts w:cs="Arial"/>
                <w:color w:val="000000"/>
                <w:szCs w:val="20"/>
              </w:rPr>
              <w:t>31/05/2021</w:t>
            </w:r>
          </w:p>
        </w:tc>
        <w:tc>
          <w:tcPr>
            <w:tcW w:w="477" w:type="pct"/>
            <w:tcBorders>
              <w:top w:val="single" w:sz="4" w:space="0" w:color="auto"/>
              <w:left w:val="single" w:sz="4" w:space="0" w:color="auto"/>
              <w:bottom w:val="single" w:sz="4" w:space="0" w:color="8EA9DB"/>
              <w:right w:val="single" w:sz="4" w:space="0" w:color="auto"/>
            </w:tcBorders>
            <w:shd w:val="clear" w:color="auto" w:fill="auto"/>
            <w:vAlign w:val="center"/>
          </w:tcPr>
          <w:p w14:paraId="2D4EA3C1" w14:textId="77777777" w:rsidR="00067458" w:rsidRPr="00DE0E21" w:rsidRDefault="00067458" w:rsidP="00412260">
            <w:pPr>
              <w:jc w:val="right"/>
              <w:rPr>
                <w:rFonts w:eastAsia="Times New Roman" w:cs="Arial"/>
                <w:color w:val="000000"/>
                <w:szCs w:val="20"/>
                <w:lang w:eastAsia="fr-FR"/>
              </w:rPr>
            </w:pPr>
            <w:r w:rsidRPr="00DE0E21">
              <w:rPr>
                <w:rFonts w:cs="Arial"/>
                <w:color w:val="000000"/>
                <w:szCs w:val="20"/>
              </w:rPr>
              <w:t xml:space="preserve">778 000.00  </w:t>
            </w:r>
          </w:p>
        </w:tc>
        <w:tc>
          <w:tcPr>
            <w:tcW w:w="571" w:type="pct"/>
            <w:tcBorders>
              <w:top w:val="single" w:sz="4" w:space="0" w:color="auto"/>
              <w:left w:val="single" w:sz="4" w:space="0" w:color="auto"/>
              <w:bottom w:val="single" w:sz="4" w:space="0" w:color="8EA9DB"/>
              <w:right w:val="single" w:sz="4" w:space="0" w:color="auto"/>
            </w:tcBorders>
            <w:shd w:val="clear" w:color="auto" w:fill="auto"/>
            <w:vAlign w:val="center"/>
          </w:tcPr>
          <w:p w14:paraId="3CECF443" w14:textId="77777777" w:rsidR="00067458" w:rsidRPr="00DE0E21" w:rsidRDefault="00067458" w:rsidP="00412260">
            <w:pPr>
              <w:jc w:val="right"/>
              <w:rPr>
                <w:rFonts w:eastAsia="Times New Roman" w:cs="Arial"/>
                <w:color w:val="000000"/>
                <w:szCs w:val="20"/>
                <w:lang w:eastAsia="fr-FR"/>
              </w:rPr>
            </w:pPr>
            <w:r w:rsidRPr="00DE0E21">
              <w:rPr>
                <w:rFonts w:cs="Arial"/>
                <w:color w:val="000000"/>
                <w:szCs w:val="20"/>
              </w:rPr>
              <w:t xml:space="preserve">700 000.00  </w:t>
            </w:r>
          </w:p>
        </w:tc>
        <w:tc>
          <w:tcPr>
            <w:tcW w:w="619" w:type="pct"/>
            <w:tcBorders>
              <w:top w:val="single" w:sz="4" w:space="0" w:color="auto"/>
              <w:left w:val="single" w:sz="4" w:space="0" w:color="auto"/>
              <w:bottom w:val="single" w:sz="4" w:space="0" w:color="8EA9DB"/>
              <w:right w:val="single" w:sz="4" w:space="0" w:color="auto"/>
            </w:tcBorders>
            <w:shd w:val="clear" w:color="auto" w:fill="auto"/>
            <w:vAlign w:val="center"/>
          </w:tcPr>
          <w:p w14:paraId="69637D50" w14:textId="77777777" w:rsidR="00067458" w:rsidRPr="00DE0E21" w:rsidRDefault="00067458" w:rsidP="00412260">
            <w:pPr>
              <w:jc w:val="right"/>
              <w:rPr>
                <w:rFonts w:eastAsia="Times New Roman" w:cs="Arial"/>
                <w:color w:val="000000"/>
                <w:szCs w:val="20"/>
                <w:lang w:eastAsia="fr-FR"/>
              </w:rPr>
            </w:pPr>
            <w:r w:rsidRPr="00DE0E21">
              <w:rPr>
                <w:rFonts w:cs="Arial"/>
                <w:color w:val="000000"/>
                <w:szCs w:val="20"/>
              </w:rPr>
              <w:t xml:space="preserve">78 000.00  </w:t>
            </w:r>
          </w:p>
        </w:tc>
      </w:tr>
      <w:tr w:rsidR="00A04033" w:rsidRPr="00DE0E21" w14:paraId="278E5234" w14:textId="77777777" w:rsidTr="00A04033">
        <w:trPr>
          <w:trHeight w:val="600"/>
        </w:trPr>
        <w:tc>
          <w:tcPr>
            <w:tcW w:w="523" w:type="pct"/>
            <w:tcBorders>
              <w:top w:val="single" w:sz="4" w:space="0" w:color="auto"/>
              <w:left w:val="single" w:sz="4" w:space="0" w:color="auto"/>
              <w:bottom w:val="single" w:sz="4" w:space="0" w:color="8EA9DB"/>
              <w:right w:val="single" w:sz="4" w:space="0" w:color="auto"/>
            </w:tcBorders>
            <w:shd w:val="clear" w:color="auto" w:fill="auto"/>
            <w:vAlign w:val="center"/>
          </w:tcPr>
          <w:p w14:paraId="1AF474D9" w14:textId="77777777" w:rsidR="00067458" w:rsidRPr="00DE0E21" w:rsidRDefault="00067458" w:rsidP="00412260">
            <w:pPr>
              <w:jc w:val="center"/>
              <w:rPr>
                <w:rFonts w:cs="Arial"/>
                <w:color w:val="000000"/>
                <w:szCs w:val="20"/>
              </w:rPr>
            </w:pPr>
            <w:r w:rsidRPr="00DE0E21">
              <w:rPr>
                <w:rFonts w:cs="Arial"/>
                <w:color w:val="000000"/>
                <w:szCs w:val="20"/>
              </w:rPr>
              <w:t>DG REFORM</w:t>
            </w:r>
          </w:p>
        </w:tc>
        <w:tc>
          <w:tcPr>
            <w:tcW w:w="1952" w:type="pct"/>
            <w:tcBorders>
              <w:top w:val="single" w:sz="4" w:space="0" w:color="auto"/>
              <w:left w:val="single" w:sz="4" w:space="0" w:color="auto"/>
              <w:bottom w:val="single" w:sz="4" w:space="0" w:color="8EA9DB"/>
              <w:right w:val="single" w:sz="4" w:space="0" w:color="auto"/>
            </w:tcBorders>
            <w:shd w:val="clear" w:color="auto" w:fill="auto"/>
            <w:vAlign w:val="center"/>
          </w:tcPr>
          <w:p w14:paraId="2F336719" w14:textId="4676DF21" w:rsidR="00067458" w:rsidRPr="00DE0E21" w:rsidRDefault="00067458" w:rsidP="00412260">
            <w:pPr>
              <w:rPr>
                <w:rFonts w:cs="Arial"/>
                <w:color w:val="000000"/>
                <w:szCs w:val="20"/>
              </w:rPr>
            </w:pPr>
            <w:r w:rsidRPr="00DE0E21">
              <w:rPr>
                <w:rFonts w:cs="Arial"/>
                <w:color w:val="000000"/>
                <w:szCs w:val="20"/>
              </w:rPr>
              <w:t xml:space="preserve">Support to the EU </w:t>
            </w:r>
            <w:r w:rsidR="00701B55">
              <w:rPr>
                <w:rFonts w:cs="Arial"/>
                <w:color w:val="000000"/>
                <w:szCs w:val="20"/>
              </w:rPr>
              <w:t>m</w:t>
            </w:r>
            <w:r w:rsidRPr="00DE0E21">
              <w:rPr>
                <w:rFonts w:cs="Arial"/>
                <w:color w:val="000000"/>
                <w:szCs w:val="20"/>
              </w:rPr>
              <w:t xml:space="preserve">ember States in the implementation of Structural reforms </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620701BF" w14:textId="77777777" w:rsidR="00067458" w:rsidRPr="00DE0E21" w:rsidRDefault="00067458" w:rsidP="00412260">
            <w:pPr>
              <w:jc w:val="center"/>
              <w:rPr>
                <w:rFonts w:cs="Arial"/>
                <w:color w:val="000000"/>
                <w:szCs w:val="20"/>
              </w:rPr>
            </w:pPr>
            <w:r w:rsidRPr="00DE0E21">
              <w:rPr>
                <w:rFonts w:cs="Arial"/>
                <w:color w:val="000000"/>
                <w:szCs w:val="20"/>
              </w:rPr>
              <w:t>05/06/2019</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41DAEA28" w14:textId="77777777" w:rsidR="00067458" w:rsidRPr="00DE0E21" w:rsidRDefault="00067458" w:rsidP="00412260">
            <w:pPr>
              <w:jc w:val="center"/>
              <w:rPr>
                <w:rFonts w:cs="Arial"/>
                <w:color w:val="000000"/>
                <w:szCs w:val="20"/>
              </w:rPr>
            </w:pPr>
            <w:r w:rsidRPr="00DE0E21">
              <w:rPr>
                <w:rFonts w:cs="Arial"/>
                <w:color w:val="000000"/>
                <w:szCs w:val="20"/>
              </w:rPr>
              <w:t>04/06/2022</w:t>
            </w:r>
          </w:p>
        </w:tc>
        <w:tc>
          <w:tcPr>
            <w:tcW w:w="477" w:type="pct"/>
            <w:tcBorders>
              <w:top w:val="single" w:sz="4" w:space="0" w:color="auto"/>
              <w:left w:val="single" w:sz="4" w:space="0" w:color="auto"/>
              <w:bottom w:val="single" w:sz="4" w:space="0" w:color="8EA9DB"/>
              <w:right w:val="single" w:sz="4" w:space="0" w:color="auto"/>
            </w:tcBorders>
            <w:shd w:val="clear" w:color="auto" w:fill="auto"/>
            <w:vAlign w:val="center"/>
          </w:tcPr>
          <w:p w14:paraId="0655DE58" w14:textId="77777777" w:rsidR="00067458" w:rsidRPr="00DE0E21" w:rsidRDefault="00067458" w:rsidP="00412260">
            <w:pPr>
              <w:jc w:val="right"/>
              <w:rPr>
                <w:rFonts w:cs="Arial"/>
                <w:color w:val="000000"/>
                <w:szCs w:val="20"/>
              </w:rPr>
            </w:pPr>
            <w:r w:rsidRPr="00DE0E21">
              <w:rPr>
                <w:rFonts w:cs="Arial"/>
                <w:color w:val="000000"/>
                <w:szCs w:val="20"/>
              </w:rPr>
              <w:t xml:space="preserve">3 680 238.00  </w:t>
            </w:r>
          </w:p>
        </w:tc>
        <w:tc>
          <w:tcPr>
            <w:tcW w:w="571" w:type="pct"/>
            <w:tcBorders>
              <w:top w:val="single" w:sz="4" w:space="0" w:color="auto"/>
              <w:left w:val="single" w:sz="4" w:space="0" w:color="auto"/>
              <w:bottom w:val="single" w:sz="4" w:space="0" w:color="8EA9DB"/>
              <w:right w:val="single" w:sz="4" w:space="0" w:color="auto"/>
            </w:tcBorders>
            <w:shd w:val="clear" w:color="auto" w:fill="auto"/>
            <w:vAlign w:val="center"/>
          </w:tcPr>
          <w:p w14:paraId="273F9955" w14:textId="77777777" w:rsidR="00067458" w:rsidRPr="00DE0E21" w:rsidRDefault="00067458" w:rsidP="00412260">
            <w:pPr>
              <w:jc w:val="right"/>
              <w:rPr>
                <w:rFonts w:cs="Arial"/>
                <w:color w:val="000000"/>
                <w:szCs w:val="20"/>
              </w:rPr>
            </w:pPr>
            <w:r w:rsidRPr="00DE0E21">
              <w:rPr>
                <w:rFonts w:cs="Arial"/>
                <w:color w:val="000000"/>
                <w:szCs w:val="20"/>
              </w:rPr>
              <w:t xml:space="preserve">3 295 000.00  </w:t>
            </w:r>
          </w:p>
        </w:tc>
        <w:tc>
          <w:tcPr>
            <w:tcW w:w="619" w:type="pct"/>
            <w:tcBorders>
              <w:top w:val="single" w:sz="4" w:space="0" w:color="auto"/>
              <w:left w:val="single" w:sz="4" w:space="0" w:color="auto"/>
              <w:bottom w:val="single" w:sz="4" w:space="0" w:color="8EA9DB"/>
              <w:right w:val="single" w:sz="4" w:space="0" w:color="auto"/>
            </w:tcBorders>
            <w:shd w:val="clear" w:color="auto" w:fill="auto"/>
            <w:vAlign w:val="center"/>
          </w:tcPr>
          <w:p w14:paraId="4DEA10AB" w14:textId="77777777" w:rsidR="00067458" w:rsidRPr="00DE0E21" w:rsidRDefault="00067458" w:rsidP="00412260">
            <w:pPr>
              <w:jc w:val="right"/>
              <w:rPr>
                <w:rFonts w:cs="Arial"/>
                <w:color w:val="000000"/>
                <w:szCs w:val="20"/>
              </w:rPr>
            </w:pPr>
            <w:r w:rsidRPr="00DE0E21">
              <w:rPr>
                <w:rFonts w:cs="Arial"/>
                <w:color w:val="000000"/>
                <w:szCs w:val="20"/>
              </w:rPr>
              <w:t xml:space="preserve">385 238.00  </w:t>
            </w:r>
          </w:p>
        </w:tc>
      </w:tr>
      <w:tr w:rsidR="00A04033" w:rsidRPr="00DE0E21" w14:paraId="555F960C" w14:textId="77777777" w:rsidTr="00A04033">
        <w:trPr>
          <w:trHeight w:val="600"/>
        </w:trPr>
        <w:tc>
          <w:tcPr>
            <w:tcW w:w="523" w:type="pct"/>
            <w:tcBorders>
              <w:top w:val="single" w:sz="4" w:space="0" w:color="auto"/>
              <w:left w:val="single" w:sz="4" w:space="0" w:color="auto"/>
              <w:bottom w:val="single" w:sz="4" w:space="0" w:color="8EA9DB"/>
              <w:right w:val="single" w:sz="4" w:space="0" w:color="auto"/>
            </w:tcBorders>
            <w:shd w:val="clear" w:color="auto" w:fill="auto"/>
            <w:vAlign w:val="center"/>
          </w:tcPr>
          <w:p w14:paraId="19F465D1" w14:textId="77777777" w:rsidR="00067458" w:rsidRPr="00DE0E21" w:rsidRDefault="00067458" w:rsidP="00412260">
            <w:pPr>
              <w:jc w:val="center"/>
              <w:rPr>
                <w:rFonts w:cs="Arial"/>
                <w:color w:val="000000"/>
                <w:szCs w:val="20"/>
              </w:rPr>
            </w:pPr>
            <w:r w:rsidRPr="00DE0E21">
              <w:rPr>
                <w:rFonts w:cs="Arial"/>
                <w:color w:val="000000"/>
                <w:szCs w:val="20"/>
              </w:rPr>
              <w:t>DG REFORM</w:t>
            </w:r>
          </w:p>
        </w:tc>
        <w:tc>
          <w:tcPr>
            <w:tcW w:w="1952" w:type="pct"/>
            <w:tcBorders>
              <w:top w:val="single" w:sz="4" w:space="0" w:color="auto"/>
              <w:left w:val="single" w:sz="4" w:space="0" w:color="auto"/>
              <w:bottom w:val="single" w:sz="4" w:space="0" w:color="8EA9DB"/>
              <w:right w:val="single" w:sz="4" w:space="0" w:color="auto"/>
            </w:tcBorders>
            <w:shd w:val="clear" w:color="auto" w:fill="auto"/>
            <w:vAlign w:val="center"/>
          </w:tcPr>
          <w:p w14:paraId="4FF2BCFF" w14:textId="0CC300EC" w:rsidR="00067458" w:rsidRPr="00DE0E21" w:rsidRDefault="00067458" w:rsidP="00412260">
            <w:pPr>
              <w:rPr>
                <w:rFonts w:cs="Arial"/>
                <w:color w:val="000000"/>
                <w:szCs w:val="20"/>
              </w:rPr>
            </w:pPr>
            <w:r w:rsidRPr="00DE0E21">
              <w:rPr>
                <w:rFonts w:cs="Arial"/>
                <w:color w:val="000000"/>
                <w:szCs w:val="20"/>
              </w:rPr>
              <w:t xml:space="preserve">Support to </w:t>
            </w:r>
            <w:r w:rsidR="00701B55">
              <w:rPr>
                <w:rFonts w:cs="Arial"/>
                <w:color w:val="000000"/>
                <w:szCs w:val="20"/>
              </w:rPr>
              <w:t>m</w:t>
            </w:r>
            <w:r w:rsidRPr="00DE0E21">
              <w:rPr>
                <w:rFonts w:cs="Arial"/>
                <w:color w:val="000000"/>
                <w:szCs w:val="20"/>
              </w:rPr>
              <w:t>ember States in the Implementation of Structural Reforms II</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2E4953B6" w14:textId="77777777" w:rsidR="00067458" w:rsidRPr="00DE0E21" w:rsidRDefault="00067458" w:rsidP="00412260">
            <w:pPr>
              <w:jc w:val="center"/>
              <w:rPr>
                <w:rFonts w:cs="Arial"/>
                <w:color w:val="000000"/>
                <w:szCs w:val="20"/>
              </w:rPr>
            </w:pPr>
            <w:r w:rsidRPr="00DE0E21">
              <w:rPr>
                <w:rFonts w:cs="Arial"/>
                <w:color w:val="000000"/>
                <w:szCs w:val="20"/>
              </w:rPr>
              <w:t>16/06/2020</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4E1D351F" w14:textId="77777777" w:rsidR="00067458" w:rsidRPr="00DE0E21" w:rsidRDefault="00067458" w:rsidP="00412260">
            <w:pPr>
              <w:jc w:val="center"/>
              <w:rPr>
                <w:rFonts w:cs="Arial"/>
                <w:color w:val="000000"/>
                <w:szCs w:val="20"/>
              </w:rPr>
            </w:pPr>
            <w:r w:rsidRPr="00DE0E21">
              <w:rPr>
                <w:rFonts w:cs="Arial"/>
                <w:color w:val="000000"/>
                <w:szCs w:val="20"/>
              </w:rPr>
              <w:t>15/06/2023</w:t>
            </w:r>
          </w:p>
        </w:tc>
        <w:tc>
          <w:tcPr>
            <w:tcW w:w="477" w:type="pct"/>
            <w:tcBorders>
              <w:top w:val="single" w:sz="4" w:space="0" w:color="auto"/>
              <w:left w:val="single" w:sz="4" w:space="0" w:color="auto"/>
              <w:bottom w:val="single" w:sz="4" w:space="0" w:color="8EA9DB"/>
              <w:right w:val="single" w:sz="4" w:space="0" w:color="auto"/>
            </w:tcBorders>
            <w:shd w:val="clear" w:color="auto" w:fill="auto"/>
            <w:vAlign w:val="center"/>
          </w:tcPr>
          <w:p w14:paraId="518BD574" w14:textId="77777777" w:rsidR="00067458" w:rsidRPr="00DE0E21" w:rsidRDefault="00067458" w:rsidP="00412260">
            <w:pPr>
              <w:jc w:val="right"/>
              <w:rPr>
                <w:rFonts w:cs="Arial"/>
                <w:color w:val="000000"/>
                <w:szCs w:val="20"/>
              </w:rPr>
            </w:pPr>
            <w:r w:rsidRPr="00DE0E21">
              <w:rPr>
                <w:rFonts w:cs="Arial"/>
                <w:color w:val="000000"/>
                <w:szCs w:val="20"/>
              </w:rPr>
              <w:t xml:space="preserve">3 379 003.66  </w:t>
            </w:r>
          </w:p>
        </w:tc>
        <w:tc>
          <w:tcPr>
            <w:tcW w:w="571" w:type="pct"/>
            <w:tcBorders>
              <w:top w:val="single" w:sz="4" w:space="0" w:color="auto"/>
              <w:left w:val="single" w:sz="4" w:space="0" w:color="auto"/>
              <w:bottom w:val="single" w:sz="4" w:space="0" w:color="8EA9DB"/>
              <w:right w:val="single" w:sz="4" w:space="0" w:color="auto"/>
            </w:tcBorders>
            <w:shd w:val="clear" w:color="auto" w:fill="auto"/>
            <w:vAlign w:val="center"/>
          </w:tcPr>
          <w:p w14:paraId="7C88B242" w14:textId="77777777" w:rsidR="00067458" w:rsidRPr="00DE0E21" w:rsidRDefault="00067458" w:rsidP="00412260">
            <w:pPr>
              <w:jc w:val="right"/>
              <w:rPr>
                <w:rFonts w:cs="Arial"/>
                <w:color w:val="000000"/>
                <w:szCs w:val="20"/>
              </w:rPr>
            </w:pPr>
            <w:r w:rsidRPr="00DE0E21">
              <w:rPr>
                <w:rFonts w:cs="Arial"/>
                <w:color w:val="000000"/>
                <w:szCs w:val="20"/>
              </w:rPr>
              <w:t xml:space="preserve">3 035 000.00  </w:t>
            </w:r>
          </w:p>
        </w:tc>
        <w:tc>
          <w:tcPr>
            <w:tcW w:w="619" w:type="pct"/>
            <w:tcBorders>
              <w:top w:val="single" w:sz="4" w:space="0" w:color="auto"/>
              <w:left w:val="single" w:sz="4" w:space="0" w:color="auto"/>
              <w:bottom w:val="single" w:sz="4" w:space="0" w:color="8EA9DB"/>
              <w:right w:val="single" w:sz="4" w:space="0" w:color="auto"/>
            </w:tcBorders>
            <w:shd w:val="clear" w:color="auto" w:fill="auto"/>
            <w:vAlign w:val="center"/>
          </w:tcPr>
          <w:p w14:paraId="232B7621" w14:textId="77777777" w:rsidR="00067458" w:rsidRPr="00DE0E21" w:rsidRDefault="00067458" w:rsidP="00412260">
            <w:pPr>
              <w:jc w:val="right"/>
              <w:rPr>
                <w:rFonts w:cs="Arial"/>
                <w:color w:val="000000"/>
                <w:szCs w:val="20"/>
              </w:rPr>
            </w:pPr>
            <w:r w:rsidRPr="00DE0E21">
              <w:rPr>
                <w:rFonts w:cs="Arial"/>
                <w:color w:val="000000"/>
                <w:szCs w:val="20"/>
              </w:rPr>
              <w:t xml:space="preserve">344 003.66  </w:t>
            </w:r>
          </w:p>
        </w:tc>
      </w:tr>
      <w:tr w:rsidR="00A04033" w:rsidRPr="00DE0E21" w14:paraId="49F34C0E" w14:textId="77777777" w:rsidTr="00A04033">
        <w:trPr>
          <w:trHeight w:val="600"/>
        </w:trPr>
        <w:tc>
          <w:tcPr>
            <w:tcW w:w="523" w:type="pct"/>
            <w:tcBorders>
              <w:top w:val="single" w:sz="4" w:space="0" w:color="auto"/>
              <w:left w:val="single" w:sz="4" w:space="0" w:color="auto"/>
              <w:bottom w:val="single" w:sz="4" w:space="0" w:color="8EA9DB"/>
              <w:right w:val="single" w:sz="4" w:space="0" w:color="auto"/>
            </w:tcBorders>
            <w:shd w:val="clear" w:color="auto" w:fill="auto"/>
            <w:vAlign w:val="center"/>
          </w:tcPr>
          <w:p w14:paraId="4F0C1DD4" w14:textId="77777777" w:rsidR="00067458" w:rsidRPr="00DE0E21" w:rsidRDefault="00067458" w:rsidP="00412260">
            <w:pPr>
              <w:jc w:val="center"/>
              <w:rPr>
                <w:rFonts w:cs="Arial"/>
                <w:color w:val="000000"/>
                <w:szCs w:val="20"/>
              </w:rPr>
            </w:pPr>
            <w:r w:rsidRPr="00DE0E21">
              <w:rPr>
                <w:rFonts w:cs="Arial"/>
                <w:color w:val="000000"/>
                <w:szCs w:val="20"/>
              </w:rPr>
              <w:t>DG REFORM</w:t>
            </w:r>
          </w:p>
        </w:tc>
        <w:tc>
          <w:tcPr>
            <w:tcW w:w="1952" w:type="pct"/>
            <w:tcBorders>
              <w:top w:val="single" w:sz="4" w:space="0" w:color="auto"/>
              <w:left w:val="single" w:sz="4" w:space="0" w:color="auto"/>
              <w:bottom w:val="single" w:sz="4" w:space="0" w:color="8EA9DB"/>
              <w:right w:val="single" w:sz="4" w:space="0" w:color="auto"/>
            </w:tcBorders>
            <w:shd w:val="clear" w:color="auto" w:fill="auto"/>
            <w:vAlign w:val="center"/>
          </w:tcPr>
          <w:p w14:paraId="1EE13532" w14:textId="1B656832" w:rsidR="00067458" w:rsidRPr="00DE0E21" w:rsidRDefault="00067458" w:rsidP="00412260">
            <w:pPr>
              <w:rPr>
                <w:rFonts w:cs="Arial"/>
                <w:color w:val="000000"/>
                <w:szCs w:val="20"/>
              </w:rPr>
            </w:pPr>
            <w:r w:rsidRPr="00DE0E21">
              <w:rPr>
                <w:rFonts w:cs="Arial"/>
                <w:color w:val="000000"/>
                <w:szCs w:val="20"/>
              </w:rPr>
              <w:t xml:space="preserve">Support to EU </w:t>
            </w:r>
            <w:r w:rsidR="00701B55">
              <w:rPr>
                <w:rFonts w:cs="Arial"/>
                <w:color w:val="000000"/>
                <w:szCs w:val="20"/>
              </w:rPr>
              <w:t>m</w:t>
            </w:r>
            <w:r w:rsidRPr="00DE0E21">
              <w:rPr>
                <w:rFonts w:cs="Arial"/>
                <w:color w:val="000000"/>
                <w:szCs w:val="20"/>
              </w:rPr>
              <w:t xml:space="preserve">ember States in the implementation of reforms under the Technical Support Instrument – 2021: Governance, Public Administration, Financial Sector and Access to Finance </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40C27736" w14:textId="77777777" w:rsidR="00067458" w:rsidRPr="00DE0E21" w:rsidRDefault="00067458" w:rsidP="00412260">
            <w:pPr>
              <w:jc w:val="center"/>
              <w:rPr>
                <w:rFonts w:cs="Arial"/>
                <w:color w:val="000000"/>
                <w:szCs w:val="20"/>
              </w:rPr>
            </w:pPr>
            <w:r w:rsidRPr="00DE0E21">
              <w:rPr>
                <w:rFonts w:cs="Arial"/>
                <w:color w:val="000000"/>
                <w:szCs w:val="20"/>
              </w:rPr>
              <w:t>13/05/2021</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7F64275C" w14:textId="77777777" w:rsidR="00067458" w:rsidRPr="00DE0E21" w:rsidRDefault="00067458" w:rsidP="00412260">
            <w:pPr>
              <w:jc w:val="center"/>
              <w:rPr>
                <w:rFonts w:cs="Arial"/>
                <w:color w:val="000000"/>
                <w:szCs w:val="20"/>
              </w:rPr>
            </w:pPr>
            <w:r w:rsidRPr="00DE0E21">
              <w:rPr>
                <w:rFonts w:cs="Arial"/>
                <w:color w:val="000000"/>
                <w:szCs w:val="20"/>
              </w:rPr>
              <w:t>12/05/2024</w:t>
            </w:r>
          </w:p>
        </w:tc>
        <w:tc>
          <w:tcPr>
            <w:tcW w:w="477" w:type="pct"/>
            <w:tcBorders>
              <w:top w:val="single" w:sz="4" w:space="0" w:color="auto"/>
              <w:left w:val="single" w:sz="4" w:space="0" w:color="auto"/>
              <w:bottom w:val="single" w:sz="4" w:space="0" w:color="8EA9DB"/>
              <w:right w:val="single" w:sz="4" w:space="0" w:color="auto"/>
            </w:tcBorders>
            <w:shd w:val="clear" w:color="auto" w:fill="auto"/>
            <w:vAlign w:val="center"/>
          </w:tcPr>
          <w:p w14:paraId="4046DEF8" w14:textId="77777777" w:rsidR="00067458" w:rsidRPr="00DE0E21" w:rsidRDefault="00067458" w:rsidP="00412260">
            <w:pPr>
              <w:jc w:val="right"/>
              <w:rPr>
                <w:rFonts w:cs="Arial"/>
                <w:color w:val="000000"/>
                <w:szCs w:val="20"/>
              </w:rPr>
            </w:pPr>
            <w:r w:rsidRPr="00DE0E21">
              <w:rPr>
                <w:rFonts w:cs="Arial"/>
                <w:color w:val="000000"/>
                <w:szCs w:val="20"/>
              </w:rPr>
              <w:t xml:space="preserve">4 300 000.00  </w:t>
            </w:r>
          </w:p>
        </w:tc>
        <w:tc>
          <w:tcPr>
            <w:tcW w:w="571" w:type="pct"/>
            <w:tcBorders>
              <w:top w:val="single" w:sz="4" w:space="0" w:color="auto"/>
              <w:left w:val="single" w:sz="4" w:space="0" w:color="auto"/>
              <w:bottom w:val="single" w:sz="4" w:space="0" w:color="8EA9DB"/>
              <w:right w:val="single" w:sz="4" w:space="0" w:color="auto"/>
            </w:tcBorders>
            <w:shd w:val="clear" w:color="auto" w:fill="auto"/>
            <w:vAlign w:val="center"/>
          </w:tcPr>
          <w:p w14:paraId="79E4B552" w14:textId="77777777" w:rsidR="00067458" w:rsidRPr="00DE0E21" w:rsidRDefault="00067458" w:rsidP="00412260">
            <w:pPr>
              <w:jc w:val="right"/>
              <w:rPr>
                <w:rFonts w:cs="Arial"/>
                <w:color w:val="000000"/>
                <w:szCs w:val="20"/>
              </w:rPr>
            </w:pPr>
            <w:r w:rsidRPr="00DE0E21">
              <w:rPr>
                <w:rFonts w:cs="Arial"/>
                <w:color w:val="000000"/>
                <w:szCs w:val="20"/>
              </w:rPr>
              <w:t xml:space="preserve">3 870 000.00  </w:t>
            </w:r>
          </w:p>
        </w:tc>
        <w:tc>
          <w:tcPr>
            <w:tcW w:w="619" w:type="pct"/>
            <w:tcBorders>
              <w:top w:val="single" w:sz="4" w:space="0" w:color="auto"/>
              <w:left w:val="single" w:sz="4" w:space="0" w:color="auto"/>
              <w:bottom w:val="single" w:sz="4" w:space="0" w:color="8EA9DB"/>
              <w:right w:val="single" w:sz="4" w:space="0" w:color="auto"/>
            </w:tcBorders>
            <w:shd w:val="clear" w:color="auto" w:fill="auto"/>
            <w:vAlign w:val="center"/>
          </w:tcPr>
          <w:p w14:paraId="560CF3D6" w14:textId="77777777" w:rsidR="00067458" w:rsidRPr="00DE0E21" w:rsidRDefault="00067458" w:rsidP="00412260">
            <w:pPr>
              <w:jc w:val="right"/>
              <w:rPr>
                <w:rFonts w:cs="Arial"/>
                <w:color w:val="000000"/>
                <w:szCs w:val="20"/>
              </w:rPr>
            </w:pPr>
            <w:r w:rsidRPr="00DE0E21">
              <w:rPr>
                <w:rFonts w:cs="Arial"/>
                <w:color w:val="000000"/>
                <w:szCs w:val="20"/>
              </w:rPr>
              <w:t xml:space="preserve">430 000.00  </w:t>
            </w:r>
          </w:p>
        </w:tc>
      </w:tr>
      <w:tr w:rsidR="00A04033" w:rsidRPr="00DE0E21" w14:paraId="1ED97F65" w14:textId="77777777" w:rsidTr="00A04033">
        <w:trPr>
          <w:trHeight w:val="600"/>
        </w:trPr>
        <w:tc>
          <w:tcPr>
            <w:tcW w:w="523" w:type="pct"/>
            <w:tcBorders>
              <w:top w:val="single" w:sz="4" w:space="0" w:color="auto"/>
              <w:left w:val="single" w:sz="4" w:space="0" w:color="auto"/>
              <w:bottom w:val="single" w:sz="4" w:space="0" w:color="8EA9DB"/>
              <w:right w:val="single" w:sz="4" w:space="0" w:color="auto"/>
            </w:tcBorders>
            <w:shd w:val="clear" w:color="auto" w:fill="auto"/>
            <w:vAlign w:val="center"/>
          </w:tcPr>
          <w:p w14:paraId="15B9A3D5" w14:textId="77777777" w:rsidR="00067458" w:rsidRPr="00DE0E21" w:rsidRDefault="00067458" w:rsidP="00412260">
            <w:pPr>
              <w:jc w:val="center"/>
              <w:rPr>
                <w:rFonts w:cs="Arial"/>
                <w:color w:val="000000"/>
                <w:szCs w:val="20"/>
              </w:rPr>
            </w:pPr>
            <w:r w:rsidRPr="00DE0E21">
              <w:rPr>
                <w:rFonts w:cs="Arial"/>
                <w:color w:val="000000"/>
                <w:szCs w:val="20"/>
              </w:rPr>
              <w:t xml:space="preserve">DG REFORM </w:t>
            </w:r>
          </w:p>
        </w:tc>
        <w:tc>
          <w:tcPr>
            <w:tcW w:w="1952" w:type="pct"/>
            <w:tcBorders>
              <w:top w:val="single" w:sz="4" w:space="0" w:color="auto"/>
              <w:left w:val="single" w:sz="4" w:space="0" w:color="auto"/>
              <w:bottom w:val="single" w:sz="4" w:space="0" w:color="8EA9DB"/>
              <w:right w:val="single" w:sz="4" w:space="0" w:color="auto"/>
            </w:tcBorders>
            <w:shd w:val="clear" w:color="auto" w:fill="auto"/>
            <w:vAlign w:val="center"/>
          </w:tcPr>
          <w:p w14:paraId="0DCEE7B1" w14:textId="77777777" w:rsidR="00067458" w:rsidRPr="00DE0E21" w:rsidRDefault="00067458" w:rsidP="00412260">
            <w:pPr>
              <w:rPr>
                <w:rFonts w:cs="Arial"/>
                <w:color w:val="000000"/>
                <w:szCs w:val="20"/>
              </w:rPr>
            </w:pPr>
            <w:r w:rsidRPr="00DE0E21">
              <w:rPr>
                <w:rFonts w:cs="Arial"/>
                <w:color w:val="000000"/>
                <w:szCs w:val="20"/>
              </w:rPr>
              <w:t>Enhancing capabilities of Bulgarian authorities to effectively mitigate money laundering and terrorism financing risks</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559B2573" w14:textId="77777777" w:rsidR="00067458" w:rsidRPr="00DE0E21" w:rsidRDefault="00067458" w:rsidP="00412260">
            <w:pPr>
              <w:jc w:val="center"/>
              <w:rPr>
                <w:rFonts w:cs="Arial"/>
                <w:color w:val="000000"/>
                <w:szCs w:val="20"/>
              </w:rPr>
            </w:pPr>
            <w:r w:rsidRPr="00DE0E21">
              <w:rPr>
                <w:rFonts w:cs="Arial"/>
                <w:color w:val="000000"/>
                <w:szCs w:val="20"/>
              </w:rPr>
              <w:t>17/07/2020</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3BF896CD" w14:textId="77777777" w:rsidR="00067458" w:rsidRPr="00DE0E21" w:rsidRDefault="00067458" w:rsidP="00412260">
            <w:pPr>
              <w:jc w:val="center"/>
              <w:rPr>
                <w:rFonts w:cs="Arial"/>
                <w:color w:val="000000"/>
                <w:szCs w:val="20"/>
              </w:rPr>
            </w:pPr>
            <w:r w:rsidRPr="00DE0E21">
              <w:rPr>
                <w:rFonts w:cs="Arial"/>
                <w:color w:val="000000"/>
                <w:szCs w:val="20"/>
              </w:rPr>
              <w:t>16/07/2022</w:t>
            </w:r>
          </w:p>
        </w:tc>
        <w:tc>
          <w:tcPr>
            <w:tcW w:w="477" w:type="pct"/>
            <w:tcBorders>
              <w:top w:val="single" w:sz="4" w:space="0" w:color="auto"/>
              <w:left w:val="single" w:sz="4" w:space="0" w:color="auto"/>
              <w:bottom w:val="single" w:sz="4" w:space="0" w:color="8EA9DB"/>
              <w:right w:val="single" w:sz="4" w:space="0" w:color="auto"/>
            </w:tcBorders>
            <w:shd w:val="clear" w:color="auto" w:fill="auto"/>
            <w:vAlign w:val="center"/>
          </w:tcPr>
          <w:p w14:paraId="4ABE1123" w14:textId="77777777" w:rsidR="00067458" w:rsidRPr="00DE0E21" w:rsidRDefault="00067458" w:rsidP="00412260">
            <w:pPr>
              <w:jc w:val="right"/>
              <w:rPr>
                <w:rFonts w:cs="Arial"/>
                <w:color w:val="000000"/>
                <w:szCs w:val="20"/>
              </w:rPr>
            </w:pPr>
            <w:r w:rsidRPr="00DE0E21">
              <w:rPr>
                <w:rFonts w:cs="Arial"/>
                <w:color w:val="000000"/>
                <w:szCs w:val="20"/>
              </w:rPr>
              <w:t xml:space="preserve">458 889.00  </w:t>
            </w:r>
          </w:p>
        </w:tc>
        <w:tc>
          <w:tcPr>
            <w:tcW w:w="571" w:type="pct"/>
            <w:tcBorders>
              <w:top w:val="single" w:sz="4" w:space="0" w:color="auto"/>
              <w:left w:val="single" w:sz="4" w:space="0" w:color="auto"/>
              <w:bottom w:val="single" w:sz="4" w:space="0" w:color="8EA9DB"/>
              <w:right w:val="single" w:sz="4" w:space="0" w:color="auto"/>
            </w:tcBorders>
            <w:shd w:val="clear" w:color="auto" w:fill="auto"/>
            <w:vAlign w:val="center"/>
          </w:tcPr>
          <w:p w14:paraId="78A43D4F" w14:textId="77777777" w:rsidR="00067458" w:rsidRPr="00DE0E21" w:rsidRDefault="00067458" w:rsidP="00412260">
            <w:pPr>
              <w:jc w:val="right"/>
              <w:rPr>
                <w:rFonts w:cs="Arial"/>
                <w:color w:val="000000"/>
                <w:szCs w:val="20"/>
              </w:rPr>
            </w:pPr>
            <w:r w:rsidRPr="00DE0E21">
              <w:rPr>
                <w:rFonts w:cs="Arial"/>
                <w:color w:val="000000"/>
                <w:szCs w:val="20"/>
              </w:rPr>
              <w:t xml:space="preserve">413 000.00  </w:t>
            </w:r>
          </w:p>
        </w:tc>
        <w:tc>
          <w:tcPr>
            <w:tcW w:w="619" w:type="pct"/>
            <w:tcBorders>
              <w:top w:val="single" w:sz="4" w:space="0" w:color="auto"/>
              <w:left w:val="single" w:sz="4" w:space="0" w:color="auto"/>
              <w:bottom w:val="single" w:sz="4" w:space="0" w:color="8EA9DB"/>
              <w:right w:val="single" w:sz="4" w:space="0" w:color="auto"/>
            </w:tcBorders>
            <w:shd w:val="clear" w:color="auto" w:fill="auto"/>
            <w:vAlign w:val="center"/>
          </w:tcPr>
          <w:p w14:paraId="4FD0F87C" w14:textId="77777777" w:rsidR="00067458" w:rsidRPr="00DE0E21" w:rsidRDefault="00067458" w:rsidP="00412260">
            <w:pPr>
              <w:jc w:val="right"/>
              <w:rPr>
                <w:rFonts w:cs="Arial"/>
                <w:color w:val="000000"/>
                <w:szCs w:val="20"/>
              </w:rPr>
            </w:pPr>
            <w:r w:rsidRPr="00DE0E21">
              <w:rPr>
                <w:rFonts w:cs="Arial"/>
                <w:color w:val="000000"/>
                <w:szCs w:val="20"/>
              </w:rPr>
              <w:t xml:space="preserve">45 889.00  </w:t>
            </w:r>
          </w:p>
        </w:tc>
      </w:tr>
      <w:tr w:rsidR="00A04033" w:rsidRPr="00DE0E21" w14:paraId="3C495D67" w14:textId="77777777" w:rsidTr="00A04033">
        <w:trPr>
          <w:trHeight w:val="600"/>
        </w:trPr>
        <w:tc>
          <w:tcPr>
            <w:tcW w:w="523" w:type="pct"/>
            <w:tcBorders>
              <w:top w:val="single" w:sz="4" w:space="0" w:color="auto"/>
              <w:left w:val="single" w:sz="4" w:space="0" w:color="auto"/>
              <w:bottom w:val="single" w:sz="4" w:space="0" w:color="8EA9DB"/>
              <w:right w:val="single" w:sz="4" w:space="0" w:color="auto"/>
            </w:tcBorders>
            <w:shd w:val="clear" w:color="auto" w:fill="auto"/>
            <w:vAlign w:val="center"/>
          </w:tcPr>
          <w:p w14:paraId="18F91112" w14:textId="77777777" w:rsidR="00067458" w:rsidRPr="00DE0E21" w:rsidRDefault="00067458" w:rsidP="00412260">
            <w:pPr>
              <w:jc w:val="center"/>
              <w:rPr>
                <w:rFonts w:cs="Arial"/>
                <w:color w:val="000000"/>
                <w:szCs w:val="20"/>
              </w:rPr>
            </w:pPr>
            <w:r w:rsidRPr="00DE0E21">
              <w:rPr>
                <w:rFonts w:cs="Arial"/>
                <w:color w:val="000000"/>
                <w:szCs w:val="20"/>
              </w:rPr>
              <w:t xml:space="preserve">DG REFORM </w:t>
            </w:r>
          </w:p>
        </w:tc>
        <w:tc>
          <w:tcPr>
            <w:tcW w:w="1952" w:type="pct"/>
            <w:tcBorders>
              <w:top w:val="single" w:sz="4" w:space="0" w:color="auto"/>
              <w:left w:val="single" w:sz="4" w:space="0" w:color="auto"/>
              <w:bottom w:val="single" w:sz="4" w:space="0" w:color="8EA9DB"/>
              <w:right w:val="single" w:sz="4" w:space="0" w:color="auto"/>
            </w:tcBorders>
            <w:shd w:val="clear" w:color="auto" w:fill="auto"/>
            <w:vAlign w:val="center"/>
          </w:tcPr>
          <w:p w14:paraId="2610AF0A" w14:textId="77777777" w:rsidR="00067458" w:rsidRPr="00DE0E21" w:rsidRDefault="00067458" w:rsidP="00412260">
            <w:pPr>
              <w:rPr>
                <w:rFonts w:cs="Arial"/>
                <w:color w:val="000000"/>
                <w:szCs w:val="20"/>
              </w:rPr>
            </w:pPr>
            <w:r w:rsidRPr="00DE0E21">
              <w:rPr>
                <w:rFonts w:cs="Arial"/>
                <w:color w:val="000000"/>
                <w:szCs w:val="20"/>
              </w:rPr>
              <w:t xml:space="preserve">Reorganisation of the Romanian Blood System </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6917E1C1" w14:textId="77777777" w:rsidR="00067458" w:rsidRPr="00DE0E21" w:rsidRDefault="00067458" w:rsidP="00412260">
            <w:pPr>
              <w:jc w:val="center"/>
              <w:rPr>
                <w:rFonts w:cs="Arial"/>
                <w:color w:val="000000"/>
                <w:szCs w:val="20"/>
              </w:rPr>
            </w:pPr>
            <w:r w:rsidRPr="00DE0E21">
              <w:rPr>
                <w:rFonts w:cs="Arial"/>
                <w:color w:val="000000"/>
                <w:szCs w:val="20"/>
              </w:rPr>
              <w:t>01/10/2020</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543CA21F" w14:textId="77777777" w:rsidR="00067458" w:rsidRPr="00DE0E21" w:rsidRDefault="00067458" w:rsidP="00412260">
            <w:pPr>
              <w:jc w:val="center"/>
              <w:rPr>
                <w:rFonts w:cs="Arial"/>
                <w:color w:val="000000"/>
                <w:szCs w:val="20"/>
              </w:rPr>
            </w:pPr>
            <w:r w:rsidRPr="00DE0E21">
              <w:rPr>
                <w:rFonts w:cs="Arial"/>
                <w:color w:val="000000"/>
                <w:szCs w:val="20"/>
              </w:rPr>
              <w:t>30/11/2022</w:t>
            </w:r>
          </w:p>
        </w:tc>
        <w:tc>
          <w:tcPr>
            <w:tcW w:w="477" w:type="pct"/>
            <w:tcBorders>
              <w:top w:val="single" w:sz="4" w:space="0" w:color="auto"/>
              <w:left w:val="single" w:sz="4" w:space="0" w:color="auto"/>
              <w:bottom w:val="single" w:sz="4" w:space="0" w:color="8EA9DB"/>
              <w:right w:val="single" w:sz="4" w:space="0" w:color="auto"/>
            </w:tcBorders>
            <w:shd w:val="clear" w:color="auto" w:fill="auto"/>
            <w:vAlign w:val="center"/>
          </w:tcPr>
          <w:p w14:paraId="35246684" w14:textId="77777777" w:rsidR="00067458" w:rsidRPr="00DE0E21" w:rsidRDefault="00067458" w:rsidP="00412260">
            <w:pPr>
              <w:jc w:val="right"/>
              <w:rPr>
                <w:rFonts w:cs="Arial"/>
                <w:color w:val="000000"/>
                <w:szCs w:val="20"/>
              </w:rPr>
            </w:pPr>
            <w:r w:rsidRPr="00DE0E21">
              <w:rPr>
                <w:rFonts w:cs="Arial"/>
                <w:color w:val="000000"/>
                <w:szCs w:val="20"/>
              </w:rPr>
              <w:t xml:space="preserve">700 000.00  </w:t>
            </w:r>
          </w:p>
        </w:tc>
        <w:tc>
          <w:tcPr>
            <w:tcW w:w="571" w:type="pct"/>
            <w:tcBorders>
              <w:top w:val="single" w:sz="4" w:space="0" w:color="auto"/>
              <w:left w:val="single" w:sz="4" w:space="0" w:color="auto"/>
              <w:bottom w:val="single" w:sz="4" w:space="0" w:color="8EA9DB"/>
              <w:right w:val="single" w:sz="4" w:space="0" w:color="auto"/>
            </w:tcBorders>
            <w:shd w:val="clear" w:color="auto" w:fill="auto"/>
            <w:vAlign w:val="center"/>
          </w:tcPr>
          <w:p w14:paraId="507D94F8" w14:textId="77777777" w:rsidR="00067458" w:rsidRPr="00DE0E21" w:rsidRDefault="00067458" w:rsidP="00412260">
            <w:pPr>
              <w:jc w:val="right"/>
              <w:rPr>
                <w:rFonts w:cs="Arial"/>
                <w:color w:val="000000"/>
                <w:szCs w:val="20"/>
              </w:rPr>
            </w:pPr>
            <w:r w:rsidRPr="00DE0E21">
              <w:rPr>
                <w:rFonts w:cs="Arial"/>
                <w:color w:val="000000"/>
                <w:szCs w:val="20"/>
              </w:rPr>
              <w:t xml:space="preserve">700 000.00  </w:t>
            </w:r>
          </w:p>
        </w:tc>
        <w:tc>
          <w:tcPr>
            <w:tcW w:w="619" w:type="pct"/>
            <w:tcBorders>
              <w:top w:val="single" w:sz="4" w:space="0" w:color="auto"/>
              <w:left w:val="single" w:sz="4" w:space="0" w:color="auto"/>
              <w:bottom w:val="single" w:sz="4" w:space="0" w:color="8EA9DB"/>
              <w:right w:val="single" w:sz="4" w:space="0" w:color="auto"/>
            </w:tcBorders>
            <w:shd w:val="clear" w:color="auto" w:fill="auto"/>
            <w:vAlign w:val="center"/>
          </w:tcPr>
          <w:p w14:paraId="7CC8BEB7" w14:textId="77777777" w:rsidR="00067458" w:rsidRPr="00DE0E21" w:rsidRDefault="00067458" w:rsidP="00412260">
            <w:pPr>
              <w:jc w:val="right"/>
              <w:rPr>
                <w:rFonts w:cs="Arial"/>
                <w:color w:val="000000"/>
                <w:szCs w:val="20"/>
              </w:rPr>
            </w:pPr>
            <w:r w:rsidRPr="00DE0E21">
              <w:rPr>
                <w:rFonts w:cs="Arial"/>
                <w:color w:val="000000"/>
                <w:szCs w:val="20"/>
              </w:rPr>
              <w:t xml:space="preserve">0.00  </w:t>
            </w:r>
          </w:p>
        </w:tc>
      </w:tr>
      <w:tr w:rsidR="00A04033" w:rsidRPr="00DE0E21" w14:paraId="24D74AD4" w14:textId="77777777" w:rsidTr="00A04033">
        <w:trPr>
          <w:trHeight w:val="600"/>
        </w:trPr>
        <w:tc>
          <w:tcPr>
            <w:tcW w:w="523" w:type="pct"/>
            <w:tcBorders>
              <w:top w:val="single" w:sz="4" w:space="0" w:color="auto"/>
              <w:left w:val="single" w:sz="4" w:space="0" w:color="auto"/>
              <w:bottom w:val="single" w:sz="4" w:space="0" w:color="8EA9DB"/>
              <w:right w:val="single" w:sz="4" w:space="0" w:color="auto"/>
            </w:tcBorders>
            <w:shd w:val="clear" w:color="auto" w:fill="auto"/>
            <w:vAlign w:val="center"/>
          </w:tcPr>
          <w:p w14:paraId="65911A0C" w14:textId="77777777" w:rsidR="00067458" w:rsidRPr="00DE0E21" w:rsidRDefault="00067458" w:rsidP="00412260">
            <w:pPr>
              <w:jc w:val="center"/>
              <w:rPr>
                <w:rFonts w:cs="Arial"/>
                <w:color w:val="000000"/>
                <w:szCs w:val="20"/>
              </w:rPr>
            </w:pPr>
            <w:r w:rsidRPr="00DE0E21">
              <w:rPr>
                <w:rFonts w:cs="Arial"/>
                <w:color w:val="000000"/>
                <w:szCs w:val="20"/>
              </w:rPr>
              <w:t>DG REFORM</w:t>
            </w:r>
          </w:p>
        </w:tc>
        <w:tc>
          <w:tcPr>
            <w:tcW w:w="1952" w:type="pct"/>
            <w:tcBorders>
              <w:top w:val="single" w:sz="4" w:space="0" w:color="auto"/>
              <w:left w:val="single" w:sz="4" w:space="0" w:color="auto"/>
              <w:bottom w:val="single" w:sz="4" w:space="0" w:color="8EA9DB"/>
              <w:right w:val="single" w:sz="4" w:space="0" w:color="auto"/>
            </w:tcBorders>
            <w:shd w:val="clear" w:color="auto" w:fill="auto"/>
            <w:vAlign w:val="center"/>
          </w:tcPr>
          <w:p w14:paraId="0AA13234" w14:textId="1E3FD894" w:rsidR="00067458" w:rsidRPr="00DE0E21" w:rsidRDefault="00067458" w:rsidP="00412260">
            <w:pPr>
              <w:rPr>
                <w:rFonts w:cs="Arial"/>
                <w:color w:val="000000"/>
                <w:szCs w:val="20"/>
              </w:rPr>
            </w:pPr>
            <w:r w:rsidRPr="00DE0E21">
              <w:rPr>
                <w:rFonts w:cs="Arial"/>
                <w:color w:val="000000"/>
                <w:szCs w:val="20"/>
              </w:rPr>
              <w:t>Building structures for intercultural integration in</w:t>
            </w:r>
            <w:r w:rsidR="007D3924">
              <w:rPr>
                <w:rFonts w:cs="Arial"/>
                <w:color w:val="000000"/>
                <w:szCs w:val="20"/>
              </w:rPr>
              <w:t xml:space="preserve"> </w:t>
            </w:r>
            <w:r w:rsidRPr="00DE0E21">
              <w:rPr>
                <w:rFonts w:cs="Arial"/>
                <w:color w:val="000000"/>
                <w:szCs w:val="20"/>
              </w:rPr>
              <w:t>Cyprus</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650FA152" w14:textId="77777777" w:rsidR="00067458" w:rsidRPr="00DE0E21" w:rsidRDefault="00067458" w:rsidP="00412260">
            <w:pPr>
              <w:jc w:val="center"/>
              <w:rPr>
                <w:rFonts w:cs="Arial"/>
                <w:color w:val="000000"/>
                <w:szCs w:val="20"/>
              </w:rPr>
            </w:pPr>
            <w:r w:rsidRPr="00DE0E21">
              <w:rPr>
                <w:rFonts w:cs="Arial"/>
                <w:color w:val="000000"/>
                <w:szCs w:val="20"/>
              </w:rPr>
              <w:t>02/06/2021</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23ACBBFB" w14:textId="77777777" w:rsidR="00067458" w:rsidRPr="00DE0E21" w:rsidRDefault="00067458" w:rsidP="00412260">
            <w:pPr>
              <w:jc w:val="center"/>
              <w:rPr>
                <w:rFonts w:cs="Arial"/>
                <w:color w:val="000000"/>
                <w:szCs w:val="20"/>
              </w:rPr>
            </w:pPr>
            <w:r w:rsidRPr="00DE0E21">
              <w:rPr>
                <w:rFonts w:cs="Arial"/>
                <w:color w:val="000000"/>
                <w:szCs w:val="20"/>
              </w:rPr>
              <w:t>01/06/2023</w:t>
            </w:r>
          </w:p>
        </w:tc>
        <w:tc>
          <w:tcPr>
            <w:tcW w:w="477" w:type="pct"/>
            <w:tcBorders>
              <w:top w:val="single" w:sz="4" w:space="0" w:color="auto"/>
              <w:left w:val="single" w:sz="4" w:space="0" w:color="auto"/>
              <w:bottom w:val="single" w:sz="4" w:space="0" w:color="8EA9DB"/>
              <w:right w:val="single" w:sz="4" w:space="0" w:color="auto"/>
            </w:tcBorders>
            <w:shd w:val="clear" w:color="auto" w:fill="auto"/>
            <w:vAlign w:val="center"/>
          </w:tcPr>
          <w:p w14:paraId="34B442F5" w14:textId="77777777" w:rsidR="00067458" w:rsidRPr="00DE0E21" w:rsidRDefault="00067458" w:rsidP="00412260">
            <w:pPr>
              <w:jc w:val="right"/>
              <w:rPr>
                <w:rFonts w:cs="Arial"/>
                <w:color w:val="000000"/>
                <w:szCs w:val="20"/>
              </w:rPr>
            </w:pPr>
            <w:r w:rsidRPr="00DE0E21">
              <w:rPr>
                <w:rFonts w:cs="Arial"/>
                <w:color w:val="000000"/>
                <w:szCs w:val="20"/>
              </w:rPr>
              <w:t xml:space="preserve">444 444.00  </w:t>
            </w:r>
          </w:p>
        </w:tc>
        <w:tc>
          <w:tcPr>
            <w:tcW w:w="571" w:type="pct"/>
            <w:tcBorders>
              <w:top w:val="single" w:sz="4" w:space="0" w:color="auto"/>
              <w:left w:val="single" w:sz="4" w:space="0" w:color="auto"/>
              <w:bottom w:val="single" w:sz="4" w:space="0" w:color="8EA9DB"/>
              <w:right w:val="single" w:sz="4" w:space="0" w:color="auto"/>
            </w:tcBorders>
            <w:shd w:val="clear" w:color="auto" w:fill="auto"/>
            <w:vAlign w:val="center"/>
          </w:tcPr>
          <w:p w14:paraId="02798261" w14:textId="77777777" w:rsidR="00067458" w:rsidRPr="00DE0E21" w:rsidRDefault="00067458" w:rsidP="00412260">
            <w:pPr>
              <w:jc w:val="right"/>
              <w:rPr>
                <w:rFonts w:cs="Arial"/>
                <w:color w:val="000000"/>
                <w:szCs w:val="20"/>
              </w:rPr>
            </w:pPr>
            <w:r w:rsidRPr="00DE0E21">
              <w:rPr>
                <w:rFonts w:cs="Arial"/>
                <w:color w:val="000000"/>
                <w:szCs w:val="20"/>
              </w:rPr>
              <w:t xml:space="preserve">400 000.00  </w:t>
            </w:r>
          </w:p>
        </w:tc>
        <w:tc>
          <w:tcPr>
            <w:tcW w:w="619" w:type="pct"/>
            <w:tcBorders>
              <w:top w:val="single" w:sz="4" w:space="0" w:color="auto"/>
              <w:left w:val="single" w:sz="4" w:space="0" w:color="auto"/>
              <w:bottom w:val="single" w:sz="4" w:space="0" w:color="8EA9DB"/>
              <w:right w:val="single" w:sz="4" w:space="0" w:color="auto"/>
            </w:tcBorders>
            <w:shd w:val="clear" w:color="auto" w:fill="auto"/>
            <w:vAlign w:val="center"/>
          </w:tcPr>
          <w:p w14:paraId="0A8B80C2" w14:textId="77777777" w:rsidR="00067458" w:rsidRPr="00DE0E21" w:rsidRDefault="00067458" w:rsidP="00412260">
            <w:pPr>
              <w:jc w:val="right"/>
              <w:rPr>
                <w:rFonts w:cs="Arial"/>
                <w:color w:val="000000"/>
                <w:szCs w:val="20"/>
              </w:rPr>
            </w:pPr>
            <w:r w:rsidRPr="00DE0E21">
              <w:rPr>
                <w:rFonts w:cs="Arial"/>
                <w:color w:val="000000"/>
                <w:szCs w:val="20"/>
              </w:rPr>
              <w:t xml:space="preserve">44 444.00  </w:t>
            </w:r>
          </w:p>
        </w:tc>
      </w:tr>
      <w:tr w:rsidR="00A04033" w:rsidRPr="00DE0E21" w14:paraId="47DE1EFD" w14:textId="77777777" w:rsidTr="00A04033">
        <w:trPr>
          <w:trHeight w:val="600"/>
        </w:trPr>
        <w:tc>
          <w:tcPr>
            <w:tcW w:w="523" w:type="pct"/>
            <w:tcBorders>
              <w:top w:val="single" w:sz="4" w:space="0" w:color="auto"/>
              <w:left w:val="single" w:sz="4" w:space="0" w:color="auto"/>
              <w:bottom w:val="single" w:sz="4" w:space="0" w:color="8EA9DB"/>
              <w:right w:val="single" w:sz="4" w:space="0" w:color="auto"/>
            </w:tcBorders>
            <w:shd w:val="clear" w:color="auto" w:fill="auto"/>
            <w:vAlign w:val="center"/>
          </w:tcPr>
          <w:p w14:paraId="725E61E6" w14:textId="77777777" w:rsidR="00067458" w:rsidRPr="00DE0E21" w:rsidRDefault="00067458" w:rsidP="00412260">
            <w:pPr>
              <w:jc w:val="center"/>
              <w:rPr>
                <w:rFonts w:cs="Arial"/>
                <w:color w:val="000000"/>
                <w:szCs w:val="20"/>
              </w:rPr>
            </w:pPr>
            <w:r w:rsidRPr="00DE0E21">
              <w:rPr>
                <w:rFonts w:cs="Arial"/>
                <w:color w:val="000000"/>
                <w:szCs w:val="20"/>
              </w:rPr>
              <w:t xml:space="preserve">DG JUST </w:t>
            </w:r>
          </w:p>
        </w:tc>
        <w:tc>
          <w:tcPr>
            <w:tcW w:w="1952" w:type="pct"/>
            <w:tcBorders>
              <w:top w:val="single" w:sz="4" w:space="0" w:color="auto"/>
              <w:left w:val="single" w:sz="4" w:space="0" w:color="auto"/>
              <w:bottom w:val="single" w:sz="4" w:space="0" w:color="8EA9DB"/>
              <w:right w:val="single" w:sz="4" w:space="0" w:color="auto"/>
            </w:tcBorders>
            <w:shd w:val="clear" w:color="auto" w:fill="auto"/>
            <w:vAlign w:val="center"/>
          </w:tcPr>
          <w:p w14:paraId="29DE9CAB" w14:textId="6AC2E7C1" w:rsidR="00067458" w:rsidRPr="00DE0E21" w:rsidRDefault="00067458" w:rsidP="00412260">
            <w:pPr>
              <w:rPr>
                <w:rFonts w:cs="Arial"/>
                <w:color w:val="000000"/>
                <w:szCs w:val="20"/>
              </w:rPr>
            </w:pPr>
            <w:r w:rsidRPr="00DE0E21">
              <w:rPr>
                <w:rFonts w:cs="Arial"/>
                <w:color w:val="000000"/>
                <w:szCs w:val="20"/>
              </w:rPr>
              <w:t xml:space="preserve">Combating discrimination and violence </w:t>
            </w:r>
            <w:proofErr w:type="gramStart"/>
            <w:r w:rsidRPr="00DE0E21">
              <w:rPr>
                <w:rFonts w:cs="Arial"/>
                <w:color w:val="000000"/>
                <w:szCs w:val="20"/>
              </w:rPr>
              <w:t>on the basis of</w:t>
            </w:r>
            <w:proofErr w:type="gramEnd"/>
            <w:r w:rsidRPr="00DE0E21">
              <w:rPr>
                <w:rFonts w:cs="Arial"/>
                <w:color w:val="000000"/>
                <w:szCs w:val="20"/>
              </w:rPr>
              <w:t xml:space="preserve"> sexual orientation and gender identity through</w:t>
            </w:r>
            <w:r w:rsidR="00701B55">
              <w:rPr>
                <w:rFonts w:cs="Arial"/>
                <w:color w:val="000000"/>
                <w:szCs w:val="20"/>
              </w:rPr>
              <w:t xml:space="preserve"> </w:t>
            </w:r>
            <w:r w:rsidRPr="00DE0E21">
              <w:rPr>
                <w:rFonts w:cs="Arial"/>
                <w:color w:val="000000"/>
                <w:szCs w:val="20"/>
              </w:rPr>
              <w:t>improved legal frameworks and implementation of European standards (ENDSOGIDISC)</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5C2D21C3" w14:textId="77777777" w:rsidR="00067458" w:rsidRPr="00DE0E21" w:rsidRDefault="00067458" w:rsidP="00412260">
            <w:pPr>
              <w:jc w:val="center"/>
              <w:rPr>
                <w:rFonts w:cs="Arial"/>
                <w:color w:val="000000"/>
                <w:szCs w:val="20"/>
              </w:rPr>
            </w:pPr>
            <w:r w:rsidRPr="00DE0E21">
              <w:rPr>
                <w:rFonts w:cs="Arial"/>
                <w:color w:val="000000"/>
                <w:szCs w:val="20"/>
              </w:rPr>
              <w:t>01/08/2019</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4A752748" w14:textId="77777777" w:rsidR="00067458" w:rsidRPr="00DE0E21" w:rsidRDefault="00067458" w:rsidP="00412260">
            <w:pPr>
              <w:jc w:val="center"/>
              <w:rPr>
                <w:rFonts w:cs="Arial"/>
                <w:color w:val="000000"/>
                <w:szCs w:val="20"/>
              </w:rPr>
            </w:pPr>
            <w:r w:rsidRPr="00DE0E21">
              <w:rPr>
                <w:rFonts w:cs="Arial"/>
                <w:color w:val="000000"/>
                <w:szCs w:val="20"/>
              </w:rPr>
              <w:t>30/04/2021</w:t>
            </w:r>
          </w:p>
        </w:tc>
        <w:tc>
          <w:tcPr>
            <w:tcW w:w="477" w:type="pct"/>
            <w:tcBorders>
              <w:top w:val="single" w:sz="4" w:space="0" w:color="auto"/>
              <w:left w:val="single" w:sz="4" w:space="0" w:color="auto"/>
              <w:bottom w:val="single" w:sz="4" w:space="0" w:color="8EA9DB"/>
              <w:right w:val="single" w:sz="4" w:space="0" w:color="auto"/>
            </w:tcBorders>
            <w:shd w:val="clear" w:color="auto" w:fill="auto"/>
            <w:vAlign w:val="center"/>
          </w:tcPr>
          <w:p w14:paraId="0B70CF26" w14:textId="77777777" w:rsidR="00067458" w:rsidRPr="00DE0E21" w:rsidRDefault="00067458" w:rsidP="00412260">
            <w:pPr>
              <w:jc w:val="right"/>
              <w:rPr>
                <w:rFonts w:cs="Arial"/>
                <w:color w:val="000000"/>
                <w:szCs w:val="20"/>
              </w:rPr>
            </w:pPr>
            <w:r w:rsidRPr="00DE0E21">
              <w:rPr>
                <w:rFonts w:cs="Arial"/>
                <w:color w:val="000000"/>
                <w:szCs w:val="20"/>
              </w:rPr>
              <w:t xml:space="preserve">290 635.54  </w:t>
            </w:r>
          </w:p>
        </w:tc>
        <w:tc>
          <w:tcPr>
            <w:tcW w:w="571" w:type="pct"/>
            <w:tcBorders>
              <w:top w:val="single" w:sz="4" w:space="0" w:color="auto"/>
              <w:left w:val="single" w:sz="4" w:space="0" w:color="auto"/>
              <w:bottom w:val="single" w:sz="4" w:space="0" w:color="8EA9DB"/>
              <w:right w:val="single" w:sz="4" w:space="0" w:color="auto"/>
            </w:tcBorders>
            <w:shd w:val="clear" w:color="auto" w:fill="auto"/>
            <w:vAlign w:val="center"/>
          </w:tcPr>
          <w:p w14:paraId="01C79E0E" w14:textId="77777777" w:rsidR="00067458" w:rsidRPr="00DE0E21" w:rsidRDefault="00067458" w:rsidP="00412260">
            <w:pPr>
              <w:jc w:val="right"/>
              <w:rPr>
                <w:rFonts w:cs="Arial"/>
                <w:color w:val="000000"/>
                <w:szCs w:val="20"/>
              </w:rPr>
            </w:pPr>
            <w:r w:rsidRPr="00DE0E21">
              <w:rPr>
                <w:rFonts w:cs="Arial"/>
                <w:color w:val="000000"/>
                <w:szCs w:val="20"/>
              </w:rPr>
              <w:t xml:space="preserve">232 508.42  </w:t>
            </w:r>
          </w:p>
        </w:tc>
        <w:tc>
          <w:tcPr>
            <w:tcW w:w="619" w:type="pct"/>
            <w:tcBorders>
              <w:top w:val="single" w:sz="4" w:space="0" w:color="auto"/>
              <w:left w:val="single" w:sz="4" w:space="0" w:color="auto"/>
              <w:bottom w:val="single" w:sz="4" w:space="0" w:color="8EA9DB"/>
              <w:right w:val="single" w:sz="4" w:space="0" w:color="auto"/>
            </w:tcBorders>
            <w:shd w:val="clear" w:color="auto" w:fill="auto"/>
            <w:vAlign w:val="center"/>
          </w:tcPr>
          <w:p w14:paraId="620729DE" w14:textId="77777777" w:rsidR="00067458" w:rsidRPr="00DE0E21" w:rsidRDefault="00067458" w:rsidP="00412260">
            <w:pPr>
              <w:jc w:val="right"/>
              <w:rPr>
                <w:rFonts w:cs="Arial"/>
                <w:color w:val="000000"/>
                <w:szCs w:val="20"/>
              </w:rPr>
            </w:pPr>
            <w:r w:rsidRPr="00DE0E21">
              <w:rPr>
                <w:rFonts w:cs="Arial"/>
                <w:color w:val="000000"/>
                <w:szCs w:val="20"/>
              </w:rPr>
              <w:t xml:space="preserve">58 127.12  </w:t>
            </w:r>
          </w:p>
        </w:tc>
      </w:tr>
      <w:tr w:rsidR="00A04033" w:rsidRPr="00DE0E21" w14:paraId="3E0B3D3C" w14:textId="77777777" w:rsidTr="00A04033">
        <w:trPr>
          <w:trHeight w:val="600"/>
        </w:trPr>
        <w:tc>
          <w:tcPr>
            <w:tcW w:w="523" w:type="pct"/>
            <w:tcBorders>
              <w:top w:val="single" w:sz="4" w:space="0" w:color="auto"/>
              <w:left w:val="single" w:sz="4" w:space="0" w:color="auto"/>
              <w:bottom w:val="single" w:sz="4" w:space="0" w:color="8EA9DB"/>
              <w:right w:val="single" w:sz="4" w:space="0" w:color="auto"/>
            </w:tcBorders>
            <w:shd w:val="clear" w:color="auto" w:fill="auto"/>
            <w:vAlign w:val="center"/>
          </w:tcPr>
          <w:p w14:paraId="2F57ABA0" w14:textId="77777777" w:rsidR="00067458" w:rsidRPr="00DE0E21" w:rsidRDefault="00067458" w:rsidP="00412260">
            <w:pPr>
              <w:jc w:val="center"/>
              <w:rPr>
                <w:rFonts w:cs="Arial"/>
                <w:color w:val="000000"/>
                <w:szCs w:val="20"/>
              </w:rPr>
            </w:pPr>
            <w:r w:rsidRPr="00DE0E21">
              <w:rPr>
                <w:rFonts w:cs="Arial"/>
                <w:color w:val="000000"/>
                <w:szCs w:val="20"/>
              </w:rPr>
              <w:t xml:space="preserve">DG JUST </w:t>
            </w:r>
          </w:p>
        </w:tc>
        <w:tc>
          <w:tcPr>
            <w:tcW w:w="1952" w:type="pct"/>
            <w:tcBorders>
              <w:top w:val="single" w:sz="4" w:space="0" w:color="auto"/>
              <w:left w:val="single" w:sz="4" w:space="0" w:color="auto"/>
              <w:bottom w:val="single" w:sz="4" w:space="0" w:color="8EA9DB"/>
              <w:right w:val="single" w:sz="4" w:space="0" w:color="auto"/>
            </w:tcBorders>
            <w:shd w:val="clear" w:color="auto" w:fill="auto"/>
            <w:vAlign w:val="center"/>
          </w:tcPr>
          <w:p w14:paraId="446FDC1E" w14:textId="77777777" w:rsidR="007D3924" w:rsidRDefault="007D3924" w:rsidP="00412260">
            <w:pPr>
              <w:rPr>
                <w:rFonts w:cs="Arial"/>
                <w:color w:val="000000"/>
                <w:szCs w:val="20"/>
              </w:rPr>
            </w:pPr>
          </w:p>
          <w:p w14:paraId="326C66E8" w14:textId="03B4A6CE" w:rsidR="00067458" w:rsidRDefault="00067458" w:rsidP="00412260">
            <w:pPr>
              <w:rPr>
                <w:rFonts w:cs="Arial"/>
                <w:color w:val="000000"/>
                <w:szCs w:val="20"/>
              </w:rPr>
            </w:pPr>
            <w:r w:rsidRPr="00DE0E21">
              <w:rPr>
                <w:rFonts w:cs="Arial"/>
                <w:color w:val="000000"/>
                <w:szCs w:val="20"/>
              </w:rPr>
              <w:t>EU-CoE HELP (Human Rights Education for Legal Professionals) in the EU II — EU-CoE HELP EU II</w:t>
            </w:r>
          </w:p>
          <w:p w14:paraId="515FD930" w14:textId="126471BF" w:rsidR="007D3924" w:rsidRPr="00DE0E21" w:rsidRDefault="007D3924" w:rsidP="00412260">
            <w:pPr>
              <w:rPr>
                <w:rFonts w:cs="Arial"/>
                <w:color w:val="000000"/>
                <w:szCs w:val="20"/>
              </w:rPr>
            </w:pP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651BEBE3" w14:textId="77777777" w:rsidR="00067458" w:rsidRPr="00DE0E21" w:rsidRDefault="00067458" w:rsidP="00412260">
            <w:pPr>
              <w:jc w:val="center"/>
              <w:rPr>
                <w:rFonts w:cs="Arial"/>
                <w:color w:val="000000"/>
                <w:szCs w:val="20"/>
              </w:rPr>
            </w:pPr>
            <w:r w:rsidRPr="00DE0E21">
              <w:rPr>
                <w:rFonts w:cs="Arial"/>
                <w:color w:val="000000"/>
                <w:szCs w:val="20"/>
              </w:rPr>
              <w:t>01/09/2019</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7B35616A" w14:textId="77777777" w:rsidR="00067458" w:rsidRPr="00DE0E21" w:rsidRDefault="00067458" w:rsidP="00412260">
            <w:pPr>
              <w:jc w:val="center"/>
              <w:rPr>
                <w:rFonts w:cs="Arial"/>
                <w:color w:val="000000"/>
                <w:szCs w:val="20"/>
              </w:rPr>
            </w:pPr>
            <w:r w:rsidRPr="00DE0E21">
              <w:rPr>
                <w:rFonts w:cs="Arial"/>
                <w:color w:val="000000"/>
                <w:szCs w:val="20"/>
              </w:rPr>
              <w:t>28/02/2022</w:t>
            </w:r>
          </w:p>
        </w:tc>
        <w:tc>
          <w:tcPr>
            <w:tcW w:w="477" w:type="pct"/>
            <w:tcBorders>
              <w:top w:val="single" w:sz="4" w:space="0" w:color="auto"/>
              <w:left w:val="single" w:sz="4" w:space="0" w:color="auto"/>
              <w:bottom w:val="single" w:sz="4" w:space="0" w:color="8EA9DB"/>
              <w:right w:val="single" w:sz="4" w:space="0" w:color="auto"/>
            </w:tcBorders>
            <w:shd w:val="clear" w:color="auto" w:fill="auto"/>
            <w:vAlign w:val="center"/>
          </w:tcPr>
          <w:p w14:paraId="49E72CAC" w14:textId="77777777" w:rsidR="00067458" w:rsidRPr="00DE0E21" w:rsidRDefault="00067458" w:rsidP="00412260">
            <w:pPr>
              <w:jc w:val="right"/>
              <w:rPr>
                <w:rFonts w:cs="Arial"/>
                <w:color w:val="000000"/>
                <w:szCs w:val="20"/>
              </w:rPr>
            </w:pPr>
            <w:r w:rsidRPr="00DE0E21">
              <w:rPr>
                <w:rFonts w:cs="Arial"/>
                <w:color w:val="000000"/>
                <w:szCs w:val="20"/>
              </w:rPr>
              <w:t xml:space="preserve">1 350 313.25  </w:t>
            </w:r>
          </w:p>
        </w:tc>
        <w:tc>
          <w:tcPr>
            <w:tcW w:w="571" w:type="pct"/>
            <w:tcBorders>
              <w:top w:val="single" w:sz="4" w:space="0" w:color="auto"/>
              <w:left w:val="single" w:sz="4" w:space="0" w:color="auto"/>
              <w:bottom w:val="single" w:sz="4" w:space="0" w:color="8EA9DB"/>
              <w:right w:val="single" w:sz="4" w:space="0" w:color="auto"/>
            </w:tcBorders>
            <w:shd w:val="clear" w:color="auto" w:fill="auto"/>
            <w:vAlign w:val="center"/>
          </w:tcPr>
          <w:p w14:paraId="44A9A46A" w14:textId="77777777" w:rsidR="00067458" w:rsidRPr="00DE0E21" w:rsidRDefault="00067458" w:rsidP="00412260">
            <w:pPr>
              <w:jc w:val="right"/>
              <w:rPr>
                <w:rFonts w:cs="Arial"/>
                <w:color w:val="000000"/>
                <w:szCs w:val="20"/>
              </w:rPr>
            </w:pPr>
            <w:r w:rsidRPr="00DE0E21">
              <w:rPr>
                <w:rFonts w:cs="Arial"/>
                <w:color w:val="000000"/>
                <w:szCs w:val="20"/>
              </w:rPr>
              <w:t xml:space="preserve">1 080 250.60  </w:t>
            </w:r>
          </w:p>
        </w:tc>
        <w:tc>
          <w:tcPr>
            <w:tcW w:w="619" w:type="pct"/>
            <w:tcBorders>
              <w:top w:val="single" w:sz="4" w:space="0" w:color="auto"/>
              <w:left w:val="single" w:sz="4" w:space="0" w:color="auto"/>
              <w:bottom w:val="single" w:sz="4" w:space="0" w:color="8EA9DB"/>
              <w:right w:val="single" w:sz="4" w:space="0" w:color="auto"/>
            </w:tcBorders>
            <w:shd w:val="clear" w:color="auto" w:fill="auto"/>
            <w:vAlign w:val="center"/>
          </w:tcPr>
          <w:p w14:paraId="3B155FDC" w14:textId="77777777" w:rsidR="00067458" w:rsidRPr="00DE0E21" w:rsidRDefault="00067458" w:rsidP="00412260">
            <w:pPr>
              <w:jc w:val="right"/>
              <w:rPr>
                <w:rFonts w:cs="Arial"/>
                <w:color w:val="000000"/>
                <w:szCs w:val="20"/>
              </w:rPr>
            </w:pPr>
            <w:r w:rsidRPr="00DE0E21">
              <w:rPr>
                <w:rFonts w:cs="Arial"/>
                <w:color w:val="000000"/>
                <w:szCs w:val="20"/>
              </w:rPr>
              <w:t xml:space="preserve">270 062.65  </w:t>
            </w:r>
          </w:p>
        </w:tc>
      </w:tr>
      <w:tr w:rsidR="00A04033" w:rsidRPr="00DE0E21" w14:paraId="358B9E6A" w14:textId="77777777" w:rsidTr="00A04033">
        <w:trPr>
          <w:trHeight w:val="600"/>
        </w:trPr>
        <w:tc>
          <w:tcPr>
            <w:tcW w:w="523" w:type="pct"/>
            <w:tcBorders>
              <w:top w:val="single" w:sz="4" w:space="0" w:color="auto"/>
              <w:left w:val="single" w:sz="4" w:space="0" w:color="auto"/>
              <w:bottom w:val="single" w:sz="4" w:space="0" w:color="8EA9DB"/>
              <w:right w:val="single" w:sz="4" w:space="0" w:color="auto"/>
            </w:tcBorders>
            <w:shd w:val="clear" w:color="auto" w:fill="auto"/>
            <w:vAlign w:val="center"/>
          </w:tcPr>
          <w:p w14:paraId="5038F71F" w14:textId="77777777" w:rsidR="00067458" w:rsidRPr="00DE0E21" w:rsidRDefault="00067458" w:rsidP="00412260">
            <w:pPr>
              <w:jc w:val="center"/>
              <w:rPr>
                <w:rFonts w:cs="Arial"/>
                <w:color w:val="000000"/>
                <w:szCs w:val="20"/>
              </w:rPr>
            </w:pPr>
            <w:r w:rsidRPr="00DE0E21">
              <w:rPr>
                <w:rFonts w:cs="Arial"/>
                <w:color w:val="000000"/>
                <w:szCs w:val="20"/>
              </w:rPr>
              <w:t xml:space="preserve">DG JUST </w:t>
            </w:r>
          </w:p>
        </w:tc>
        <w:tc>
          <w:tcPr>
            <w:tcW w:w="1952" w:type="pct"/>
            <w:tcBorders>
              <w:top w:val="single" w:sz="4" w:space="0" w:color="auto"/>
              <w:left w:val="single" w:sz="4" w:space="0" w:color="auto"/>
              <w:bottom w:val="single" w:sz="4" w:space="0" w:color="8EA9DB"/>
              <w:right w:val="single" w:sz="4" w:space="0" w:color="auto"/>
            </w:tcBorders>
            <w:shd w:val="clear" w:color="auto" w:fill="auto"/>
            <w:vAlign w:val="center"/>
          </w:tcPr>
          <w:p w14:paraId="346D2F50" w14:textId="38746243" w:rsidR="00067458" w:rsidRPr="00DE0E21" w:rsidRDefault="00067458" w:rsidP="00412260">
            <w:pPr>
              <w:rPr>
                <w:rFonts w:cs="Arial"/>
                <w:color w:val="000000"/>
                <w:szCs w:val="20"/>
              </w:rPr>
            </w:pPr>
            <w:r w:rsidRPr="00DE0E21">
              <w:rPr>
                <w:rFonts w:cs="Arial"/>
                <w:color w:val="000000"/>
                <w:szCs w:val="20"/>
              </w:rPr>
              <w:t>Strengthening National Child Participation</w:t>
            </w:r>
            <w:r w:rsidR="007D3924">
              <w:rPr>
                <w:rFonts w:cs="Arial"/>
                <w:color w:val="000000"/>
                <w:szCs w:val="20"/>
              </w:rPr>
              <w:t xml:space="preserve"> </w:t>
            </w:r>
            <w:r w:rsidRPr="00DE0E21">
              <w:rPr>
                <w:rFonts w:cs="Arial"/>
                <w:color w:val="000000"/>
                <w:szCs w:val="20"/>
              </w:rPr>
              <w:t>Frameworks and Action in Europe — CP4E</w:t>
            </w:r>
            <w:r w:rsidR="007D3924">
              <w:rPr>
                <w:rFonts w:cs="Arial"/>
                <w:color w:val="000000"/>
                <w:szCs w:val="20"/>
              </w:rPr>
              <w:t>UROPE</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5BBCDBBD" w14:textId="77777777" w:rsidR="00067458" w:rsidRPr="00DE0E21" w:rsidRDefault="00067458" w:rsidP="00412260">
            <w:pPr>
              <w:jc w:val="center"/>
              <w:rPr>
                <w:rFonts w:cs="Arial"/>
                <w:color w:val="000000"/>
                <w:szCs w:val="20"/>
              </w:rPr>
            </w:pPr>
            <w:r w:rsidRPr="00DE0E21">
              <w:rPr>
                <w:rFonts w:cs="Arial"/>
                <w:color w:val="000000"/>
                <w:szCs w:val="20"/>
              </w:rPr>
              <w:t>01/04/2021</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7746CD08" w14:textId="77777777" w:rsidR="00067458" w:rsidRPr="00DE0E21" w:rsidRDefault="00067458" w:rsidP="00412260">
            <w:pPr>
              <w:jc w:val="center"/>
              <w:rPr>
                <w:rFonts w:cs="Arial"/>
                <w:color w:val="000000"/>
                <w:szCs w:val="20"/>
              </w:rPr>
            </w:pPr>
            <w:r w:rsidRPr="00DE0E21">
              <w:rPr>
                <w:rFonts w:cs="Arial"/>
                <w:color w:val="000000"/>
                <w:szCs w:val="20"/>
              </w:rPr>
              <w:t>31/03/2023</w:t>
            </w:r>
          </w:p>
        </w:tc>
        <w:tc>
          <w:tcPr>
            <w:tcW w:w="477" w:type="pct"/>
            <w:tcBorders>
              <w:top w:val="single" w:sz="4" w:space="0" w:color="auto"/>
              <w:left w:val="single" w:sz="4" w:space="0" w:color="auto"/>
              <w:bottom w:val="single" w:sz="4" w:space="0" w:color="8EA9DB"/>
              <w:right w:val="single" w:sz="4" w:space="0" w:color="auto"/>
            </w:tcBorders>
            <w:shd w:val="clear" w:color="auto" w:fill="auto"/>
            <w:vAlign w:val="center"/>
          </w:tcPr>
          <w:p w14:paraId="723490E8" w14:textId="77777777" w:rsidR="00067458" w:rsidRPr="00DE0E21" w:rsidRDefault="00067458" w:rsidP="00412260">
            <w:pPr>
              <w:jc w:val="right"/>
              <w:rPr>
                <w:rFonts w:cs="Arial"/>
                <w:color w:val="000000"/>
                <w:szCs w:val="20"/>
              </w:rPr>
            </w:pPr>
            <w:r w:rsidRPr="00DE0E21">
              <w:rPr>
                <w:rFonts w:cs="Arial"/>
                <w:color w:val="000000"/>
                <w:szCs w:val="20"/>
              </w:rPr>
              <w:t xml:space="preserve">950 374.00  </w:t>
            </w:r>
          </w:p>
        </w:tc>
        <w:tc>
          <w:tcPr>
            <w:tcW w:w="571" w:type="pct"/>
            <w:tcBorders>
              <w:top w:val="single" w:sz="4" w:space="0" w:color="auto"/>
              <w:left w:val="single" w:sz="4" w:space="0" w:color="auto"/>
              <w:bottom w:val="single" w:sz="4" w:space="0" w:color="8EA9DB"/>
              <w:right w:val="single" w:sz="4" w:space="0" w:color="auto"/>
            </w:tcBorders>
            <w:shd w:val="clear" w:color="auto" w:fill="auto"/>
            <w:vAlign w:val="center"/>
          </w:tcPr>
          <w:p w14:paraId="65A80EC9" w14:textId="77777777" w:rsidR="00067458" w:rsidRPr="00DE0E21" w:rsidRDefault="00067458" w:rsidP="00412260">
            <w:pPr>
              <w:jc w:val="right"/>
              <w:rPr>
                <w:rFonts w:cs="Arial"/>
                <w:color w:val="000000"/>
                <w:szCs w:val="20"/>
              </w:rPr>
            </w:pPr>
            <w:r w:rsidRPr="00DE0E21">
              <w:rPr>
                <w:rFonts w:cs="Arial"/>
                <w:color w:val="000000"/>
                <w:szCs w:val="20"/>
              </w:rPr>
              <w:t xml:space="preserve">760 299.20  </w:t>
            </w:r>
          </w:p>
        </w:tc>
        <w:tc>
          <w:tcPr>
            <w:tcW w:w="619" w:type="pct"/>
            <w:tcBorders>
              <w:top w:val="single" w:sz="4" w:space="0" w:color="auto"/>
              <w:left w:val="single" w:sz="4" w:space="0" w:color="auto"/>
              <w:bottom w:val="single" w:sz="4" w:space="0" w:color="8EA9DB"/>
              <w:right w:val="single" w:sz="4" w:space="0" w:color="auto"/>
            </w:tcBorders>
            <w:shd w:val="clear" w:color="auto" w:fill="auto"/>
            <w:vAlign w:val="center"/>
          </w:tcPr>
          <w:p w14:paraId="7B4C349E" w14:textId="77777777" w:rsidR="00067458" w:rsidRPr="00DE0E21" w:rsidRDefault="00067458" w:rsidP="00412260">
            <w:pPr>
              <w:jc w:val="right"/>
              <w:rPr>
                <w:rFonts w:cs="Arial"/>
                <w:color w:val="000000"/>
                <w:szCs w:val="20"/>
              </w:rPr>
            </w:pPr>
            <w:r w:rsidRPr="00DE0E21">
              <w:rPr>
                <w:rFonts w:cs="Arial"/>
                <w:color w:val="000000"/>
                <w:szCs w:val="20"/>
              </w:rPr>
              <w:t xml:space="preserve">190 074.80  </w:t>
            </w:r>
          </w:p>
        </w:tc>
      </w:tr>
      <w:tr w:rsidR="00A04033" w:rsidRPr="00DE0E21" w14:paraId="7E621F9F" w14:textId="77777777" w:rsidTr="00A04033">
        <w:trPr>
          <w:trHeight w:val="600"/>
        </w:trPr>
        <w:tc>
          <w:tcPr>
            <w:tcW w:w="523" w:type="pct"/>
            <w:tcBorders>
              <w:top w:val="single" w:sz="4" w:space="0" w:color="auto"/>
              <w:left w:val="single" w:sz="4" w:space="0" w:color="auto"/>
              <w:bottom w:val="single" w:sz="4" w:space="0" w:color="8EA9DB"/>
              <w:right w:val="single" w:sz="4" w:space="0" w:color="auto"/>
            </w:tcBorders>
            <w:shd w:val="clear" w:color="auto" w:fill="auto"/>
            <w:vAlign w:val="center"/>
          </w:tcPr>
          <w:p w14:paraId="48491CA7" w14:textId="77777777" w:rsidR="00067458" w:rsidRPr="00DE0E21" w:rsidRDefault="00067458" w:rsidP="00412260">
            <w:pPr>
              <w:jc w:val="center"/>
              <w:rPr>
                <w:rFonts w:eastAsia="Times New Roman" w:cs="Arial"/>
                <w:color w:val="000000"/>
                <w:szCs w:val="20"/>
                <w:lang w:eastAsia="fr-FR"/>
              </w:rPr>
            </w:pPr>
            <w:r w:rsidRPr="00DE0E21">
              <w:rPr>
                <w:rFonts w:cs="Arial"/>
                <w:color w:val="000000"/>
                <w:szCs w:val="20"/>
              </w:rPr>
              <w:t xml:space="preserve">DG JUST </w:t>
            </w:r>
          </w:p>
        </w:tc>
        <w:tc>
          <w:tcPr>
            <w:tcW w:w="1952" w:type="pct"/>
            <w:tcBorders>
              <w:top w:val="single" w:sz="4" w:space="0" w:color="auto"/>
              <w:left w:val="single" w:sz="4" w:space="0" w:color="auto"/>
              <w:bottom w:val="single" w:sz="4" w:space="0" w:color="8EA9DB"/>
              <w:right w:val="single" w:sz="4" w:space="0" w:color="auto"/>
            </w:tcBorders>
            <w:shd w:val="clear" w:color="auto" w:fill="auto"/>
            <w:vAlign w:val="center"/>
          </w:tcPr>
          <w:p w14:paraId="37DD0BD5" w14:textId="651E2438" w:rsidR="00067458" w:rsidRPr="00DE0E21" w:rsidRDefault="00067458" w:rsidP="00412260">
            <w:pPr>
              <w:rPr>
                <w:rFonts w:eastAsia="Times New Roman" w:cs="Arial"/>
                <w:color w:val="000000"/>
                <w:szCs w:val="20"/>
                <w:lang w:eastAsia="fr-FR"/>
              </w:rPr>
            </w:pPr>
            <w:r w:rsidRPr="00DE0E21">
              <w:rPr>
                <w:rFonts w:cs="Arial"/>
                <w:color w:val="000000"/>
                <w:szCs w:val="20"/>
              </w:rPr>
              <w:t>Assessment of the concrete implementation and effective application of the 4</w:t>
            </w:r>
            <w:r w:rsidRPr="007D3924">
              <w:rPr>
                <w:rFonts w:cs="Arial"/>
                <w:color w:val="000000"/>
                <w:szCs w:val="20"/>
                <w:vertAlign w:val="superscript"/>
              </w:rPr>
              <w:t>th</w:t>
            </w:r>
            <w:r w:rsidR="007D3924">
              <w:rPr>
                <w:rFonts w:cs="Arial"/>
                <w:color w:val="000000"/>
                <w:szCs w:val="20"/>
              </w:rPr>
              <w:t xml:space="preserve"> </w:t>
            </w:r>
            <w:r w:rsidRPr="00DE0E21">
              <w:rPr>
                <w:rFonts w:cs="Arial"/>
                <w:color w:val="000000"/>
                <w:szCs w:val="20"/>
              </w:rPr>
              <w:t xml:space="preserve">Anti-Money Laundering Directive in the EU </w:t>
            </w:r>
            <w:r w:rsidR="00701B55">
              <w:rPr>
                <w:rFonts w:cs="Arial"/>
                <w:color w:val="000000"/>
                <w:szCs w:val="20"/>
              </w:rPr>
              <w:t>m</w:t>
            </w:r>
            <w:r w:rsidRPr="00DE0E21">
              <w:rPr>
                <w:rFonts w:cs="Arial"/>
                <w:color w:val="000000"/>
                <w:szCs w:val="20"/>
              </w:rPr>
              <w:t>ember States</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361BCA10" w14:textId="77777777" w:rsidR="00067458" w:rsidRPr="00DE0E21" w:rsidRDefault="00067458" w:rsidP="00412260">
            <w:pPr>
              <w:jc w:val="center"/>
              <w:rPr>
                <w:rFonts w:eastAsia="Times New Roman" w:cs="Arial"/>
                <w:color w:val="000000"/>
                <w:szCs w:val="20"/>
                <w:lang w:eastAsia="fr-FR"/>
              </w:rPr>
            </w:pPr>
            <w:r w:rsidRPr="00DE0E21">
              <w:rPr>
                <w:rFonts w:cs="Arial"/>
                <w:color w:val="000000"/>
                <w:szCs w:val="20"/>
              </w:rPr>
              <w:t>24/07/2019</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63239FED" w14:textId="77777777" w:rsidR="00067458" w:rsidRPr="00DE0E21" w:rsidRDefault="00067458" w:rsidP="00412260">
            <w:pPr>
              <w:jc w:val="center"/>
              <w:rPr>
                <w:rFonts w:eastAsia="Times New Roman" w:cs="Arial"/>
                <w:color w:val="000000"/>
                <w:szCs w:val="20"/>
                <w:lang w:eastAsia="fr-FR"/>
              </w:rPr>
            </w:pPr>
            <w:r w:rsidRPr="00DE0E21">
              <w:rPr>
                <w:rFonts w:cs="Arial"/>
                <w:color w:val="000000"/>
                <w:szCs w:val="20"/>
              </w:rPr>
              <w:t>23/08/2022</w:t>
            </w:r>
          </w:p>
        </w:tc>
        <w:tc>
          <w:tcPr>
            <w:tcW w:w="477" w:type="pct"/>
            <w:tcBorders>
              <w:top w:val="single" w:sz="4" w:space="0" w:color="auto"/>
              <w:left w:val="single" w:sz="4" w:space="0" w:color="auto"/>
              <w:bottom w:val="single" w:sz="4" w:space="0" w:color="8EA9DB"/>
              <w:right w:val="single" w:sz="4" w:space="0" w:color="auto"/>
            </w:tcBorders>
            <w:shd w:val="clear" w:color="auto" w:fill="auto"/>
            <w:vAlign w:val="center"/>
          </w:tcPr>
          <w:p w14:paraId="68BB3850" w14:textId="77777777" w:rsidR="00067458" w:rsidRPr="00DE0E21" w:rsidRDefault="00067458" w:rsidP="00412260">
            <w:pPr>
              <w:jc w:val="right"/>
              <w:rPr>
                <w:rFonts w:eastAsia="Times New Roman" w:cs="Arial"/>
                <w:color w:val="000000"/>
                <w:szCs w:val="20"/>
                <w:lang w:eastAsia="fr-FR"/>
              </w:rPr>
            </w:pPr>
            <w:r w:rsidRPr="00DE0E21">
              <w:rPr>
                <w:rFonts w:cs="Arial"/>
                <w:color w:val="000000"/>
                <w:szCs w:val="20"/>
              </w:rPr>
              <w:t xml:space="preserve">691 000.00  </w:t>
            </w:r>
          </w:p>
        </w:tc>
        <w:tc>
          <w:tcPr>
            <w:tcW w:w="571" w:type="pct"/>
            <w:tcBorders>
              <w:top w:val="single" w:sz="4" w:space="0" w:color="auto"/>
              <w:left w:val="single" w:sz="4" w:space="0" w:color="auto"/>
              <w:bottom w:val="single" w:sz="4" w:space="0" w:color="8EA9DB"/>
              <w:right w:val="single" w:sz="4" w:space="0" w:color="auto"/>
            </w:tcBorders>
            <w:shd w:val="clear" w:color="auto" w:fill="auto"/>
            <w:vAlign w:val="center"/>
          </w:tcPr>
          <w:p w14:paraId="716C4082" w14:textId="77777777" w:rsidR="00067458" w:rsidRPr="00DE0E21" w:rsidRDefault="00067458" w:rsidP="00412260">
            <w:pPr>
              <w:jc w:val="right"/>
              <w:rPr>
                <w:rFonts w:eastAsia="Times New Roman" w:cs="Arial"/>
                <w:color w:val="000000"/>
                <w:szCs w:val="20"/>
                <w:lang w:eastAsia="fr-FR"/>
              </w:rPr>
            </w:pPr>
            <w:r w:rsidRPr="00DE0E21">
              <w:rPr>
                <w:rFonts w:cs="Arial"/>
                <w:color w:val="000000"/>
                <w:szCs w:val="20"/>
              </w:rPr>
              <w:t xml:space="preserve">691 000.00  </w:t>
            </w:r>
          </w:p>
        </w:tc>
        <w:tc>
          <w:tcPr>
            <w:tcW w:w="619" w:type="pct"/>
            <w:tcBorders>
              <w:top w:val="single" w:sz="4" w:space="0" w:color="auto"/>
              <w:left w:val="single" w:sz="4" w:space="0" w:color="auto"/>
              <w:bottom w:val="single" w:sz="4" w:space="0" w:color="8EA9DB"/>
              <w:right w:val="single" w:sz="4" w:space="0" w:color="auto"/>
            </w:tcBorders>
            <w:shd w:val="clear" w:color="auto" w:fill="auto"/>
            <w:vAlign w:val="center"/>
          </w:tcPr>
          <w:p w14:paraId="60F3A732" w14:textId="77777777" w:rsidR="00067458" w:rsidRPr="00DE0E21" w:rsidRDefault="00067458" w:rsidP="00412260">
            <w:pPr>
              <w:jc w:val="right"/>
              <w:rPr>
                <w:rFonts w:eastAsia="Times New Roman" w:cs="Arial"/>
                <w:color w:val="000000"/>
                <w:szCs w:val="20"/>
                <w:lang w:eastAsia="fr-FR"/>
              </w:rPr>
            </w:pPr>
            <w:r w:rsidRPr="00DE0E21">
              <w:rPr>
                <w:rFonts w:cs="Arial"/>
                <w:color w:val="000000"/>
                <w:szCs w:val="20"/>
              </w:rPr>
              <w:t xml:space="preserve">0.00  </w:t>
            </w:r>
          </w:p>
        </w:tc>
      </w:tr>
      <w:tr w:rsidR="00A04033" w:rsidRPr="00DE0E21" w14:paraId="212F66D3" w14:textId="77777777" w:rsidTr="00A04033">
        <w:trPr>
          <w:trHeight w:val="600"/>
        </w:trPr>
        <w:tc>
          <w:tcPr>
            <w:tcW w:w="523" w:type="pct"/>
            <w:tcBorders>
              <w:top w:val="single" w:sz="4" w:space="0" w:color="auto"/>
              <w:left w:val="single" w:sz="4" w:space="0" w:color="auto"/>
              <w:bottom w:val="single" w:sz="4" w:space="0" w:color="8EA9DB"/>
              <w:right w:val="single" w:sz="4" w:space="0" w:color="auto"/>
            </w:tcBorders>
            <w:shd w:val="clear" w:color="auto" w:fill="auto"/>
            <w:vAlign w:val="center"/>
          </w:tcPr>
          <w:p w14:paraId="15641DA3" w14:textId="77777777" w:rsidR="00067458" w:rsidRPr="00DE0E21" w:rsidRDefault="00067458" w:rsidP="00412260">
            <w:pPr>
              <w:jc w:val="center"/>
              <w:rPr>
                <w:rFonts w:eastAsia="Times New Roman" w:cs="Arial"/>
                <w:color w:val="000000"/>
                <w:szCs w:val="20"/>
                <w:lang w:eastAsia="fr-FR"/>
              </w:rPr>
            </w:pPr>
            <w:r w:rsidRPr="00DE0E21">
              <w:rPr>
                <w:rFonts w:cs="Arial"/>
                <w:color w:val="000000"/>
                <w:szCs w:val="20"/>
              </w:rPr>
              <w:t xml:space="preserve">DG JUST </w:t>
            </w:r>
          </w:p>
        </w:tc>
        <w:tc>
          <w:tcPr>
            <w:tcW w:w="1952" w:type="pct"/>
            <w:tcBorders>
              <w:top w:val="single" w:sz="4" w:space="0" w:color="auto"/>
              <w:left w:val="single" w:sz="4" w:space="0" w:color="auto"/>
              <w:bottom w:val="single" w:sz="4" w:space="0" w:color="8EA9DB"/>
              <w:right w:val="single" w:sz="4" w:space="0" w:color="auto"/>
            </w:tcBorders>
            <w:shd w:val="clear" w:color="auto" w:fill="auto"/>
            <w:vAlign w:val="center"/>
          </w:tcPr>
          <w:p w14:paraId="3CD1A7E5" w14:textId="77777777" w:rsidR="00067458" w:rsidRPr="00DE0E21" w:rsidRDefault="00067458" w:rsidP="00412260">
            <w:pPr>
              <w:rPr>
                <w:rFonts w:eastAsia="Times New Roman" w:cs="Arial"/>
                <w:color w:val="000000"/>
                <w:szCs w:val="20"/>
                <w:lang w:eastAsia="fr-FR"/>
              </w:rPr>
            </w:pPr>
            <w:r w:rsidRPr="00DE0E21">
              <w:rPr>
                <w:rFonts w:cs="Arial"/>
                <w:color w:val="000000"/>
                <w:szCs w:val="20"/>
              </w:rPr>
              <w:t>Roma Women’s Access to Justice - JUSTROM 3</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5222C013" w14:textId="77777777" w:rsidR="00067458" w:rsidRPr="00DE0E21" w:rsidRDefault="00067458" w:rsidP="00412260">
            <w:pPr>
              <w:jc w:val="center"/>
              <w:rPr>
                <w:rFonts w:eastAsia="Times New Roman" w:cs="Arial"/>
                <w:color w:val="000000"/>
                <w:szCs w:val="20"/>
                <w:lang w:eastAsia="fr-FR"/>
              </w:rPr>
            </w:pPr>
            <w:r w:rsidRPr="00DE0E21">
              <w:rPr>
                <w:rFonts w:cs="Arial"/>
                <w:color w:val="000000"/>
                <w:szCs w:val="20"/>
              </w:rPr>
              <w:t>01/09/2019</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1A2F8879" w14:textId="77777777" w:rsidR="00067458" w:rsidRPr="00DE0E21" w:rsidRDefault="00067458" w:rsidP="00412260">
            <w:pPr>
              <w:jc w:val="center"/>
              <w:rPr>
                <w:rFonts w:eastAsia="Times New Roman" w:cs="Arial"/>
                <w:color w:val="000000"/>
                <w:szCs w:val="20"/>
                <w:lang w:eastAsia="fr-FR"/>
              </w:rPr>
            </w:pPr>
            <w:r w:rsidRPr="00DE0E21">
              <w:rPr>
                <w:rFonts w:cs="Arial"/>
                <w:color w:val="000000"/>
                <w:szCs w:val="20"/>
              </w:rPr>
              <w:t>28/02/2022</w:t>
            </w:r>
          </w:p>
        </w:tc>
        <w:tc>
          <w:tcPr>
            <w:tcW w:w="477" w:type="pct"/>
            <w:tcBorders>
              <w:top w:val="single" w:sz="4" w:space="0" w:color="auto"/>
              <w:left w:val="single" w:sz="4" w:space="0" w:color="auto"/>
              <w:bottom w:val="single" w:sz="4" w:space="0" w:color="8EA9DB"/>
              <w:right w:val="single" w:sz="4" w:space="0" w:color="auto"/>
            </w:tcBorders>
            <w:shd w:val="clear" w:color="auto" w:fill="auto"/>
            <w:vAlign w:val="center"/>
          </w:tcPr>
          <w:p w14:paraId="2C934F31" w14:textId="77777777" w:rsidR="00067458" w:rsidRPr="00DE0E21" w:rsidRDefault="00067458" w:rsidP="00412260">
            <w:pPr>
              <w:jc w:val="right"/>
              <w:rPr>
                <w:rFonts w:eastAsia="Times New Roman" w:cs="Arial"/>
                <w:color w:val="000000"/>
                <w:szCs w:val="20"/>
                <w:lang w:eastAsia="fr-FR"/>
              </w:rPr>
            </w:pPr>
            <w:r w:rsidRPr="00DE0E21">
              <w:rPr>
                <w:rFonts w:cs="Arial"/>
                <w:color w:val="000000"/>
                <w:szCs w:val="20"/>
              </w:rPr>
              <w:t xml:space="preserve">1 750 000.00  </w:t>
            </w:r>
          </w:p>
        </w:tc>
        <w:tc>
          <w:tcPr>
            <w:tcW w:w="571" w:type="pct"/>
            <w:tcBorders>
              <w:top w:val="single" w:sz="4" w:space="0" w:color="auto"/>
              <w:left w:val="single" w:sz="4" w:space="0" w:color="auto"/>
              <w:bottom w:val="single" w:sz="4" w:space="0" w:color="8EA9DB"/>
              <w:right w:val="single" w:sz="4" w:space="0" w:color="auto"/>
            </w:tcBorders>
            <w:shd w:val="clear" w:color="auto" w:fill="auto"/>
            <w:vAlign w:val="center"/>
          </w:tcPr>
          <w:p w14:paraId="2A51DE59" w14:textId="77777777" w:rsidR="00067458" w:rsidRPr="00DE0E21" w:rsidRDefault="00067458" w:rsidP="00412260">
            <w:pPr>
              <w:jc w:val="right"/>
              <w:rPr>
                <w:rFonts w:eastAsia="Times New Roman" w:cs="Arial"/>
                <w:color w:val="000000"/>
                <w:szCs w:val="20"/>
                <w:lang w:eastAsia="fr-FR"/>
              </w:rPr>
            </w:pPr>
            <w:r w:rsidRPr="00DE0E21">
              <w:rPr>
                <w:rFonts w:cs="Arial"/>
                <w:color w:val="000000"/>
                <w:szCs w:val="20"/>
              </w:rPr>
              <w:t xml:space="preserve">1 400 000.00  </w:t>
            </w:r>
          </w:p>
        </w:tc>
        <w:tc>
          <w:tcPr>
            <w:tcW w:w="619" w:type="pct"/>
            <w:tcBorders>
              <w:top w:val="single" w:sz="4" w:space="0" w:color="auto"/>
              <w:left w:val="single" w:sz="4" w:space="0" w:color="auto"/>
              <w:bottom w:val="single" w:sz="4" w:space="0" w:color="8EA9DB"/>
              <w:right w:val="single" w:sz="4" w:space="0" w:color="auto"/>
            </w:tcBorders>
            <w:shd w:val="clear" w:color="auto" w:fill="auto"/>
            <w:vAlign w:val="center"/>
          </w:tcPr>
          <w:p w14:paraId="21CBC41E" w14:textId="77777777" w:rsidR="00067458" w:rsidRPr="00DE0E21" w:rsidRDefault="00067458" w:rsidP="00412260">
            <w:pPr>
              <w:jc w:val="right"/>
              <w:rPr>
                <w:rFonts w:eastAsia="Times New Roman" w:cs="Arial"/>
                <w:color w:val="000000"/>
                <w:szCs w:val="20"/>
                <w:lang w:eastAsia="fr-FR"/>
              </w:rPr>
            </w:pPr>
            <w:r w:rsidRPr="00DE0E21">
              <w:rPr>
                <w:rFonts w:cs="Arial"/>
                <w:color w:val="000000"/>
                <w:szCs w:val="20"/>
              </w:rPr>
              <w:t xml:space="preserve">350 000.00  </w:t>
            </w:r>
          </w:p>
        </w:tc>
      </w:tr>
      <w:tr w:rsidR="00A04033" w:rsidRPr="00DE0E21" w14:paraId="065B43AF"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28881C6" w14:textId="77777777" w:rsidR="00067458" w:rsidRPr="00DE0E21" w:rsidRDefault="00067458" w:rsidP="00412260">
            <w:pPr>
              <w:jc w:val="center"/>
              <w:rPr>
                <w:rFonts w:eastAsia="Times New Roman" w:cs="Arial"/>
                <w:color w:val="000000"/>
                <w:szCs w:val="20"/>
                <w:lang w:eastAsia="fr-FR"/>
              </w:rPr>
            </w:pPr>
            <w:r w:rsidRPr="00DE0E21">
              <w:rPr>
                <w:rFonts w:cs="Arial"/>
                <w:color w:val="000000"/>
                <w:szCs w:val="20"/>
              </w:rPr>
              <w:t xml:space="preserve">DG JUST </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39E74998" w14:textId="77777777" w:rsidR="00067458" w:rsidRPr="00DE0E21" w:rsidRDefault="00067458" w:rsidP="00412260">
            <w:pPr>
              <w:rPr>
                <w:rFonts w:eastAsia="Times New Roman" w:cs="Arial"/>
                <w:color w:val="000000"/>
                <w:szCs w:val="20"/>
                <w:lang w:eastAsia="fr-FR"/>
              </w:rPr>
            </w:pPr>
            <w:r w:rsidRPr="00DE0E21">
              <w:rPr>
                <w:rFonts w:cs="Arial"/>
                <w:color w:val="000000"/>
                <w:szCs w:val="20"/>
              </w:rPr>
              <w:t>We CAN for Human Rights Speech — WECANHRS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8FF1CB0" w14:textId="77777777" w:rsidR="00067458" w:rsidRPr="00DE0E21" w:rsidRDefault="00067458" w:rsidP="00412260">
            <w:pPr>
              <w:jc w:val="center"/>
              <w:rPr>
                <w:rFonts w:eastAsia="Times New Roman" w:cs="Arial"/>
                <w:color w:val="000000"/>
                <w:szCs w:val="20"/>
                <w:lang w:eastAsia="fr-FR"/>
              </w:rPr>
            </w:pPr>
            <w:r w:rsidRPr="00DE0E21">
              <w:rPr>
                <w:rFonts w:cs="Arial"/>
                <w:color w:val="000000"/>
                <w:szCs w:val="20"/>
              </w:rPr>
              <w:t>01/02/2020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DFC8F49" w14:textId="77777777" w:rsidR="00067458" w:rsidRPr="00DE0E21" w:rsidRDefault="00067458" w:rsidP="00412260">
            <w:pPr>
              <w:jc w:val="center"/>
              <w:rPr>
                <w:rFonts w:eastAsia="Times New Roman" w:cs="Arial"/>
                <w:color w:val="000000"/>
                <w:szCs w:val="20"/>
                <w:lang w:eastAsia="fr-FR"/>
              </w:rPr>
            </w:pPr>
            <w:r w:rsidRPr="00DE0E21">
              <w:rPr>
                <w:rFonts w:cs="Arial"/>
                <w:color w:val="000000"/>
                <w:szCs w:val="20"/>
              </w:rPr>
              <w:t>31/03/2022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0D11CD66" w14:textId="77777777" w:rsidR="00067458" w:rsidRPr="00DE0E21" w:rsidRDefault="00067458" w:rsidP="00412260">
            <w:pPr>
              <w:jc w:val="right"/>
              <w:rPr>
                <w:rFonts w:eastAsia="Times New Roman" w:cs="Arial"/>
                <w:color w:val="000000"/>
                <w:szCs w:val="20"/>
                <w:lang w:eastAsia="fr-FR"/>
              </w:rPr>
            </w:pPr>
            <w:r w:rsidRPr="00DE0E21">
              <w:rPr>
                <w:rFonts w:cs="Arial"/>
                <w:color w:val="000000"/>
                <w:szCs w:val="20"/>
              </w:rPr>
              <w:t xml:space="preserve">431 353.62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7F01687D" w14:textId="77777777" w:rsidR="00067458" w:rsidRPr="00DE0E21" w:rsidRDefault="00067458" w:rsidP="00412260">
            <w:pPr>
              <w:jc w:val="right"/>
              <w:rPr>
                <w:rFonts w:eastAsia="Times New Roman" w:cs="Arial"/>
                <w:color w:val="000000"/>
                <w:szCs w:val="20"/>
                <w:lang w:eastAsia="fr-FR"/>
              </w:rPr>
            </w:pPr>
            <w:r w:rsidRPr="00DE0E21">
              <w:rPr>
                <w:rFonts w:cs="Arial"/>
                <w:color w:val="000000"/>
                <w:szCs w:val="20"/>
              </w:rPr>
              <w:t xml:space="preserve">339 961.45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74128A94" w14:textId="77777777" w:rsidR="00067458" w:rsidRPr="00DE0E21" w:rsidRDefault="00067458" w:rsidP="00412260">
            <w:pPr>
              <w:jc w:val="right"/>
              <w:rPr>
                <w:rFonts w:eastAsia="Times New Roman" w:cs="Arial"/>
                <w:color w:val="000000"/>
                <w:szCs w:val="20"/>
                <w:lang w:eastAsia="fr-FR"/>
              </w:rPr>
            </w:pPr>
            <w:r w:rsidRPr="00DE0E21">
              <w:rPr>
                <w:rFonts w:cs="Arial"/>
                <w:color w:val="000000"/>
                <w:szCs w:val="20"/>
              </w:rPr>
              <w:t xml:space="preserve">91 392.17  </w:t>
            </w:r>
          </w:p>
        </w:tc>
      </w:tr>
      <w:tr w:rsidR="00A04033" w:rsidRPr="00DE0E21" w14:paraId="0E824B4A"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640440C" w14:textId="77777777" w:rsidR="00067458" w:rsidRPr="00DE0E21" w:rsidRDefault="00067458" w:rsidP="00412260">
            <w:pPr>
              <w:jc w:val="center"/>
              <w:rPr>
                <w:rFonts w:eastAsia="Times New Roman" w:cs="Arial"/>
                <w:color w:val="000000"/>
                <w:szCs w:val="20"/>
                <w:lang w:eastAsia="fr-FR"/>
              </w:rPr>
            </w:pPr>
            <w:r w:rsidRPr="00DE0E21">
              <w:rPr>
                <w:rFonts w:cs="Arial"/>
                <w:color w:val="000000"/>
                <w:szCs w:val="20"/>
              </w:rPr>
              <w:t xml:space="preserve">DG JUST </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1A7F7866" w14:textId="77777777" w:rsidR="00067458" w:rsidRPr="00DE0E21" w:rsidRDefault="00067458" w:rsidP="00412260">
            <w:pPr>
              <w:rPr>
                <w:rFonts w:eastAsia="Times New Roman" w:cs="Arial"/>
                <w:color w:val="000000"/>
                <w:szCs w:val="20"/>
                <w:lang w:eastAsia="fr-FR"/>
              </w:rPr>
            </w:pPr>
            <w:r w:rsidRPr="00DE0E21">
              <w:rPr>
                <w:rFonts w:cs="Arial"/>
                <w:color w:val="000000"/>
                <w:szCs w:val="20"/>
              </w:rPr>
              <w:t>EU-CoE HELP Radicalisation Prevention, Judicial Response to Terrorism and International Cooperation in Criminal Matters - EU-CoE HELP RAD ICCM</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73A943C" w14:textId="77777777" w:rsidR="00067458" w:rsidRPr="00DE0E21" w:rsidRDefault="00067458" w:rsidP="00412260">
            <w:pPr>
              <w:jc w:val="center"/>
              <w:rPr>
                <w:rFonts w:eastAsia="Times New Roman" w:cs="Arial"/>
                <w:color w:val="000000"/>
                <w:szCs w:val="20"/>
                <w:lang w:eastAsia="fr-FR"/>
              </w:rPr>
            </w:pPr>
            <w:r w:rsidRPr="00DE0E21">
              <w:rPr>
                <w:rFonts w:cs="Arial"/>
                <w:color w:val="000000"/>
                <w:szCs w:val="20"/>
              </w:rPr>
              <w:t>01/01/2020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D557799" w14:textId="77777777" w:rsidR="00067458" w:rsidRPr="00DE0E21" w:rsidRDefault="00067458" w:rsidP="00412260">
            <w:pPr>
              <w:jc w:val="center"/>
              <w:rPr>
                <w:rFonts w:eastAsia="Times New Roman" w:cs="Arial"/>
                <w:color w:val="000000"/>
                <w:szCs w:val="20"/>
                <w:lang w:eastAsia="fr-FR"/>
              </w:rPr>
            </w:pPr>
            <w:r w:rsidRPr="00DE0E21">
              <w:rPr>
                <w:rFonts w:cs="Arial"/>
                <w:color w:val="000000"/>
                <w:szCs w:val="20"/>
              </w:rPr>
              <w:t>31/05/2022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22D9EC18" w14:textId="77777777" w:rsidR="00067458" w:rsidRPr="00DE0E21" w:rsidRDefault="00067458" w:rsidP="00412260">
            <w:pPr>
              <w:jc w:val="right"/>
              <w:rPr>
                <w:rFonts w:eastAsia="Times New Roman" w:cs="Arial"/>
                <w:color w:val="000000"/>
                <w:szCs w:val="20"/>
                <w:lang w:eastAsia="fr-FR"/>
              </w:rPr>
            </w:pPr>
            <w:r w:rsidRPr="00DE0E21">
              <w:rPr>
                <w:rFonts w:cs="Arial"/>
                <w:color w:val="000000"/>
                <w:szCs w:val="20"/>
              </w:rPr>
              <w:t xml:space="preserve">722 359.14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1D432173" w14:textId="77777777" w:rsidR="00067458" w:rsidRPr="00DE0E21" w:rsidRDefault="00067458" w:rsidP="00412260">
            <w:pPr>
              <w:jc w:val="right"/>
              <w:rPr>
                <w:rFonts w:eastAsia="Times New Roman" w:cs="Arial"/>
                <w:color w:val="000000"/>
                <w:szCs w:val="20"/>
                <w:lang w:eastAsia="fr-FR"/>
              </w:rPr>
            </w:pPr>
            <w:r w:rsidRPr="00DE0E21">
              <w:rPr>
                <w:rFonts w:cs="Arial"/>
                <w:color w:val="000000"/>
                <w:szCs w:val="20"/>
              </w:rPr>
              <w:t xml:space="preserve">650 123.23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3366EC41" w14:textId="77777777" w:rsidR="00067458" w:rsidRPr="00DE0E21" w:rsidRDefault="00067458" w:rsidP="00412260">
            <w:pPr>
              <w:jc w:val="right"/>
              <w:rPr>
                <w:rFonts w:eastAsia="Times New Roman" w:cs="Arial"/>
                <w:color w:val="000000"/>
                <w:szCs w:val="20"/>
                <w:lang w:eastAsia="fr-FR"/>
              </w:rPr>
            </w:pPr>
            <w:r w:rsidRPr="00DE0E21">
              <w:rPr>
                <w:rFonts w:cs="Arial"/>
                <w:color w:val="000000"/>
                <w:szCs w:val="20"/>
              </w:rPr>
              <w:t xml:space="preserve">72 235.91  </w:t>
            </w:r>
          </w:p>
        </w:tc>
      </w:tr>
      <w:tr w:rsidR="00A04033" w:rsidRPr="00DE0E21" w14:paraId="3431486A"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78F08E9" w14:textId="77777777" w:rsidR="00067458" w:rsidRPr="00DE0E21" w:rsidRDefault="00067458" w:rsidP="00412260">
            <w:pPr>
              <w:jc w:val="center"/>
              <w:rPr>
                <w:rFonts w:cs="Arial"/>
                <w:color w:val="000000"/>
                <w:szCs w:val="20"/>
              </w:rPr>
            </w:pPr>
            <w:r w:rsidRPr="00DE0E21">
              <w:rPr>
                <w:rFonts w:cs="Arial"/>
                <w:color w:val="000000"/>
                <w:szCs w:val="20"/>
              </w:rPr>
              <w:t>DG EAC</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0555A0E0" w14:textId="77777777" w:rsidR="00067458" w:rsidRPr="00DE0E21" w:rsidRDefault="00067458" w:rsidP="00412260">
            <w:pPr>
              <w:rPr>
                <w:rFonts w:cs="Arial"/>
                <w:color w:val="000000"/>
                <w:szCs w:val="20"/>
              </w:rPr>
            </w:pPr>
            <w:r w:rsidRPr="00DE0E21">
              <w:rPr>
                <w:rFonts w:cs="Arial"/>
                <w:color w:val="000000"/>
                <w:szCs w:val="20"/>
              </w:rPr>
              <w:t>Promoting and Strengthening the Council of Europe Standards on Safety, Security and Service at football matches and other sports events (ProS4+)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10956C4" w14:textId="77777777" w:rsidR="00067458" w:rsidRPr="00DE0E21" w:rsidRDefault="00067458" w:rsidP="00412260">
            <w:pPr>
              <w:jc w:val="center"/>
              <w:rPr>
                <w:rFonts w:cs="Arial"/>
                <w:color w:val="000000"/>
                <w:szCs w:val="20"/>
              </w:rPr>
            </w:pPr>
            <w:r w:rsidRPr="00DE0E21">
              <w:rPr>
                <w:rFonts w:cs="Arial"/>
                <w:color w:val="000000"/>
                <w:szCs w:val="20"/>
              </w:rPr>
              <w:t>01/07/2018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E52692F" w14:textId="77777777" w:rsidR="00067458" w:rsidRPr="00DE0E21" w:rsidRDefault="00067458" w:rsidP="00412260">
            <w:pPr>
              <w:jc w:val="center"/>
              <w:rPr>
                <w:rFonts w:cs="Arial"/>
                <w:color w:val="000000"/>
                <w:szCs w:val="20"/>
              </w:rPr>
            </w:pPr>
            <w:r w:rsidRPr="00DE0E21">
              <w:rPr>
                <w:rFonts w:cs="Arial"/>
                <w:color w:val="000000"/>
                <w:szCs w:val="20"/>
              </w:rPr>
              <w:t>31/03/2021</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5A99EA98" w14:textId="77777777" w:rsidR="00067458" w:rsidRPr="00DE0E21" w:rsidRDefault="00067458" w:rsidP="00412260">
            <w:pPr>
              <w:jc w:val="right"/>
              <w:rPr>
                <w:rFonts w:cs="Arial"/>
                <w:color w:val="000000"/>
                <w:szCs w:val="20"/>
              </w:rPr>
            </w:pPr>
            <w:r w:rsidRPr="00DE0E21">
              <w:rPr>
                <w:rFonts w:cs="Arial"/>
                <w:color w:val="000000"/>
                <w:szCs w:val="20"/>
              </w:rPr>
              <w:t xml:space="preserve">465 000.00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5DC99DBD" w14:textId="77777777" w:rsidR="00067458" w:rsidRPr="00DE0E21" w:rsidRDefault="00067458" w:rsidP="00412260">
            <w:pPr>
              <w:jc w:val="right"/>
              <w:rPr>
                <w:rFonts w:cs="Arial"/>
                <w:color w:val="000000"/>
                <w:szCs w:val="20"/>
              </w:rPr>
            </w:pPr>
            <w:r w:rsidRPr="00DE0E21">
              <w:rPr>
                <w:rFonts w:cs="Arial"/>
                <w:color w:val="000000"/>
                <w:szCs w:val="20"/>
              </w:rPr>
              <w:t xml:space="preserve">336 000.00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1AB5314E" w14:textId="77777777" w:rsidR="00067458" w:rsidRPr="00DE0E21" w:rsidRDefault="00067458" w:rsidP="00412260">
            <w:pPr>
              <w:jc w:val="right"/>
              <w:rPr>
                <w:rFonts w:cs="Arial"/>
                <w:color w:val="000000"/>
                <w:szCs w:val="20"/>
              </w:rPr>
            </w:pPr>
            <w:r w:rsidRPr="00DE0E21">
              <w:rPr>
                <w:rFonts w:cs="Arial"/>
                <w:color w:val="000000"/>
                <w:szCs w:val="20"/>
              </w:rPr>
              <w:t xml:space="preserve">129 000.00  </w:t>
            </w:r>
          </w:p>
        </w:tc>
      </w:tr>
      <w:tr w:rsidR="00A04033" w:rsidRPr="00DE0E21" w14:paraId="64C8B98D"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1B3E47F" w14:textId="77777777" w:rsidR="00067458" w:rsidRPr="00DE0E21" w:rsidRDefault="00067458" w:rsidP="00412260">
            <w:pPr>
              <w:jc w:val="center"/>
              <w:rPr>
                <w:rFonts w:cs="Arial"/>
                <w:color w:val="000000"/>
                <w:szCs w:val="20"/>
              </w:rPr>
            </w:pPr>
            <w:r w:rsidRPr="00DE0E21">
              <w:rPr>
                <w:rFonts w:cs="Arial"/>
                <w:color w:val="000000"/>
                <w:szCs w:val="20"/>
              </w:rPr>
              <w:t>DG EAC</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4D51BBBF" w14:textId="77777777" w:rsidR="00067458" w:rsidRPr="00DE0E21" w:rsidRDefault="00067458" w:rsidP="00412260">
            <w:pPr>
              <w:rPr>
                <w:rFonts w:cs="Arial"/>
                <w:color w:val="000000"/>
                <w:szCs w:val="20"/>
              </w:rPr>
            </w:pPr>
            <w:r w:rsidRPr="00DE0E21">
              <w:rPr>
                <w:rFonts w:cs="Arial"/>
                <w:color w:val="000000"/>
                <w:szCs w:val="20"/>
              </w:rPr>
              <w:t>Inclusive Schools: making a difference for Roma children (INSCHOOL 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39C5F88" w14:textId="77777777" w:rsidR="00067458" w:rsidRPr="00DE0E21" w:rsidRDefault="00067458" w:rsidP="00412260">
            <w:pPr>
              <w:jc w:val="center"/>
              <w:rPr>
                <w:rFonts w:cs="Arial"/>
                <w:color w:val="000000"/>
                <w:szCs w:val="20"/>
              </w:rPr>
            </w:pPr>
            <w:r w:rsidRPr="00DE0E21">
              <w:rPr>
                <w:rFonts w:cs="Arial"/>
                <w:color w:val="000000"/>
                <w:szCs w:val="20"/>
              </w:rPr>
              <w:t>01/10/2019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109D9BF" w14:textId="77777777" w:rsidR="00067458" w:rsidRPr="00DE0E21" w:rsidRDefault="00067458" w:rsidP="00412260">
            <w:pPr>
              <w:jc w:val="center"/>
              <w:rPr>
                <w:rFonts w:cs="Arial"/>
                <w:color w:val="000000"/>
                <w:szCs w:val="20"/>
              </w:rPr>
            </w:pPr>
            <w:r w:rsidRPr="00DE0E21">
              <w:rPr>
                <w:rFonts w:cs="Arial"/>
                <w:color w:val="000000"/>
                <w:szCs w:val="20"/>
              </w:rPr>
              <w:t>30/06/2021</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61F33918" w14:textId="77777777" w:rsidR="00067458" w:rsidRPr="00DE0E21" w:rsidRDefault="00067458" w:rsidP="00412260">
            <w:pPr>
              <w:jc w:val="right"/>
              <w:rPr>
                <w:rFonts w:cs="Arial"/>
                <w:color w:val="000000"/>
                <w:szCs w:val="20"/>
              </w:rPr>
            </w:pPr>
            <w:r w:rsidRPr="00DE0E21">
              <w:rPr>
                <w:rFonts w:cs="Arial"/>
                <w:color w:val="000000"/>
                <w:szCs w:val="20"/>
              </w:rPr>
              <w:t xml:space="preserve">1 000 000.00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4AE23D36" w14:textId="77777777" w:rsidR="00067458" w:rsidRPr="00DE0E21" w:rsidRDefault="00067458" w:rsidP="00412260">
            <w:pPr>
              <w:jc w:val="right"/>
              <w:rPr>
                <w:rFonts w:cs="Arial"/>
                <w:color w:val="000000"/>
                <w:szCs w:val="20"/>
              </w:rPr>
            </w:pPr>
            <w:r w:rsidRPr="00DE0E21">
              <w:rPr>
                <w:rFonts w:cs="Arial"/>
                <w:color w:val="000000"/>
                <w:szCs w:val="20"/>
              </w:rPr>
              <w:t xml:space="preserve">700 000.00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6453253E" w14:textId="77777777" w:rsidR="00067458" w:rsidRPr="00DE0E21" w:rsidRDefault="00067458" w:rsidP="00412260">
            <w:pPr>
              <w:jc w:val="right"/>
              <w:rPr>
                <w:rFonts w:cs="Arial"/>
                <w:color w:val="000000"/>
                <w:szCs w:val="20"/>
              </w:rPr>
            </w:pPr>
            <w:r w:rsidRPr="00DE0E21">
              <w:rPr>
                <w:rFonts w:cs="Arial"/>
                <w:color w:val="000000"/>
                <w:szCs w:val="20"/>
              </w:rPr>
              <w:t xml:space="preserve">300 000.00  </w:t>
            </w:r>
          </w:p>
        </w:tc>
      </w:tr>
      <w:tr w:rsidR="00A04033" w:rsidRPr="00DE0E21" w14:paraId="35D1BC44"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38343FF" w14:textId="77777777" w:rsidR="00067458" w:rsidRPr="00DE0E21" w:rsidRDefault="00067458" w:rsidP="00412260">
            <w:pPr>
              <w:jc w:val="center"/>
              <w:rPr>
                <w:rFonts w:eastAsia="Times New Roman" w:cs="Arial"/>
                <w:color w:val="000000"/>
                <w:szCs w:val="20"/>
                <w:lang w:eastAsia="fr-FR"/>
              </w:rPr>
            </w:pPr>
            <w:r w:rsidRPr="00DE0E21">
              <w:rPr>
                <w:rFonts w:cs="Arial"/>
                <w:color w:val="000000"/>
                <w:szCs w:val="20"/>
              </w:rPr>
              <w:t>DG EAC</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5DD44515" w14:textId="77777777" w:rsidR="00067458" w:rsidRPr="00DE0E21" w:rsidRDefault="00067458" w:rsidP="00412260">
            <w:pPr>
              <w:rPr>
                <w:rFonts w:eastAsia="Times New Roman" w:cs="Arial"/>
                <w:color w:val="000000"/>
                <w:szCs w:val="20"/>
                <w:lang w:eastAsia="fr-FR"/>
              </w:rPr>
            </w:pPr>
            <w:r w:rsidRPr="00DE0E21">
              <w:rPr>
                <w:rFonts w:cs="Arial"/>
                <w:color w:val="000000"/>
                <w:szCs w:val="20"/>
              </w:rPr>
              <w:t>Child Safeguarding in Sport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36B205B" w14:textId="77777777" w:rsidR="00067458" w:rsidRPr="00DE0E21" w:rsidRDefault="00067458" w:rsidP="00412260">
            <w:pPr>
              <w:jc w:val="center"/>
              <w:rPr>
                <w:rFonts w:cs="Arial"/>
                <w:szCs w:val="20"/>
              </w:rPr>
            </w:pPr>
            <w:r w:rsidRPr="00DE0E21">
              <w:rPr>
                <w:rFonts w:cs="Arial"/>
                <w:color w:val="000000"/>
                <w:szCs w:val="20"/>
              </w:rPr>
              <w:t>01/03/2020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FC501DA" w14:textId="77777777" w:rsidR="00067458" w:rsidRPr="00DE0E21" w:rsidRDefault="00067458" w:rsidP="00412260">
            <w:pPr>
              <w:jc w:val="center"/>
              <w:rPr>
                <w:rFonts w:cs="Arial"/>
                <w:szCs w:val="20"/>
              </w:rPr>
            </w:pPr>
            <w:r w:rsidRPr="00DE0E21">
              <w:rPr>
                <w:rFonts w:cs="Arial"/>
                <w:color w:val="000000"/>
                <w:szCs w:val="20"/>
              </w:rPr>
              <w:t>28/02/2022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33E4C3EA" w14:textId="77777777" w:rsidR="00067458" w:rsidRPr="00DE0E21" w:rsidRDefault="00067458" w:rsidP="00412260">
            <w:pPr>
              <w:jc w:val="right"/>
              <w:rPr>
                <w:rFonts w:cs="Arial"/>
                <w:szCs w:val="20"/>
              </w:rPr>
            </w:pPr>
            <w:r w:rsidRPr="00DE0E21">
              <w:rPr>
                <w:rFonts w:cs="Arial"/>
                <w:color w:val="000000"/>
                <w:szCs w:val="20"/>
              </w:rPr>
              <w:t xml:space="preserve">560 000.00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6A3CB8EE" w14:textId="77777777" w:rsidR="00067458" w:rsidRPr="00DE0E21" w:rsidRDefault="00067458" w:rsidP="00412260">
            <w:pPr>
              <w:jc w:val="right"/>
              <w:rPr>
                <w:rFonts w:cs="Arial"/>
                <w:szCs w:val="20"/>
              </w:rPr>
            </w:pPr>
            <w:r w:rsidRPr="00DE0E21">
              <w:rPr>
                <w:rFonts w:cs="Arial"/>
                <w:color w:val="000000"/>
                <w:szCs w:val="20"/>
              </w:rPr>
              <w:t xml:space="preserve">400 000.00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368F62E5" w14:textId="77777777" w:rsidR="00067458" w:rsidRPr="00DE0E21" w:rsidRDefault="00067458" w:rsidP="00412260">
            <w:pPr>
              <w:jc w:val="right"/>
              <w:rPr>
                <w:rFonts w:cs="Arial"/>
                <w:szCs w:val="20"/>
              </w:rPr>
            </w:pPr>
            <w:r w:rsidRPr="00DE0E21">
              <w:rPr>
                <w:rFonts w:cs="Arial"/>
                <w:color w:val="000000"/>
                <w:szCs w:val="20"/>
              </w:rPr>
              <w:t xml:space="preserve">160 000.00  </w:t>
            </w:r>
          </w:p>
        </w:tc>
      </w:tr>
      <w:tr w:rsidR="00A04033" w:rsidRPr="00DE0E21" w14:paraId="1A89681D"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A3044B5" w14:textId="77777777" w:rsidR="00067458" w:rsidRPr="00DE0E21" w:rsidRDefault="00067458" w:rsidP="00412260">
            <w:pPr>
              <w:jc w:val="center"/>
              <w:rPr>
                <w:rFonts w:cs="Arial"/>
                <w:color w:val="000000"/>
                <w:szCs w:val="20"/>
              </w:rPr>
            </w:pPr>
            <w:r w:rsidRPr="00DE0E21">
              <w:rPr>
                <w:rFonts w:cs="Arial"/>
                <w:color w:val="000000"/>
                <w:szCs w:val="20"/>
              </w:rPr>
              <w:t>DG EAC</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38C8C2F3" w14:textId="77777777" w:rsidR="00067458" w:rsidRPr="00DE0E21" w:rsidRDefault="00067458" w:rsidP="00412260">
            <w:pPr>
              <w:rPr>
                <w:rFonts w:cs="Arial"/>
                <w:color w:val="000000"/>
                <w:szCs w:val="20"/>
              </w:rPr>
            </w:pPr>
            <w:r w:rsidRPr="00DE0E21">
              <w:rPr>
                <w:rFonts w:cs="Arial"/>
                <w:color w:val="000000"/>
                <w:szCs w:val="20"/>
              </w:rPr>
              <w:t>Innovative methodologies and assessment in language learning VIII</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8EBAD09" w14:textId="77777777" w:rsidR="00067458" w:rsidRPr="00DE0E21" w:rsidRDefault="00067458" w:rsidP="00412260">
            <w:pPr>
              <w:jc w:val="center"/>
              <w:rPr>
                <w:rFonts w:cs="Arial"/>
                <w:color w:val="000000"/>
                <w:szCs w:val="20"/>
              </w:rPr>
            </w:pPr>
            <w:r w:rsidRPr="00DE0E21">
              <w:rPr>
                <w:rFonts w:cs="Arial"/>
                <w:color w:val="000000"/>
                <w:szCs w:val="20"/>
              </w:rPr>
              <w:t>30/12/2020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459F40E" w14:textId="77777777" w:rsidR="00067458" w:rsidRPr="00DE0E21" w:rsidRDefault="00067458" w:rsidP="00412260">
            <w:pPr>
              <w:jc w:val="center"/>
              <w:rPr>
                <w:rFonts w:cs="Arial"/>
                <w:color w:val="000000"/>
                <w:szCs w:val="20"/>
              </w:rPr>
            </w:pPr>
            <w:r w:rsidRPr="00DE0E21">
              <w:rPr>
                <w:rFonts w:cs="Arial"/>
                <w:color w:val="000000"/>
                <w:szCs w:val="20"/>
              </w:rPr>
              <w:t>29/12/2021</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19F4A95C" w14:textId="77777777" w:rsidR="00067458" w:rsidRPr="00DE0E21" w:rsidRDefault="00067458" w:rsidP="00412260">
            <w:pPr>
              <w:jc w:val="right"/>
              <w:rPr>
                <w:rFonts w:cs="Arial"/>
                <w:color w:val="000000"/>
                <w:szCs w:val="20"/>
              </w:rPr>
            </w:pPr>
            <w:r w:rsidRPr="00DE0E21">
              <w:rPr>
                <w:rFonts w:cs="Arial"/>
                <w:color w:val="000000"/>
                <w:szCs w:val="20"/>
              </w:rPr>
              <w:t xml:space="preserve">656 000.00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5A11F3F4" w14:textId="77777777" w:rsidR="00067458" w:rsidRPr="00DE0E21" w:rsidRDefault="00067458" w:rsidP="00412260">
            <w:pPr>
              <w:jc w:val="right"/>
              <w:rPr>
                <w:rFonts w:cs="Arial"/>
                <w:color w:val="000000"/>
                <w:szCs w:val="20"/>
              </w:rPr>
            </w:pPr>
            <w:r w:rsidRPr="00DE0E21">
              <w:rPr>
                <w:rFonts w:cs="Arial"/>
                <w:color w:val="000000"/>
                <w:szCs w:val="20"/>
              </w:rPr>
              <w:t xml:space="preserve">524 800.00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7DC8C70E" w14:textId="77777777" w:rsidR="00067458" w:rsidRPr="00DE0E21" w:rsidRDefault="00067458" w:rsidP="00412260">
            <w:pPr>
              <w:jc w:val="right"/>
              <w:rPr>
                <w:rFonts w:cs="Arial"/>
                <w:color w:val="000000"/>
                <w:szCs w:val="20"/>
              </w:rPr>
            </w:pPr>
            <w:r w:rsidRPr="00DE0E21">
              <w:rPr>
                <w:rFonts w:cs="Arial"/>
                <w:color w:val="000000"/>
                <w:szCs w:val="20"/>
              </w:rPr>
              <w:t xml:space="preserve">131 200.00  </w:t>
            </w:r>
          </w:p>
        </w:tc>
      </w:tr>
      <w:tr w:rsidR="00A04033" w:rsidRPr="00DE0E21" w14:paraId="4F6C6880" w14:textId="77777777" w:rsidTr="00A04033">
        <w:trPr>
          <w:trHeight w:val="600"/>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46BD61C" w14:textId="77777777" w:rsidR="00067458" w:rsidRPr="00DE0E21" w:rsidRDefault="00067458" w:rsidP="00412260">
            <w:pPr>
              <w:jc w:val="center"/>
              <w:rPr>
                <w:rFonts w:cs="Arial"/>
                <w:color w:val="000000"/>
                <w:szCs w:val="20"/>
              </w:rPr>
            </w:pPr>
            <w:r w:rsidRPr="00DE0E21">
              <w:rPr>
                <w:rFonts w:cs="Arial"/>
                <w:color w:val="000000"/>
                <w:szCs w:val="20"/>
              </w:rPr>
              <w:t>DG EAC</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5801C524" w14:textId="77777777" w:rsidR="00067458" w:rsidRPr="00DE0E21" w:rsidRDefault="00067458" w:rsidP="00412260">
            <w:pPr>
              <w:rPr>
                <w:rFonts w:cs="Arial"/>
                <w:color w:val="000000"/>
                <w:szCs w:val="20"/>
              </w:rPr>
            </w:pPr>
            <w:r w:rsidRPr="00DE0E21">
              <w:rPr>
                <w:rFonts w:cs="Arial"/>
                <w:color w:val="000000"/>
                <w:szCs w:val="20"/>
              </w:rPr>
              <w:t>Inclusive Schools: Making a Difference for Roma Children (INSCHOOL 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6F4CF2B" w14:textId="77777777" w:rsidR="00067458" w:rsidRPr="00DE0E21" w:rsidRDefault="00067458" w:rsidP="00412260">
            <w:pPr>
              <w:jc w:val="center"/>
              <w:rPr>
                <w:rFonts w:cs="Arial"/>
                <w:color w:val="000000"/>
                <w:szCs w:val="20"/>
              </w:rPr>
            </w:pPr>
            <w:r w:rsidRPr="00DE0E21">
              <w:rPr>
                <w:rFonts w:cs="Arial"/>
                <w:color w:val="000000"/>
                <w:szCs w:val="20"/>
              </w:rPr>
              <w:t>11/12/2021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8BC7D57" w14:textId="77777777" w:rsidR="00067458" w:rsidRPr="00DE0E21" w:rsidRDefault="00067458" w:rsidP="00412260">
            <w:pPr>
              <w:jc w:val="center"/>
              <w:rPr>
                <w:rFonts w:cs="Arial"/>
                <w:color w:val="000000"/>
                <w:szCs w:val="20"/>
              </w:rPr>
            </w:pPr>
            <w:r w:rsidRPr="00DE0E21">
              <w:rPr>
                <w:rFonts w:cs="Arial"/>
                <w:color w:val="000000"/>
                <w:szCs w:val="20"/>
              </w:rPr>
              <w:t>10/08/2023</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221287B" w14:textId="77777777" w:rsidR="00067458" w:rsidRPr="00DE0E21" w:rsidRDefault="00067458" w:rsidP="00412260">
            <w:pPr>
              <w:jc w:val="right"/>
              <w:rPr>
                <w:rFonts w:cs="Arial"/>
                <w:color w:val="000000"/>
                <w:szCs w:val="20"/>
              </w:rPr>
            </w:pPr>
            <w:r w:rsidRPr="00DE0E21">
              <w:rPr>
                <w:rFonts w:cs="Arial"/>
                <w:color w:val="000000"/>
                <w:szCs w:val="20"/>
              </w:rPr>
              <w:t xml:space="preserve">1 000 000.00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0D1AC12A" w14:textId="77777777" w:rsidR="00067458" w:rsidRPr="00DE0E21" w:rsidRDefault="00067458" w:rsidP="00412260">
            <w:pPr>
              <w:jc w:val="right"/>
              <w:rPr>
                <w:rFonts w:cs="Arial"/>
                <w:color w:val="000000"/>
                <w:szCs w:val="20"/>
              </w:rPr>
            </w:pPr>
            <w:r w:rsidRPr="00DE0E21">
              <w:rPr>
                <w:rFonts w:cs="Arial"/>
                <w:color w:val="000000"/>
                <w:szCs w:val="20"/>
              </w:rPr>
              <w:t xml:space="preserve">700 000.00  </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567130DD" w14:textId="77777777" w:rsidR="00067458" w:rsidRPr="00DE0E21" w:rsidRDefault="00067458" w:rsidP="00412260">
            <w:pPr>
              <w:jc w:val="right"/>
              <w:rPr>
                <w:rFonts w:cs="Arial"/>
                <w:color w:val="000000"/>
                <w:szCs w:val="20"/>
              </w:rPr>
            </w:pPr>
            <w:r w:rsidRPr="00DE0E21">
              <w:rPr>
                <w:rFonts w:cs="Arial"/>
                <w:color w:val="000000"/>
                <w:szCs w:val="20"/>
              </w:rPr>
              <w:t xml:space="preserve">300 000.00  </w:t>
            </w:r>
          </w:p>
        </w:tc>
      </w:tr>
      <w:tr w:rsidR="00A04033" w:rsidRPr="00DE0E21" w14:paraId="6603BD8A" w14:textId="77777777" w:rsidTr="00A04033">
        <w:trPr>
          <w:trHeight w:val="600"/>
        </w:trPr>
        <w:tc>
          <w:tcPr>
            <w:tcW w:w="523" w:type="pct"/>
            <w:tcBorders>
              <w:top w:val="single" w:sz="4" w:space="0" w:color="auto"/>
              <w:left w:val="single" w:sz="4" w:space="0" w:color="auto"/>
              <w:bottom w:val="single" w:sz="4" w:space="0" w:color="8EA9DB"/>
              <w:right w:val="single" w:sz="4" w:space="0" w:color="auto"/>
            </w:tcBorders>
            <w:shd w:val="clear" w:color="auto" w:fill="auto"/>
            <w:vAlign w:val="center"/>
          </w:tcPr>
          <w:p w14:paraId="0CF1C4A7" w14:textId="77777777" w:rsidR="00067458" w:rsidRPr="00DE0E21" w:rsidRDefault="00067458" w:rsidP="00412260">
            <w:pPr>
              <w:jc w:val="center"/>
              <w:rPr>
                <w:rFonts w:cs="Arial"/>
                <w:color w:val="000000"/>
                <w:szCs w:val="20"/>
              </w:rPr>
            </w:pPr>
            <w:r w:rsidRPr="00DE0E21">
              <w:rPr>
                <w:rFonts w:cs="Arial"/>
                <w:color w:val="000000"/>
                <w:szCs w:val="20"/>
              </w:rPr>
              <w:t>DG EMP</w:t>
            </w:r>
          </w:p>
        </w:tc>
        <w:tc>
          <w:tcPr>
            <w:tcW w:w="1952" w:type="pct"/>
            <w:tcBorders>
              <w:top w:val="single" w:sz="4" w:space="0" w:color="auto"/>
              <w:left w:val="single" w:sz="4" w:space="0" w:color="auto"/>
              <w:bottom w:val="single" w:sz="4" w:space="0" w:color="8EA9DB"/>
              <w:right w:val="single" w:sz="4" w:space="0" w:color="auto"/>
            </w:tcBorders>
            <w:shd w:val="clear" w:color="auto" w:fill="auto"/>
            <w:vAlign w:val="center"/>
          </w:tcPr>
          <w:p w14:paraId="3211FF74" w14:textId="77777777" w:rsidR="00067458" w:rsidRPr="00DE0E21" w:rsidRDefault="00067458" w:rsidP="00412260">
            <w:pPr>
              <w:rPr>
                <w:rFonts w:cs="Arial"/>
                <w:color w:val="000000"/>
                <w:szCs w:val="20"/>
              </w:rPr>
            </w:pPr>
            <w:r w:rsidRPr="00DE0E21">
              <w:rPr>
                <w:rFonts w:cs="Arial"/>
                <w:color w:val="000000"/>
                <w:szCs w:val="20"/>
              </w:rPr>
              <w:t>ROMACT 7 - Building capacity at local level for the integration of Roma</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7781D53C" w14:textId="77777777" w:rsidR="00067458" w:rsidRPr="00DE0E21" w:rsidRDefault="00067458" w:rsidP="00412260">
            <w:pPr>
              <w:jc w:val="center"/>
              <w:rPr>
                <w:rFonts w:cs="Arial"/>
                <w:color w:val="000000"/>
                <w:szCs w:val="20"/>
              </w:rPr>
            </w:pPr>
            <w:r w:rsidRPr="00DE0E21">
              <w:rPr>
                <w:rFonts w:cs="Arial"/>
                <w:color w:val="000000"/>
                <w:szCs w:val="20"/>
              </w:rPr>
              <w:t>01/10/2019</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4ADE65AB" w14:textId="77777777" w:rsidR="00067458" w:rsidRPr="00DE0E21" w:rsidRDefault="00067458" w:rsidP="00412260">
            <w:pPr>
              <w:jc w:val="center"/>
              <w:rPr>
                <w:rFonts w:cs="Arial"/>
                <w:color w:val="000000"/>
                <w:szCs w:val="20"/>
              </w:rPr>
            </w:pPr>
            <w:r w:rsidRPr="00DE0E21">
              <w:rPr>
                <w:rFonts w:cs="Arial"/>
                <w:color w:val="000000"/>
                <w:szCs w:val="20"/>
              </w:rPr>
              <w:t>31/05/2021</w:t>
            </w:r>
          </w:p>
        </w:tc>
        <w:tc>
          <w:tcPr>
            <w:tcW w:w="477" w:type="pct"/>
            <w:tcBorders>
              <w:top w:val="single" w:sz="4" w:space="0" w:color="auto"/>
              <w:left w:val="single" w:sz="4" w:space="0" w:color="auto"/>
              <w:bottom w:val="single" w:sz="4" w:space="0" w:color="8EA9DB"/>
              <w:right w:val="single" w:sz="4" w:space="0" w:color="auto"/>
            </w:tcBorders>
            <w:shd w:val="clear" w:color="auto" w:fill="auto"/>
            <w:vAlign w:val="center"/>
          </w:tcPr>
          <w:p w14:paraId="50EF2929" w14:textId="77777777" w:rsidR="00067458" w:rsidRPr="00DE0E21" w:rsidRDefault="00067458" w:rsidP="00412260">
            <w:pPr>
              <w:jc w:val="right"/>
              <w:rPr>
                <w:rFonts w:cs="Arial"/>
                <w:color w:val="000000"/>
                <w:szCs w:val="20"/>
              </w:rPr>
            </w:pPr>
            <w:r w:rsidRPr="00DE0E21">
              <w:rPr>
                <w:rFonts w:cs="Arial"/>
                <w:color w:val="000000"/>
                <w:szCs w:val="20"/>
              </w:rPr>
              <w:t xml:space="preserve">1 670 000.00  </w:t>
            </w:r>
          </w:p>
        </w:tc>
        <w:tc>
          <w:tcPr>
            <w:tcW w:w="571" w:type="pct"/>
            <w:tcBorders>
              <w:top w:val="single" w:sz="4" w:space="0" w:color="auto"/>
              <w:left w:val="single" w:sz="4" w:space="0" w:color="auto"/>
              <w:bottom w:val="single" w:sz="4" w:space="0" w:color="8EA9DB"/>
              <w:right w:val="single" w:sz="4" w:space="0" w:color="auto"/>
            </w:tcBorders>
            <w:shd w:val="clear" w:color="auto" w:fill="auto"/>
            <w:vAlign w:val="center"/>
          </w:tcPr>
          <w:p w14:paraId="020AF426" w14:textId="77777777" w:rsidR="00067458" w:rsidRPr="00DE0E21" w:rsidRDefault="00067458" w:rsidP="00412260">
            <w:pPr>
              <w:jc w:val="right"/>
              <w:rPr>
                <w:rFonts w:cs="Arial"/>
                <w:color w:val="000000"/>
                <w:szCs w:val="20"/>
              </w:rPr>
            </w:pPr>
            <w:r w:rsidRPr="00DE0E21">
              <w:rPr>
                <w:rFonts w:cs="Arial"/>
                <w:color w:val="000000"/>
                <w:szCs w:val="20"/>
              </w:rPr>
              <w:t xml:space="preserve">1 500 000.00  </w:t>
            </w:r>
          </w:p>
        </w:tc>
        <w:tc>
          <w:tcPr>
            <w:tcW w:w="619" w:type="pct"/>
            <w:tcBorders>
              <w:top w:val="single" w:sz="4" w:space="0" w:color="auto"/>
              <w:left w:val="single" w:sz="4" w:space="0" w:color="auto"/>
              <w:bottom w:val="single" w:sz="4" w:space="0" w:color="8EA9DB"/>
              <w:right w:val="single" w:sz="4" w:space="0" w:color="auto"/>
            </w:tcBorders>
            <w:shd w:val="clear" w:color="auto" w:fill="auto"/>
            <w:vAlign w:val="center"/>
          </w:tcPr>
          <w:p w14:paraId="7944F8A5" w14:textId="77777777" w:rsidR="00067458" w:rsidRPr="00DE0E21" w:rsidRDefault="00067458" w:rsidP="00412260">
            <w:pPr>
              <w:jc w:val="right"/>
              <w:rPr>
                <w:rFonts w:cs="Arial"/>
                <w:color w:val="000000"/>
                <w:szCs w:val="20"/>
              </w:rPr>
            </w:pPr>
            <w:r w:rsidRPr="00DE0E21">
              <w:rPr>
                <w:rFonts w:cs="Arial"/>
                <w:color w:val="000000"/>
                <w:szCs w:val="20"/>
              </w:rPr>
              <w:t xml:space="preserve">170 000.00  </w:t>
            </w:r>
          </w:p>
        </w:tc>
      </w:tr>
      <w:tr w:rsidR="00A04033" w:rsidRPr="00DE0E21" w14:paraId="7CAF579A" w14:textId="77777777" w:rsidTr="00A04033">
        <w:trPr>
          <w:trHeight w:val="600"/>
        </w:trPr>
        <w:tc>
          <w:tcPr>
            <w:tcW w:w="523" w:type="pct"/>
            <w:tcBorders>
              <w:top w:val="single" w:sz="4" w:space="0" w:color="auto"/>
              <w:left w:val="single" w:sz="4" w:space="0" w:color="auto"/>
              <w:bottom w:val="single" w:sz="4" w:space="0" w:color="8EA9DB"/>
              <w:right w:val="single" w:sz="4" w:space="0" w:color="auto"/>
            </w:tcBorders>
            <w:shd w:val="clear" w:color="auto" w:fill="auto"/>
            <w:vAlign w:val="center"/>
          </w:tcPr>
          <w:p w14:paraId="388B41C2" w14:textId="77777777" w:rsidR="00067458" w:rsidRPr="00DE0E21" w:rsidRDefault="00067458" w:rsidP="00412260">
            <w:pPr>
              <w:jc w:val="center"/>
              <w:rPr>
                <w:rFonts w:eastAsia="Times New Roman" w:cs="Arial"/>
                <w:color w:val="000000"/>
                <w:szCs w:val="20"/>
                <w:lang w:eastAsia="fr-FR"/>
              </w:rPr>
            </w:pPr>
            <w:r w:rsidRPr="00DE0E21">
              <w:rPr>
                <w:rFonts w:cs="Arial"/>
                <w:color w:val="000000"/>
                <w:szCs w:val="20"/>
              </w:rPr>
              <w:t>DG EMP</w:t>
            </w:r>
          </w:p>
        </w:tc>
        <w:tc>
          <w:tcPr>
            <w:tcW w:w="1952" w:type="pct"/>
            <w:tcBorders>
              <w:top w:val="single" w:sz="4" w:space="0" w:color="auto"/>
              <w:left w:val="single" w:sz="4" w:space="0" w:color="auto"/>
              <w:bottom w:val="single" w:sz="4" w:space="0" w:color="8EA9DB"/>
              <w:right w:val="single" w:sz="4" w:space="0" w:color="auto"/>
            </w:tcBorders>
            <w:shd w:val="clear" w:color="auto" w:fill="auto"/>
            <w:vAlign w:val="center"/>
          </w:tcPr>
          <w:p w14:paraId="51667529" w14:textId="77777777" w:rsidR="00067458" w:rsidRPr="00DE0E21" w:rsidRDefault="00067458" w:rsidP="00412260">
            <w:pPr>
              <w:rPr>
                <w:rFonts w:cs="Arial"/>
                <w:szCs w:val="20"/>
              </w:rPr>
            </w:pPr>
            <w:r w:rsidRPr="00DE0E21">
              <w:rPr>
                <w:rFonts w:cs="Arial"/>
                <w:color w:val="000000"/>
                <w:szCs w:val="20"/>
              </w:rPr>
              <w:t>ROMACT 8 - Building capacity at local level for the integration of the Roma</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62A97CE2" w14:textId="77777777" w:rsidR="00067458" w:rsidRPr="00DE0E21" w:rsidRDefault="00067458" w:rsidP="00412260">
            <w:pPr>
              <w:jc w:val="center"/>
              <w:rPr>
                <w:rFonts w:cs="Arial"/>
                <w:szCs w:val="20"/>
              </w:rPr>
            </w:pPr>
            <w:r w:rsidRPr="00DE0E21">
              <w:rPr>
                <w:rFonts w:cs="Arial"/>
                <w:color w:val="000000"/>
                <w:szCs w:val="20"/>
              </w:rPr>
              <w:t>01/06/2021</w:t>
            </w:r>
          </w:p>
        </w:tc>
        <w:tc>
          <w:tcPr>
            <w:tcW w:w="429" w:type="pct"/>
            <w:tcBorders>
              <w:top w:val="single" w:sz="4" w:space="0" w:color="auto"/>
              <w:left w:val="single" w:sz="4" w:space="0" w:color="auto"/>
              <w:bottom w:val="single" w:sz="4" w:space="0" w:color="8EA9DB"/>
              <w:right w:val="single" w:sz="4" w:space="0" w:color="auto"/>
            </w:tcBorders>
            <w:shd w:val="clear" w:color="auto" w:fill="auto"/>
            <w:vAlign w:val="center"/>
          </w:tcPr>
          <w:p w14:paraId="1B28E5E3" w14:textId="77777777" w:rsidR="00067458" w:rsidRPr="00DE0E21" w:rsidRDefault="00067458" w:rsidP="00412260">
            <w:pPr>
              <w:jc w:val="center"/>
              <w:rPr>
                <w:rFonts w:cs="Arial"/>
                <w:szCs w:val="20"/>
              </w:rPr>
            </w:pPr>
            <w:r w:rsidRPr="00DE0E21">
              <w:rPr>
                <w:rFonts w:cs="Arial"/>
                <w:color w:val="000000"/>
                <w:szCs w:val="20"/>
              </w:rPr>
              <w:t>31/12/2022</w:t>
            </w:r>
          </w:p>
        </w:tc>
        <w:tc>
          <w:tcPr>
            <w:tcW w:w="477" w:type="pct"/>
            <w:tcBorders>
              <w:top w:val="single" w:sz="4" w:space="0" w:color="auto"/>
              <w:left w:val="single" w:sz="4" w:space="0" w:color="auto"/>
              <w:bottom w:val="single" w:sz="4" w:space="0" w:color="8EA9DB"/>
              <w:right w:val="single" w:sz="4" w:space="0" w:color="auto"/>
            </w:tcBorders>
            <w:shd w:val="clear" w:color="auto" w:fill="auto"/>
            <w:vAlign w:val="center"/>
          </w:tcPr>
          <w:p w14:paraId="0B07EBA4" w14:textId="77777777" w:rsidR="00067458" w:rsidRPr="00DE0E21" w:rsidRDefault="00067458" w:rsidP="00412260">
            <w:pPr>
              <w:jc w:val="right"/>
              <w:rPr>
                <w:rFonts w:cs="Arial"/>
                <w:szCs w:val="20"/>
              </w:rPr>
            </w:pPr>
            <w:r w:rsidRPr="00DE0E21">
              <w:rPr>
                <w:rFonts w:cs="Arial"/>
                <w:color w:val="000000"/>
                <w:szCs w:val="20"/>
              </w:rPr>
              <w:t xml:space="preserve">1 670 000.00  </w:t>
            </w:r>
          </w:p>
        </w:tc>
        <w:tc>
          <w:tcPr>
            <w:tcW w:w="571" w:type="pct"/>
            <w:tcBorders>
              <w:top w:val="single" w:sz="4" w:space="0" w:color="auto"/>
              <w:left w:val="single" w:sz="4" w:space="0" w:color="auto"/>
              <w:bottom w:val="single" w:sz="4" w:space="0" w:color="8EA9DB"/>
              <w:right w:val="single" w:sz="4" w:space="0" w:color="auto"/>
            </w:tcBorders>
            <w:shd w:val="clear" w:color="auto" w:fill="auto"/>
            <w:vAlign w:val="center"/>
          </w:tcPr>
          <w:p w14:paraId="49E7B291" w14:textId="77777777" w:rsidR="00067458" w:rsidRPr="00DE0E21" w:rsidRDefault="00067458" w:rsidP="00412260">
            <w:pPr>
              <w:jc w:val="right"/>
              <w:rPr>
                <w:rFonts w:cs="Arial"/>
                <w:szCs w:val="20"/>
              </w:rPr>
            </w:pPr>
            <w:r w:rsidRPr="00DE0E21">
              <w:rPr>
                <w:rFonts w:cs="Arial"/>
                <w:color w:val="000000"/>
                <w:szCs w:val="20"/>
              </w:rPr>
              <w:t xml:space="preserve">1 500 000.00  </w:t>
            </w:r>
          </w:p>
        </w:tc>
        <w:tc>
          <w:tcPr>
            <w:tcW w:w="619" w:type="pct"/>
            <w:tcBorders>
              <w:top w:val="single" w:sz="4" w:space="0" w:color="auto"/>
              <w:left w:val="single" w:sz="4" w:space="0" w:color="auto"/>
              <w:bottom w:val="single" w:sz="4" w:space="0" w:color="8EA9DB"/>
              <w:right w:val="single" w:sz="4" w:space="0" w:color="auto"/>
            </w:tcBorders>
            <w:shd w:val="clear" w:color="auto" w:fill="auto"/>
            <w:vAlign w:val="center"/>
          </w:tcPr>
          <w:p w14:paraId="58BA4329" w14:textId="77777777" w:rsidR="00067458" w:rsidRPr="00DE0E21" w:rsidRDefault="00067458" w:rsidP="00412260">
            <w:pPr>
              <w:jc w:val="right"/>
              <w:rPr>
                <w:rFonts w:cs="Arial"/>
                <w:szCs w:val="20"/>
              </w:rPr>
            </w:pPr>
            <w:r w:rsidRPr="00DE0E21">
              <w:rPr>
                <w:rFonts w:cs="Arial"/>
                <w:color w:val="000000"/>
                <w:szCs w:val="20"/>
              </w:rPr>
              <w:t xml:space="preserve">170 000.00  </w:t>
            </w:r>
          </w:p>
        </w:tc>
      </w:tr>
    </w:tbl>
    <w:p w14:paraId="1B65A1E5" w14:textId="77777777" w:rsidR="00067458" w:rsidRDefault="00067458">
      <w:r>
        <w:br w:type="page"/>
      </w:r>
    </w:p>
    <w:tbl>
      <w:tblPr>
        <w:tblW w:w="5001" w:type="pct"/>
        <w:tblCellMar>
          <w:left w:w="70" w:type="dxa"/>
          <w:right w:w="70" w:type="dxa"/>
        </w:tblCellMar>
        <w:tblLook w:val="04A0" w:firstRow="1" w:lastRow="0" w:firstColumn="1" w:lastColumn="0" w:noHBand="0" w:noVBand="1"/>
      </w:tblPr>
      <w:tblGrid>
        <w:gridCol w:w="1555"/>
        <w:gridCol w:w="5811"/>
        <w:gridCol w:w="1277"/>
        <w:gridCol w:w="1274"/>
        <w:gridCol w:w="1419"/>
        <w:gridCol w:w="1674"/>
        <w:gridCol w:w="2122"/>
      </w:tblGrid>
      <w:tr w:rsidR="00067458" w:rsidRPr="00032312" w14:paraId="15EF00D4" w14:textId="77777777" w:rsidTr="00412260">
        <w:trPr>
          <w:trHeight w:val="600"/>
        </w:trPr>
        <w:tc>
          <w:tcPr>
            <w:tcW w:w="5000" w:type="pct"/>
            <w:gridSpan w:val="7"/>
            <w:tcBorders>
              <w:top w:val="single" w:sz="4" w:space="0" w:color="auto"/>
              <w:left w:val="single" w:sz="4" w:space="0" w:color="auto"/>
              <w:bottom w:val="single" w:sz="4" w:space="0" w:color="auto"/>
              <w:right w:val="single" w:sz="4" w:space="0" w:color="000000"/>
            </w:tcBorders>
            <w:shd w:val="clear" w:color="000000" w:fill="5B9BD5"/>
            <w:vAlign w:val="center"/>
            <w:hideMark/>
          </w:tcPr>
          <w:p w14:paraId="6DC0BBBC" w14:textId="0247E695" w:rsidR="00067458" w:rsidRPr="00032312" w:rsidRDefault="00067458" w:rsidP="00412260">
            <w:pPr>
              <w:rPr>
                <w:rFonts w:eastAsia="Times New Roman" w:cs="Arial"/>
                <w:b/>
                <w:bCs/>
                <w:color w:val="000000"/>
                <w:szCs w:val="20"/>
                <w:lang w:eastAsia="fr-FR"/>
              </w:rPr>
            </w:pPr>
            <w:r w:rsidRPr="00032312">
              <w:rPr>
                <w:rFonts w:eastAsia="Times New Roman" w:cs="Arial"/>
                <w:b/>
                <w:bCs/>
                <w:color w:val="000000"/>
                <w:szCs w:val="20"/>
                <w:lang w:eastAsia="fr-FR"/>
              </w:rPr>
              <w:t>Non-member States</w:t>
            </w:r>
          </w:p>
        </w:tc>
      </w:tr>
      <w:tr w:rsidR="00226526" w:rsidRPr="00C80F84" w14:paraId="71FF2CE5"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0CFF7D4A" w14:textId="77777777" w:rsidR="00067458" w:rsidRPr="00C80F84" w:rsidRDefault="00067458" w:rsidP="00412260">
            <w:pPr>
              <w:jc w:val="center"/>
              <w:rPr>
                <w:rFonts w:eastAsia="Times New Roman" w:cs="Arial"/>
                <w:color w:val="000000"/>
                <w:szCs w:val="20"/>
                <w:lang w:eastAsia="fr-FR"/>
              </w:rPr>
            </w:pPr>
            <w:r w:rsidRPr="00C80F84">
              <w:rPr>
                <w:rFonts w:cs="Arial"/>
                <w:color w:val="000000"/>
                <w:szCs w:val="20"/>
              </w:rPr>
              <w:t>ENI</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4076432B" w14:textId="236898C6" w:rsidR="00067458" w:rsidRPr="00C80F84" w:rsidRDefault="00067458" w:rsidP="00412260">
            <w:pPr>
              <w:rPr>
                <w:rFonts w:eastAsia="Times New Roman" w:cs="Arial"/>
                <w:color w:val="000000"/>
                <w:szCs w:val="20"/>
                <w:lang w:eastAsia="fr-FR"/>
              </w:rPr>
            </w:pPr>
            <w:r w:rsidRPr="00C80F84">
              <w:rPr>
                <w:rFonts w:cs="Arial"/>
                <w:color w:val="000000"/>
                <w:szCs w:val="20"/>
              </w:rPr>
              <w:t>Co</w:t>
            </w:r>
            <w:r w:rsidR="007D3924">
              <w:rPr>
                <w:rFonts w:cs="Arial"/>
                <w:color w:val="000000"/>
                <w:szCs w:val="20"/>
              </w:rPr>
              <w:t>-</w:t>
            </w:r>
            <w:r w:rsidRPr="00C80F84">
              <w:rPr>
                <w:rFonts w:cs="Arial"/>
                <w:color w:val="000000"/>
                <w:szCs w:val="20"/>
              </w:rPr>
              <w:t>operation on cybercrime in the Southern Neighbourhood Region -   Cybercrime@South</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13FBA6CF" w14:textId="77777777" w:rsidR="00067458" w:rsidRPr="00C80F84" w:rsidRDefault="00067458" w:rsidP="00412260">
            <w:pPr>
              <w:jc w:val="center"/>
              <w:rPr>
                <w:rFonts w:eastAsia="Times New Roman" w:cs="Arial"/>
                <w:color w:val="000000"/>
                <w:szCs w:val="20"/>
                <w:lang w:eastAsia="fr-FR"/>
              </w:rPr>
            </w:pPr>
            <w:r w:rsidRPr="00C80F84">
              <w:rPr>
                <w:rFonts w:cs="Arial"/>
                <w:color w:val="000000"/>
                <w:szCs w:val="20"/>
              </w:rPr>
              <w:t>01/07/2017</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83B130A" w14:textId="77777777" w:rsidR="00067458" w:rsidRPr="00C80F84" w:rsidRDefault="00067458" w:rsidP="00412260">
            <w:pPr>
              <w:jc w:val="center"/>
              <w:rPr>
                <w:rFonts w:eastAsia="Times New Roman" w:cs="Arial"/>
                <w:color w:val="000000"/>
                <w:szCs w:val="20"/>
                <w:lang w:eastAsia="fr-FR"/>
              </w:rPr>
            </w:pPr>
            <w:r w:rsidRPr="00C80F84">
              <w:rPr>
                <w:rFonts w:cs="Arial"/>
                <w:color w:val="000000"/>
                <w:szCs w:val="20"/>
              </w:rPr>
              <w:t>31/12/2023</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D56372E" w14:textId="77777777" w:rsidR="00067458" w:rsidRPr="00C80F84" w:rsidRDefault="00067458" w:rsidP="00412260">
            <w:pPr>
              <w:jc w:val="right"/>
              <w:rPr>
                <w:rFonts w:eastAsia="Times New Roman" w:cs="Arial"/>
                <w:color w:val="000000"/>
                <w:szCs w:val="20"/>
                <w:lang w:eastAsia="fr-FR"/>
              </w:rPr>
            </w:pPr>
            <w:r w:rsidRPr="00C80F84">
              <w:rPr>
                <w:rFonts w:cs="Arial"/>
                <w:color w:val="000000"/>
                <w:szCs w:val="20"/>
              </w:rPr>
              <w:t xml:space="preserve">5 005 000.00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F8FC3A9" w14:textId="77777777" w:rsidR="00067458" w:rsidRPr="00C80F84" w:rsidRDefault="00067458" w:rsidP="00412260">
            <w:pPr>
              <w:jc w:val="right"/>
              <w:rPr>
                <w:rFonts w:eastAsia="Times New Roman" w:cs="Arial"/>
                <w:color w:val="000000"/>
                <w:szCs w:val="20"/>
                <w:lang w:eastAsia="fr-FR"/>
              </w:rPr>
            </w:pPr>
            <w:r w:rsidRPr="00C80F84">
              <w:rPr>
                <w:rFonts w:cs="Arial"/>
                <w:color w:val="000000"/>
                <w:szCs w:val="20"/>
              </w:rPr>
              <w:t xml:space="preserve">4 500 000.00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4952366F" w14:textId="77777777" w:rsidR="00067458" w:rsidRPr="00C80F84" w:rsidRDefault="00067458" w:rsidP="00412260">
            <w:pPr>
              <w:jc w:val="right"/>
              <w:rPr>
                <w:rFonts w:eastAsia="Times New Roman" w:cs="Arial"/>
                <w:color w:val="000000"/>
                <w:szCs w:val="20"/>
                <w:lang w:eastAsia="fr-FR"/>
              </w:rPr>
            </w:pPr>
            <w:r w:rsidRPr="00C80F84">
              <w:rPr>
                <w:rFonts w:cs="Arial"/>
                <w:color w:val="000000"/>
                <w:szCs w:val="20"/>
              </w:rPr>
              <w:t xml:space="preserve">505 000.00  </w:t>
            </w:r>
          </w:p>
        </w:tc>
      </w:tr>
      <w:tr w:rsidR="00226526" w:rsidRPr="00C80F84" w14:paraId="56E0124B"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656A2E99" w14:textId="77777777" w:rsidR="00067458" w:rsidRPr="00C80F84" w:rsidRDefault="00067458" w:rsidP="00412260">
            <w:pPr>
              <w:jc w:val="center"/>
              <w:rPr>
                <w:rFonts w:eastAsia="Times New Roman" w:cs="Arial"/>
                <w:color w:val="000000"/>
                <w:szCs w:val="20"/>
                <w:lang w:eastAsia="fr-FR"/>
              </w:rPr>
            </w:pPr>
            <w:r w:rsidRPr="00C80F84">
              <w:rPr>
                <w:rFonts w:cs="Arial"/>
                <w:color w:val="000000"/>
                <w:szCs w:val="20"/>
              </w:rPr>
              <w:t>ENI</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358A8284" w14:textId="77777777" w:rsidR="00067458" w:rsidRPr="00C80F84" w:rsidRDefault="00067458" w:rsidP="00412260">
            <w:pPr>
              <w:rPr>
                <w:rFonts w:eastAsia="Times New Roman" w:cs="Arial"/>
                <w:color w:val="000000"/>
                <w:szCs w:val="20"/>
                <w:lang w:eastAsia="fr-FR"/>
              </w:rPr>
            </w:pPr>
            <w:r w:rsidRPr="00C80F84">
              <w:rPr>
                <w:rFonts w:cs="Arial"/>
                <w:color w:val="000000"/>
                <w:szCs w:val="20"/>
              </w:rPr>
              <w:t xml:space="preserve">Improving the functioning, </w:t>
            </w:r>
            <w:proofErr w:type="gramStart"/>
            <w:r w:rsidRPr="00C80F84">
              <w:rPr>
                <w:rFonts w:cs="Arial"/>
                <w:color w:val="000000"/>
                <w:szCs w:val="20"/>
              </w:rPr>
              <w:t>performance</w:t>
            </w:r>
            <w:proofErr w:type="gramEnd"/>
            <w:r w:rsidRPr="00C80F84">
              <w:rPr>
                <w:rFonts w:cs="Arial"/>
                <w:color w:val="000000"/>
                <w:szCs w:val="20"/>
              </w:rPr>
              <w:t xml:space="preserve"> and access to justice in Tunisia (AP-JUST)</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1DBDE11D" w14:textId="77777777" w:rsidR="00067458" w:rsidRPr="00C80F84" w:rsidRDefault="00067458" w:rsidP="00412260">
            <w:pPr>
              <w:jc w:val="center"/>
              <w:rPr>
                <w:rFonts w:eastAsia="Times New Roman" w:cs="Arial"/>
                <w:color w:val="000000"/>
                <w:szCs w:val="20"/>
                <w:lang w:eastAsia="fr-FR"/>
              </w:rPr>
            </w:pPr>
            <w:r w:rsidRPr="00C80F84">
              <w:rPr>
                <w:rFonts w:cs="Arial"/>
                <w:color w:val="000000"/>
                <w:szCs w:val="20"/>
              </w:rPr>
              <w:t>01/01/2019</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1871E33D" w14:textId="77777777" w:rsidR="00067458" w:rsidRPr="00C80F84" w:rsidRDefault="00067458" w:rsidP="00412260">
            <w:pPr>
              <w:jc w:val="center"/>
              <w:rPr>
                <w:rFonts w:eastAsia="Times New Roman" w:cs="Arial"/>
                <w:color w:val="000000"/>
                <w:szCs w:val="20"/>
                <w:lang w:eastAsia="fr-FR"/>
              </w:rPr>
            </w:pPr>
            <w:r w:rsidRPr="00C80F84">
              <w:rPr>
                <w:rFonts w:cs="Arial"/>
                <w:color w:val="000000"/>
                <w:szCs w:val="20"/>
              </w:rPr>
              <w:t>31/12/2022</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4275C7F" w14:textId="77777777" w:rsidR="00067458" w:rsidRPr="00C80F84" w:rsidRDefault="00067458" w:rsidP="00412260">
            <w:pPr>
              <w:jc w:val="right"/>
              <w:rPr>
                <w:rFonts w:eastAsia="Times New Roman" w:cs="Arial"/>
                <w:color w:val="000000"/>
                <w:szCs w:val="20"/>
                <w:lang w:eastAsia="fr-FR"/>
              </w:rPr>
            </w:pPr>
            <w:r w:rsidRPr="00C80F84">
              <w:rPr>
                <w:rFonts w:cs="Arial"/>
                <w:color w:val="000000"/>
                <w:szCs w:val="20"/>
              </w:rPr>
              <w:t xml:space="preserve">5 000 000.00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5145CF6" w14:textId="77777777" w:rsidR="00067458" w:rsidRPr="00C80F84" w:rsidRDefault="00067458" w:rsidP="00412260">
            <w:pPr>
              <w:jc w:val="right"/>
              <w:rPr>
                <w:rFonts w:eastAsia="Times New Roman" w:cs="Arial"/>
                <w:color w:val="000000"/>
                <w:szCs w:val="20"/>
                <w:lang w:eastAsia="fr-FR"/>
              </w:rPr>
            </w:pPr>
            <w:r w:rsidRPr="00C80F84">
              <w:rPr>
                <w:rFonts w:cs="Arial"/>
                <w:color w:val="000000"/>
                <w:szCs w:val="20"/>
              </w:rPr>
              <w:t xml:space="preserve">4 500 000.00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093F27A1" w14:textId="77777777" w:rsidR="00067458" w:rsidRPr="00C80F84" w:rsidRDefault="00067458" w:rsidP="00412260">
            <w:pPr>
              <w:jc w:val="right"/>
              <w:rPr>
                <w:rFonts w:eastAsia="Times New Roman" w:cs="Arial"/>
                <w:color w:val="000000"/>
                <w:szCs w:val="20"/>
                <w:lang w:eastAsia="fr-FR"/>
              </w:rPr>
            </w:pPr>
            <w:r w:rsidRPr="00C80F84">
              <w:rPr>
                <w:rFonts w:cs="Arial"/>
                <w:color w:val="000000"/>
                <w:szCs w:val="20"/>
              </w:rPr>
              <w:t xml:space="preserve">500 000.00  </w:t>
            </w:r>
          </w:p>
        </w:tc>
      </w:tr>
      <w:tr w:rsidR="00226526" w:rsidRPr="00C80F84" w14:paraId="72EF6095"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6D2ABA09" w14:textId="77777777" w:rsidR="00067458" w:rsidRPr="00C80F84" w:rsidRDefault="00067458" w:rsidP="00412260">
            <w:pPr>
              <w:jc w:val="center"/>
              <w:rPr>
                <w:rFonts w:eastAsia="Times New Roman" w:cs="Arial"/>
                <w:color w:val="000000"/>
                <w:szCs w:val="20"/>
                <w:lang w:eastAsia="fr-FR"/>
              </w:rPr>
            </w:pPr>
            <w:r w:rsidRPr="00C80F84">
              <w:rPr>
                <w:rFonts w:cs="Arial"/>
                <w:color w:val="000000"/>
                <w:szCs w:val="20"/>
              </w:rPr>
              <w:t>ENI</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1B2FCF9A" w14:textId="77777777" w:rsidR="00067458" w:rsidRPr="00C80F84" w:rsidRDefault="00067458" w:rsidP="00412260">
            <w:pPr>
              <w:rPr>
                <w:rFonts w:eastAsia="Times New Roman" w:cs="Arial"/>
                <w:color w:val="000000"/>
                <w:szCs w:val="20"/>
                <w:lang w:eastAsia="fr-FR"/>
              </w:rPr>
            </w:pPr>
            <w:r w:rsidRPr="00C80F84">
              <w:rPr>
                <w:rFonts w:cs="Arial"/>
                <w:color w:val="000000"/>
                <w:szCs w:val="20"/>
              </w:rPr>
              <w:t>Project to Support Independent Bodies in Tunisia (PAII T)</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143C02D1" w14:textId="77777777" w:rsidR="00067458" w:rsidRPr="00C80F84" w:rsidRDefault="00067458" w:rsidP="00412260">
            <w:pPr>
              <w:jc w:val="center"/>
              <w:rPr>
                <w:rFonts w:eastAsia="Times New Roman" w:cs="Arial"/>
                <w:color w:val="000000"/>
                <w:szCs w:val="20"/>
                <w:lang w:eastAsia="fr-FR"/>
              </w:rPr>
            </w:pPr>
            <w:r w:rsidRPr="00C80F84">
              <w:rPr>
                <w:rFonts w:cs="Arial"/>
                <w:color w:val="000000"/>
                <w:szCs w:val="20"/>
              </w:rPr>
              <w:t>01/01/2019</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5D44C46C" w14:textId="77777777" w:rsidR="00067458" w:rsidRPr="00C80F84" w:rsidRDefault="00067458" w:rsidP="00412260">
            <w:pPr>
              <w:jc w:val="center"/>
              <w:rPr>
                <w:rFonts w:eastAsia="Times New Roman" w:cs="Arial"/>
                <w:color w:val="000000"/>
                <w:szCs w:val="20"/>
                <w:lang w:eastAsia="fr-FR"/>
              </w:rPr>
            </w:pPr>
            <w:r w:rsidRPr="00C80F84">
              <w:rPr>
                <w:rFonts w:cs="Arial"/>
                <w:color w:val="000000"/>
                <w:szCs w:val="20"/>
              </w:rPr>
              <w:t>31/12/2022</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32303B6D" w14:textId="77777777" w:rsidR="00067458" w:rsidRPr="00C80F84" w:rsidRDefault="00067458" w:rsidP="00412260">
            <w:pPr>
              <w:jc w:val="right"/>
              <w:rPr>
                <w:rFonts w:eastAsia="Times New Roman" w:cs="Arial"/>
                <w:color w:val="000000"/>
                <w:szCs w:val="20"/>
                <w:lang w:eastAsia="fr-FR"/>
              </w:rPr>
            </w:pPr>
            <w:r w:rsidRPr="00C80F84">
              <w:rPr>
                <w:rFonts w:cs="Arial"/>
                <w:color w:val="000000"/>
                <w:szCs w:val="20"/>
              </w:rPr>
              <w:t xml:space="preserve">5 556 000.00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F64966A" w14:textId="77777777" w:rsidR="00067458" w:rsidRPr="00C80F84" w:rsidRDefault="00067458" w:rsidP="00412260">
            <w:pPr>
              <w:jc w:val="right"/>
              <w:rPr>
                <w:rFonts w:eastAsia="Times New Roman" w:cs="Arial"/>
                <w:color w:val="000000"/>
                <w:szCs w:val="20"/>
                <w:lang w:eastAsia="fr-FR"/>
              </w:rPr>
            </w:pPr>
            <w:r w:rsidRPr="00C80F84">
              <w:rPr>
                <w:rFonts w:cs="Arial"/>
                <w:color w:val="000000"/>
                <w:szCs w:val="20"/>
              </w:rPr>
              <w:t xml:space="preserve">5 000 000.00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50EB6E32" w14:textId="77777777" w:rsidR="00067458" w:rsidRPr="00C80F84" w:rsidRDefault="00067458" w:rsidP="00412260">
            <w:pPr>
              <w:jc w:val="right"/>
              <w:rPr>
                <w:rFonts w:eastAsia="Times New Roman" w:cs="Arial"/>
                <w:color w:val="000000"/>
                <w:szCs w:val="20"/>
                <w:lang w:eastAsia="fr-FR"/>
              </w:rPr>
            </w:pPr>
            <w:r w:rsidRPr="00C80F84">
              <w:rPr>
                <w:rFonts w:cs="Arial"/>
                <w:color w:val="000000"/>
                <w:szCs w:val="20"/>
              </w:rPr>
              <w:t xml:space="preserve">556 000.00  </w:t>
            </w:r>
          </w:p>
        </w:tc>
      </w:tr>
      <w:tr w:rsidR="00226526" w:rsidRPr="00C80F84" w14:paraId="6DDFA92B"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64592DF6" w14:textId="77777777" w:rsidR="00067458" w:rsidRPr="00C80F84" w:rsidRDefault="00067458" w:rsidP="00412260">
            <w:pPr>
              <w:jc w:val="center"/>
              <w:rPr>
                <w:rFonts w:eastAsia="Times New Roman" w:cs="Arial"/>
                <w:color w:val="000000"/>
                <w:szCs w:val="20"/>
                <w:lang w:eastAsia="fr-FR"/>
              </w:rPr>
            </w:pPr>
            <w:r w:rsidRPr="00C80F84">
              <w:rPr>
                <w:rFonts w:cs="Arial"/>
                <w:color w:val="000000"/>
                <w:szCs w:val="20"/>
              </w:rPr>
              <w:t>EIDHR</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4C451DB1" w14:textId="77777777" w:rsidR="00067458" w:rsidRPr="00C80F84" w:rsidRDefault="00067458" w:rsidP="00412260">
            <w:pPr>
              <w:rPr>
                <w:rFonts w:eastAsia="Times New Roman" w:cs="Arial"/>
                <w:color w:val="000000"/>
                <w:szCs w:val="20"/>
                <w:lang w:eastAsia="fr-FR"/>
              </w:rPr>
            </w:pPr>
            <w:r w:rsidRPr="00C80F84">
              <w:rPr>
                <w:rFonts w:cs="Arial"/>
                <w:color w:val="000000"/>
                <w:szCs w:val="20"/>
              </w:rPr>
              <w:t xml:space="preserve">Support to Reforms of Electoral Legislation and Practice and Regional Human Rights Instruments and Mechanisms in Countries of Latin America, Central </w:t>
            </w:r>
            <w:proofErr w:type="gramStart"/>
            <w:r w:rsidRPr="00C80F84">
              <w:rPr>
                <w:rFonts w:cs="Arial"/>
                <w:color w:val="000000"/>
                <w:szCs w:val="20"/>
              </w:rPr>
              <w:t>Asia</w:t>
            </w:r>
            <w:proofErr w:type="gramEnd"/>
            <w:r w:rsidRPr="00C80F84">
              <w:rPr>
                <w:rFonts w:cs="Arial"/>
                <w:color w:val="000000"/>
                <w:szCs w:val="20"/>
              </w:rPr>
              <w:t xml:space="preserve"> and Mongolia</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1290FBA6" w14:textId="77777777" w:rsidR="00067458" w:rsidRPr="00C80F84" w:rsidRDefault="00067458" w:rsidP="00412260">
            <w:pPr>
              <w:jc w:val="center"/>
              <w:rPr>
                <w:rFonts w:eastAsia="Times New Roman" w:cs="Arial"/>
                <w:color w:val="000000"/>
                <w:szCs w:val="20"/>
                <w:lang w:eastAsia="fr-FR"/>
              </w:rPr>
            </w:pPr>
            <w:r w:rsidRPr="00C80F84">
              <w:rPr>
                <w:rFonts w:cs="Arial"/>
                <w:color w:val="000000"/>
                <w:szCs w:val="20"/>
              </w:rPr>
              <w:t>01/05/2019</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5F12DBCE" w14:textId="77777777" w:rsidR="00067458" w:rsidRPr="00C80F84" w:rsidRDefault="00067458" w:rsidP="00412260">
            <w:pPr>
              <w:jc w:val="center"/>
              <w:rPr>
                <w:rFonts w:eastAsia="Times New Roman" w:cs="Arial"/>
                <w:color w:val="000000"/>
                <w:szCs w:val="20"/>
                <w:lang w:eastAsia="fr-FR"/>
              </w:rPr>
            </w:pPr>
            <w:r w:rsidRPr="00C80F84">
              <w:rPr>
                <w:rFonts w:cs="Arial"/>
                <w:color w:val="000000"/>
                <w:szCs w:val="20"/>
              </w:rPr>
              <w:t>30/04/2022</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71875921" w14:textId="77777777" w:rsidR="00067458" w:rsidRPr="00C80F84" w:rsidRDefault="00067458" w:rsidP="00412260">
            <w:pPr>
              <w:jc w:val="right"/>
              <w:rPr>
                <w:rFonts w:eastAsia="Times New Roman" w:cs="Arial"/>
                <w:color w:val="000000"/>
                <w:szCs w:val="20"/>
                <w:lang w:eastAsia="fr-FR"/>
              </w:rPr>
            </w:pPr>
            <w:r w:rsidRPr="00C80F84">
              <w:rPr>
                <w:rFonts w:cs="Arial"/>
                <w:color w:val="000000"/>
                <w:szCs w:val="20"/>
              </w:rPr>
              <w:t xml:space="preserve">526 500.00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0734B62" w14:textId="77777777" w:rsidR="00067458" w:rsidRPr="00C80F84" w:rsidRDefault="00067458" w:rsidP="00412260">
            <w:pPr>
              <w:jc w:val="right"/>
              <w:rPr>
                <w:rFonts w:eastAsia="Times New Roman" w:cs="Arial"/>
                <w:color w:val="000000"/>
                <w:szCs w:val="20"/>
                <w:lang w:eastAsia="fr-FR"/>
              </w:rPr>
            </w:pPr>
            <w:r w:rsidRPr="00C80F84">
              <w:rPr>
                <w:rFonts w:cs="Arial"/>
                <w:color w:val="000000"/>
                <w:szCs w:val="20"/>
              </w:rPr>
              <w:t xml:space="preserve">500 000.00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121FED4F" w14:textId="77777777" w:rsidR="00067458" w:rsidRPr="00C80F84" w:rsidRDefault="00067458" w:rsidP="00412260">
            <w:pPr>
              <w:jc w:val="right"/>
              <w:rPr>
                <w:rFonts w:eastAsia="Times New Roman" w:cs="Arial"/>
                <w:color w:val="000000"/>
                <w:szCs w:val="20"/>
                <w:lang w:eastAsia="fr-FR"/>
              </w:rPr>
            </w:pPr>
            <w:r w:rsidRPr="00C80F84">
              <w:rPr>
                <w:rFonts w:cs="Arial"/>
                <w:color w:val="000000"/>
                <w:szCs w:val="20"/>
              </w:rPr>
              <w:t xml:space="preserve">26 500.00  </w:t>
            </w:r>
          </w:p>
        </w:tc>
      </w:tr>
      <w:tr w:rsidR="00226526" w:rsidRPr="00C80F84" w14:paraId="7A34ABDB"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3869BCAD" w14:textId="77777777" w:rsidR="00067458" w:rsidRPr="00C80F84" w:rsidRDefault="00067458" w:rsidP="00412260">
            <w:pPr>
              <w:jc w:val="center"/>
              <w:rPr>
                <w:rFonts w:eastAsia="Times New Roman" w:cs="Arial"/>
                <w:color w:val="000000"/>
                <w:szCs w:val="20"/>
                <w:lang w:eastAsia="fr-FR"/>
              </w:rPr>
            </w:pPr>
            <w:r>
              <w:rPr>
                <w:rFonts w:cs="Arial"/>
                <w:color w:val="000000"/>
                <w:szCs w:val="20"/>
              </w:rPr>
              <w:t xml:space="preserve">DCI </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4B77FB9C" w14:textId="77777777" w:rsidR="00067458" w:rsidRPr="00C80F84" w:rsidRDefault="00067458" w:rsidP="00412260">
            <w:pPr>
              <w:rPr>
                <w:rFonts w:eastAsia="Times New Roman" w:cs="Arial"/>
                <w:color w:val="000000"/>
                <w:szCs w:val="20"/>
                <w:lang w:eastAsia="fr-FR"/>
              </w:rPr>
            </w:pPr>
            <w:r w:rsidRPr="00C80F84">
              <w:rPr>
                <w:rFonts w:cs="Arial"/>
                <w:color w:val="000000"/>
                <w:szCs w:val="20"/>
              </w:rPr>
              <w:t xml:space="preserve">Central Asia Rule of Law Programme </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54FC6371" w14:textId="77777777" w:rsidR="00067458" w:rsidRPr="00C80F84" w:rsidRDefault="00067458" w:rsidP="00412260">
            <w:pPr>
              <w:jc w:val="center"/>
              <w:rPr>
                <w:rFonts w:eastAsia="Times New Roman" w:cs="Arial"/>
                <w:color w:val="000000"/>
                <w:szCs w:val="20"/>
                <w:lang w:eastAsia="fr-FR"/>
              </w:rPr>
            </w:pPr>
            <w:r w:rsidRPr="00C80F84">
              <w:rPr>
                <w:rFonts w:cs="Arial"/>
                <w:color w:val="000000"/>
                <w:szCs w:val="20"/>
              </w:rPr>
              <w:t>02/01/2020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17FC2BC" w14:textId="77777777" w:rsidR="00067458" w:rsidRPr="00C80F84" w:rsidRDefault="00067458" w:rsidP="00412260">
            <w:pPr>
              <w:jc w:val="center"/>
              <w:rPr>
                <w:rFonts w:eastAsia="Times New Roman" w:cs="Arial"/>
                <w:color w:val="000000"/>
                <w:szCs w:val="20"/>
                <w:lang w:eastAsia="fr-FR"/>
              </w:rPr>
            </w:pPr>
            <w:r w:rsidRPr="00C80F84">
              <w:rPr>
                <w:rFonts w:cs="Arial"/>
                <w:color w:val="000000"/>
                <w:szCs w:val="20"/>
              </w:rPr>
              <w:t>01/01/2024</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D5E9A96" w14:textId="77777777" w:rsidR="00067458" w:rsidRPr="00C80F84" w:rsidRDefault="00067458" w:rsidP="00412260">
            <w:pPr>
              <w:jc w:val="right"/>
              <w:rPr>
                <w:rFonts w:eastAsia="Times New Roman" w:cs="Arial"/>
                <w:color w:val="000000"/>
                <w:szCs w:val="20"/>
                <w:lang w:eastAsia="fr-FR"/>
              </w:rPr>
            </w:pPr>
            <w:r w:rsidRPr="00C80F84">
              <w:rPr>
                <w:rFonts w:cs="Arial"/>
                <w:color w:val="000000"/>
                <w:szCs w:val="20"/>
              </w:rPr>
              <w:t xml:space="preserve">8 888 824.03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15D42BC" w14:textId="77777777" w:rsidR="00067458" w:rsidRPr="00C80F84" w:rsidRDefault="00067458" w:rsidP="00412260">
            <w:pPr>
              <w:jc w:val="right"/>
              <w:rPr>
                <w:rFonts w:eastAsia="Times New Roman" w:cs="Arial"/>
                <w:color w:val="000000"/>
                <w:szCs w:val="20"/>
                <w:lang w:eastAsia="fr-FR"/>
              </w:rPr>
            </w:pPr>
            <w:r w:rsidRPr="00C80F84">
              <w:rPr>
                <w:rFonts w:cs="Arial"/>
                <w:color w:val="000000"/>
                <w:szCs w:val="20"/>
              </w:rPr>
              <w:t xml:space="preserve">8 000 000.00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31D602C2" w14:textId="77777777" w:rsidR="00067458" w:rsidRPr="00C80F84" w:rsidRDefault="00067458" w:rsidP="00412260">
            <w:pPr>
              <w:jc w:val="right"/>
              <w:rPr>
                <w:rFonts w:eastAsia="Times New Roman" w:cs="Arial"/>
                <w:color w:val="000000"/>
                <w:szCs w:val="20"/>
                <w:lang w:eastAsia="fr-FR"/>
              </w:rPr>
            </w:pPr>
            <w:r w:rsidRPr="00C80F84">
              <w:rPr>
                <w:rFonts w:cs="Arial"/>
                <w:color w:val="000000"/>
                <w:szCs w:val="20"/>
              </w:rPr>
              <w:t xml:space="preserve">888 824.03  </w:t>
            </w:r>
          </w:p>
        </w:tc>
      </w:tr>
      <w:tr w:rsidR="00226526" w:rsidRPr="00C80F84" w14:paraId="617F2267"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51B1F987" w14:textId="77777777" w:rsidR="00067458" w:rsidRPr="00C80F84" w:rsidRDefault="00067458" w:rsidP="00412260">
            <w:pPr>
              <w:jc w:val="center"/>
              <w:rPr>
                <w:rFonts w:eastAsia="Times New Roman" w:cs="Arial"/>
                <w:color w:val="000000"/>
                <w:szCs w:val="20"/>
                <w:lang w:eastAsia="fr-FR"/>
              </w:rPr>
            </w:pPr>
            <w:r w:rsidRPr="00C80F84">
              <w:rPr>
                <w:rFonts w:cs="Arial"/>
                <w:color w:val="000000"/>
                <w:szCs w:val="20"/>
              </w:rPr>
              <w:t>ENI</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33BE8B62" w14:textId="77777777" w:rsidR="00067458" w:rsidRPr="00C80F84" w:rsidRDefault="00067458" w:rsidP="00412260">
            <w:pPr>
              <w:rPr>
                <w:rFonts w:eastAsia="Times New Roman" w:cs="Arial"/>
                <w:color w:val="000000"/>
                <w:szCs w:val="20"/>
                <w:lang w:eastAsia="fr-FR"/>
              </w:rPr>
            </w:pPr>
            <w:r w:rsidRPr="00C80F84">
              <w:rPr>
                <w:rFonts w:cs="Arial"/>
                <w:color w:val="000000"/>
                <w:szCs w:val="20"/>
              </w:rPr>
              <w:t>South Programme IV</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2FF5F230" w14:textId="77777777" w:rsidR="00067458" w:rsidRPr="00C80F84" w:rsidRDefault="00067458" w:rsidP="00412260">
            <w:pPr>
              <w:jc w:val="center"/>
              <w:rPr>
                <w:rFonts w:cs="Arial"/>
                <w:szCs w:val="20"/>
              </w:rPr>
            </w:pPr>
            <w:r w:rsidRPr="00C80F84">
              <w:rPr>
                <w:rFonts w:cs="Arial"/>
                <w:color w:val="000000"/>
                <w:szCs w:val="20"/>
              </w:rPr>
              <w:t>01/03/2020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958EF23" w14:textId="77777777" w:rsidR="00067458" w:rsidRPr="00C80F84" w:rsidRDefault="00067458" w:rsidP="00412260">
            <w:pPr>
              <w:jc w:val="center"/>
              <w:rPr>
                <w:rFonts w:cs="Arial"/>
                <w:szCs w:val="20"/>
              </w:rPr>
            </w:pPr>
            <w:r>
              <w:rPr>
                <w:rFonts w:cs="Arial"/>
                <w:color w:val="000000"/>
                <w:szCs w:val="20"/>
              </w:rPr>
              <w:t>30</w:t>
            </w:r>
            <w:r w:rsidRPr="00C80F84">
              <w:rPr>
                <w:rFonts w:cs="Arial"/>
                <w:color w:val="000000"/>
                <w:szCs w:val="20"/>
              </w:rPr>
              <w:t>/0</w:t>
            </w:r>
            <w:r>
              <w:rPr>
                <w:rFonts w:cs="Arial"/>
                <w:color w:val="000000"/>
                <w:szCs w:val="20"/>
              </w:rPr>
              <w:t>8</w:t>
            </w:r>
            <w:r w:rsidRPr="00C80F84">
              <w:rPr>
                <w:rFonts w:cs="Arial"/>
                <w:color w:val="000000"/>
                <w:szCs w:val="20"/>
              </w:rPr>
              <w:t>/2022</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33DAC112" w14:textId="77777777" w:rsidR="00067458" w:rsidRPr="00C80F84" w:rsidRDefault="00067458" w:rsidP="00412260">
            <w:pPr>
              <w:jc w:val="right"/>
              <w:rPr>
                <w:rFonts w:cs="Arial"/>
                <w:szCs w:val="20"/>
              </w:rPr>
            </w:pPr>
            <w:r w:rsidRPr="00C80F84">
              <w:rPr>
                <w:rFonts w:cs="Arial"/>
                <w:color w:val="000000"/>
                <w:szCs w:val="20"/>
              </w:rPr>
              <w:t xml:space="preserve">3 334 000.00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A2DA195" w14:textId="77777777" w:rsidR="00067458" w:rsidRPr="00C80F84" w:rsidRDefault="00067458" w:rsidP="00412260">
            <w:pPr>
              <w:jc w:val="right"/>
              <w:rPr>
                <w:rFonts w:cs="Arial"/>
                <w:szCs w:val="20"/>
              </w:rPr>
            </w:pPr>
            <w:r w:rsidRPr="00C80F84">
              <w:rPr>
                <w:rFonts w:cs="Arial"/>
                <w:color w:val="000000"/>
                <w:szCs w:val="20"/>
              </w:rPr>
              <w:t xml:space="preserve">3 000 000.00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739CCD5B" w14:textId="77777777" w:rsidR="00067458" w:rsidRPr="00C80F84" w:rsidRDefault="00067458" w:rsidP="00412260">
            <w:pPr>
              <w:jc w:val="right"/>
              <w:rPr>
                <w:rFonts w:eastAsia="Times New Roman" w:cs="Arial"/>
                <w:color w:val="000000"/>
                <w:szCs w:val="20"/>
                <w:lang w:eastAsia="fr-FR"/>
              </w:rPr>
            </w:pPr>
            <w:r w:rsidRPr="00C80F84">
              <w:rPr>
                <w:rFonts w:cs="Arial"/>
                <w:color w:val="000000"/>
                <w:szCs w:val="20"/>
              </w:rPr>
              <w:t xml:space="preserve">334 000.00  </w:t>
            </w:r>
          </w:p>
        </w:tc>
      </w:tr>
      <w:tr w:rsidR="00226526" w:rsidRPr="00C80F84" w14:paraId="0023EC5F"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6557BD7B" w14:textId="77777777" w:rsidR="00067458" w:rsidRPr="00C80F84" w:rsidRDefault="00067458" w:rsidP="00412260">
            <w:pPr>
              <w:jc w:val="center"/>
              <w:rPr>
                <w:rFonts w:eastAsia="Times New Roman" w:cs="Arial"/>
                <w:color w:val="000000"/>
                <w:szCs w:val="20"/>
                <w:lang w:eastAsia="fr-FR"/>
              </w:rPr>
            </w:pPr>
            <w:r w:rsidRPr="00C80F84">
              <w:rPr>
                <w:rFonts w:cs="Arial"/>
                <w:color w:val="000000"/>
                <w:szCs w:val="20"/>
              </w:rPr>
              <w:t>ENI</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720CFF62" w14:textId="77777777" w:rsidR="00067458" w:rsidRPr="00C80F84" w:rsidRDefault="00067458" w:rsidP="00412260">
            <w:pPr>
              <w:rPr>
                <w:rFonts w:eastAsia="Times New Roman" w:cs="Arial"/>
                <w:color w:val="000000"/>
                <w:szCs w:val="20"/>
                <w:lang w:eastAsia="fr-FR"/>
              </w:rPr>
            </w:pPr>
            <w:r w:rsidRPr="00C80F84">
              <w:rPr>
                <w:rFonts w:cs="Arial"/>
                <w:color w:val="000000"/>
                <w:szCs w:val="20"/>
              </w:rPr>
              <w:t>Support to the national mechanism against torture and to the development of the key role of Parliament in Morocco</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77AE3B6C" w14:textId="77777777" w:rsidR="00067458" w:rsidRPr="00C80F84" w:rsidRDefault="00067458" w:rsidP="00412260">
            <w:pPr>
              <w:jc w:val="center"/>
              <w:rPr>
                <w:rFonts w:cs="Arial"/>
                <w:szCs w:val="20"/>
              </w:rPr>
            </w:pPr>
            <w:r w:rsidRPr="00C80F84">
              <w:rPr>
                <w:rFonts w:cs="Arial"/>
                <w:color w:val="000000"/>
                <w:szCs w:val="20"/>
              </w:rPr>
              <w:t>14/11/2020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22AA2EE" w14:textId="77777777" w:rsidR="00067458" w:rsidRPr="00C80F84" w:rsidRDefault="00067458" w:rsidP="00412260">
            <w:pPr>
              <w:jc w:val="center"/>
              <w:rPr>
                <w:rFonts w:cs="Arial"/>
                <w:szCs w:val="20"/>
              </w:rPr>
            </w:pPr>
            <w:r w:rsidRPr="00C80F84">
              <w:rPr>
                <w:rFonts w:cs="Arial"/>
                <w:color w:val="000000"/>
                <w:szCs w:val="20"/>
              </w:rPr>
              <w:t>13/11/2023</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8B978AC" w14:textId="77777777" w:rsidR="00067458" w:rsidRPr="00C80F84" w:rsidRDefault="00067458" w:rsidP="00412260">
            <w:pPr>
              <w:jc w:val="right"/>
              <w:rPr>
                <w:rFonts w:cs="Arial"/>
                <w:szCs w:val="20"/>
              </w:rPr>
            </w:pPr>
            <w:r w:rsidRPr="00C80F84">
              <w:rPr>
                <w:rFonts w:cs="Arial"/>
                <w:color w:val="000000"/>
                <w:szCs w:val="20"/>
              </w:rPr>
              <w:t xml:space="preserve">2 316 000.00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E575433" w14:textId="77777777" w:rsidR="00067458" w:rsidRPr="00C80F84" w:rsidRDefault="00067458" w:rsidP="00412260">
            <w:pPr>
              <w:jc w:val="right"/>
              <w:rPr>
                <w:rFonts w:cs="Arial"/>
                <w:szCs w:val="20"/>
              </w:rPr>
            </w:pPr>
            <w:r w:rsidRPr="00C80F84">
              <w:rPr>
                <w:rFonts w:cs="Arial"/>
                <w:color w:val="000000"/>
                <w:szCs w:val="20"/>
              </w:rPr>
              <w:t xml:space="preserve">2 200 000.00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6745E9B6" w14:textId="77777777" w:rsidR="00067458" w:rsidRPr="00C80F84" w:rsidRDefault="00067458" w:rsidP="00412260">
            <w:pPr>
              <w:jc w:val="right"/>
              <w:rPr>
                <w:rFonts w:eastAsia="Times New Roman" w:cs="Arial"/>
                <w:color w:val="000000"/>
                <w:szCs w:val="20"/>
                <w:lang w:eastAsia="fr-FR"/>
              </w:rPr>
            </w:pPr>
            <w:r w:rsidRPr="00C80F84">
              <w:rPr>
                <w:rFonts w:cs="Arial"/>
                <w:color w:val="000000"/>
                <w:szCs w:val="20"/>
              </w:rPr>
              <w:t xml:space="preserve">116 000.00  </w:t>
            </w:r>
          </w:p>
        </w:tc>
      </w:tr>
    </w:tbl>
    <w:p w14:paraId="3010F82F" w14:textId="77777777" w:rsidR="00067458" w:rsidRPr="00032312" w:rsidRDefault="00067458" w:rsidP="00067458">
      <w:pPr>
        <w:rPr>
          <w:rFonts w:cs="Arial"/>
          <w:b/>
          <w:bCs/>
          <w:caps/>
          <w:szCs w:val="20"/>
        </w:rPr>
      </w:pPr>
    </w:p>
    <w:p w14:paraId="160DE1CB" w14:textId="77777777" w:rsidR="00067458" w:rsidRPr="00032312" w:rsidRDefault="00067458" w:rsidP="00067458">
      <w:pPr>
        <w:rPr>
          <w:rFonts w:cs="Arial"/>
          <w:b/>
          <w:bCs/>
          <w:caps/>
          <w:szCs w:val="20"/>
        </w:rPr>
      </w:pPr>
    </w:p>
    <w:p w14:paraId="2D9BDD7F" w14:textId="77777777" w:rsidR="00067458" w:rsidRPr="00032312" w:rsidRDefault="00067458" w:rsidP="00067458">
      <w:pPr>
        <w:rPr>
          <w:rFonts w:cs="Arial"/>
          <w:b/>
          <w:bCs/>
          <w:caps/>
          <w:szCs w:val="20"/>
        </w:rPr>
      </w:pPr>
    </w:p>
    <w:p w14:paraId="4F8D262E" w14:textId="77777777" w:rsidR="00067458" w:rsidRDefault="00067458" w:rsidP="00067458">
      <w:pPr>
        <w:rPr>
          <w:rFonts w:cs="Arial"/>
          <w:b/>
          <w:bCs/>
          <w:caps/>
          <w:szCs w:val="20"/>
        </w:rPr>
      </w:pPr>
      <w:r>
        <w:rPr>
          <w:rFonts w:cs="Arial"/>
          <w:b/>
          <w:bCs/>
          <w:caps/>
          <w:szCs w:val="20"/>
        </w:rPr>
        <w:br w:type="page"/>
      </w:r>
    </w:p>
    <w:p w14:paraId="65589003" w14:textId="4D908359" w:rsidR="00A04033" w:rsidRDefault="00067458" w:rsidP="00067458">
      <w:pPr>
        <w:rPr>
          <w:rFonts w:cs="Arial"/>
          <w:b/>
          <w:bCs/>
          <w:caps/>
          <w:szCs w:val="20"/>
        </w:rPr>
      </w:pPr>
      <w:r w:rsidRPr="00032312">
        <w:rPr>
          <w:rFonts w:cs="Arial"/>
          <w:b/>
          <w:bCs/>
          <w:caps/>
          <w:szCs w:val="20"/>
        </w:rPr>
        <w:t>Appendix II</w:t>
      </w:r>
    </w:p>
    <w:p w14:paraId="3C0BC7B2" w14:textId="77777777" w:rsidR="00A04033" w:rsidRPr="00032312" w:rsidRDefault="00A04033" w:rsidP="00067458">
      <w:pPr>
        <w:rPr>
          <w:rFonts w:cs="Arial"/>
          <w:b/>
          <w:bCs/>
          <w:caps/>
          <w:szCs w:val="20"/>
        </w:rPr>
      </w:pPr>
    </w:p>
    <w:tbl>
      <w:tblPr>
        <w:tblW w:w="5000" w:type="pct"/>
        <w:tblCellMar>
          <w:left w:w="70" w:type="dxa"/>
          <w:right w:w="70" w:type="dxa"/>
        </w:tblCellMar>
        <w:tblLook w:val="04A0" w:firstRow="1" w:lastRow="0" w:firstColumn="1" w:lastColumn="0" w:noHBand="0" w:noVBand="1"/>
      </w:tblPr>
      <w:tblGrid>
        <w:gridCol w:w="1555"/>
        <w:gridCol w:w="5810"/>
        <w:gridCol w:w="1277"/>
        <w:gridCol w:w="1277"/>
        <w:gridCol w:w="1416"/>
        <w:gridCol w:w="1673"/>
        <w:gridCol w:w="2121"/>
      </w:tblGrid>
      <w:tr w:rsidR="00067458" w:rsidRPr="00032312" w14:paraId="02EC030F" w14:textId="77777777" w:rsidTr="00412260">
        <w:trPr>
          <w:trHeight w:val="402"/>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294F9302" w14:textId="77777777" w:rsidR="007D3924" w:rsidRDefault="007D3924" w:rsidP="00412260">
            <w:pPr>
              <w:jc w:val="center"/>
              <w:rPr>
                <w:rFonts w:eastAsia="Times New Roman" w:cs="Arial"/>
                <w:b/>
                <w:bCs/>
                <w:color w:val="000000"/>
                <w:szCs w:val="20"/>
                <w:lang w:eastAsia="fr-FR"/>
              </w:rPr>
            </w:pPr>
          </w:p>
          <w:p w14:paraId="55328633" w14:textId="0E53361C" w:rsidR="007D3924" w:rsidRDefault="00067458" w:rsidP="00412260">
            <w:pPr>
              <w:jc w:val="center"/>
              <w:rPr>
                <w:rFonts w:eastAsia="Times New Roman" w:cs="Arial"/>
                <w:b/>
                <w:bCs/>
                <w:color w:val="000000"/>
                <w:szCs w:val="20"/>
                <w:lang w:eastAsia="fr-FR"/>
              </w:rPr>
            </w:pPr>
            <w:r w:rsidRPr="008F6273">
              <w:rPr>
                <w:rFonts w:eastAsia="Times New Roman" w:cs="Arial"/>
                <w:b/>
                <w:bCs/>
                <w:color w:val="000000"/>
                <w:szCs w:val="20"/>
                <w:lang w:eastAsia="fr-FR"/>
              </w:rPr>
              <w:t>JOINT PROGRAMMES CONTRACTED IN 202</w:t>
            </w:r>
            <w:r>
              <w:rPr>
                <w:rFonts w:eastAsia="Times New Roman" w:cs="Arial"/>
                <w:b/>
                <w:bCs/>
                <w:color w:val="000000"/>
                <w:szCs w:val="20"/>
                <w:lang w:eastAsia="fr-FR"/>
              </w:rPr>
              <w:t>1</w:t>
            </w:r>
          </w:p>
          <w:p w14:paraId="7E7C5594" w14:textId="50DD4F28" w:rsidR="00067458" w:rsidRPr="00032312" w:rsidRDefault="00067458" w:rsidP="00412260">
            <w:pPr>
              <w:jc w:val="center"/>
              <w:rPr>
                <w:rFonts w:eastAsia="Times New Roman" w:cs="Arial"/>
                <w:b/>
                <w:bCs/>
                <w:color w:val="000000"/>
                <w:szCs w:val="20"/>
                <w:lang w:eastAsia="fr-FR"/>
              </w:rPr>
            </w:pPr>
            <w:r w:rsidRPr="008F6273">
              <w:rPr>
                <w:rFonts w:eastAsia="Times New Roman" w:cs="Arial"/>
                <w:b/>
                <w:bCs/>
                <w:color w:val="000000"/>
                <w:szCs w:val="20"/>
                <w:lang w:eastAsia="fr-FR"/>
              </w:rPr>
              <w:t xml:space="preserve">   </w:t>
            </w:r>
          </w:p>
        </w:tc>
      </w:tr>
      <w:tr w:rsidR="0051238F" w:rsidRPr="00032312" w14:paraId="3AD5C499"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333E0654" w14:textId="77777777" w:rsidR="00067458" w:rsidRPr="00032312" w:rsidRDefault="00067458" w:rsidP="00412260">
            <w:pPr>
              <w:jc w:val="center"/>
              <w:rPr>
                <w:rFonts w:eastAsia="Times New Roman" w:cs="Arial"/>
                <w:b/>
                <w:bCs/>
                <w:color w:val="000000"/>
                <w:szCs w:val="20"/>
                <w:lang w:eastAsia="fr-FR"/>
              </w:rPr>
            </w:pPr>
            <w:r w:rsidRPr="00032312">
              <w:rPr>
                <w:rFonts w:eastAsia="Times New Roman" w:cs="Arial"/>
                <w:b/>
                <w:bCs/>
                <w:color w:val="000000"/>
                <w:szCs w:val="20"/>
                <w:lang w:eastAsia="fr-FR"/>
              </w:rPr>
              <w:t xml:space="preserve">Financing instrument </w:t>
            </w:r>
          </w:p>
        </w:tc>
        <w:tc>
          <w:tcPr>
            <w:tcW w:w="1920" w:type="pct"/>
            <w:tcBorders>
              <w:top w:val="single" w:sz="4" w:space="0" w:color="auto"/>
              <w:left w:val="nil"/>
              <w:bottom w:val="single" w:sz="4" w:space="0" w:color="auto"/>
              <w:right w:val="single" w:sz="4" w:space="0" w:color="auto"/>
            </w:tcBorders>
            <w:shd w:val="clear" w:color="000000" w:fill="92D050"/>
            <w:vAlign w:val="center"/>
            <w:hideMark/>
          </w:tcPr>
          <w:p w14:paraId="6D85A0FA" w14:textId="77777777" w:rsidR="00067458" w:rsidRPr="00032312" w:rsidRDefault="00067458" w:rsidP="00412260">
            <w:pPr>
              <w:jc w:val="center"/>
              <w:rPr>
                <w:rFonts w:eastAsia="Times New Roman" w:cs="Arial"/>
                <w:b/>
                <w:bCs/>
                <w:color w:val="000000"/>
                <w:szCs w:val="20"/>
                <w:lang w:eastAsia="fr-FR"/>
              </w:rPr>
            </w:pPr>
            <w:r w:rsidRPr="00032312">
              <w:rPr>
                <w:rFonts w:eastAsia="Times New Roman" w:cs="Arial"/>
                <w:b/>
                <w:bCs/>
                <w:color w:val="000000"/>
                <w:szCs w:val="20"/>
                <w:lang w:eastAsia="fr-FR"/>
              </w:rPr>
              <w:t>Contract title</w:t>
            </w:r>
          </w:p>
        </w:tc>
        <w:tc>
          <w:tcPr>
            <w:tcW w:w="422" w:type="pct"/>
            <w:tcBorders>
              <w:top w:val="single" w:sz="4" w:space="0" w:color="auto"/>
              <w:left w:val="nil"/>
              <w:bottom w:val="single" w:sz="4" w:space="0" w:color="auto"/>
              <w:right w:val="single" w:sz="4" w:space="0" w:color="auto"/>
            </w:tcBorders>
            <w:shd w:val="clear" w:color="000000" w:fill="92D050"/>
            <w:vAlign w:val="center"/>
            <w:hideMark/>
          </w:tcPr>
          <w:p w14:paraId="3A7D8D35" w14:textId="77777777" w:rsidR="00067458" w:rsidRPr="00032312" w:rsidRDefault="00067458" w:rsidP="00412260">
            <w:pPr>
              <w:jc w:val="center"/>
              <w:rPr>
                <w:rFonts w:eastAsia="Times New Roman" w:cs="Arial"/>
                <w:b/>
                <w:bCs/>
                <w:color w:val="000000"/>
                <w:szCs w:val="20"/>
                <w:lang w:eastAsia="fr-FR"/>
              </w:rPr>
            </w:pPr>
            <w:r w:rsidRPr="00032312">
              <w:rPr>
                <w:rFonts w:eastAsia="Times New Roman" w:cs="Arial"/>
                <w:b/>
                <w:bCs/>
                <w:color w:val="000000"/>
                <w:szCs w:val="20"/>
                <w:lang w:eastAsia="fr-FR"/>
              </w:rPr>
              <w:t>Start date of covenant</w:t>
            </w:r>
          </w:p>
        </w:tc>
        <w:tc>
          <w:tcPr>
            <w:tcW w:w="422" w:type="pct"/>
            <w:tcBorders>
              <w:top w:val="single" w:sz="4" w:space="0" w:color="auto"/>
              <w:left w:val="nil"/>
              <w:bottom w:val="single" w:sz="4" w:space="0" w:color="auto"/>
              <w:right w:val="single" w:sz="4" w:space="0" w:color="auto"/>
            </w:tcBorders>
            <w:shd w:val="clear" w:color="000000" w:fill="92D050"/>
            <w:vAlign w:val="center"/>
            <w:hideMark/>
          </w:tcPr>
          <w:p w14:paraId="7D9F03CA" w14:textId="77777777" w:rsidR="00067458" w:rsidRPr="00032312" w:rsidRDefault="00067458" w:rsidP="00412260">
            <w:pPr>
              <w:jc w:val="center"/>
              <w:rPr>
                <w:rFonts w:eastAsia="Times New Roman" w:cs="Arial"/>
                <w:b/>
                <w:bCs/>
                <w:color w:val="000000"/>
                <w:szCs w:val="20"/>
                <w:lang w:eastAsia="fr-FR"/>
              </w:rPr>
            </w:pPr>
            <w:r w:rsidRPr="00032312">
              <w:rPr>
                <w:rFonts w:eastAsia="Times New Roman" w:cs="Arial"/>
                <w:b/>
                <w:bCs/>
                <w:color w:val="000000"/>
                <w:szCs w:val="20"/>
                <w:lang w:eastAsia="fr-FR"/>
              </w:rPr>
              <w:t>End date of covenant</w:t>
            </w:r>
          </w:p>
        </w:tc>
        <w:tc>
          <w:tcPr>
            <w:tcW w:w="468" w:type="pct"/>
            <w:tcBorders>
              <w:top w:val="single" w:sz="4" w:space="0" w:color="auto"/>
              <w:left w:val="nil"/>
              <w:bottom w:val="single" w:sz="4" w:space="0" w:color="auto"/>
              <w:right w:val="single" w:sz="4" w:space="0" w:color="auto"/>
            </w:tcBorders>
            <w:shd w:val="clear" w:color="000000" w:fill="92D050"/>
            <w:vAlign w:val="center"/>
            <w:hideMark/>
          </w:tcPr>
          <w:p w14:paraId="58615EE8" w14:textId="77777777" w:rsidR="00067458" w:rsidRPr="00032312" w:rsidRDefault="00067458" w:rsidP="00412260">
            <w:pPr>
              <w:jc w:val="center"/>
              <w:rPr>
                <w:rFonts w:eastAsia="Times New Roman" w:cs="Arial"/>
                <w:b/>
                <w:bCs/>
                <w:color w:val="000000"/>
                <w:szCs w:val="20"/>
                <w:lang w:eastAsia="fr-FR"/>
              </w:rPr>
            </w:pPr>
            <w:r w:rsidRPr="00032312">
              <w:rPr>
                <w:rFonts w:eastAsia="Times New Roman" w:cs="Arial"/>
                <w:b/>
                <w:bCs/>
                <w:color w:val="000000"/>
                <w:szCs w:val="20"/>
                <w:lang w:eastAsia="fr-FR"/>
              </w:rPr>
              <w:t>Total programme envelope in €</w:t>
            </w:r>
          </w:p>
        </w:tc>
        <w:tc>
          <w:tcPr>
            <w:tcW w:w="553" w:type="pct"/>
            <w:tcBorders>
              <w:top w:val="single" w:sz="4" w:space="0" w:color="auto"/>
              <w:left w:val="nil"/>
              <w:bottom w:val="single" w:sz="4" w:space="0" w:color="auto"/>
              <w:right w:val="single" w:sz="4" w:space="0" w:color="auto"/>
            </w:tcBorders>
            <w:shd w:val="clear" w:color="000000" w:fill="92D050"/>
            <w:vAlign w:val="center"/>
            <w:hideMark/>
          </w:tcPr>
          <w:p w14:paraId="2A82D44E" w14:textId="77777777" w:rsidR="00067458" w:rsidRPr="00032312" w:rsidRDefault="00067458" w:rsidP="00412260">
            <w:pPr>
              <w:jc w:val="center"/>
              <w:rPr>
                <w:rFonts w:eastAsia="Times New Roman" w:cs="Arial"/>
                <w:b/>
                <w:bCs/>
                <w:color w:val="000000"/>
                <w:szCs w:val="20"/>
                <w:lang w:eastAsia="fr-FR"/>
              </w:rPr>
            </w:pPr>
            <w:r w:rsidRPr="00032312">
              <w:rPr>
                <w:rFonts w:eastAsia="Times New Roman" w:cs="Arial"/>
                <w:b/>
                <w:bCs/>
                <w:color w:val="000000"/>
                <w:szCs w:val="20"/>
                <w:lang w:eastAsia="fr-FR"/>
              </w:rPr>
              <w:t xml:space="preserve">Contribution of the European Union </w:t>
            </w:r>
          </w:p>
        </w:tc>
        <w:tc>
          <w:tcPr>
            <w:tcW w:w="701" w:type="pct"/>
            <w:tcBorders>
              <w:top w:val="single" w:sz="4" w:space="0" w:color="auto"/>
              <w:left w:val="nil"/>
              <w:bottom w:val="single" w:sz="4" w:space="0" w:color="auto"/>
              <w:right w:val="single" w:sz="4" w:space="0" w:color="auto"/>
            </w:tcBorders>
            <w:shd w:val="clear" w:color="000000" w:fill="92D050"/>
            <w:vAlign w:val="center"/>
            <w:hideMark/>
          </w:tcPr>
          <w:p w14:paraId="78178EFF" w14:textId="77777777" w:rsidR="00067458" w:rsidRPr="00032312" w:rsidRDefault="00067458" w:rsidP="00412260">
            <w:pPr>
              <w:jc w:val="center"/>
              <w:rPr>
                <w:rFonts w:eastAsia="Times New Roman" w:cs="Arial"/>
                <w:b/>
                <w:bCs/>
                <w:color w:val="000000"/>
                <w:szCs w:val="20"/>
                <w:lang w:eastAsia="fr-FR"/>
              </w:rPr>
            </w:pPr>
            <w:r w:rsidRPr="00032312">
              <w:rPr>
                <w:rFonts w:eastAsia="Times New Roman" w:cs="Arial"/>
                <w:b/>
                <w:bCs/>
                <w:color w:val="000000"/>
                <w:szCs w:val="20"/>
                <w:lang w:eastAsia="fr-FR"/>
              </w:rPr>
              <w:t xml:space="preserve">Contribution of the Council of Europe </w:t>
            </w:r>
          </w:p>
        </w:tc>
      </w:tr>
      <w:tr w:rsidR="00067458" w:rsidRPr="00032312" w14:paraId="05177C96" w14:textId="77777777" w:rsidTr="00412260">
        <w:trPr>
          <w:trHeight w:val="6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5E3F414" w14:textId="77777777" w:rsidR="00067458" w:rsidRDefault="00067458" w:rsidP="00412260">
            <w:pPr>
              <w:rPr>
                <w:rFonts w:cs="Arial"/>
                <w:szCs w:val="20"/>
              </w:rPr>
            </w:pPr>
            <w:r>
              <w:rPr>
                <w:rFonts w:cs="Arial"/>
                <w:szCs w:val="20"/>
              </w:rPr>
              <w:t xml:space="preserve">Negotiated and started in 2021 </w:t>
            </w:r>
          </w:p>
        </w:tc>
      </w:tr>
      <w:tr w:rsidR="00067458" w:rsidRPr="00167AAE" w14:paraId="1D0477B6"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71132762" w14:textId="77777777" w:rsidR="00067458" w:rsidRPr="00167AAE" w:rsidRDefault="00067458" w:rsidP="00412260">
            <w:pPr>
              <w:jc w:val="center"/>
              <w:rPr>
                <w:rFonts w:eastAsia="Times New Roman" w:cs="Arial"/>
                <w:color w:val="000000"/>
                <w:szCs w:val="20"/>
                <w:lang w:eastAsia="fr-FR"/>
              </w:rPr>
            </w:pPr>
            <w:r w:rsidRPr="00167AAE">
              <w:rPr>
                <w:rFonts w:cs="Arial"/>
                <w:b/>
                <w:bCs/>
                <w:color w:val="000000"/>
                <w:szCs w:val="20"/>
              </w:rPr>
              <w:t xml:space="preserve">DG JUST </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06DAD0D8" w14:textId="7B63675A" w:rsidR="00067458" w:rsidRPr="00167AAE" w:rsidRDefault="00067458" w:rsidP="00412260">
            <w:pPr>
              <w:rPr>
                <w:rFonts w:cs="Arial"/>
                <w:szCs w:val="20"/>
              </w:rPr>
            </w:pPr>
            <w:r w:rsidRPr="00167AAE">
              <w:rPr>
                <w:rFonts w:cs="Arial"/>
                <w:color w:val="000000"/>
                <w:szCs w:val="20"/>
              </w:rPr>
              <w:t>Strengthening National Child Participation Frameworks and Action in Europe - CP4</w:t>
            </w:r>
            <w:r w:rsidR="00701B55">
              <w:rPr>
                <w:rFonts w:cs="Arial"/>
                <w:color w:val="000000"/>
                <w:szCs w:val="20"/>
              </w:rPr>
              <w:t xml:space="preserve"> </w:t>
            </w:r>
            <w:r w:rsidRPr="00167AAE">
              <w:rPr>
                <w:rFonts w:cs="Arial"/>
                <w:color w:val="000000"/>
                <w:szCs w:val="20"/>
              </w:rPr>
              <w:t>Europe</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138A93DC" w14:textId="77777777" w:rsidR="00067458" w:rsidRPr="00167AAE" w:rsidRDefault="00067458" w:rsidP="00412260">
            <w:pPr>
              <w:jc w:val="center"/>
              <w:rPr>
                <w:rFonts w:cs="Arial"/>
                <w:szCs w:val="20"/>
              </w:rPr>
            </w:pPr>
            <w:r w:rsidRPr="00167AAE">
              <w:rPr>
                <w:rFonts w:cs="Arial"/>
                <w:color w:val="000000"/>
                <w:szCs w:val="20"/>
              </w:rPr>
              <w:t>01/04/2021</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46572AE6" w14:textId="77777777" w:rsidR="00067458" w:rsidRPr="00167AAE" w:rsidRDefault="00067458" w:rsidP="00412260">
            <w:pPr>
              <w:jc w:val="center"/>
              <w:rPr>
                <w:rFonts w:cs="Arial"/>
                <w:szCs w:val="20"/>
              </w:rPr>
            </w:pPr>
            <w:r w:rsidRPr="00167AAE">
              <w:rPr>
                <w:rFonts w:cs="Arial"/>
                <w:color w:val="000000"/>
                <w:szCs w:val="20"/>
              </w:rPr>
              <w:t>31/03/2023</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9159A71" w14:textId="77777777" w:rsidR="00067458" w:rsidRPr="00167AAE" w:rsidRDefault="00067458" w:rsidP="00412260">
            <w:pPr>
              <w:jc w:val="right"/>
              <w:rPr>
                <w:rFonts w:cs="Arial"/>
                <w:szCs w:val="20"/>
              </w:rPr>
            </w:pPr>
            <w:r w:rsidRPr="00167AAE">
              <w:rPr>
                <w:rFonts w:cs="Arial"/>
                <w:color w:val="000000"/>
                <w:szCs w:val="20"/>
              </w:rPr>
              <w:t>950 374.00 €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CD28F34" w14:textId="77777777" w:rsidR="00067458" w:rsidRPr="00167AAE" w:rsidRDefault="00067458" w:rsidP="00412260">
            <w:pPr>
              <w:jc w:val="right"/>
              <w:rPr>
                <w:rFonts w:cs="Arial"/>
                <w:szCs w:val="20"/>
              </w:rPr>
            </w:pPr>
            <w:r w:rsidRPr="00167AAE">
              <w:rPr>
                <w:rFonts w:cs="Arial"/>
                <w:color w:val="000000"/>
                <w:szCs w:val="20"/>
              </w:rPr>
              <w:t>190 074.80 €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64CCB9E5" w14:textId="77777777" w:rsidR="00067458" w:rsidRPr="00167AAE" w:rsidRDefault="00067458" w:rsidP="00412260">
            <w:pPr>
              <w:jc w:val="right"/>
              <w:rPr>
                <w:rFonts w:cs="Arial"/>
                <w:szCs w:val="20"/>
              </w:rPr>
            </w:pPr>
            <w:r w:rsidRPr="00167AAE">
              <w:rPr>
                <w:rFonts w:cs="Arial"/>
                <w:color w:val="000000"/>
                <w:szCs w:val="20"/>
              </w:rPr>
              <w:t>760 299.20 €</w:t>
            </w:r>
          </w:p>
        </w:tc>
      </w:tr>
      <w:tr w:rsidR="00067458" w:rsidRPr="00167AAE" w14:paraId="4F91E1C6"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4F713BB6" w14:textId="77777777" w:rsidR="00067458" w:rsidRPr="00167AAE" w:rsidRDefault="00067458" w:rsidP="00412260">
            <w:pPr>
              <w:jc w:val="center"/>
              <w:rPr>
                <w:rFonts w:eastAsia="Times New Roman" w:cs="Arial"/>
                <w:color w:val="000000"/>
                <w:szCs w:val="20"/>
                <w:lang w:eastAsia="fr-FR"/>
              </w:rPr>
            </w:pPr>
            <w:r w:rsidRPr="00167AAE">
              <w:rPr>
                <w:rFonts w:cs="Arial"/>
                <w:b/>
                <w:bCs/>
                <w:color w:val="000000"/>
                <w:szCs w:val="20"/>
              </w:rPr>
              <w:t xml:space="preserve">DG EMP </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460C909B" w14:textId="77777777" w:rsidR="00067458" w:rsidRPr="00167AAE" w:rsidRDefault="00067458" w:rsidP="00412260">
            <w:pPr>
              <w:rPr>
                <w:rFonts w:cs="Arial"/>
                <w:szCs w:val="20"/>
              </w:rPr>
            </w:pPr>
            <w:r w:rsidRPr="00167AAE">
              <w:rPr>
                <w:rFonts w:cs="Arial"/>
                <w:color w:val="000000"/>
                <w:szCs w:val="20"/>
              </w:rPr>
              <w:t>ROMACT 8 - Building capacity at local level for the integration of the Roma</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6B145BD4" w14:textId="77777777" w:rsidR="00067458" w:rsidRPr="00167AAE" w:rsidRDefault="00067458" w:rsidP="00412260">
            <w:pPr>
              <w:jc w:val="center"/>
              <w:rPr>
                <w:rFonts w:cs="Arial"/>
                <w:szCs w:val="20"/>
              </w:rPr>
            </w:pPr>
            <w:r w:rsidRPr="00167AAE">
              <w:rPr>
                <w:rFonts w:cs="Arial"/>
                <w:color w:val="000000"/>
                <w:szCs w:val="20"/>
              </w:rPr>
              <w:t>01/06/2021</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0713C5D6" w14:textId="77777777" w:rsidR="00067458" w:rsidRPr="00167AAE" w:rsidRDefault="00067458" w:rsidP="00412260">
            <w:pPr>
              <w:jc w:val="center"/>
              <w:rPr>
                <w:rFonts w:cs="Arial"/>
                <w:szCs w:val="20"/>
              </w:rPr>
            </w:pPr>
            <w:r w:rsidRPr="00167AAE">
              <w:rPr>
                <w:rFonts w:cs="Arial"/>
                <w:color w:val="000000"/>
                <w:szCs w:val="20"/>
              </w:rPr>
              <w:t>31/12/2022</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9952EC" w14:textId="77777777" w:rsidR="00067458" w:rsidRPr="00167AAE" w:rsidRDefault="00067458" w:rsidP="00412260">
            <w:pPr>
              <w:jc w:val="right"/>
              <w:rPr>
                <w:rFonts w:cs="Arial"/>
                <w:szCs w:val="20"/>
              </w:rPr>
            </w:pPr>
            <w:r w:rsidRPr="00167AAE">
              <w:rPr>
                <w:rFonts w:cs="Arial"/>
                <w:color w:val="000000"/>
                <w:szCs w:val="20"/>
              </w:rPr>
              <w:t>1 670 000.00 €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10EF9B5" w14:textId="77777777" w:rsidR="00067458" w:rsidRPr="00167AAE" w:rsidRDefault="00067458" w:rsidP="00412260">
            <w:pPr>
              <w:jc w:val="right"/>
              <w:rPr>
                <w:rFonts w:cs="Arial"/>
                <w:szCs w:val="20"/>
              </w:rPr>
            </w:pPr>
            <w:r w:rsidRPr="00167AAE">
              <w:rPr>
                <w:rFonts w:cs="Arial"/>
                <w:color w:val="000000"/>
                <w:szCs w:val="20"/>
              </w:rPr>
              <w:t>170 000.00 €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768E63A7" w14:textId="77777777" w:rsidR="00067458" w:rsidRPr="00167AAE" w:rsidRDefault="00067458" w:rsidP="00412260">
            <w:pPr>
              <w:jc w:val="right"/>
              <w:rPr>
                <w:rFonts w:cs="Arial"/>
                <w:szCs w:val="20"/>
              </w:rPr>
            </w:pPr>
            <w:r w:rsidRPr="00167AAE">
              <w:rPr>
                <w:rFonts w:cs="Arial"/>
                <w:color w:val="000000"/>
                <w:szCs w:val="20"/>
              </w:rPr>
              <w:t>1 500 000.00 €</w:t>
            </w:r>
          </w:p>
        </w:tc>
      </w:tr>
      <w:tr w:rsidR="00067458" w:rsidRPr="00167AAE" w14:paraId="3A81F77C"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2A8F362F" w14:textId="77777777" w:rsidR="00067458" w:rsidRPr="00167AAE" w:rsidRDefault="00067458" w:rsidP="00412260">
            <w:pPr>
              <w:jc w:val="center"/>
              <w:rPr>
                <w:rFonts w:eastAsia="Times New Roman" w:cs="Arial"/>
                <w:color w:val="000000"/>
                <w:szCs w:val="20"/>
                <w:lang w:eastAsia="fr-FR"/>
              </w:rPr>
            </w:pPr>
            <w:r w:rsidRPr="00167AAE">
              <w:rPr>
                <w:rFonts w:cs="Arial"/>
                <w:b/>
                <w:bCs/>
                <w:color w:val="000000"/>
                <w:szCs w:val="20"/>
              </w:rPr>
              <w:t>DG REFORM</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531E66F7" w14:textId="77777777" w:rsidR="00067458" w:rsidRPr="00167AAE" w:rsidRDefault="00067458" w:rsidP="00412260">
            <w:pPr>
              <w:rPr>
                <w:rFonts w:cs="Arial"/>
                <w:szCs w:val="20"/>
              </w:rPr>
            </w:pPr>
            <w:r w:rsidRPr="00167AAE">
              <w:rPr>
                <w:rFonts w:cs="Arial"/>
                <w:color w:val="000000"/>
                <w:szCs w:val="20"/>
              </w:rPr>
              <w:t xml:space="preserve">Support to EU Member States in the implementation of reforms under the Technical Support Instrument – 2021: Governance, Public Administration, Financial Sector and Access to Finance </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5060ECEB" w14:textId="77777777" w:rsidR="00067458" w:rsidRPr="00167AAE" w:rsidRDefault="00067458" w:rsidP="00412260">
            <w:pPr>
              <w:jc w:val="center"/>
              <w:rPr>
                <w:rFonts w:cs="Arial"/>
                <w:szCs w:val="20"/>
              </w:rPr>
            </w:pPr>
            <w:r w:rsidRPr="00167AAE">
              <w:rPr>
                <w:rFonts w:cs="Arial"/>
                <w:color w:val="000000"/>
                <w:szCs w:val="20"/>
              </w:rPr>
              <w:t>13/05/2021</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316DCF62" w14:textId="77777777" w:rsidR="00067458" w:rsidRPr="00167AAE" w:rsidRDefault="00067458" w:rsidP="00412260">
            <w:pPr>
              <w:jc w:val="center"/>
              <w:rPr>
                <w:rFonts w:cs="Arial"/>
                <w:szCs w:val="20"/>
              </w:rPr>
            </w:pPr>
            <w:r w:rsidRPr="00167AAE">
              <w:rPr>
                <w:rFonts w:cs="Arial"/>
                <w:color w:val="000000"/>
                <w:szCs w:val="20"/>
              </w:rPr>
              <w:t>12/05/2024</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CB9BE8A" w14:textId="77777777" w:rsidR="00067458" w:rsidRPr="00167AAE" w:rsidRDefault="00067458" w:rsidP="00412260">
            <w:pPr>
              <w:jc w:val="right"/>
              <w:rPr>
                <w:rFonts w:cs="Arial"/>
                <w:szCs w:val="20"/>
              </w:rPr>
            </w:pPr>
            <w:r w:rsidRPr="00167AAE">
              <w:rPr>
                <w:rFonts w:cs="Arial"/>
                <w:color w:val="000000"/>
                <w:szCs w:val="20"/>
              </w:rPr>
              <w:t>4 300 000.00 €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CCF891A" w14:textId="77777777" w:rsidR="00067458" w:rsidRPr="00167AAE" w:rsidRDefault="00067458" w:rsidP="00412260">
            <w:pPr>
              <w:jc w:val="right"/>
              <w:rPr>
                <w:rFonts w:cs="Arial"/>
                <w:szCs w:val="20"/>
              </w:rPr>
            </w:pPr>
            <w:r w:rsidRPr="00167AAE">
              <w:rPr>
                <w:rFonts w:cs="Arial"/>
                <w:color w:val="000000"/>
                <w:szCs w:val="20"/>
              </w:rPr>
              <w:t>430 000.00 €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20CB838A" w14:textId="77777777" w:rsidR="00067458" w:rsidRPr="00167AAE" w:rsidRDefault="00067458" w:rsidP="00412260">
            <w:pPr>
              <w:jc w:val="right"/>
              <w:rPr>
                <w:rFonts w:cs="Arial"/>
                <w:szCs w:val="20"/>
              </w:rPr>
            </w:pPr>
            <w:r w:rsidRPr="00167AAE">
              <w:rPr>
                <w:rFonts w:cs="Arial"/>
                <w:color w:val="000000"/>
                <w:szCs w:val="20"/>
              </w:rPr>
              <w:t>3 870 000.00 €</w:t>
            </w:r>
          </w:p>
        </w:tc>
      </w:tr>
      <w:tr w:rsidR="00067458" w:rsidRPr="00167AAE" w14:paraId="48564791"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27002C49" w14:textId="77777777" w:rsidR="00067458" w:rsidRPr="00167AAE" w:rsidRDefault="00067458" w:rsidP="00412260">
            <w:pPr>
              <w:jc w:val="center"/>
              <w:rPr>
                <w:rFonts w:eastAsia="Times New Roman" w:cs="Arial"/>
                <w:color w:val="000000"/>
                <w:szCs w:val="20"/>
                <w:lang w:eastAsia="fr-FR"/>
              </w:rPr>
            </w:pPr>
            <w:r w:rsidRPr="00167AAE">
              <w:rPr>
                <w:rFonts w:cs="Arial"/>
                <w:b/>
                <w:bCs/>
                <w:color w:val="000000"/>
                <w:szCs w:val="20"/>
              </w:rPr>
              <w:t>DG REFORM</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4CAFB6FF" w14:textId="7E55FF6C" w:rsidR="00067458" w:rsidRPr="00167AAE" w:rsidRDefault="00067458" w:rsidP="00412260">
            <w:pPr>
              <w:rPr>
                <w:rFonts w:cs="Arial"/>
                <w:szCs w:val="20"/>
              </w:rPr>
            </w:pPr>
            <w:r w:rsidRPr="00167AAE">
              <w:rPr>
                <w:rFonts w:cs="Arial"/>
                <w:color w:val="000000"/>
                <w:szCs w:val="20"/>
              </w:rPr>
              <w:t>Building structures for intercultural integration in</w:t>
            </w:r>
            <w:r w:rsidR="00701B55">
              <w:rPr>
                <w:rFonts w:cs="Arial"/>
                <w:color w:val="000000"/>
                <w:szCs w:val="20"/>
              </w:rPr>
              <w:t xml:space="preserve"> </w:t>
            </w:r>
            <w:r w:rsidRPr="00167AAE">
              <w:rPr>
                <w:rFonts w:cs="Arial"/>
                <w:color w:val="000000"/>
                <w:szCs w:val="20"/>
              </w:rPr>
              <w:t>Cyprus</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0C0C439C" w14:textId="77777777" w:rsidR="00067458" w:rsidRPr="00167AAE" w:rsidRDefault="00067458" w:rsidP="00412260">
            <w:pPr>
              <w:jc w:val="center"/>
              <w:rPr>
                <w:rFonts w:cs="Arial"/>
                <w:szCs w:val="20"/>
              </w:rPr>
            </w:pPr>
            <w:r w:rsidRPr="00167AAE">
              <w:rPr>
                <w:rFonts w:cs="Arial"/>
                <w:color w:val="000000"/>
                <w:szCs w:val="20"/>
              </w:rPr>
              <w:t>02/06/2021</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4D8A6B86" w14:textId="77777777" w:rsidR="00067458" w:rsidRPr="00167AAE" w:rsidRDefault="00067458" w:rsidP="00412260">
            <w:pPr>
              <w:jc w:val="center"/>
              <w:rPr>
                <w:rFonts w:cs="Arial"/>
                <w:szCs w:val="20"/>
              </w:rPr>
            </w:pPr>
            <w:r w:rsidRPr="00167AAE">
              <w:rPr>
                <w:rFonts w:cs="Arial"/>
                <w:color w:val="000000"/>
                <w:szCs w:val="20"/>
              </w:rPr>
              <w:t>01/06/2023</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24BC1D4" w14:textId="77777777" w:rsidR="00067458" w:rsidRPr="00167AAE" w:rsidRDefault="00067458" w:rsidP="00412260">
            <w:pPr>
              <w:jc w:val="right"/>
              <w:rPr>
                <w:rFonts w:cs="Arial"/>
                <w:szCs w:val="20"/>
              </w:rPr>
            </w:pPr>
            <w:r w:rsidRPr="00167AAE">
              <w:rPr>
                <w:rFonts w:cs="Arial"/>
                <w:color w:val="000000"/>
                <w:szCs w:val="20"/>
              </w:rPr>
              <w:t>444 444.00 €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F57CD2A" w14:textId="77777777" w:rsidR="00067458" w:rsidRPr="00167AAE" w:rsidRDefault="00067458" w:rsidP="00412260">
            <w:pPr>
              <w:jc w:val="right"/>
              <w:rPr>
                <w:rFonts w:cs="Arial"/>
                <w:szCs w:val="20"/>
              </w:rPr>
            </w:pPr>
            <w:r w:rsidRPr="00167AAE">
              <w:rPr>
                <w:rFonts w:cs="Arial"/>
                <w:color w:val="000000"/>
                <w:szCs w:val="20"/>
              </w:rPr>
              <w:t>44 444.00 €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2666945C" w14:textId="77777777" w:rsidR="00067458" w:rsidRPr="00167AAE" w:rsidRDefault="00067458" w:rsidP="00412260">
            <w:pPr>
              <w:jc w:val="right"/>
              <w:rPr>
                <w:rFonts w:cs="Arial"/>
                <w:szCs w:val="20"/>
              </w:rPr>
            </w:pPr>
            <w:r w:rsidRPr="00167AAE">
              <w:rPr>
                <w:rFonts w:cs="Arial"/>
                <w:color w:val="000000"/>
                <w:szCs w:val="20"/>
              </w:rPr>
              <w:t>400 000.00 €</w:t>
            </w:r>
          </w:p>
        </w:tc>
      </w:tr>
      <w:tr w:rsidR="00067458" w:rsidRPr="00167AAE" w14:paraId="154D8915"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31045DB8" w14:textId="77777777" w:rsidR="00067458" w:rsidRPr="00167AAE" w:rsidRDefault="00067458" w:rsidP="00412260">
            <w:pPr>
              <w:jc w:val="center"/>
              <w:rPr>
                <w:rFonts w:eastAsia="Times New Roman" w:cs="Arial"/>
                <w:color w:val="000000"/>
                <w:szCs w:val="20"/>
                <w:lang w:eastAsia="fr-FR"/>
              </w:rPr>
            </w:pPr>
            <w:r w:rsidRPr="00167AAE">
              <w:rPr>
                <w:rFonts w:cs="Arial"/>
                <w:b/>
                <w:bCs/>
                <w:color w:val="000000"/>
                <w:szCs w:val="20"/>
              </w:rPr>
              <w:t>DG EAC</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0F8C1FBB" w14:textId="77777777" w:rsidR="00067458" w:rsidRPr="00167AAE" w:rsidRDefault="00067458" w:rsidP="00412260">
            <w:pPr>
              <w:rPr>
                <w:rFonts w:cs="Arial"/>
                <w:szCs w:val="20"/>
              </w:rPr>
            </w:pPr>
            <w:r w:rsidRPr="00167AAE">
              <w:rPr>
                <w:rFonts w:cs="Arial"/>
                <w:color w:val="000000"/>
                <w:szCs w:val="20"/>
              </w:rPr>
              <w:t>The Partnership between the European Commission and the</w:t>
            </w:r>
            <w:r w:rsidRPr="00167AAE">
              <w:rPr>
                <w:rFonts w:cs="Arial"/>
                <w:color w:val="000000"/>
                <w:szCs w:val="20"/>
              </w:rPr>
              <w:br/>
              <w:t>Council of Europe in the field of youth 2021 agreement (YP 2021)</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0DAA1224" w14:textId="77777777" w:rsidR="00067458" w:rsidRPr="00167AAE" w:rsidRDefault="00067458" w:rsidP="00412260">
            <w:pPr>
              <w:jc w:val="center"/>
              <w:rPr>
                <w:rFonts w:cs="Arial"/>
                <w:szCs w:val="20"/>
              </w:rPr>
            </w:pPr>
            <w:r w:rsidRPr="00167AAE">
              <w:rPr>
                <w:rFonts w:cs="Arial"/>
                <w:color w:val="000000"/>
                <w:szCs w:val="20"/>
              </w:rPr>
              <w:t>01/01/2021</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5086B450" w14:textId="77777777" w:rsidR="00067458" w:rsidRPr="00167AAE" w:rsidRDefault="00067458" w:rsidP="00412260">
            <w:pPr>
              <w:jc w:val="center"/>
              <w:rPr>
                <w:rFonts w:cs="Arial"/>
                <w:szCs w:val="20"/>
              </w:rPr>
            </w:pPr>
            <w:r w:rsidRPr="00167AAE">
              <w:rPr>
                <w:rFonts w:cs="Arial"/>
                <w:color w:val="000000"/>
                <w:szCs w:val="20"/>
              </w:rPr>
              <w:t>31/12/2021</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AC0349B" w14:textId="77777777" w:rsidR="00067458" w:rsidRPr="00167AAE" w:rsidRDefault="00067458" w:rsidP="00412260">
            <w:pPr>
              <w:jc w:val="right"/>
              <w:rPr>
                <w:rFonts w:cs="Arial"/>
                <w:szCs w:val="20"/>
              </w:rPr>
            </w:pPr>
            <w:r w:rsidRPr="00167AAE">
              <w:rPr>
                <w:rFonts w:cs="Arial"/>
                <w:color w:val="000000"/>
                <w:szCs w:val="20"/>
              </w:rPr>
              <w:t>1 200 000.00 €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AAF0C75" w14:textId="77777777" w:rsidR="00067458" w:rsidRPr="00167AAE" w:rsidRDefault="00067458" w:rsidP="00412260">
            <w:pPr>
              <w:jc w:val="right"/>
              <w:rPr>
                <w:rFonts w:cs="Arial"/>
                <w:szCs w:val="20"/>
              </w:rPr>
            </w:pPr>
            <w:r w:rsidRPr="00167AAE">
              <w:rPr>
                <w:rFonts w:cs="Arial"/>
                <w:color w:val="000000"/>
                <w:szCs w:val="20"/>
              </w:rPr>
              <w:t>600 000.00 €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487D986E" w14:textId="77777777" w:rsidR="00067458" w:rsidRPr="00167AAE" w:rsidRDefault="00067458" w:rsidP="00412260">
            <w:pPr>
              <w:jc w:val="right"/>
              <w:rPr>
                <w:rFonts w:cs="Arial"/>
                <w:szCs w:val="20"/>
              </w:rPr>
            </w:pPr>
            <w:r w:rsidRPr="00167AAE">
              <w:rPr>
                <w:rFonts w:cs="Arial"/>
                <w:color w:val="000000"/>
                <w:szCs w:val="20"/>
              </w:rPr>
              <w:t>600 000.00 €</w:t>
            </w:r>
          </w:p>
        </w:tc>
      </w:tr>
      <w:tr w:rsidR="00067458" w:rsidRPr="00167AAE" w14:paraId="6A7F349A"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5A90AB4A" w14:textId="77777777" w:rsidR="00067458" w:rsidRPr="00167AAE" w:rsidRDefault="00067458" w:rsidP="00412260">
            <w:pPr>
              <w:jc w:val="center"/>
              <w:rPr>
                <w:rFonts w:eastAsia="Times New Roman" w:cs="Arial"/>
                <w:color w:val="000000"/>
                <w:szCs w:val="20"/>
                <w:lang w:eastAsia="fr-FR"/>
              </w:rPr>
            </w:pPr>
            <w:r w:rsidRPr="00167AAE">
              <w:rPr>
                <w:rFonts w:cs="Arial"/>
                <w:b/>
                <w:bCs/>
                <w:color w:val="000000"/>
                <w:szCs w:val="20"/>
              </w:rPr>
              <w:t>FPI</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7B082CB7" w14:textId="77777777" w:rsidR="00067458" w:rsidRPr="00167AAE" w:rsidRDefault="00067458" w:rsidP="00412260">
            <w:pPr>
              <w:rPr>
                <w:rFonts w:cs="Arial"/>
                <w:szCs w:val="20"/>
              </w:rPr>
            </w:pPr>
            <w:r w:rsidRPr="00167AAE">
              <w:rPr>
                <w:rFonts w:cs="Arial"/>
                <w:color w:val="000000"/>
                <w:szCs w:val="20"/>
              </w:rPr>
              <w:t>Co-operation for implementing the RF National Action Strategy for Women (2017-2022): Applying best practices</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03A86BD5" w14:textId="77777777" w:rsidR="00067458" w:rsidRPr="00167AAE" w:rsidRDefault="00067458" w:rsidP="00412260">
            <w:pPr>
              <w:jc w:val="center"/>
              <w:rPr>
                <w:rFonts w:cs="Arial"/>
                <w:szCs w:val="20"/>
              </w:rPr>
            </w:pPr>
            <w:r w:rsidRPr="00167AAE">
              <w:rPr>
                <w:rFonts w:cs="Arial"/>
                <w:color w:val="000000"/>
                <w:szCs w:val="20"/>
              </w:rPr>
              <w:t>18/09/2021</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6F3D8DE3" w14:textId="77777777" w:rsidR="00067458" w:rsidRPr="00167AAE" w:rsidRDefault="00067458" w:rsidP="00412260">
            <w:pPr>
              <w:jc w:val="center"/>
              <w:rPr>
                <w:rFonts w:cs="Arial"/>
                <w:szCs w:val="20"/>
              </w:rPr>
            </w:pPr>
            <w:r w:rsidRPr="00167AAE">
              <w:rPr>
                <w:rFonts w:cs="Arial"/>
                <w:color w:val="000000"/>
                <w:szCs w:val="20"/>
              </w:rPr>
              <w:t>17/03/2023</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779308E" w14:textId="77777777" w:rsidR="00067458" w:rsidRPr="00167AAE" w:rsidRDefault="00067458" w:rsidP="00412260">
            <w:pPr>
              <w:jc w:val="right"/>
              <w:rPr>
                <w:rFonts w:cs="Arial"/>
                <w:szCs w:val="20"/>
              </w:rPr>
            </w:pPr>
            <w:r w:rsidRPr="00167AAE">
              <w:rPr>
                <w:rFonts w:cs="Arial"/>
                <w:color w:val="000000"/>
                <w:szCs w:val="20"/>
              </w:rPr>
              <w:t>556 000.00 €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F48916C" w14:textId="77777777" w:rsidR="00067458" w:rsidRPr="00167AAE" w:rsidRDefault="00067458" w:rsidP="00412260">
            <w:pPr>
              <w:jc w:val="right"/>
              <w:rPr>
                <w:rFonts w:cs="Arial"/>
                <w:szCs w:val="20"/>
              </w:rPr>
            </w:pPr>
            <w:r w:rsidRPr="00167AAE">
              <w:rPr>
                <w:rFonts w:cs="Arial"/>
                <w:color w:val="000000"/>
                <w:szCs w:val="20"/>
              </w:rPr>
              <w:t>56 000.00 €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4DFFD445" w14:textId="77777777" w:rsidR="00067458" w:rsidRPr="00167AAE" w:rsidRDefault="00067458" w:rsidP="00412260">
            <w:pPr>
              <w:jc w:val="right"/>
              <w:rPr>
                <w:rFonts w:cs="Arial"/>
                <w:szCs w:val="20"/>
              </w:rPr>
            </w:pPr>
            <w:r w:rsidRPr="00167AAE">
              <w:rPr>
                <w:rFonts w:cs="Arial"/>
                <w:color w:val="000000"/>
                <w:szCs w:val="20"/>
              </w:rPr>
              <w:t>500 000.00 €</w:t>
            </w:r>
          </w:p>
        </w:tc>
      </w:tr>
      <w:tr w:rsidR="00067458" w:rsidRPr="00167AAE" w14:paraId="347006EC"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2D11FA79" w14:textId="77777777" w:rsidR="00067458" w:rsidRPr="00167AAE" w:rsidRDefault="00067458" w:rsidP="00412260">
            <w:pPr>
              <w:jc w:val="center"/>
              <w:rPr>
                <w:rFonts w:eastAsia="Times New Roman" w:cs="Arial"/>
                <w:color w:val="000000"/>
                <w:szCs w:val="20"/>
                <w:lang w:eastAsia="fr-FR"/>
              </w:rPr>
            </w:pPr>
            <w:r w:rsidRPr="00167AAE">
              <w:rPr>
                <w:rFonts w:cs="Arial"/>
                <w:b/>
                <w:bCs/>
                <w:color w:val="000000"/>
                <w:szCs w:val="20"/>
              </w:rPr>
              <w:t>IPA 2017</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25C2B778" w14:textId="77777777" w:rsidR="00067458" w:rsidRPr="00167AAE" w:rsidRDefault="00067458" w:rsidP="00412260">
            <w:pPr>
              <w:rPr>
                <w:rFonts w:cs="Arial"/>
                <w:szCs w:val="20"/>
              </w:rPr>
            </w:pPr>
            <w:r w:rsidRPr="00167AAE">
              <w:rPr>
                <w:rFonts w:cs="Arial"/>
                <w:color w:val="000000"/>
                <w:szCs w:val="20"/>
              </w:rPr>
              <w:t>Supporting the Effective Implementation of Turkish Constitutional Court Judgments in the field of Fundamental Rights</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3A054352" w14:textId="77777777" w:rsidR="00067458" w:rsidRPr="00167AAE" w:rsidRDefault="00067458" w:rsidP="00412260">
            <w:pPr>
              <w:jc w:val="center"/>
              <w:rPr>
                <w:rFonts w:cs="Arial"/>
                <w:szCs w:val="20"/>
              </w:rPr>
            </w:pPr>
            <w:r w:rsidRPr="00167AAE">
              <w:rPr>
                <w:rFonts w:cs="Arial"/>
                <w:color w:val="000000"/>
                <w:szCs w:val="20"/>
              </w:rPr>
              <w:t>17/09/2021</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76F47AA0" w14:textId="77777777" w:rsidR="00067458" w:rsidRPr="00167AAE" w:rsidRDefault="00067458" w:rsidP="00412260">
            <w:pPr>
              <w:jc w:val="center"/>
              <w:rPr>
                <w:rFonts w:cs="Arial"/>
                <w:szCs w:val="20"/>
              </w:rPr>
            </w:pPr>
            <w:r w:rsidRPr="00167AAE">
              <w:rPr>
                <w:rFonts w:cs="Arial"/>
                <w:color w:val="000000"/>
                <w:szCs w:val="20"/>
              </w:rPr>
              <w:t>16/09/2025</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11442A" w14:textId="77777777" w:rsidR="00067458" w:rsidRPr="00167AAE" w:rsidRDefault="00067458" w:rsidP="00412260">
            <w:pPr>
              <w:jc w:val="right"/>
              <w:rPr>
                <w:rFonts w:cs="Arial"/>
                <w:szCs w:val="20"/>
              </w:rPr>
            </w:pPr>
            <w:r w:rsidRPr="00167AAE">
              <w:rPr>
                <w:rFonts w:cs="Arial"/>
                <w:color w:val="000000"/>
                <w:szCs w:val="20"/>
              </w:rPr>
              <w:t>5 500 000.00 €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D70B26F" w14:textId="77777777" w:rsidR="00067458" w:rsidRPr="00167AAE" w:rsidRDefault="00067458" w:rsidP="00412260">
            <w:pPr>
              <w:jc w:val="right"/>
              <w:rPr>
                <w:rFonts w:cs="Arial"/>
                <w:szCs w:val="20"/>
              </w:rPr>
            </w:pPr>
            <w:r w:rsidRPr="00167AAE">
              <w:rPr>
                <w:rFonts w:cs="Arial"/>
                <w:color w:val="000000"/>
                <w:szCs w:val="20"/>
              </w:rPr>
              <w:t>550 000.00 €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477A287C" w14:textId="77777777" w:rsidR="00067458" w:rsidRPr="00167AAE" w:rsidRDefault="00067458" w:rsidP="00412260">
            <w:pPr>
              <w:jc w:val="right"/>
              <w:rPr>
                <w:rFonts w:cs="Arial"/>
                <w:szCs w:val="20"/>
              </w:rPr>
            </w:pPr>
            <w:r w:rsidRPr="00167AAE">
              <w:rPr>
                <w:rFonts w:cs="Arial"/>
                <w:color w:val="000000"/>
                <w:szCs w:val="20"/>
              </w:rPr>
              <w:t>4 950 000.00 €</w:t>
            </w:r>
          </w:p>
        </w:tc>
      </w:tr>
      <w:tr w:rsidR="00067458" w:rsidRPr="00167AAE" w14:paraId="1D9958A9"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48C65876" w14:textId="77777777" w:rsidR="00067458" w:rsidRPr="00167AAE" w:rsidRDefault="00067458" w:rsidP="00412260">
            <w:pPr>
              <w:jc w:val="center"/>
              <w:rPr>
                <w:rFonts w:eastAsia="Times New Roman" w:cs="Arial"/>
                <w:color w:val="000000"/>
                <w:szCs w:val="20"/>
                <w:lang w:eastAsia="fr-FR"/>
              </w:rPr>
            </w:pPr>
            <w:r w:rsidRPr="00167AAE">
              <w:rPr>
                <w:rFonts w:cs="Arial"/>
                <w:b/>
                <w:bCs/>
                <w:color w:val="000000"/>
                <w:szCs w:val="20"/>
              </w:rPr>
              <w:t>DG EAC</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7C3C80B4" w14:textId="77777777" w:rsidR="00067458" w:rsidRPr="00167AAE" w:rsidRDefault="00067458" w:rsidP="00412260">
            <w:pPr>
              <w:rPr>
                <w:rFonts w:cs="Arial"/>
                <w:szCs w:val="20"/>
              </w:rPr>
            </w:pPr>
            <w:r w:rsidRPr="00167AAE">
              <w:rPr>
                <w:rFonts w:cs="Arial"/>
                <w:color w:val="000000"/>
                <w:szCs w:val="20"/>
              </w:rPr>
              <w:t>Inclusive Schools: Making a Difference for Roma Children (INSCHOOL 3)</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3822716D" w14:textId="77777777" w:rsidR="00067458" w:rsidRPr="00167AAE" w:rsidRDefault="00067458" w:rsidP="00412260">
            <w:pPr>
              <w:jc w:val="center"/>
              <w:rPr>
                <w:rFonts w:cs="Arial"/>
                <w:szCs w:val="20"/>
              </w:rPr>
            </w:pPr>
            <w:r w:rsidRPr="00167AAE">
              <w:rPr>
                <w:rFonts w:cs="Arial"/>
                <w:color w:val="000000"/>
                <w:szCs w:val="20"/>
              </w:rPr>
              <w:t>11/12/2021</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1C663C24" w14:textId="77777777" w:rsidR="00067458" w:rsidRPr="00167AAE" w:rsidRDefault="00067458" w:rsidP="00412260">
            <w:pPr>
              <w:jc w:val="center"/>
              <w:rPr>
                <w:rFonts w:cs="Arial"/>
                <w:szCs w:val="20"/>
              </w:rPr>
            </w:pPr>
            <w:r w:rsidRPr="00167AAE">
              <w:rPr>
                <w:rFonts w:cs="Arial"/>
                <w:color w:val="000000"/>
                <w:szCs w:val="20"/>
              </w:rPr>
              <w:t>10/08/2023</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91DE6E1" w14:textId="77777777" w:rsidR="00067458" w:rsidRPr="00167AAE" w:rsidRDefault="00067458" w:rsidP="00412260">
            <w:pPr>
              <w:jc w:val="right"/>
              <w:rPr>
                <w:rFonts w:cs="Arial"/>
                <w:szCs w:val="20"/>
              </w:rPr>
            </w:pPr>
            <w:r w:rsidRPr="00167AAE">
              <w:rPr>
                <w:rFonts w:cs="Arial"/>
                <w:color w:val="000000"/>
                <w:szCs w:val="20"/>
              </w:rPr>
              <w:t>1 000 000.00 €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B2F0940" w14:textId="77777777" w:rsidR="00067458" w:rsidRPr="00167AAE" w:rsidRDefault="00067458" w:rsidP="00412260">
            <w:pPr>
              <w:jc w:val="right"/>
              <w:rPr>
                <w:rFonts w:cs="Arial"/>
                <w:szCs w:val="20"/>
              </w:rPr>
            </w:pPr>
            <w:r w:rsidRPr="00167AAE">
              <w:rPr>
                <w:rFonts w:cs="Arial"/>
                <w:color w:val="000000"/>
                <w:szCs w:val="20"/>
              </w:rPr>
              <w:t>300 000.00 €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4682A8FA" w14:textId="77777777" w:rsidR="00067458" w:rsidRPr="00167AAE" w:rsidRDefault="00067458" w:rsidP="00412260">
            <w:pPr>
              <w:jc w:val="right"/>
              <w:rPr>
                <w:rFonts w:cs="Arial"/>
                <w:szCs w:val="20"/>
              </w:rPr>
            </w:pPr>
            <w:r w:rsidRPr="00167AAE">
              <w:rPr>
                <w:rFonts w:cs="Arial"/>
                <w:color w:val="000000"/>
                <w:szCs w:val="20"/>
              </w:rPr>
              <w:t>700 000.00 €</w:t>
            </w:r>
          </w:p>
        </w:tc>
      </w:tr>
      <w:tr w:rsidR="00067458" w:rsidRPr="00167AAE" w14:paraId="380B1EB6"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1EEB1D12" w14:textId="77777777" w:rsidR="00067458" w:rsidRPr="00167AAE" w:rsidRDefault="00067458" w:rsidP="00412260">
            <w:pPr>
              <w:jc w:val="center"/>
              <w:rPr>
                <w:rFonts w:eastAsia="Times New Roman" w:cs="Arial"/>
                <w:color w:val="000000"/>
                <w:szCs w:val="20"/>
                <w:lang w:eastAsia="fr-FR"/>
              </w:rPr>
            </w:pPr>
            <w:r w:rsidRPr="00167AAE">
              <w:rPr>
                <w:rFonts w:cs="Arial"/>
                <w:b/>
                <w:bCs/>
                <w:color w:val="000000"/>
                <w:szCs w:val="20"/>
              </w:rPr>
              <w:t>DG EAC</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3CC6EE91" w14:textId="77777777" w:rsidR="00067458" w:rsidRPr="00167AAE" w:rsidRDefault="00067458" w:rsidP="00412260">
            <w:pPr>
              <w:rPr>
                <w:rFonts w:cs="Arial"/>
                <w:szCs w:val="20"/>
              </w:rPr>
            </w:pPr>
            <w:r w:rsidRPr="00167AAE">
              <w:rPr>
                <w:rFonts w:cs="Arial"/>
                <w:color w:val="000000"/>
                <w:szCs w:val="20"/>
              </w:rPr>
              <w:t>European Heritage Days 2021-2022</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36BAFEE7" w14:textId="77777777" w:rsidR="00067458" w:rsidRPr="00167AAE" w:rsidRDefault="00067458" w:rsidP="00412260">
            <w:pPr>
              <w:jc w:val="center"/>
              <w:rPr>
                <w:rFonts w:cs="Arial"/>
                <w:szCs w:val="20"/>
              </w:rPr>
            </w:pPr>
            <w:r w:rsidRPr="00167AAE">
              <w:rPr>
                <w:rFonts w:cs="Arial"/>
                <w:color w:val="000000"/>
                <w:szCs w:val="20"/>
              </w:rPr>
              <w:t>01/10/2021</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3ED1AFAC" w14:textId="77777777" w:rsidR="00067458" w:rsidRPr="00167AAE" w:rsidRDefault="00067458" w:rsidP="00412260">
            <w:pPr>
              <w:jc w:val="center"/>
              <w:rPr>
                <w:rFonts w:cs="Arial"/>
                <w:szCs w:val="20"/>
              </w:rPr>
            </w:pPr>
            <w:r w:rsidRPr="00167AAE">
              <w:rPr>
                <w:rFonts w:cs="Arial"/>
                <w:color w:val="000000"/>
                <w:szCs w:val="20"/>
              </w:rPr>
              <w:t>31/03/2023</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D4D2577" w14:textId="77777777" w:rsidR="00067458" w:rsidRPr="00167AAE" w:rsidRDefault="00067458" w:rsidP="00412260">
            <w:pPr>
              <w:jc w:val="right"/>
              <w:rPr>
                <w:rFonts w:cs="Arial"/>
                <w:szCs w:val="20"/>
              </w:rPr>
            </w:pPr>
            <w:r w:rsidRPr="00167AAE">
              <w:rPr>
                <w:rFonts w:cs="Arial"/>
                <w:color w:val="000000"/>
                <w:szCs w:val="20"/>
              </w:rPr>
              <w:t>800 000.00 €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3A300BF" w14:textId="77777777" w:rsidR="00067458" w:rsidRPr="00167AAE" w:rsidRDefault="00067458" w:rsidP="00412260">
            <w:pPr>
              <w:jc w:val="right"/>
              <w:rPr>
                <w:rFonts w:cs="Arial"/>
                <w:szCs w:val="20"/>
              </w:rPr>
            </w:pPr>
            <w:r w:rsidRPr="00167AAE">
              <w:rPr>
                <w:rFonts w:cs="Arial"/>
                <w:color w:val="000000"/>
                <w:szCs w:val="20"/>
              </w:rPr>
              <w:t>400 000.00 €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7F609A44" w14:textId="77777777" w:rsidR="00067458" w:rsidRPr="00167AAE" w:rsidRDefault="00067458" w:rsidP="00412260">
            <w:pPr>
              <w:jc w:val="right"/>
              <w:rPr>
                <w:rFonts w:cs="Arial"/>
                <w:szCs w:val="20"/>
              </w:rPr>
            </w:pPr>
            <w:r w:rsidRPr="00167AAE">
              <w:rPr>
                <w:rFonts w:cs="Arial"/>
                <w:color w:val="000000"/>
                <w:szCs w:val="20"/>
              </w:rPr>
              <w:t>400 000.00 €</w:t>
            </w:r>
          </w:p>
        </w:tc>
      </w:tr>
    </w:tbl>
    <w:p w14:paraId="5385D8DC" w14:textId="77777777" w:rsidR="007D3924" w:rsidRDefault="007D3924">
      <w:r>
        <w:br w:type="page"/>
      </w:r>
    </w:p>
    <w:tbl>
      <w:tblPr>
        <w:tblW w:w="5000" w:type="pct"/>
        <w:tblCellMar>
          <w:left w:w="70" w:type="dxa"/>
          <w:right w:w="70" w:type="dxa"/>
        </w:tblCellMar>
        <w:tblLook w:val="04A0" w:firstRow="1" w:lastRow="0" w:firstColumn="1" w:lastColumn="0" w:noHBand="0" w:noVBand="1"/>
      </w:tblPr>
      <w:tblGrid>
        <w:gridCol w:w="1555"/>
        <w:gridCol w:w="5810"/>
        <w:gridCol w:w="1277"/>
        <w:gridCol w:w="1277"/>
        <w:gridCol w:w="1416"/>
        <w:gridCol w:w="1673"/>
        <w:gridCol w:w="2121"/>
      </w:tblGrid>
      <w:tr w:rsidR="00067458" w:rsidRPr="00032312" w14:paraId="030BF307" w14:textId="77777777" w:rsidTr="00412260">
        <w:trPr>
          <w:trHeight w:val="6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DA5F746" w14:textId="7BD5C8D0" w:rsidR="00067458" w:rsidRPr="00274ACC" w:rsidRDefault="00067458" w:rsidP="00412260">
            <w:pPr>
              <w:rPr>
                <w:rFonts w:cs="Arial"/>
                <w:szCs w:val="20"/>
              </w:rPr>
            </w:pPr>
            <w:r>
              <w:rPr>
                <w:rFonts w:cs="Arial"/>
                <w:szCs w:val="20"/>
              </w:rPr>
              <w:t>Negotiated in 2021 and started in 2022</w:t>
            </w:r>
          </w:p>
        </w:tc>
      </w:tr>
      <w:tr w:rsidR="00226526" w:rsidRPr="00A47AE7" w14:paraId="2F607EAE"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7C7708AA" w14:textId="77777777" w:rsidR="00067458" w:rsidRPr="00A47AE7" w:rsidRDefault="00067458" w:rsidP="00412260">
            <w:pPr>
              <w:jc w:val="center"/>
              <w:rPr>
                <w:rFonts w:eastAsia="Times New Roman" w:cs="Arial"/>
                <w:color w:val="000000"/>
                <w:szCs w:val="20"/>
                <w:lang w:eastAsia="fr-FR"/>
              </w:rPr>
            </w:pPr>
            <w:r w:rsidRPr="00A47AE7">
              <w:rPr>
                <w:rFonts w:cs="Arial"/>
                <w:b/>
                <w:bCs/>
                <w:color w:val="000000"/>
                <w:szCs w:val="20"/>
              </w:rPr>
              <w:t>DG HOME</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7D9459A4" w14:textId="77777777" w:rsidR="00067458" w:rsidRPr="00A47AE7" w:rsidRDefault="00067458" w:rsidP="00412260">
            <w:pPr>
              <w:rPr>
                <w:rFonts w:cs="Arial"/>
                <w:szCs w:val="20"/>
              </w:rPr>
            </w:pPr>
            <w:r w:rsidRPr="00A47AE7">
              <w:rPr>
                <w:rFonts w:cs="Arial"/>
                <w:color w:val="000000"/>
                <w:szCs w:val="20"/>
              </w:rPr>
              <w:t>Building Futures, Sharing Good Practices: Migrant Children's Transition to Adulthood — UACFutures</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3F3FF179" w14:textId="77777777" w:rsidR="00067458" w:rsidRPr="00A47AE7" w:rsidRDefault="00067458" w:rsidP="00412260">
            <w:pPr>
              <w:jc w:val="center"/>
              <w:rPr>
                <w:rFonts w:cs="Arial"/>
                <w:szCs w:val="20"/>
              </w:rPr>
            </w:pPr>
            <w:r w:rsidRPr="00A47AE7">
              <w:rPr>
                <w:rFonts w:cs="Arial"/>
                <w:color w:val="000000"/>
                <w:szCs w:val="20"/>
              </w:rPr>
              <w:t>01/01/2022</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131F8367" w14:textId="77777777" w:rsidR="00067458" w:rsidRPr="00A47AE7" w:rsidRDefault="00067458" w:rsidP="00412260">
            <w:pPr>
              <w:jc w:val="center"/>
              <w:rPr>
                <w:rFonts w:cs="Arial"/>
                <w:szCs w:val="20"/>
              </w:rPr>
            </w:pPr>
            <w:r w:rsidRPr="00A47AE7">
              <w:rPr>
                <w:rFonts w:cs="Arial"/>
                <w:color w:val="000000"/>
                <w:szCs w:val="20"/>
              </w:rPr>
              <w:t>30/06/2023</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B00D518" w14:textId="77777777" w:rsidR="00067458" w:rsidRPr="00A47AE7" w:rsidRDefault="00067458" w:rsidP="00412260">
            <w:pPr>
              <w:jc w:val="right"/>
              <w:rPr>
                <w:rFonts w:cs="Arial"/>
                <w:szCs w:val="20"/>
              </w:rPr>
            </w:pPr>
            <w:r w:rsidRPr="00A47AE7">
              <w:rPr>
                <w:rFonts w:cs="Arial"/>
                <w:color w:val="000000"/>
                <w:szCs w:val="20"/>
              </w:rPr>
              <w:t>666 665.64 €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9FBC8EB" w14:textId="77777777" w:rsidR="00067458" w:rsidRPr="00A47AE7" w:rsidRDefault="00067458" w:rsidP="00412260">
            <w:pPr>
              <w:jc w:val="right"/>
              <w:rPr>
                <w:rFonts w:cs="Arial"/>
                <w:szCs w:val="20"/>
              </w:rPr>
            </w:pPr>
            <w:r w:rsidRPr="00A47AE7">
              <w:rPr>
                <w:rFonts w:cs="Arial"/>
                <w:color w:val="000000"/>
                <w:szCs w:val="20"/>
              </w:rPr>
              <w:t>66 666.57 €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3B57B8FC" w14:textId="77777777" w:rsidR="00067458" w:rsidRPr="00A47AE7" w:rsidRDefault="00067458" w:rsidP="00412260">
            <w:pPr>
              <w:jc w:val="right"/>
              <w:rPr>
                <w:rFonts w:cs="Arial"/>
                <w:szCs w:val="20"/>
              </w:rPr>
            </w:pPr>
            <w:r w:rsidRPr="00A47AE7">
              <w:rPr>
                <w:rFonts w:cs="Arial"/>
                <w:color w:val="000000"/>
                <w:szCs w:val="20"/>
              </w:rPr>
              <w:t>599 999.07 €</w:t>
            </w:r>
          </w:p>
        </w:tc>
      </w:tr>
      <w:tr w:rsidR="00226526" w:rsidRPr="00A47AE7" w14:paraId="12B74267"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23E8989A" w14:textId="77777777" w:rsidR="00067458" w:rsidRPr="00A47AE7" w:rsidRDefault="00067458" w:rsidP="00412260">
            <w:pPr>
              <w:jc w:val="center"/>
              <w:rPr>
                <w:rFonts w:eastAsia="Times New Roman" w:cs="Arial"/>
                <w:color w:val="000000"/>
                <w:szCs w:val="20"/>
                <w:lang w:eastAsia="fr-FR"/>
              </w:rPr>
            </w:pPr>
            <w:r w:rsidRPr="00A47AE7">
              <w:rPr>
                <w:rFonts w:cs="Arial"/>
                <w:b/>
                <w:bCs/>
                <w:color w:val="000000"/>
                <w:szCs w:val="20"/>
              </w:rPr>
              <w:t>DG EAC</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2D33190C" w14:textId="77777777" w:rsidR="00067458" w:rsidRPr="00A47AE7" w:rsidRDefault="00067458" w:rsidP="00412260">
            <w:pPr>
              <w:rPr>
                <w:rFonts w:cs="Arial"/>
                <w:szCs w:val="20"/>
              </w:rPr>
            </w:pPr>
            <w:r w:rsidRPr="00A47AE7">
              <w:rPr>
                <w:rFonts w:cs="Arial"/>
                <w:color w:val="000000"/>
                <w:szCs w:val="20"/>
              </w:rPr>
              <w:t>Combating Hate Speech in Sport</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1C54B7AE" w14:textId="77777777" w:rsidR="00067458" w:rsidRPr="00A47AE7" w:rsidRDefault="00067458" w:rsidP="00412260">
            <w:pPr>
              <w:jc w:val="center"/>
              <w:rPr>
                <w:rFonts w:cs="Arial"/>
                <w:szCs w:val="20"/>
              </w:rPr>
            </w:pPr>
            <w:r w:rsidRPr="00A47AE7">
              <w:rPr>
                <w:rFonts w:cs="Arial"/>
                <w:color w:val="000000"/>
                <w:szCs w:val="20"/>
              </w:rPr>
              <w:t>01/01/2022</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79174B46" w14:textId="77777777" w:rsidR="00067458" w:rsidRPr="00A47AE7" w:rsidRDefault="00067458" w:rsidP="00412260">
            <w:pPr>
              <w:jc w:val="center"/>
              <w:rPr>
                <w:rFonts w:cs="Arial"/>
                <w:szCs w:val="20"/>
              </w:rPr>
            </w:pPr>
            <w:r w:rsidRPr="00A47AE7">
              <w:rPr>
                <w:rFonts w:cs="Arial"/>
                <w:color w:val="000000"/>
                <w:szCs w:val="20"/>
              </w:rPr>
              <w:t>31/12/2023</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DAFBE0F" w14:textId="77777777" w:rsidR="00067458" w:rsidRPr="00A47AE7" w:rsidRDefault="00067458" w:rsidP="00412260">
            <w:pPr>
              <w:jc w:val="right"/>
              <w:rPr>
                <w:rFonts w:cs="Arial"/>
                <w:szCs w:val="20"/>
              </w:rPr>
            </w:pPr>
            <w:r w:rsidRPr="00A47AE7">
              <w:rPr>
                <w:rFonts w:cs="Arial"/>
                <w:color w:val="000000"/>
                <w:szCs w:val="20"/>
              </w:rPr>
              <w:t>560 000.00 €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A1B0238" w14:textId="77777777" w:rsidR="00067458" w:rsidRPr="00A47AE7" w:rsidRDefault="00067458" w:rsidP="00412260">
            <w:pPr>
              <w:jc w:val="right"/>
              <w:rPr>
                <w:rFonts w:cs="Arial"/>
                <w:szCs w:val="20"/>
              </w:rPr>
            </w:pPr>
            <w:r w:rsidRPr="00A47AE7">
              <w:rPr>
                <w:rFonts w:cs="Arial"/>
                <w:color w:val="000000"/>
                <w:szCs w:val="20"/>
              </w:rPr>
              <w:t>160 000.00 €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6930DDBB" w14:textId="77777777" w:rsidR="00067458" w:rsidRPr="00A47AE7" w:rsidRDefault="00067458" w:rsidP="00412260">
            <w:pPr>
              <w:jc w:val="right"/>
              <w:rPr>
                <w:rFonts w:cs="Arial"/>
                <w:szCs w:val="20"/>
              </w:rPr>
            </w:pPr>
            <w:r w:rsidRPr="00A47AE7">
              <w:rPr>
                <w:rFonts w:cs="Arial"/>
                <w:color w:val="000000"/>
                <w:szCs w:val="20"/>
              </w:rPr>
              <w:t>400 000.00 €</w:t>
            </w:r>
          </w:p>
        </w:tc>
      </w:tr>
      <w:tr w:rsidR="00226526" w:rsidRPr="00A47AE7" w14:paraId="709377CD"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1B7B1960" w14:textId="77777777" w:rsidR="00067458" w:rsidRPr="00A47AE7" w:rsidRDefault="00067458" w:rsidP="00412260">
            <w:pPr>
              <w:jc w:val="center"/>
              <w:rPr>
                <w:rFonts w:eastAsia="Times New Roman" w:cs="Arial"/>
                <w:color w:val="000000"/>
                <w:szCs w:val="20"/>
                <w:lang w:eastAsia="fr-FR"/>
              </w:rPr>
            </w:pPr>
            <w:r w:rsidRPr="00A47AE7">
              <w:rPr>
                <w:rFonts w:cs="Arial"/>
                <w:b/>
                <w:bCs/>
                <w:color w:val="000000"/>
                <w:szCs w:val="20"/>
              </w:rPr>
              <w:t>DG EAC</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5C8934F1" w14:textId="77777777" w:rsidR="00067458" w:rsidRPr="00A47AE7" w:rsidRDefault="00067458" w:rsidP="00412260">
            <w:pPr>
              <w:rPr>
                <w:rFonts w:cs="Arial"/>
                <w:szCs w:val="20"/>
              </w:rPr>
            </w:pPr>
            <w:r w:rsidRPr="00A47AE7">
              <w:rPr>
                <w:rFonts w:cs="Arial"/>
                <w:color w:val="000000"/>
                <w:szCs w:val="20"/>
              </w:rPr>
              <w:t>Innovative Methodologies and Assessment in Language Learning IX</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16C0DCD1" w14:textId="77777777" w:rsidR="00067458" w:rsidRPr="00A47AE7" w:rsidRDefault="00067458" w:rsidP="00412260">
            <w:pPr>
              <w:jc w:val="center"/>
              <w:rPr>
                <w:rFonts w:cs="Arial"/>
                <w:szCs w:val="20"/>
              </w:rPr>
            </w:pPr>
            <w:r w:rsidRPr="00A47AE7">
              <w:rPr>
                <w:rFonts w:cs="Arial"/>
                <w:color w:val="000000"/>
                <w:szCs w:val="20"/>
              </w:rPr>
              <w:t>01/01/2022</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7FE3FA8A" w14:textId="77777777" w:rsidR="00067458" w:rsidRPr="00A47AE7" w:rsidRDefault="00067458" w:rsidP="00412260">
            <w:pPr>
              <w:jc w:val="center"/>
              <w:rPr>
                <w:rFonts w:cs="Arial"/>
                <w:szCs w:val="20"/>
              </w:rPr>
            </w:pPr>
            <w:r w:rsidRPr="00A47AE7">
              <w:rPr>
                <w:rFonts w:cs="Arial"/>
                <w:color w:val="000000"/>
                <w:szCs w:val="20"/>
              </w:rPr>
              <w:t>31/12/2022</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80F7E4F" w14:textId="77777777" w:rsidR="00067458" w:rsidRPr="00A47AE7" w:rsidRDefault="00067458" w:rsidP="00412260">
            <w:pPr>
              <w:jc w:val="right"/>
              <w:rPr>
                <w:rFonts w:cs="Arial"/>
                <w:szCs w:val="20"/>
              </w:rPr>
            </w:pPr>
            <w:r w:rsidRPr="00A47AE7">
              <w:rPr>
                <w:rFonts w:cs="Arial"/>
                <w:color w:val="000000"/>
                <w:szCs w:val="20"/>
              </w:rPr>
              <w:t>793 549.38 €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56D9868" w14:textId="77777777" w:rsidR="00067458" w:rsidRPr="00A47AE7" w:rsidRDefault="00067458" w:rsidP="00412260">
            <w:pPr>
              <w:jc w:val="right"/>
              <w:rPr>
                <w:rFonts w:cs="Arial"/>
                <w:szCs w:val="20"/>
              </w:rPr>
            </w:pPr>
            <w:r w:rsidRPr="00A47AE7">
              <w:rPr>
                <w:rFonts w:cs="Arial"/>
                <w:color w:val="000000"/>
                <w:szCs w:val="20"/>
              </w:rPr>
              <w:t>158 710.68 €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487CA359" w14:textId="77777777" w:rsidR="00067458" w:rsidRPr="00A47AE7" w:rsidRDefault="00067458" w:rsidP="00412260">
            <w:pPr>
              <w:jc w:val="right"/>
              <w:rPr>
                <w:rFonts w:cs="Arial"/>
                <w:szCs w:val="20"/>
              </w:rPr>
            </w:pPr>
            <w:r w:rsidRPr="00A47AE7">
              <w:rPr>
                <w:rFonts w:cs="Arial"/>
                <w:color w:val="000000"/>
                <w:szCs w:val="20"/>
              </w:rPr>
              <w:t>634 838.70 €</w:t>
            </w:r>
          </w:p>
        </w:tc>
      </w:tr>
      <w:tr w:rsidR="00226526" w:rsidRPr="00A47AE7" w14:paraId="6CA70E36"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6467F7F2" w14:textId="77777777" w:rsidR="00067458" w:rsidRPr="00A47AE7" w:rsidRDefault="00067458" w:rsidP="00412260">
            <w:pPr>
              <w:jc w:val="center"/>
              <w:rPr>
                <w:rFonts w:eastAsia="Times New Roman" w:cs="Arial"/>
                <w:color w:val="000000"/>
                <w:szCs w:val="20"/>
                <w:lang w:eastAsia="fr-FR"/>
              </w:rPr>
            </w:pPr>
            <w:r w:rsidRPr="00A47AE7">
              <w:rPr>
                <w:rFonts w:cs="Arial"/>
                <w:b/>
                <w:bCs/>
                <w:color w:val="000000"/>
                <w:szCs w:val="20"/>
              </w:rPr>
              <w:t>IPA</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039FDE27" w14:textId="77777777" w:rsidR="00067458" w:rsidRPr="00A47AE7" w:rsidRDefault="00067458" w:rsidP="00412260">
            <w:pPr>
              <w:rPr>
                <w:rFonts w:cs="Arial"/>
                <w:szCs w:val="20"/>
              </w:rPr>
            </w:pPr>
            <w:r w:rsidRPr="00A47AE7">
              <w:rPr>
                <w:rFonts w:cs="Arial"/>
                <w:color w:val="000000"/>
                <w:szCs w:val="20"/>
              </w:rPr>
              <w:t>Support for the implementation of judicial reform in Serbia</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271A2C7A" w14:textId="77777777" w:rsidR="00067458" w:rsidRPr="00A47AE7" w:rsidRDefault="00067458" w:rsidP="00412260">
            <w:pPr>
              <w:jc w:val="center"/>
              <w:rPr>
                <w:rFonts w:cs="Arial"/>
                <w:szCs w:val="20"/>
              </w:rPr>
            </w:pPr>
            <w:r w:rsidRPr="00A47AE7">
              <w:rPr>
                <w:rFonts w:cs="Arial"/>
                <w:color w:val="000000"/>
                <w:szCs w:val="20"/>
              </w:rPr>
              <w:t>01/01/2022</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3229018A" w14:textId="77777777" w:rsidR="00067458" w:rsidRPr="00A47AE7" w:rsidRDefault="00067458" w:rsidP="00412260">
            <w:pPr>
              <w:jc w:val="center"/>
              <w:rPr>
                <w:rFonts w:cs="Arial"/>
                <w:szCs w:val="20"/>
              </w:rPr>
            </w:pPr>
            <w:r w:rsidRPr="00A47AE7">
              <w:rPr>
                <w:rFonts w:cs="Arial"/>
                <w:color w:val="000000"/>
                <w:szCs w:val="20"/>
              </w:rPr>
              <w:t>31/12/2024</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A2CCDF7" w14:textId="77777777" w:rsidR="00067458" w:rsidRPr="00A47AE7" w:rsidRDefault="00067458" w:rsidP="00412260">
            <w:pPr>
              <w:jc w:val="right"/>
              <w:rPr>
                <w:rFonts w:cs="Arial"/>
                <w:szCs w:val="20"/>
              </w:rPr>
            </w:pPr>
            <w:r w:rsidRPr="00A47AE7">
              <w:rPr>
                <w:rFonts w:cs="Arial"/>
                <w:color w:val="000000"/>
                <w:szCs w:val="20"/>
              </w:rPr>
              <w:t>3 334 000.00 €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3E67DD5" w14:textId="77777777" w:rsidR="00067458" w:rsidRPr="00A47AE7" w:rsidRDefault="00067458" w:rsidP="00412260">
            <w:pPr>
              <w:jc w:val="right"/>
              <w:rPr>
                <w:rFonts w:cs="Arial"/>
                <w:szCs w:val="20"/>
              </w:rPr>
            </w:pPr>
            <w:r w:rsidRPr="00A47AE7">
              <w:rPr>
                <w:rFonts w:cs="Arial"/>
                <w:color w:val="000000"/>
                <w:szCs w:val="20"/>
              </w:rPr>
              <w:t>334 000.00 €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4C762CF2" w14:textId="77777777" w:rsidR="00067458" w:rsidRPr="00A47AE7" w:rsidRDefault="00067458" w:rsidP="00412260">
            <w:pPr>
              <w:jc w:val="right"/>
              <w:rPr>
                <w:rFonts w:cs="Arial"/>
                <w:szCs w:val="20"/>
              </w:rPr>
            </w:pPr>
            <w:r w:rsidRPr="00A47AE7">
              <w:rPr>
                <w:rFonts w:cs="Arial"/>
                <w:color w:val="000000"/>
                <w:szCs w:val="20"/>
              </w:rPr>
              <w:t>3 000 000.00 €</w:t>
            </w:r>
          </w:p>
        </w:tc>
      </w:tr>
      <w:tr w:rsidR="00226526" w:rsidRPr="00A47AE7" w14:paraId="6C1391EF"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5FD926B3" w14:textId="77777777" w:rsidR="00067458" w:rsidRPr="00A47AE7" w:rsidRDefault="00067458" w:rsidP="00412260">
            <w:pPr>
              <w:jc w:val="center"/>
              <w:rPr>
                <w:rFonts w:eastAsia="Times New Roman" w:cs="Arial"/>
                <w:color w:val="000000"/>
                <w:szCs w:val="20"/>
                <w:lang w:eastAsia="fr-FR"/>
              </w:rPr>
            </w:pPr>
            <w:r w:rsidRPr="00A47AE7">
              <w:rPr>
                <w:rFonts w:cs="Arial"/>
                <w:b/>
                <w:bCs/>
                <w:color w:val="000000"/>
                <w:szCs w:val="20"/>
              </w:rPr>
              <w:t>DG JUST</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28AE8F40" w14:textId="77777777" w:rsidR="00067458" w:rsidRPr="00A47AE7" w:rsidRDefault="00067458" w:rsidP="00412260">
            <w:pPr>
              <w:rPr>
                <w:rFonts w:cs="Arial"/>
                <w:szCs w:val="20"/>
              </w:rPr>
            </w:pPr>
            <w:r w:rsidRPr="00A47AE7">
              <w:rPr>
                <w:rFonts w:cs="Arial"/>
                <w:color w:val="000000"/>
                <w:szCs w:val="20"/>
              </w:rPr>
              <w:t>SPACE reports and EU network of prison monitoring bodies</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4BBA4525" w14:textId="77777777" w:rsidR="00067458" w:rsidRPr="00A47AE7" w:rsidRDefault="00067458" w:rsidP="00412260">
            <w:pPr>
              <w:jc w:val="center"/>
              <w:rPr>
                <w:rFonts w:cs="Arial"/>
                <w:szCs w:val="20"/>
              </w:rPr>
            </w:pPr>
            <w:r w:rsidRPr="00A47AE7">
              <w:rPr>
                <w:rFonts w:cs="Arial"/>
                <w:color w:val="000000"/>
                <w:szCs w:val="20"/>
              </w:rPr>
              <w:t>01/0</w:t>
            </w:r>
            <w:r>
              <w:rPr>
                <w:rFonts w:cs="Arial"/>
                <w:color w:val="000000"/>
                <w:szCs w:val="20"/>
              </w:rPr>
              <w:t>3</w:t>
            </w:r>
            <w:r w:rsidRPr="00A47AE7">
              <w:rPr>
                <w:rFonts w:cs="Arial"/>
                <w:color w:val="000000"/>
                <w:szCs w:val="20"/>
              </w:rPr>
              <w:t>/2022</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43FB6D70" w14:textId="77777777" w:rsidR="00067458" w:rsidRPr="00A47AE7" w:rsidRDefault="00067458" w:rsidP="00412260">
            <w:pPr>
              <w:jc w:val="center"/>
              <w:rPr>
                <w:rFonts w:cs="Arial"/>
                <w:szCs w:val="20"/>
              </w:rPr>
            </w:pPr>
            <w:r>
              <w:rPr>
                <w:rFonts w:cs="Arial"/>
                <w:color w:val="000000"/>
                <w:szCs w:val="20"/>
              </w:rPr>
              <w:t>28</w:t>
            </w:r>
            <w:r w:rsidRPr="00A47AE7">
              <w:rPr>
                <w:rFonts w:cs="Arial"/>
                <w:color w:val="000000"/>
                <w:szCs w:val="20"/>
              </w:rPr>
              <w:t>/0</w:t>
            </w:r>
            <w:r>
              <w:rPr>
                <w:rFonts w:cs="Arial"/>
                <w:color w:val="000000"/>
                <w:szCs w:val="20"/>
              </w:rPr>
              <w:t>2</w:t>
            </w:r>
            <w:r w:rsidRPr="00A47AE7">
              <w:rPr>
                <w:rFonts w:cs="Arial"/>
                <w:color w:val="000000"/>
                <w:szCs w:val="20"/>
              </w:rPr>
              <w:t>/2023</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FA24917" w14:textId="77777777" w:rsidR="00067458" w:rsidRPr="00A47AE7" w:rsidRDefault="00067458" w:rsidP="00412260">
            <w:pPr>
              <w:jc w:val="right"/>
              <w:rPr>
                <w:rFonts w:cs="Arial"/>
                <w:szCs w:val="20"/>
              </w:rPr>
            </w:pPr>
            <w:r w:rsidRPr="00A47AE7">
              <w:rPr>
                <w:rFonts w:cs="Arial"/>
                <w:color w:val="000000"/>
                <w:szCs w:val="20"/>
              </w:rPr>
              <w:t>187 500.00 €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FDAC44F" w14:textId="77777777" w:rsidR="00067458" w:rsidRPr="00A47AE7" w:rsidRDefault="00067458" w:rsidP="00412260">
            <w:pPr>
              <w:jc w:val="right"/>
              <w:rPr>
                <w:rFonts w:cs="Arial"/>
                <w:szCs w:val="20"/>
              </w:rPr>
            </w:pPr>
            <w:r w:rsidRPr="00A47AE7">
              <w:rPr>
                <w:rFonts w:cs="Arial"/>
                <w:color w:val="000000"/>
                <w:szCs w:val="20"/>
              </w:rPr>
              <w:t>37 500.00 €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76A9D314" w14:textId="77777777" w:rsidR="00067458" w:rsidRPr="00A47AE7" w:rsidRDefault="00067458" w:rsidP="00412260">
            <w:pPr>
              <w:jc w:val="right"/>
              <w:rPr>
                <w:rFonts w:cs="Arial"/>
                <w:szCs w:val="20"/>
              </w:rPr>
            </w:pPr>
            <w:r w:rsidRPr="00A47AE7">
              <w:rPr>
                <w:rFonts w:cs="Arial"/>
                <w:color w:val="000000"/>
                <w:szCs w:val="20"/>
              </w:rPr>
              <w:t>150 000.00 €</w:t>
            </w:r>
          </w:p>
        </w:tc>
      </w:tr>
      <w:tr w:rsidR="00226526" w:rsidRPr="00A47AE7" w14:paraId="154A2E5E" w14:textId="77777777" w:rsidTr="007D3924">
        <w:trPr>
          <w:trHeight w:val="60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45D27EC7" w14:textId="77777777" w:rsidR="00067458" w:rsidRPr="00A47AE7" w:rsidRDefault="00067458" w:rsidP="00412260">
            <w:pPr>
              <w:jc w:val="center"/>
              <w:rPr>
                <w:rFonts w:eastAsia="Times New Roman" w:cs="Arial"/>
                <w:color w:val="000000"/>
                <w:szCs w:val="20"/>
                <w:lang w:eastAsia="fr-FR"/>
              </w:rPr>
            </w:pPr>
            <w:r w:rsidRPr="00A47AE7">
              <w:rPr>
                <w:rFonts w:cs="Arial"/>
                <w:b/>
                <w:bCs/>
                <w:color w:val="000000"/>
                <w:szCs w:val="20"/>
              </w:rPr>
              <w:t>DG JUST</w:t>
            </w:r>
          </w:p>
        </w:tc>
        <w:tc>
          <w:tcPr>
            <w:tcW w:w="1920" w:type="pct"/>
            <w:tcBorders>
              <w:top w:val="single" w:sz="4" w:space="0" w:color="auto"/>
              <w:left w:val="single" w:sz="4" w:space="0" w:color="auto"/>
              <w:bottom w:val="single" w:sz="4" w:space="0" w:color="auto"/>
              <w:right w:val="single" w:sz="4" w:space="0" w:color="auto"/>
            </w:tcBorders>
            <w:shd w:val="clear" w:color="auto" w:fill="auto"/>
            <w:vAlign w:val="center"/>
          </w:tcPr>
          <w:p w14:paraId="375662FF" w14:textId="77777777" w:rsidR="00067458" w:rsidRPr="00A47AE7" w:rsidRDefault="00067458" w:rsidP="00412260">
            <w:pPr>
              <w:rPr>
                <w:rFonts w:cs="Arial"/>
                <w:szCs w:val="20"/>
              </w:rPr>
            </w:pPr>
            <w:r w:rsidRPr="00A47AE7">
              <w:rPr>
                <w:rFonts w:cs="Arial"/>
                <w:color w:val="000000"/>
                <w:szCs w:val="20"/>
              </w:rPr>
              <w:t>Human Rights Education for Legal Professionals in the European Union III (EU CoE HELP EU III)</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0820AE27" w14:textId="77777777" w:rsidR="00067458" w:rsidRPr="00A47AE7" w:rsidRDefault="00067458" w:rsidP="00412260">
            <w:pPr>
              <w:jc w:val="center"/>
              <w:rPr>
                <w:rFonts w:cs="Arial"/>
                <w:szCs w:val="20"/>
              </w:rPr>
            </w:pPr>
            <w:r w:rsidRPr="00A47AE7">
              <w:rPr>
                <w:rFonts w:cs="Arial"/>
                <w:color w:val="000000"/>
                <w:szCs w:val="20"/>
              </w:rPr>
              <w:t>01/03/2022</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68C5B5A7" w14:textId="77777777" w:rsidR="00067458" w:rsidRPr="00A47AE7" w:rsidRDefault="00067458" w:rsidP="00412260">
            <w:pPr>
              <w:jc w:val="center"/>
              <w:rPr>
                <w:rFonts w:cs="Arial"/>
                <w:szCs w:val="20"/>
              </w:rPr>
            </w:pPr>
            <w:r w:rsidRPr="00A47AE7">
              <w:rPr>
                <w:rFonts w:cs="Arial"/>
                <w:color w:val="000000"/>
                <w:szCs w:val="20"/>
              </w:rPr>
              <w:t>31/08/2024</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3D6BD4F" w14:textId="77777777" w:rsidR="00067458" w:rsidRPr="00A47AE7" w:rsidRDefault="00067458" w:rsidP="00412260">
            <w:pPr>
              <w:jc w:val="right"/>
              <w:rPr>
                <w:rFonts w:cs="Arial"/>
                <w:szCs w:val="20"/>
              </w:rPr>
            </w:pPr>
            <w:r w:rsidRPr="00A47AE7">
              <w:rPr>
                <w:rFonts w:cs="Arial"/>
                <w:color w:val="000000"/>
                <w:szCs w:val="20"/>
              </w:rPr>
              <w:t>1 389 448.50 €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02939EB" w14:textId="77777777" w:rsidR="00067458" w:rsidRPr="00A47AE7" w:rsidRDefault="00067458" w:rsidP="00412260">
            <w:pPr>
              <w:jc w:val="right"/>
              <w:rPr>
                <w:rFonts w:cs="Arial"/>
                <w:szCs w:val="20"/>
              </w:rPr>
            </w:pPr>
            <w:r w:rsidRPr="00A47AE7">
              <w:rPr>
                <w:rFonts w:cs="Arial"/>
                <w:color w:val="000000"/>
                <w:szCs w:val="20"/>
              </w:rPr>
              <w:t>138 944.85 €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289FCB62" w14:textId="77777777" w:rsidR="00067458" w:rsidRPr="00A47AE7" w:rsidRDefault="00067458" w:rsidP="00412260">
            <w:pPr>
              <w:jc w:val="right"/>
              <w:rPr>
                <w:rFonts w:cs="Arial"/>
                <w:szCs w:val="20"/>
              </w:rPr>
            </w:pPr>
            <w:r w:rsidRPr="00A47AE7">
              <w:rPr>
                <w:rFonts w:cs="Arial"/>
                <w:color w:val="000000"/>
                <w:szCs w:val="20"/>
              </w:rPr>
              <w:t>1 250 503.65 €</w:t>
            </w:r>
          </w:p>
        </w:tc>
      </w:tr>
    </w:tbl>
    <w:p w14:paraId="59E195BA" w14:textId="77777777" w:rsidR="00067458" w:rsidRDefault="00067458" w:rsidP="00067458"/>
    <w:p w14:paraId="3E39E8A5" w14:textId="77777777" w:rsidR="00067458" w:rsidRPr="00A12DEC" w:rsidRDefault="00067458" w:rsidP="00067458">
      <w:pPr>
        <w:rPr>
          <w:rFonts w:eastAsia="Times New Roman"/>
          <w:szCs w:val="24"/>
        </w:rPr>
      </w:pPr>
    </w:p>
    <w:p w14:paraId="7D53269D" w14:textId="77777777" w:rsidR="00067458" w:rsidRDefault="00067458" w:rsidP="0037200F">
      <w:pPr>
        <w:rPr>
          <w:rFonts w:eastAsia="Times New Roman"/>
          <w:szCs w:val="24"/>
        </w:rPr>
      </w:pPr>
    </w:p>
    <w:sectPr w:rsidR="00067458" w:rsidSect="00DD2D09">
      <w:headerReference w:type="even" r:id="rId20"/>
      <w:headerReference w:type="default" r:id="rId21"/>
      <w:headerReference w:type="first" r:id="rId22"/>
      <w:pgSz w:w="16840" w:h="11907" w:orient="landscape" w:code="9"/>
      <w:pgMar w:top="1077" w:right="992" w:bottom="1162" w:left="709"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762A6" w14:textId="77777777" w:rsidR="00095F31" w:rsidRDefault="00095F31" w:rsidP="00FD6043">
      <w:r>
        <w:separator/>
      </w:r>
    </w:p>
  </w:endnote>
  <w:endnote w:type="continuationSeparator" w:id="0">
    <w:p w14:paraId="64945C58" w14:textId="77777777" w:rsidR="00095F31" w:rsidRDefault="00095F31"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A0F47" w14:textId="77777777" w:rsidR="00095F31" w:rsidRDefault="00095F31" w:rsidP="00FD6043">
      <w:r>
        <w:separator/>
      </w:r>
    </w:p>
  </w:footnote>
  <w:footnote w:type="continuationSeparator" w:id="0">
    <w:p w14:paraId="1045350F" w14:textId="77777777" w:rsidR="00095F31" w:rsidRDefault="00095F31" w:rsidP="00FD6043">
      <w:r>
        <w:continuationSeparator/>
      </w:r>
    </w:p>
  </w:footnote>
  <w:footnote w:id="1">
    <w:p w14:paraId="534728B4" w14:textId="6D87C17C" w:rsidR="00067458" w:rsidRPr="00C669C6" w:rsidRDefault="00067458" w:rsidP="00067458">
      <w:pPr>
        <w:pStyle w:val="FootnoteText"/>
      </w:pPr>
      <w:r>
        <w:rPr>
          <w:rStyle w:val="FootnoteReference"/>
        </w:rPr>
        <w:footnoteRef/>
      </w:r>
      <w:r>
        <w:t xml:space="preserve"> </w:t>
      </w:r>
      <w:r w:rsidRPr="00C669C6">
        <w:t xml:space="preserve">The Council of Europe Human Rights Approach Practical Guide for Co-operation Projects is expected to contribute to improved application of a human rights approach in project management and co-operation activities.  </w:t>
      </w:r>
    </w:p>
  </w:footnote>
  <w:footnote w:id="2">
    <w:p w14:paraId="6BF15F20" w14:textId="77777777" w:rsidR="00067458" w:rsidRPr="008C5CA4" w:rsidRDefault="00067458" w:rsidP="00067458">
      <w:pPr>
        <w:rPr>
          <w:rFonts w:cs="Arial"/>
          <w:sz w:val="16"/>
          <w:szCs w:val="16"/>
        </w:rPr>
      </w:pPr>
      <w:r w:rsidRPr="008C5CA4">
        <w:rPr>
          <w:rStyle w:val="FootnoteReference"/>
          <w:rFonts w:cs="Arial"/>
          <w:sz w:val="16"/>
          <w:szCs w:val="16"/>
        </w:rPr>
        <w:footnoteRef/>
      </w:r>
      <w:r w:rsidRPr="008C5CA4">
        <w:rPr>
          <w:rFonts w:cs="Arial"/>
          <w:sz w:val="16"/>
          <w:szCs w:val="16"/>
        </w:rPr>
        <w:t xml:space="preserve"> As a component of the human rights approach, the CoE emphasises gender mainstreaming throughout its project activities in line with its </w:t>
      </w:r>
      <w:hyperlink r:id="rId1" w:history="1">
        <w:r w:rsidRPr="00332BEC">
          <w:rPr>
            <w:rStyle w:val="Hyperlink"/>
            <w:rFonts w:cs="Arial"/>
            <w:sz w:val="16"/>
            <w:szCs w:val="16"/>
          </w:rPr>
          <w:t xml:space="preserve">Gender </w:t>
        </w:r>
        <w:r>
          <w:rPr>
            <w:rStyle w:val="Hyperlink"/>
            <w:rFonts w:cs="Arial"/>
            <w:sz w:val="16"/>
            <w:szCs w:val="16"/>
          </w:rPr>
          <w:t>E</w:t>
        </w:r>
        <w:r w:rsidRPr="00332BEC">
          <w:rPr>
            <w:rStyle w:val="Hyperlink"/>
            <w:rFonts w:cs="Arial"/>
            <w:sz w:val="16"/>
            <w:szCs w:val="16"/>
          </w:rPr>
          <w:t xml:space="preserve">quality </w:t>
        </w:r>
        <w:r>
          <w:rPr>
            <w:rStyle w:val="Hyperlink"/>
            <w:rFonts w:cs="Arial"/>
            <w:sz w:val="16"/>
            <w:szCs w:val="16"/>
          </w:rPr>
          <w:t>S</w:t>
        </w:r>
        <w:r w:rsidRPr="00332BEC">
          <w:rPr>
            <w:rStyle w:val="Hyperlink"/>
            <w:rFonts w:cs="Arial"/>
            <w:sz w:val="16"/>
            <w:szCs w:val="16"/>
          </w:rPr>
          <w:t>trategy 2018-2023</w:t>
        </w:r>
      </w:hyperlink>
      <w:r w:rsidRPr="00332BEC">
        <w:rPr>
          <w:rFonts w:cs="Arial"/>
          <w:sz w:val="16"/>
          <w:szCs w:val="16"/>
        </w:rPr>
        <w:t>.</w:t>
      </w:r>
      <w:r w:rsidRPr="008C5CA4">
        <w:rPr>
          <w:rFonts w:cs="Arial"/>
          <w:sz w:val="16"/>
          <w:szCs w:val="16"/>
        </w:rPr>
        <w:t xml:space="preserve"> For more information, see the Council of Europe</w:t>
      </w:r>
      <w:r w:rsidRPr="008C5CA4">
        <w:rPr>
          <w:rFonts w:cs="Arial"/>
          <w:i/>
          <w:sz w:val="16"/>
          <w:szCs w:val="16"/>
        </w:rPr>
        <w:t xml:space="preserve"> </w:t>
      </w:r>
      <w:hyperlink r:id="rId2" w:history="1">
        <w:r w:rsidRPr="00332BEC">
          <w:rPr>
            <w:rStyle w:val="Hyperlink"/>
            <w:rFonts w:cs="Arial"/>
            <w:sz w:val="16"/>
            <w:szCs w:val="16"/>
          </w:rPr>
          <w:t>web page on gender mainstreaming</w:t>
        </w:r>
      </w:hyperlink>
      <w:r w:rsidRPr="00332BEC">
        <w:rPr>
          <w:rFonts w:cs="Arial"/>
          <w:sz w:val="16"/>
          <w:szCs w:val="16"/>
        </w:rPr>
        <w:t>.</w:t>
      </w:r>
      <w:r w:rsidRPr="008C5CA4">
        <w:rPr>
          <w:rFonts w:cs="Arial"/>
          <w:sz w:val="16"/>
          <w:szCs w:val="16"/>
        </w:rPr>
        <w:t xml:space="preserve"> </w:t>
      </w:r>
    </w:p>
  </w:footnote>
  <w:footnote w:id="3">
    <w:p w14:paraId="25DB3162" w14:textId="77777777" w:rsidR="00067458" w:rsidRPr="008C5CA4" w:rsidRDefault="00067458" w:rsidP="00067458">
      <w:pPr>
        <w:rPr>
          <w:rFonts w:cs="Arial"/>
          <w:bCs/>
          <w:iCs/>
          <w:sz w:val="16"/>
          <w:szCs w:val="16"/>
        </w:rPr>
      </w:pPr>
      <w:r w:rsidRPr="008C5CA4">
        <w:rPr>
          <w:rStyle w:val="FootnoteReference"/>
          <w:rFonts w:cs="Arial"/>
          <w:sz w:val="16"/>
          <w:szCs w:val="16"/>
        </w:rPr>
        <w:footnoteRef/>
      </w:r>
      <w:r w:rsidRPr="008C5CA4">
        <w:rPr>
          <w:rFonts w:cs="Arial"/>
          <w:sz w:val="16"/>
          <w:szCs w:val="16"/>
        </w:rPr>
        <w:t xml:space="preserve"> </w:t>
      </w:r>
      <w:r w:rsidRPr="008C5CA4">
        <w:rPr>
          <w:rFonts w:cs="Arial"/>
          <w:bCs/>
          <w:iCs/>
          <w:sz w:val="16"/>
          <w:szCs w:val="16"/>
        </w:rPr>
        <w:t xml:space="preserve">The Cumulative </w:t>
      </w:r>
      <w:r>
        <w:rPr>
          <w:rFonts w:cs="Arial"/>
          <w:bCs/>
          <w:iCs/>
          <w:sz w:val="16"/>
          <w:szCs w:val="16"/>
        </w:rPr>
        <w:t>b</w:t>
      </w:r>
      <w:r w:rsidRPr="008C5CA4">
        <w:rPr>
          <w:rFonts w:cs="Arial"/>
          <w:bCs/>
          <w:iCs/>
          <w:sz w:val="16"/>
          <w:szCs w:val="16"/>
        </w:rPr>
        <w:t xml:space="preserve">udgetary </w:t>
      </w:r>
      <w:r>
        <w:rPr>
          <w:rFonts w:cs="Arial"/>
          <w:bCs/>
          <w:iCs/>
          <w:sz w:val="16"/>
          <w:szCs w:val="16"/>
        </w:rPr>
        <w:t>e</w:t>
      </w:r>
      <w:r w:rsidRPr="008C5CA4">
        <w:rPr>
          <w:rFonts w:cs="Arial"/>
          <w:bCs/>
          <w:iCs/>
          <w:sz w:val="16"/>
          <w:szCs w:val="16"/>
        </w:rPr>
        <w:t>nvelope (CBE) is a sum of the budgetary envelopes of all JP contracts</w:t>
      </w:r>
      <w:r>
        <w:rPr>
          <w:rFonts w:cs="Arial"/>
          <w:bCs/>
          <w:iCs/>
          <w:sz w:val="16"/>
          <w:szCs w:val="16"/>
        </w:rPr>
        <w:t xml:space="preserve"> that were registered as “active” between January and December of a given year. </w:t>
      </w:r>
    </w:p>
  </w:footnote>
  <w:footnote w:id="4">
    <w:p w14:paraId="65023FA9" w14:textId="77777777" w:rsidR="00067458" w:rsidRPr="008C5CA4" w:rsidRDefault="00067458" w:rsidP="00067458">
      <w:pPr>
        <w:pStyle w:val="FootnoteText"/>
        <w:rPr>
          <w:rFonts w:cs="Arial"/>
          <w:szCs w:val="16"/>
        </w:rPr>
      </w:pPr>
      <w:r w:rsidRPr="008C5CA4">
        <w:rPr>
          <w:rStyle w:val="FootnoteReference"/>
          <w:rFonts w:cs="Arial"/>
          <w:szCs w:val="16"/>
        </w:rPr>
        <w:footnoteRef/>
      </w:r>
      <w:r w:rsidRPr="008C5CA4">
        <w:rPr>
          <w:rFonts w:cs="Arial"/>
          <w:szCs w:val="16"/>
        </w:rPr>
        <w:t xml:space="preserve"> The Annual </w:t>
      </w:r>
      <w:r>
        <w:rPr>
          <w:rFonts w:cs="Arial"/>
          <w:szCs w:val="16"/>
        </w:rPr>
        <w:t>b</w:t>
      </w:r>
      <w:r w:rsidRPr="008C5CA4">
        <w:rPr>
          <w:rFonts w:cs="Arial"/>
          <w:szCs w:val="16"/>
        </w:rPr>
        <w:t xml:space="preserve">udgetary </w:t>
      </w:r>
      <w:r>
        <w:rPr>
          <w:rFonts w:cs="Arial"/>
          <w:szCs w:val="16"/>
        </w:rPr>
        <w:t>e</w:t>
      </w:r>
      <w:r w:rsidRPr="008C5CA4">
        <w:rPr>
          <w:rFonts w:cs="Arial"/>
          <w:szCs w:val="16"/>
        </w:rPr>
        <w:t xml:space="preserve">nvelope (ABE) is a statistical parameter calculated </w:t>
      </w:r>
      <w:r w:rsidRPr="008C5CA4">
        <w:rPr>
          <w:rFonts w:cs="Arial"/>
          <w:i/>
          <w:szCs w:val="16"/>
        </w:rPr>
        <w:t>pro rata temporis</w:t>
      </w:r>
      <w:r w:rsidRPr="008C5CA4">
        <w:rPr>
          <w:rFonts w:cs="Arial"/>
          <w:szCs w:val="16"/>
        </w:rPr>
        <w:t xml:space="preserve"> to CBE.</w:t>
      </w:r>
      <w:r>
        <w:rPr>
          <w:rFonts w:cs="Arial"/>
          <w:szCs w:val="16"/>
        </w:rPr>
        <w:t xml:space="preserve"> </w:t>
      </w:r>
    </w:p>
  </w:footnote>
  <w:footnote w:id="5">
    <w:p w14:paraId="2251260A" w14:textId="77777777" w:rsidR="00067458" w:rsidRPr="008E1149" w:rsidRDefault="00067458" w:rsidP="00067458">
      <w:pPr>
        <w:pStyle w:val="FootnoteText"/>
        <w:rPr>
          <w:lang w:val="en-US"/>
        </w:rPr>
      </w:pPr>
      <w:r w:rsidRPr="008C5CA4">
        <w:rPr>
          <w:rStyle w:val="FootnoteReference"/>
          <w:szCs w:val="16"/>
        </w:rPr>
        <w:footnoteRef/>
      </w:r>
      <w:r w:rsidRPr="008C5CA4">
        <w:rPr>
          <w:szCs w:val="16"/>
          <w:lang w:val="en-US"/>
        </w:rPr>
        <w:t xml:space="preserve"> Programmes with start date in 202</w:t>
      </w:r>
      <w:r>
        <w:rPr>
          <w:szCs w:val="16"/>
          <w:lang w:val="en-US"/>
        </w:rPr>
        <w:t>2</w:t>
      </w:r>
      <w:r w:rsidRPr="008C5CA4">
        <w:rPr>
          <w:szCs w:val="16"/>
          <w:lang w:val="en-US"/>
        </w:rPr>
        <w:t xml:space="preserve"> have </w:t>
      </w:r>
      <w:r>
        <w:rPr>
          <w:szCs w:val="16"/>
          <w:lang w:val="en-US"/>
        </w:rPr>
        <w:t>been excluded from</w:t>
      </w:r>
      <w:r w:rsidRPr="008C5CA4">
        <w:rPr>
          <w:szCs w:val="16"/>
          <w:lang w:val="en-US"/>
        </w:rPr>
        <w:t xml:space="preserve"> the calculation of CBE and ABE 20</w:t>
      </w:r>
      <w:r>
        <w:rPr>
          <w:szCs w:val="16"/>
          <w:lang w:val="en-US"/>
        </w:rPr>
        <w:t>21</w:t>
      </w:r>
      <w:r w:rsidRPr="008C5CA4">
        <w:rPr>
          <w:szCs w:val="16"/>
          <w:lang w:val="en-US"/>
        </w:rPr>
        <w:t>.</w:t>
      </w:r>
      <w:r>
        <w:rPr>
          <w:lang w:val="en-US"/>
        </w:rPr>
        <w:t xml:space="preserve"> </w:t>
      </w:r>
    </w:p>
  </w:footnote>
  <w:footnote w:id="6">
    <w:p w14:paraId="1E2D19D6" w14:textId="77777777" w:rsidR="00067458" w:rsidRPr="002B48A0" w:rsidRDefault="00067458" w:rsidP="00067458">
      <w:pPr>
        <w:pStyle w:val="FootnoteText"/>
        <w:rPr>
          <w:rFonts w:cs="Arial"/>
          <w:lang w:val="en-US"/>
        </w:rPr>
      </w:pPr>
      <w:r w:rsidRPr="002B48A0">
        <w:rPr>
          <w:rStyle w:val="FootnoteReference"/>
          <w:rFonts w:cs="Arial"/>
        </w:rPr>
        <w:footnoteRef/>
      </w:r>
      <w:r w:rsidRPr="002B48A0">
        <w:rPr>
          <w:rFonts w:cs="Arial"/>
        </w:rPr>
        <w:t xml:space="preserve"> </w:t>
      </w:r>
      <w:r w:rsidRPr="002B48A0">
        <w:rPr>
          <w:rFonts w:cs="Arial"/>
          <w:lang w:val="en-US"/>
        </w:rPr>
        <w:t xml:space="preserve">Calculated </w:t>
      </w:r>
      <w:r w:rsidRPr="002B48A0">
        <w:rPr>
          <w:rFonts w:cs="Arial"/>
          <w:i/>
          <w:lang w:val="en-US"/>
        </w:rPr>
        <w:t>prorata temporis</w:t>
      </w:r>
      <w:r w:rsidRPr="002B48A0">
        <w:rPr>
          <w:rFonts w:cs="Arial"/>
          <w:lang w:val="en-US"/>
        </w:rPr>
        <w:t xml:space="preserve"> to CBE 20</w:t>
      </w:r>
      <w:r>
        <w:rPr>
          <w:rFonts w:cs="Arial"/>
          <w:lang w:val="en-US"/>
        </w:rPr>
        <w:t>21</w:t>
      </w:r>
      <w:r w:rsidRPr="002B48A0">
        <w:rPr>
          <w:rFonts w:cs="Arial"/>
          <w:lang w:val="en-US"/>
        </w:rPr>
        <w:t xml:space="preserve">. </w:t>
      </w:r>
    </w:p>
  </w:footnote>
  <w:footnote w:id="7">
    <w:p w14:paraId="4344F62B" w14:textId="77777777" w:rsidR="00067458" w:rsidRDefault="00067458" w:rsidP="00067458">
      <w:pPr>
        <w:pStyle w:val="FootnoteText"/>
      </w:pPr>
      <w:r>
        <w:rPr>
          <w:rStyle w:val="FootnoteReference"/>
        </w:rPr>
        <w:footnoteRef/>
      </w:r>
      <w:r>
        <w:t xml:space="preserve"> </w:t>
      </w:r>
      <w:r>
        <w:rPr>
          <w:rFonts w:cs="Arial"/>
        </w:rPr>
        <w:t>Among them are</w:t>
      </w:r>
      <w:r w:rsidRPr="002B2F77">
        <w:rPr>
          <w:rFonts w:cs="Arial"/>
        </w:rPr>
        <w:t xml:space="preserve"> Dynamic Security practices</w:t>
      </w:r>
      <w:r>
        <w:rPr>
          <w:rFonts w:cs="Arial"/>
        </w:rPr>
        <w:t>;</w:t>
      </w:r>
      <w:r w:rsidRPr="002B2F77">
        <w:rPr>
          <w:rFonts w:cs="Arial"/>
        </w:rPr>
        <w:t xml:space="preserve"> Risk and Needs Assessment (RNA) and Sentence Planning Tool developed to strengthen the Azerbaijani penitentiary staff's capacity and develop practical skills on individual sentence and pre-release planning for sentenced offenders</w:t>
      </w:r>
      <w:r>
        <w:rPr>
          <w:rFonts w:cs="Arial"/>
        </w:rPr>
        <w:t xml:space="preserve">; </w:t>
      </w:r>
      <w:r w:rsidRPr="002B2F77">
        <w:rPr>
          <w:rFonts w:cs="Arial"/>
        </w:rPr>
        <w:t>Mental Health Screening Tool developed for the prison medical staff to accurately assess prisoners' mental health on admission.</w:t>
      </w:r>
      <w:r>
        <w:rPr>
          <w:rFonts w:cs="Arial"/>
        </w:rPr>
        <w:t xml:space="preserve"> Also, a</w:t>
      </w:r>
      <w:r w:rsidRPr="002B2F77">
        <w:rPr>
          <w:rFonts w:cs="Arial"/>
        </w:rPr>
        <w:t xml:space="preserve"> training curriculum for prison staff was reviewed in consultation with national counterparts, and a “Training of Trainers” (ToT) course for senior prison managers on the protection of prisoners' rights in line with European standards was developed.</w:t>
      </w:r>
    </w:p>
  </w:footnote>
  <w:footnote w:id="8">
    <w:p w14:paraId="47A497C7" w14:textId="3C46D19F" w:rsidR="00067458" w:rsidRPr="001D08B7" w:rsidRDefault="00067458" w:rsidP="00067458">
      <w:pPr>
        <w:pStyle w:val="FootnoteText"/>
      </w:pPr>
      <w:r w:rsidRPr="00B70F4C">
        <w:rPr>
          <w:rStyle w:val="FootnoteReference"/>
        </w:rPr>
        <w:footnoteRef/>
      </w:r>
      <w:r w:rsidRPr="00B70F4C">
        <w:t>*</w:t>
      </w:r>
      <w:r>
        <w:t xml:space="preserve"> </w:t>
      </w:r>
      <w:r>
        <w:rPr>
          <w:rFonts w:cs="Arial"/>
          <w:color w:val="333333"/>
          <w:szCs w:val="16"/>
        </w:rPr>
        <w:t xml:space="preserve">All reference to Kosovo, whether to the territory, </w:t>
      </w:r>
      <w:proofErr w:type="gramStart"/>
      <w:r>
        <w:rPr>
          <w:rFonts w:cs="Arial"/>
          <w:color w:val="333333"/>
          <w:szCs w:val="16"/>
        </w:rPr>
        <w:t>institutions</w:t>
      </w:r>
      <w:proofErr w:type="gramEnd"/>
      <w:r>
        <w:rPr>
          <w:rFonts w:cs="Arial"/>
          <w:color w:val="333333"/>
          <w:szCs w:val="16"/>
        </w:rPr>
        <w:t xml:space="preserve"> or population, in this text shall be understood in full compliance with United Nations Security Council Resolution 1244 and without prejudice to the status of Kosovo</w:t>
      </w:r>
      <w:r w:rsidR="00701B55">
        <w:rPr>
          <w:rFonts w:cs="Arial"/>
          <w:color w:val="333333"/>
          <w:szCs w:val="16"/>
        </w:rPr>
        <w:t>.</w:t>
      </w:r>
    </w:p>
  </w:footnote>
  <w:footnote w:id="9">
    <w:p w14:paraId="105F8410" w14:textId="77777777" w:rsidR="00067458" w:rsidRPr="000A0853" w:rsidRDefault="00067458" w:rsidP="00067458">
      <w:pPr>
        <w:pStyle w:val="FootnoteText"/>
        <w:jc w:val="both"/>
        <w:rPr>
          <w:szCs w:val="16"/>
        </w:rPr>
      </w:pPr>
      <w:r w:rsidRPr="001C2C67">
        <w:rPr>
          <w:rStyle w:val="FootnoteReference"/>
          <w:szCs w:val="16"/>
        </w:rPr>
        <w:footnoteRef/>
      </w:r>
      <w:r w:rsidRPr="001C2C67">
        <w:rPr>
          <w:szCs w:val="16"/>
          <w:lang w:val="en-US"/>
        </w:rPr>
        <w:t xml:space="preserve"> *</w:t>
      </w:r>
      <w:r w:rsidRPr="000A0853">
        <w:rPr>
          <w:szCs w:val="16"/>
        </w:rPr>
        <w:t xml:space="preserve">This designation shall not be construed as recognition of a State of Palestine and is without prejudice to the individual positions of Council of Europe member </w:t>
      </w:r>
      <w:r>
        <w:rPr>
          <w:szCs w:val="16"/>
        </w:rPr>
        <w:t>State</w:t>
      </w:r>
      <w:r w:rsidRPr="000A0853">
        <w:rPr>
          <w:szCs w:val="16"/>
        </w:rPr>
        <w:t>s on this issue.</w:t>
      </w:r>
    </w:p>
  </w:footnote>
  <w:footnote w:id="10">
    <w:p w14:paraId="3B5A1A54" w14:textId="77777777" w:rsidR="00067458" w:rsidRPr="00976D64" w:rsidRDefault="00067458" w:rsidP="00067458">
      <w:pPr>
        <w:pStyle w:val="FootnoteText"/>
        <w:rPr>
          <w:szCs w:val="16"/>
        </w:rPr>
      </w:pPr>
      <w:r w:rsidRPr="000A0853">
        <w:rPr>
          <w:rStyle w:val="FootnoteReference"/>
          <w:rFonts w:cs="Arial"/>
          <w:szCs w:val="16"/>
        </w:rPr>
        <w:footnoteRef/>
      </w:r>
      <w:r w:rsidRPr="000A0853">
        <w:rPr>
          <w:rFonts w:cs="Arial"/>
          <w:szCs w:val="16"/>
        </w:rPr>
        <w:t xml:space="preserve"> Convention on Cybercrime of the Council of Europe (CETS No.185).</w:t>
      </w:r>
      <w:r w:rsidRPr="008B5BC2">
        <w:rPr>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EE43" w14:textId="35F10CB0" w:rsidR="006C06AD" w:rsidRDefault="006C06AD" w:rsidP="00DD2D09">
    <w:pPr>
      <w:pStyle w:val="Header"/>
      <w:tabs>
        <w:tab w:val="clear" w:pos="4820"/>
        <w:tab w:val="center" w:pos="4962"/>
        <w:tab w:val="center" w:pos="7655"/>
      </w:tabs>
    </w:pPr>
    <w:proofErr w:type="gramStart"/>
    <w:r>
      <w:t>CM(</w:t>
    </w:r>
    <w:proofErr w:type="gramEnd"/>
    <w:r>
      <w:t>2022)</w:t>
    </w:r>
    <w:r w:rsidR="006B6811">
      <w:t>62</w:t>
    </w:r>
    <w:r>
      <w:t>-add</w:t>
    </w:r>
    <w:r w:rsidR="007D3924">
      <w:t>final</w:t>
    </w:r>
    <w:r>
      <w:tab/>
    </w:r>
    <w:sdt>
      <w:sdtPr>
        <w:id w:val="1769348093"/>
        <w:docPartObj>
          <w:docPartGallery w:val="Page Numbers (Top of Page)"/>
          <w:docPartUnique/>
        </w:docPartObj>
      </w:sdtPr>
      <w:sdtEndPr/>
      <w:sdtContent>
        <w:r>
          <w:fldChar w:fldCharType="begin"/>
        </w:r>
        <w:r>
          <w:instrText>PAGE   \* MERGEFORMAT</w:instrText>
        </w:r>
        <w:r>
          <w:fldChar w:fldCharType="separate"/>
        </w:r>
        <w:r>
          <w:rPr>
            <w:lang w:val="fr-FR"/>
          </w:rPr>
          <w:t>2</w:t>
        </w:r>
        <w:r>
          <w:fldChar w:fldCharType="end"/>
        </w:r>
      </w:sdtContent>
    </w:sdt>
  </w:p>
  <w:p w14:paraId="7F2AF364" w14:textId="77777777" w:rsidR="006C06AD" w:rsidRDefault="006C0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091949"/>
      <w:docPartObj>
        <w:docPartGallery w:val="Page Numbers (Top of Page)"/>
        <w:docPartUnique/>
      </w:docPartObj>
    </w:sdtPr>
    <w:sdtEndPr/>
    <w:sdtContent>
      <w:p w14:paraId="18EF08B3" w14:textId="4976785D" w:rsidR="002C05EA" w:rsidRDefault="002C05EA" w:rsidP="00B03F9A">
        <w:pPr>
          <w:pStyle w:val="Header"/>
          <w:tabs>
            <w:tab w:val="clear" w:pos="4820"/>
            <w:tab w:val="clear" w:pos="9639"/>
            <w:tab w:val="center" w:pos="7797"/>
          </w:tabs>
          <w:ind w:firstLine="4254"/>
        </w:pPr>
        <w:r>
          <w:fldChar w:fldCharType="begin"/>
        </w:r>
        <w:r>
          <w:instrText>PAGE   \* MERGEFORMAT</w:instrText>
        </w:r>
        <w:r>
          <w:fldChar w:fldCharType="separate"/>
        </w:r>
        <w:r>
          <w:rPr>
            <w:lang w:val="fr-FR"/>
          </w:rPr>
          <w:t>2</w:t>
        </w:r>
        <w:r>
          <w:fldChar w:fldCharType="end"/>
        </w:r>
        <w:r>
          <w:tab/>
        </w:r>
        <w:r>
          <w:tab/>
        </w:r>
        <w:proofErr w:type="gramStart"/>
        <w:r>
          <w:t>CM(</w:t>
        </w:r>
        <w:proofErr w:type="gramEnd"/>
        <w:r>
          <w:t>2022)</w:t>
        </w:r>
        <w:r w:rsidR="006B6811">
          <w:t>62</w:t>
        </w:r>
        <w:r>
          <w:t>-add</w:t>
        </w:r>
        <w:r w:rsidR="007D3924">
          <w:t>final</w:t>
        </w:r>
      </w:p>
    </w:sdtContent>
  </w:sdt>
  <w:p w14:paraId="252D72C7" w14:textId="77777777" w:rsidR="002C05EA" w:rsidRPr="0051238F" w:rsidRDefault="002C05EA" w:rsidP="00512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5FDC" w14:textId="4C5F4221" w:rsidR="006C06AD" w:rsidRPr="00F71C80" w:rsidRDefault="00F71C80" w:rsidP="00F71C80">
    <w:pPr>
      <w:pStyle w:val="Header"/>
    </w:pPr>
    <w:r>
      <w:rPr>
        <w:noProof/>
      </w:rPr>
      <w:drawing>
        <wp:anchor distT="0" distB="0" distL="114300" distR="114300" simplePos="0" relativeHeight="251659264" behindDoc="1" locked="0" layoutInCell="0" allowOverlap="0" wp14:anchorId="7D78D08A" wp14:editId="6FE0C3E1">
          <wp:simplePos x="0" y="0"/>
          <wp:positionH relativeFrom="page">
            <wp:posOffset>351790</wp:posOffset>
          </wp:positionH>
          <wp:positionV relativeFrom="page">
            <wp:posOffset>89535</wp:posOffset>
          </wp:positionV>
          <wp:extent cx="7584218" cy="10728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25C8" w14:textId="04836CE2" w:rsidR="00DD2D09" w:rsidRDefault="00DD2D09" w:rsidP="00DD2D09">
    <w:pPr>
      <w:pStyle w:val="Header"/>
      <w:tabs>
        <w:tab w:val="clear" w:pos="4820"/>
        <w:tab w:val="center" w:pos="7655"/>
      </w:tabs>
    </w:pPr>
    <w:proofErr w:type="gramStart"/>
    <w:r>
      <w:t>CM(</w:t>
    </w:r>
    <w:proofErr w:type="gramEnd"/>
    <w:r>
      <w:t>2022)</w:t>
    </w:r>
    <w:r w:rsidR="006B6811">
      <w:t>62</w:t>
    </w:r>
    <w:r>
      <w:t>-add</w:t>
    </w:r>
    <w:r w:rsidR="007D3924">
      <w:t>final</w:t>
    </w:r>
    <w:r>
      <w:tab/>
    </w:r>
    <w:sdt>
      <w:sdtPr>
        <w:id w:val="-1355500075"/>
        <w:docPartObj>
          <w:docPartGallery w:val="Page Numbers (Top of Page)"/>
          <w:docPartUnique/>
        </w:docPartObj>
      </w:sdtPr>
      <w:sdtEndPr/>
      <w:sdtContent>
        <w:r>
          <w:fldChar w:fldCharType="begin"/>
        </w:r>
        <w:r>
          <w:instrText>PAGE   \* MERGEFORMAT</w:instrText>
        </w:r>
        <w:r>
          <w:fldChar w:fldCharType="separate"/>
        </w:r>
        <w:r>
          <w:rPr>
            <w:lang w:val="fr-FR"/>
          </w:rPr>
          <w:t>2</w:t>
        </w:r>
        <w:r>
          <w:fldChar w:fldCharType="end"/>
        </w:r>
      </w:sdtContent>
    </w:sdt>
  </w:p>
  <w:p w14:paraId="0B933078" w14:textId="77777777" w:rsidR="00DD2D09" w:rsidRDefault="00DD2D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82292"/>
      <w:docPartObj>
        <w:docPartGallery w:val="Page Numbers (Top of Page)"/>
        <w:docPartUnique/>
      </w:docPartObj>
    </w:sdtPr>
    <w:sdtEndPr/>
    <w:sdtContent>
      <w:p w14:paraId="2FCDE008" w14:textId="12887A55" w:rsidR="00B03F9A" w:rsidRDefault="00B03F9A" w:rsidP="00B03F9A">
        <w:pPr>
          <w:pStyle w:val="Header"/>
          <w:tabs>
            <w:tab w:val="clear" w:pos="4820"/>
            <w:tab w:val="clear" w:pos="9639"/>
            <w:tab w:val="center" w:pos="7797"/>
          </w:tabs>
          <w:ind w:firstLine="7090"/>
        </w:pPr>
        <w:r>
          <w:fldChar w:fldCharType="begin"/>
        </w:r>
        <w:r>
          <w:instrText>PAGE   \* MERGEFORMAT</w:instrText>
        </w:r>
        <w:r>
          <w:fldChar w:fldCharType="separate"/>
        </w:r>
        <w:r>
          <w:rPr>
            <w:lang w:val="fr-FR"/>
          </w:rPr>
          <w:t>2</w:t>
        </w:r>
        <w:r>
          <w:fldChar w:fldCharType="end"/>
        </w:r>
        <w:r>
          <w:tab/>
        </w:r>
        <w:r>
          <w:tab/>
        </w:r>
        <w:r>
          <w:tab/>
        </w:r>
        <w:r>
          <w:tab/>
        </w:r>
        <w:r>
          <w:tab/>
        </w:r>
        <w:r>
          <w:tab/>
        </w:r>
        <w:r>
          <w:tab/>
        </w:r>
        <w:r>
          <w:tab/>
        </w:r>
        <w:r>
          <w:tab/>
        </w:r>
        <w:proofErr w:type="gramStart"/>
        <w:r>
          <w:t>CM(</w:t>
        </w:r>
        <w:proofErr w:type="gramEnd"/>
        <w:r>
          <w:t>2022)</w:t>
        </w:r>
        <w:r w:rsidR="006B6811">
          <w:t>62</w:t>
        </w:r>
        <w:r>
          <w:t>-add</w:t>
        </w:r>
        <w:r w:rsidR="007D3924">
          <w:t>final</w:t>
        </w:r>
      </w:p>
    </w:sdtContent>
  </w:sdt>
  <w:p w14:paraId="08186196" w14:textId="77777777" w:rsidR="00B03F9A" w:rsidRPr="0051238F" w:rsidRDefault="00B03F9A" w:rsidP="005123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6CFA" w14:textId="0F261E96" w:rsidR="00B03F9A" w:rsidRDefault="00B03F9A" w:rsidP="00B03F9A">
    <w:pPr>
      <w:pStyle w:val="Header"/>
      <w:tabs>
        <w:tab w:val="clear" w:pos="4820"/>
        <w:tab w:val="center" w:pos="7797"/>
      </w:tabs>
    </w:pPr>
    <w:r>
      <w:tab/>
    </w:r>
    <w:sdt>
      <w:sdtPr>
        <w:id w:val="-1798985031"/>
        <w:docPartObj>
          <w:docPartGallery w:val="Page Numbers (Top of Page)"/>
          <w:docPartUnique/>
        </w:docPartObj>
      </w:sdtPr>
      <w:sdtEndPr/>
      <w:sdtContent>
        <w:r>
          <w:fldChar w:fldCharType="begin"/>
        </w:r>
        <w:r>
          <w:instrText>PAGE   \* MERGEFORMAT</w:instrText>
        </w:r>
        <w:r>
          <w:fldChar w:fldCharType="separate"/>
        </w:r>
        <w:r>
          <w:rPr>
            <w:lang w:val="fr-FR"/>
          </w:rPr>
          <w:t>2</w:t>
        </w:r>
        <w:r>
          <w:fldChar w:fldCharType="end"/>
        </w:r>
        <w:r w:rsidR="007D3924">
          <w:tab/>
        </w:r>
        <w:r w:rsidR="007D3924">
          <w:tab/>
        </w:r>
        <w:r w:rsidR="007D3924">
          <w:tab/>
        </w:r>
        <w:r w:rsidR="007D3924">
          <w:tab/>
        </w:r>
        <w:r w:rsidR="007D3924">
          <w:tab/>
        </w:r>
        <w:r w:rsidR="007D3924">
          <w:tab/>
        </w:r>
        <w:proofErr w:type="gramStart"/>
        <w:r w:rsidR="007D3924">
          <w:t>CM(</w:t>
        </w:r>
        <w:proofErr w:type="gramEnd"/>
        <w:r w:rsidR="007D3924">
          <w:t>2022)62-addfinal</w:t>
        </w:r>
      </w:sdtContent>
    </w:sdt>
  </w:p>
  <w:p w14:paraId="402A0B81" w14:textId="55659DA5" w:rsidR="00B03F9A" w:rsidRPr="00F71C80" w:rsidRDefault="00B03F9A" w:rsidP="00F71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F3D"/>
    <w:multiLevelType w:val="hybridMultilevel"/>
    <w:tmpl w:val="3A60FEA6"/>
    <w:lvl w:ilvl="0" w:tplc="9348DC26">
      <w:start w:val="1"/>
      <w:numFmt w:val="lowerRoman"/>
      <w:lvlText w:val="%1)"/>
      <w:lvlJc w:val="left"/>
      <w:pPr>
        <w:ind w:left="1440" w:hanging="72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5C3644"/>
    <w:multiLevelType w:val="hybridMultilevel"/>
    <w:tmpl w:val="2B32A0E0"/>
    <w:lvl w:ilvl="0" w:tplc="99E689D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EC7DD0"/>
    <w:multiLevelType w:val="hybridMultilevel"/>
    <w:tmpl w:val="1ED2D12E"/>
    <w:lvl w:ilvl="0" w:tplc="341A4A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725D72"/>
    <w:multiLevelType w:val="hybridMultilevel"/>
    <w:tmpl w:val="1156728C"/>
    <w:lvl w:ilvl="0" w:tplc="2C1EDEC0">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850D91"/>
    <w:multiLevelType w:val="hybridMultilevel"/>
    <w:tmpl w:val="BA1C3892"/>
    <w:lvl w:ilvl="0" w:tplc="9ACADC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91F6232"/>
    <w:multiLevelType w:val="hybridMultilevel"/>
    <w:tmpl w:val="0616BFAC"/>
    <w:lvl w:ilvl="0" w:tplc="4DC27E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0D7C5F"/>
    <w:multiLevelType w:val="hybridMultilevel"/>
    <w:tmpl w:val="641E42B2"/>
    <w:lvl w:ilvl="0" w:tplc="10A4B42E">
      <w:start w:val="2"/>
      <w:numFmt w:val="bullet"/>
      <w:lvlText w:val="-"/>
      <w:lvlJc w:val="left"/>
      <w:pPr>
        <w:ind w:left="72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6968E6"/>
    <w:multiLevelType w:val="hybridMultilevel"/>
    <w:tmpl w:val="BB6214C2"/>
    <w:lvl w:ilvl="0" w:tplc="B0DC89D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2641D96"/>
    <w:multiLevelType w:val="multilevel"/>
    <w:tmpl w:val="229282D2"/>
    <w:lvl w:ilvl="0">
      <w:start w:val="1"/>
      <w:numFmt w:val="decimal"/>
      <w:pStyle w:val="HeadingA"/>
      <w:lvlText w:val="%1."/>
      <w:lvlJc w:val="left"/>
      <w:pPr>
        <w:ind w:left="360" w:hanging="360"/>
      </w:pPr>
      <w:rPr>
        <w:b/>
        <w:lang w:val="en-GB"/>
      </w:rPr>
    </w:lvl>
    <w:lvl w:ilvl="1">
      <w:start w:val="1"/>
      <w:numFmt w:val="decimal"/>
      <w:pStyle w:val="HeadingB"/>
      <w:lvlText w:val="%1.%2."/>
      <w:lvlJc w:val="left"/>
      <w:pPr>
        <w:ind w:left="432" w:hanging="432"/>
      </w:pPr>
      <w:rPr>
        <w:rFonts w:asciiTheme="minorHAnsi" w:hAnsiTheme="minorHAnsi"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2"/>
      <w:lvlText w:val="%1.%2.%3."/>
      <w:lvlJc w:val="left"/>
      <w:pPr>
        <w:ind w:left="447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C375BE"/>
    <w:multiLevelType w:val="hybridMultilevel"/>
    <w:tmpl w:val="7632F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8E8660F"/>
    <w:multiLevelType w:val="hybridMultilevel"/>
    <w:tmpl w:val="7CC61D10"/>
    <w:lvl w:ilvl="0" w:tplc="B4C22C5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1B875D2"/>
    <w:multiLevelType w:val="hybridMultilevel"/>
    <w:tmpl w:val="0616BFAC"/>
    <w:lvl w:ilvl="0" w:tplc="4DC27E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1F123D"/>
    <w:multiLevelType w:val="hybridMultilevel"/>
    <w:tmpl w:val="6BBEDD32"/>
    <w:lvl w:ilvl="0" w:tplc="D0CCE1D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D25995"/>
    <w:multiLevelType w:val="hybridMultilevel"/>
    <w:tmpl w:val="2660B5C8"/>
    <w:lvl w:ilvl="0" w:tplc="9606EC5C">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7EEE4623"/>
    <w:multiLevelType w:val="hybridMultilevel"/>
    <w:tmpl w:val="5EB490D2"/>
    <w:lvl w:ilvl="0" w:tplc="1D36EFC8">
      <w:start w:val="1"/>
      <w:numFmt w:val="decimal"/>
      <w:lvlText w:val="%1."/>
      <w:lvlJc w:val="left"/>
      <w:pPr>
        <w:ind w:left="928" w:hanging="360"/>
      </w:pPr>
      <w:rPr>
        <w:rFonts w:hint="default"/>
        <w:b w:val="0"/>
        <w:bCs/>
        <w:strike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7"/>
  </w:num>
  <w:num w:numId="2">
    <w:abstractNumId w:val="14"/>
  </w:num>
  <w:num w:numId="3">
    <w:abstractNumId w:val="3"/>
  </w:num>
  <w:num w:numId="4">
    <w:abstractNumId w:val="6"/>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1"/>
  </w:num>
  <w:num w:numId="10">
    <w:abstractNumId w:val="13"/>
  </w:num>
  <w:num w:numId="11">
    <w:abstractNumId w:val="2"/>
  </w:num>
  <w:num w:numId="12">
    <w:abstractNumId w:val="5"/>
  </w:num>
  <w:num w:numId="13">
    <w:abstractNumId w:val="1"/>
  </w:num>
  <w:num w:numId="14">
    <w:abstractNumId w:val="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31"/>
    <w:rsid w:val="0001238D"/>
    <w:rsid w:val="00035FDF"/>
    <w:rsid w:val="00036C5E"/>
    <w:rsid w:val="00067458"/>
    <w:rsid w:val="00071EA7"/>
    <w:rsid w:val="00072CBD"/>
    <w:rsid w:val="00082CEE"/>
    <w:rsid w:val="0009052D"/>
    <w:rsid w:val="00095621"/>
    <w:rsid w:val="00095F31"/>
    <w:rsid w:val="000A307B"/>
    <w:rsid w:val="000C52A6"/>
    <w:rsid w:val="000E281A"/>
    <w:rsid w:val="000E50A4"/>
    <w:rsid w:val="000F0031"/>
    <w:rsid w:val="000F0AAE"/>
    <w:rsid w:val="000F4CF2"/>
    <w:rsid w:val="000F58C3"/>
    <w:rsid w:val="000F5ADA"/>
    <w:rsid w:val="00106141"/>
    <w:rsid w:val="00110729"/>
    <w:rsid w:val="00113EB0"/>
    <w:rsid w:val="00123CDD"/>
    <w:rsid w:val="00134D9A"/>
    <w:rsid w:val="00135BDB"/>
    <w:rsid w:val="00137EE2"/>
    <w:rsid w:val="001401D5"/>
    <w:rsid w:val="00140FC8"/>
    <w:rsid w:val="0014266D"/>
    <w:rsid w:val="00147EF4"/>
    <w:rsid w:val="00153BB3"/>
    <w:rsid w:val="00156DC1"/>
    <w:rsid w:val="00156EA2"/>
    <w:rsid w:val="00160B03"/>
    <w:rsid w:val="00171115"/>
    <w:rsid w:val="00181ED9"/>
    <w:rsid w:val="00192E2D"/>
    <w:rsid w:val="001A6076"/>
    <w:rsid w:val="001B311F"/>
    <w:rsid w:val="001B7E0B"/>
    <w:rsid w:val="001C144D"/>
    <w:rsid w:val="001C1B7F"/>
    <w:rsid w:val="001C4193"/>
    <w:rsid w:val="001E441B"/>
    <w:rsid w:val="001E7C29"/>
    <w:rsid w:val="001F297D"/>
    <w:rsid w:val="001F4F04"/>
    <w:rsid w:val="001F5B42"/>
    <w:rsid w:val="00214299"/>
    <w:rsid w:val="002250DD"/>
    <w:rsid w:val="00226526"/>
    <w:rsid w:val="0023437D"/>
    <w:rsid w:val="00242ABB"/>
    <w:rsid w:val="00244FA2"/>
    <w:rsid w:val="00251353"/>
    <w:rsid w:val="002543D7"/>
    <w:rsid w:val="00262B36"/>
    <w:rsid w:val="00265917"/>
    <w:rsid w:val="002660DB"/>
    <w:rsid w:val="00267B87"/>
    <w:rsid w:val="002746C8"/>
    <w:rsid w:val="002861FB"/>
    <w:rsid w:val="00293EE6"/>
    <w:rsid w:val="002C05EA"/>
    <w:rsid w:val="002C0872"/>
    <w:rsid w:val="002C20BA"/>
    <w:rsid w:val="002C43B5"/>
    <w:rsid w:val="002C4704"/>
    <w:rsid w:val="002D0655"/>
    <w:rsid w:val="002D11B8"/>
    <w:rsid w:val="002E4089"/>
    <w:rsid w:val="002E5027"/>
    <w:rsid w:val="002F3006"/>
    <w:rsid w:val="002F405C"/>
    <w:rsid w:val="002F6BB7"/>
    <w:rsid w:val="0030200D"/>
    <w:rsid w:val="00303712"/>
    <w:rsid w:val="00317140"/>
    <w:rsid w:val="003354C4"/>
    <w:rsid w:val="00335CAF"/>
    <w:rsid w:val="003364D1"/>
    <w:rsid w:val="00351796"/>
    <w:rsid w:val="0036698B"/>
    <w:rsid w:val="0037200F"/>
    <w:rsid w:val="00373957"/>
    <w:rsid w:val="0038117F"/>
    <w:rsid w:val="00381C50"/>
    <w:rsid w:val="00385587"/>
    <w:rsid w:val="00386C4B"/>
    <w:rsid w:val="00391B68"/>
    <w:rsid w:val="00392D1D"/>
    <w:rsid w:val="00395781"/>
    <w:rsid w:val="003A5509"/>
    <w:rsid w:val="003B2C8C"/>
    <w:rsid w:val="003B345B"/>
    <w:rsid w:val="003D3B17"/>
    <w:rsid w:val="003D48AE"/>
    <w:rsid w:val="003D6AC2"/>
    <w:rsid w:val="003E047B"/>
    <w:rsid w:val="003F3D4B"/>
    <w:rsid w:val="0040027C"/>
    <w:rsid w:val="00400868"/>
    <w:rsid w:val="00404E79"/>
    <w:rsid w:val="004256CB"/>
    <w:rsid w:val="004329B7"/>
    <w:rsid w:val="00443709"/>
    <w:rsid w:val="004446CE"/>
    <w:rsid w:val="00447D22"/>
    <w:rsid w:val="004553F6"/>
    <w:rsid w:val="00480D8B"/>
    <w:rsid w:val="00490A74"/>
    <w:rsid w:val="00491067"/>
    <w:rsid w:val="004A37E1"/>
    <w:rsid w:val="004A63B3"/>
    <w:rsid w:val="004C0C2F"/>
    <w:rsid w:val="004C11B3"/>
    <w:rsid w:val="0050115D"/>
    <w:rsid w:val="0051238F"/>
    <w:rsid w:val="0054041B"/>
    <w:rsid w:val="00545080"/>
    <w:rsid w:val="00550B6C"/>
    <w:rsid w:val="00574663"/>
    <w:rsid w:val="005944AA"/>
    <w:rsid w:val="005A446C"/>
    <w:rsid w:val="005B1FA1"/>
    <w:rsid w:val="005B3604"/>
    <w:rsid w:val="005B4692"/>
    <w:rsid w:val="005C73BB"/>
    <w:rsid w:val="005D4ED2"/>
    <w:rsid w:val="005D7CDF"/>
    <w:rsid w:val="005F093B"/>
    <w:rsid w:val="005F3DC6"/>
    <w:rsid w:val="00612B61"/>
    <w:rsid w:val="00614982"/>
    <w:rsid w:val="00625304"/>
    <w:rsid w:val="00631491"/>
    <w:rsid w:val="00641234"/>
    <w:rsid w:val="00641EFB"/>
    <w:rsid w:val="00643231"/>
    <w:rsid w:val="00643C3F"/>
    <w:rsid w:val="00644AD3"/>
    <w:rsid w:val="006455FA"/>
    <w:rsid w:val="00660638"/>
    <w:rsid w:val="0066614D"/>
    <w:rsid w:val="00671684"/>
    <w:rsid w:val="006718E2"/>
    <w:rsid w:val="00671EA2"/>
    <w:rsid w:val="006827E4"/>
    <w:rsid w:val="006908C5"/>
    <w:rsid w:val="006A40DD"/>
    <w:rsid w:val="006A6850"/>
    <w:rsid w:val="006B6811"/>
    <w:rsid w:val="006C06AD"/>
    <w:rsid w:val="006E6FA7"/>
    <w:rsid w:val="006F0318"/>
    <w:rsid w:val="006F6B48"/>
    <w:rsid w:val="00701B55"/>
    <w:rsid w:val="00712E65"/>
    <w:rsid w:val="007150DE"/>
    <w:rsid w:val="00721866"/>
    <w:rsid w:val="00735569"/>
    <w:rsid w:val="00744DC8"/>
    <w:rsid w:val="00745A0A"/>
    <w:rsid w:val="007541C7"/>
    <w:rsid w:val="00761627"/>
    <w:rsid w:val="00773CFE"/>
    <w:rsid w:val="00777331"/>
    <w:rsid w:val="00780B1B"/>
    <w:rsid w:val="007A3F42"/>
    <w:rsid w:val="007A543D"/>
    <w:rsid w:val="007B3DD0"/>
    <w:rsid w:val="007C0AD1"/>
    <w:rsid w:val="007D3924"/>
    <w:rsid w:val="007D7B20"/>
    <w:rsid w:val="007E168C"/>
    <w:rsid w:val="007F5E78"/>
    <w:rsid w:val="007F6C88"/>
    <w:rsid w:val="00800A19"/>
    <w:rsid w:val="008042E6"/>
    <w:rsid w:val="00805F04"/>
    <w:rsid w:val="00810D5A"/>
    <w:rsid w:val="00814AA2"/>
    <w:rsid w:val="00817316"/>
    <w:rsid w:val="0082394F"/>
    <w:rsid w:val="00853C90"/>
    <w:rsid w:val="008575F2"/>
    <w:rsid w:val="00857F73"/>
    <w:rsid w:val="0087380A"/>
    <w:rsid w:val="0087557D"/>
    <w:rsid w:val="00877E5C"/>
    <w:rsid w:val="00890656"/>
    <w:rsid w:val="008912D0"/>
    <w:rsid w:val="008B07D4"/>
    <w:rsid w:val="008C009D"/>
    <w:rsid w:val="008C12CC"/>
    <w:rsid w:val="008D4E28"/>
    <w:rsid w:val="008E1BA3"/>
    <w:rsid w:val="008E21ED"/>
    <w:rsid w:val="009149C2"/>
    <w:rsid w:val="00916BF5"/>
    <w:rsid w:val="009215B8"/>
    <w:rsid w:val="00923554"/>
    <w:rsid w:val="00924BDD"/>
    <w:rsid w:val="00924C7C"/>
    <w:rsid w:val="009270C4"/>
    <w:rsid w:val="00940F14"/>
    <w:rsid w:val="009432D0"/>
    <w:rsid w:val="00950D67"/>
    <w:rsid w:val="009527D7"/>
    <w:rsid w:val="00952F04"/>
    <w:rsid w:val="00955512"/>
    <w:rsid w:val="00963962"/>
    <w:rsid w:val="00974C41"/>
    <w:rsid w:val="009B2712"/>
    <w:rsid w:val="009B3AB7"/>
    <w:rsid w:val="009B3C90"/>
    <w:rsid w:val="009B565A"/>
    <w:rsid w:val="009C5258"/>
    <w:rsid w:val="009D1BF0"/>
    <w:rsid w:val="009D28F3"/>
    <w:rsid w:val="00A04033"/>
    <w:rsid w:val="00A12DEC"/>
    <w:rsid w:val="00A20183"/>
    <w:rsid w:val="00A20393"/>
    <w:rsid w:val="00A22D53"/>
    <w:rsid w:val="00A3084A"/>
    <w:rsid w:val="00A37E36"/>
    <w:rsid w:val="00A4568F"/>
    <w:rsid w:val="00A464F4"/>
    <w:rsid w:val="00A474E5"/>
    <w:rsid w:val="00A53D4A"/>
    <w:rsid w:val="00A842D4"/>
    <w:rsid w:val="00A93CA3"/>
    <w:rsid w:val="00AB6552"/>
    <w:rsid w:val="00AB67F8"/>
    <w:rsid w:val="00AB7727"/>
    <w:rsid w:val="00AC30A2"/>
    <w:rsid w:val="00AC73AA"/>
    <w:rsid w:val="00AE70B2"/>
    <w:rsid w:val="00AE76B8"/>
    <w:rsid w:val="00B03F9A"/>
    <w:rsid w:val="00B06133"/>
    <w:rsid w:val="00B11361"/>
    <w:rsid w:val="00B129D8"/>
    <w:rsid w:val="00B227AE"/>
    <w:rsid w:val="00B41B03"/>
    <w:rsid w:val="00B41EC3"/>
    <w:rsid w:val="00B43090"/>
    <w:rsid w:val="00B63F08"/>
    <w:rsid w:val="00B65B88"/>
    <w:rsid w:val="00B81BAC"/>
    <w:rsid w:val="00B849E0"/>
    <w:rsid w:val="00B90246"/>
    <w:rsid w:val="00B920E4"/>
    <w:rsid w:val="00BA10C5"/>
    <w:rsid w:val="00BA1D69"/>
    <w:rsid w:val="00BA79A3"/>
    <w:rsid w:val="00BB7DCE"/>
    <w:rsid w:val="00BD25C0"/>
    <w:rsid w:val="00BD541E"/>
    <w:rsid w:val="00BF023D"/>
    <w:rsid w:val="00BF45AE"/>
    <w:rsid w:val="00BF78B3"/>
    <w:rsid w:val="00C049EE"/>
    <w:rsid w:val="00C109FD"/>
    <w:rsid w:val="00C14C2C"/>
    <w:rsid w:val="00C26A3F"/>
    <w:rsid w:val="00C409C2"/>
    <w:rsid w:val="00C51214"/>
    <w:rsid w:val="00C72314"/>
    <w:rsid w:val="00C74E6F"/>
    <w:rsid w:val="00C80696"/>
    <w:rsid w:val="00C8348A"/>
    <w:rsid w:val="00C92F89"/>
    <w:rsid w:val="00CA4ACE"/>
    <w:rsid w:val="00CC17BE"/>
    <w:rsid w:val="00CC39DC"/>
    <w:rsid w:val="00CD3684"/>
    <w:rsid w:val="00CE1FF8"/>
    <w:rsid w:val="00CE4890"/>
    <w:rsid w:val="00CE6FD2"/>
    <w:rsid w:val="00CF0210"/>
    <w:rsid w:val="00CF21FB"/>
    <w:rsid w:val="00D0182E"/>
    <w:rsid w:val="00D0265B"/>
    <w:rsid w:val="00D0300B"/>
    <w:rsid w:val="00D24A57"/>
    <w:rsid w:val="00D53526"/>
    <w:rsid w:val="00D554E6"/>
    <w:rsid w:val="00D558D4"/>
    <w:rsid w:val="00D70628"/>
    <w:rsid w:val="00D71646"/>
    <w:rsid w:val="00D73435"/>
    <w:rsid w:val="00DA4068"/>
    <w:rsid w:val="00DA7643"/>
    <w:rsid w:val="00DB029C"/>
    <w:rsid w:val="00DB0952"/>
    <w:rsid w:val="00DB1D00"/>
    <w:rsid w:val="00DB5BC0"/>
    <w:rsid w:val="00DC162E"/>
    <w:rsid w:val="00DC4A39"/>
    <w:rsid w:val="00DD2D09"/>
    <w:rsid w:val="00DE0A21"/>
    <w:rsid w:val="00DF31AC"/>
    <w:rsid w:val="00DF6796"/>
    <w:rsid w:val="00E125C6"/>
    <w:rsid w:val="00E15639"/>
    <w:rsid w:val="00E16C7D"/>
    <w:rsid w:val="00E173B5"/>
    <w:rsid w:val="00E24C57"/>
    <w:rsid w:val="00E25892"/>
    <w:rsid w:val="00E3764B"/>
    <w:rsid w:val="00E37F80"/>
    <w:rsid w:val="00E457C3"/>
    <w:rsid w:val="00E475F9"/>
    <w:rsid w:val="00E50974"/>
    <w:rsid w:val="00E54322"/>
    <w:rsid w:val="00E86611"/>
    <w:rsid w:val="00E940BF"/>
    <w:rsid w:val="00EA643A"/>
    <w:rsid w:val="00EE34E3"/>
    <w:rsid w:val="00F01885"/>
    <w:rsid w:val="00F16218"/>
    <w:rsid w:val="00F168A4"/>
    <w:rsid w:val="00F17BC1"/>
    <w:rsid w:val="00F2380B"/>
    <w:rsid w:val="00F24713"/>
    <w:rsid w:val="00F31C23"/>
    <w:rsid w:val="00F40699"/>
    <w:rsid w:val="00F433D6"/>
    <w:rsid w:val="00F45264"/>
    <w:rsid w:val="00F61D34"/>
    <w:rsid w:val="00F63A9D"/>
    <w:rsid w:val="00F71C80"/>
    <w:rsid w:val="00F76BBD"/>
    <w:rsid w:val="00F96689"/>
    <w:rsid w:val="00F97308"/>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3D63FC9"/>
  <w15:docId w15:val="{15524679-191D-4F25-BF1C-9AD81BD2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2">
    <w:name w:val="heading 2"/>
    <w:basedOn w:val="Normal"/>
    <w:next w:val="Normal"/>
    <w:link w:val="Heading2Char"/>
    <w:uiPriority w:val="9"/>
    <w:semiHidden/>
    <w:unhideWhenUsed/>
    <w:qFormat/>
    <w:rsid w:val="008755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7557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7557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7557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poznppMV,Footnote Text Char Char,Footnote Text Char1 Char Char,Footnote Text Char Char Char Char,Footnote Text Char2 Char Char Char Char Char,Footnote Text Char1 Char Char Char Char Char Char,n,Char,Carattere, Carattere,single space"/>
    <w:basedOn w:val="Normal"/>
    <w:link w:val="FootnoteTextChar"/>
    <w:uiPriority w:val="99"/>
    <w:unhideWhenUsed/>
    <w:qFormat/>
    <w:rsid w:val="009C5258"/>
    <w:rPr>
      <w:sz w:val="16"/>
      <w:szCs w:val="20"/>
    </w:rPr>
  </w:style>
  <w:style w:type="character" w:customStyle="1" w:styleId="FootnoteTextChar">
    <w:name w:val="Footnote Text Char"/>
    <w:aliases w:val="poznppMV Char,Footnote Text Char Char Char,Footnote Text Char1 Char Char Char,Footnote Text Char Char Char Char Char,Footnote Text Char2 Char Char Char Char Char Char,Footnote Text Char1 Char Char Char Char Char Char Char,n Char"/>
    <w:link w:val="FootnoteText"/>
    <w:uiPriority w:val="99"/>
    <w:rsid w:val="009C5258"/>
    <w:rPr>
      <w:rFonts w:ascii="Arial" w:hAnsi="Arial"/>
      <w:sz w:val="16"/>
      <w:lang w:val="fr-FR" w:eastAsia="en-US"/>
    </w:rPr>
  </w:style>
  <w:style w:type="character" w:styleId="FootnoteReference">
    <w:name w:val="footnote reference"/>
    <w:aliases w:val="BVI fnr,BVI fnr Car Car,BVI fnr Car,BVI fnr Car Car Car Car,BVI fnr Car Car Car Car Char,BVI fnr Car1 Char Знак,BVI fnr Char1 Car Char Car Char Знак,BVI fnr Car1 Char Car Char Car Char Знак,Footnotes refss,callout,fr,ftref,o,Style 6"/>
    <w:link w:val="BVIfnrCar1Char"/>
    <w:uiPriority w:val="99"/>
    <w:unhideWhenUsed/>
    <w:qFormat/>
    <w:rsid w:val="00853C90"/>
    <w:rPr>
      <w:vertAlign w:val="superscript"/>
    </w:rPr>
  </w:style>
  <w:style w:type="paragraph" w:styleId="NormalWeb">
    <w:name w:val="Normal (Web)"/>
    <w:aliases w:val="Normal (Web) Char,Normal (Web) Char1 Char,Normal (Web) Char Char Char,Normal (Web) Char1 Char Char Char,Normal (Web) Char Char Char Char Char,Normal (Web) Char1 Char Char Char Char Char,Normal (Web) Char Char Char Char Char Char Char"/>
    <w:basedOn w:val="Normal"/>
    <w:link w:val="NormalWebChar1"/>
    <w:uiPriority w:val="99"/>
    <w:unhideWhenUsed/>
    <w:rsid w:val="0009052D"/>
    <w:rPr>
      <w:rFonts w:ascii="Times New Roman" w:hAnsi="Times New Roman"/>
      <w:sz w:val="24"/>
      <w:szCs w:val="24"/>
    </w:rPr>
  </w:style>
  <w:style w:type="paragraph" w:styleId="ListParagraph">
    <w:name w:val="List Paragraph"/>
    <w:aliases w:val="Recommendation,List Paragraph1,Абзац списка,Fiche List Paragraph,Bullets,Akapit z listą BS,Bullet1,List Paragraph (numbered (a)),Normal 1,List Paragraph 1,NumberedParas,ActRep List,Outline List,MAIN CONTENT,List Paragraph12"/>
    <w:basedOn w:val="Normal"/>
    <w:link w:val="ListParagraphChar"/>
    <w:uiPriority w:val="34"/>
    <w:qFormat/>
    <w:rsid w:val="0009052D"/>
    <w:pPr>
      <w:ind w:left="720"/>
      <w:contextualSpacing/>
    </w:pPr>
  </w:style>
  <w:style w:type="paragraph" w:customStyle="1" w:styleId="BVIfnrCar1Char">
    <w:name w:val="BVI fnr Car1 Char"/>
    <w:aliases w:val="BVI fnr Char1 Car Char Car Char,BVI fnr Car1 Char Car Char Car Char,BVI fnr Char Car Char Car Char Car Char,BVI fnr Car Car Char Car Char Car Char Car Char,BVI fnr Char Car Char Car Char Car Char Char,callou"/>
    <w:basedOn w:val="Normal"/>
    <w:link w:val="FootnoteReference"/>
    <w:uiPriority w:val="17"/>
    <w:rsid w:val="0009052D"/>
    <w:pPr>
      <w:spacing w:after="160" w:line="240" w:lineRule="exact"/>
      <w:jc w:val="both"/>
    </w:pPr>
    <w:rPr>
      <w:rFonts w:ascii="Calibri" w:hAnsi="Calibri"/>
      <w:szCs w:val="20"/>
      <w:vertAlign w:val="superscript"/>
      <w:lang w:eastAsia="en-GB"/>
    </w:rPr>
  </w:style>
  <w:style w:type="table" w:customStyle="1" w:styleId="TableGrid2">
    <w:name w:val="Table Grid2"/>
    <w:basedOn w:val="TableNormal"/>
    <w:rsid w:val="0009052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052D"/>
    <w:rPr>
      <w:color w:val="800080" w:themeColor="followedHyperlink"/>
      <w:u w:val="single"/>
    </w:rPr>
  </w:style>
  <w:style w:type="paragraph" w:customStyle="1" w:styleId="Default">
    <w:name w:val="Default"/>
    <w:rsid w:val="0009052D"/>
    <w:pPr>
      <w:autoSpaceDE w:val="0"/>
      <w:autoSpaceDN w:val="0"/>
      <w:adjustRightInd w:val="0"/>
    </w:pPr>
    <w:rPr>
      <w:rFonts w:ascii="Tahoma" w:eastAsiaTheme="minorHAnsi" w:hAnsi="Tahoma" w:cs="Tahoma"/>
      <w:color w:val="000000"/>
      <w:sz w:val="24"/>
      <w:szCs w:val="24"/>
      <w:lang w:val="en-US" w:eastAsia="en-US"/>
    </w:rPr>
  </w:style>
  <w:style w:type="character" w:styleId="Emphasis">
    <w:name w:val="Emphasis"/>
    <w:uiPriority w:val="20"/>
    <w:qFormat/>
    <w:rsid w:val="0009052D"/>
    <w:rPr>
      <w:i/>
      <w:iCs/>
    </w:rPr>
  </w:style>
  <w:style w:type="character" w:styleId="UnresolvedMention">
    <w:name w:val="Unresolved Mention"/>
    <w:basedOn w:val="DefaultParagraphFont"/>
    <w:uiPriority w:val="99"/>
    <w:semiHidden/>
    <w:unhideWhenUsed/>
    <w:rsid w:val="0009052D"/>
    <w:rPr>
      <w:color w:val="605E5C"/>
      <w:shd w:val="clear" w:color="auto" w:fill="E1DFDD"/>
    </w:rPr>
  </w:style>
  <w:style w:type="paragraph" w:customStyle="1" w:styleId="lead">
    <w:name w:val="lead"/>
    <w:basedOn w:val="Normal"/>
    <w:rsid w:val="0009052D"/>
    <w:pPr>
      <w:spacing w:before="100" w:beforeAutospacing="1" w:after="100" w:afterAutospacing="1"/>
    </w:pPr>
    <w:rPr>
      <w:rFonts w:ascii="Times New Roman" w:eastAsiaTheme="minorHAnsi" w:hAnsi="Times New Roman"/>
      <w:sz w:val="24"/>
      <w:szCs w:val="24"/>
      <w:lang w:val="fr-FR" w:eastAsia="fr-FR"/>
    </w:rPr>
  </w:style>
  <w:style w:type="character" w:customStyle="1" w:styleId="NormalWebChar1">
    <w:name w:val="Normal (Web) Char1"/>
    <w:aliases w:val="Normal (Web) Char Char,Normal (Web) Char1 Char Char,Normal (Web) Char Char Char Char,Normal (Web) Char1 Char Char Char Char,Normal (Web) Char Char Char Char Char Char,Normal (Web) Char1 Char Char Char Char Char Char"/>
    <w:link w:val="NormalWeb"/>
    <w:uiPriority w:val="99"/>
    <w:locked/>
    <w:rsid w:val="0009052D"/>
    <w:rPr>
      <w:rFonts w:ascii="Times New Roman" w:hAnsi="Times New Roman"/>
      <w:sz w:val="24"/>
      <w:szCs w:val="24"/>
      <w:lang w:eastAsia="en-US"/>
    </w:rPr>
  </w:style>
  <w:style w:type="paragraph" w:customStyle="1" w:styleId="wordsection1">
    <w:name w:val="wordsection1"/>
    <w:basedOn w:val="Normal"/>
    <w:uiPriority w:val="99"/>
    <w:rsid w:val="0009052D"/>
    <w:pPr>
      <w:spacing w:before="100" w:beforeAutospacing="1" w:after="100" w:afterAutospacing="1"/>
    </w:pPr>
    <w:rPr>
      <w:rFonts w:ascii="Times New Roman" w:eastAsiaTheme="minorHAnsi" w:hAnsi="Times New Roman"/>
      <w:sz w:val="24"/>
      <w:szCs w:val="24"/>
      <w:lang w:val="fr-FR" w:eastAsia="ru-RU"/>
    </w:rPr>
  </w:style>
  <w:style w:type="character" w:customStyle="1" w:styleId="ListParagraphChar">
    <w:name w:val="List Paragraph Char"/>
    <w:aliases w:val="Recommendation Char,List Paragraph1 Char,Абзац списка Char,Fiche List Paragraph Char,Bullets Char,Akapit z listą BS Char,Bullet1 Char,List Paragraph (numbered (a)) Char,Normal 1 Char,List Paragraph 1 Char,NumberedParas Char"/>
    <w:link w:val="ListParagraph"/>
    <w:uiPriority w:val="34"/>
    <w:qFormat/>
    <w:locked/>
    <w:rsid w:val="0009052D"/>
    <w:rPr>
      <w:rFonts w:ascii="Arial" w:hAnsi="Arial"/>
      <w:szCs w:val="22"/>
      <w:lang w:eastAsia="en-US"/>
    </w:rPr>
  </w:style>
  <w:style w:type="character" w:customStyle="1" w:styleId="s15">
    <w:name w:val="s15"/>
    <w:basedOn w:val="DefaultParagraphFont"/>
    <w:rsid w:val="0009052D"/>
  </w:style>
  <w:style w:type="character" w:styleId="Strong">
    <w:name w:val="Strong"/>
    <w:basedOn w:val="DefaultParagraphFont"/>
    <w:uiPriority w:val="22"/>
    <w:qFormat/>
    <w:rsid w:val="0009052D"/>
    <w:rPr>
      <w:b/>
      <w:bCs/>
    </w:rPr>
  </w:style>
  <w:style w:type="character" w:customStyle="1" w:styleId="FootnoteTextChar1">
    <w:name w:val="Footnote Text Char1"/>
    <w:basedOn w:val="DefaultParagraphFont"/>
    <w:uiPriority w:val="99"/>
    <w:semiHidden/>
    <w:rsid w:val="00F31C23"/>
    <w:rPr>
      <w:rFonts w:ascii="Arial" w:eastAsia="Calibri" w:hAnsi="Arial" w:cs="Times New Roman"/>
      <w:sz w:val="20"/>
      <w:szCs w:val="20"/>
      <w:lang w:val="en-GB"/>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rsid w:val="00F31C23"/>
    <w:pPr>
      <w:spacing w:after="160" w:line="240" w:lineRule="exact"/>
    </w:pPr>
    <w:rPr>
      <w:rFonts w:asciiTheme="minorHAnsi" w:eastAsiaTheme="minorHAnsi" w:hAnsiTheme="minorHAnsi" w:cstheme="minorBidi"/>
      <w:sz w:val="22"/>
      <w:vertAlign w:val="superscript"/>
      <w:lang w:val="fr-FR"/>
    </w:rPr>
  </w:style>
  <w:style w:type="paragraph" w:styleId="PlainText">
    <w:name w:val="Plain Text"/>
    <w:basedOn w:val="Normal"/>
    <w:link w:val="PlainTextChar"/>
    <w:uiPriority w:val="99"/>
    <w:unhideWhenUsed/>
    <w:rsid w:val="00F31C23"/>
    <w:rPr>
      <w:rFonts w:ascii="Calibri" w:eastAsiaTheme="minorHAnsi" w:hAnsi="Calibri" w:cstheme="minorBidi"/>
      <w:sz w:val="22"/>
      <w:szCs w:val="21"/>
      <w:lang w:val="fr-FR"/>
    </w:rPr>
  </w:style>
  <w:style w:type="character" w:customStyle="1" w:styleId="PlainTextChar">
    <w:name w:val="Plain Text Char"/>
    <w:basedOn w:val="DefaultParagraphFont"/>
    <w:link w:val="PlainText"/>
    <w:uiPriority w:val="99"/>
    <w:rsid w:val="00F31C23"/>
    <w:rPr>
      <w:rFonts w:eastAsiaTheme="minorHAnsi" w:cstheme="minorBidi"/>
      <w:sz w:val="22"/>
      <w:szCs w:val="21"/>
      <w:lang w:val="fr-FR" w:eastAsia="en-US"/>
    </w:rPr>
  </w:style>
  <w:style w:type="paragraph" w:styleId="Revision">
    <w:name w:val="Revision"/>
    <w:hidden/>
    <w:uiPriority w:val="99"/>
    <w:semiHidden/>
    <w:rsid w:val="00F31C23"/>
    <w:rPr>
      <w:rFonts w:ascii="Arial" w:hAnsi="Arial"/>
      <w:szCs w:val="22"/>
      <w:lang w:eastAsia="en-US"/>
    </w:rPr>
  </w:style>
  <w:style w:type="paragraph" w:styleId="HTMLPreformatted">
    <w:name w:val="HTML Preformatted"/>
    <w:basedOn w:val="Normal"/>
    <w:link w:val="HTMLPreformattedChar"/>
    <w:uiPriority w:val="99"/>
    <w:semiHidden/>
    <w:unhideWhenUsed/>
    <w:rsid w:val="005D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fr-FR" w:eastAsia="fr-FR"/>
    </w:rPr>
  </w:style>
  <w:style w:type="character" w:customStyle="1" w:styleId="HTMLPreformattedChar">
    <w:name w:val="HTML Preformatted Char"/>
    <w:basedOn w:val="DefaultParagraphFont"/>
    <w:link w:val="HTMLPreformatted"/>
    <w:uiPriority w:val="99"/>
    <w:semiHidden/>
    <w:rsid w:val="005D4ED2"/>
    <w:rPr>
      <w:rFonts w:ascii="Courier New" w:eastAsia="Times New Roman" w:hAnsi="Courier New" w:cs="Courier New"/>
      <w:lang w:val="fr-FR" w:eastAsia="fr-FR"/>
    </w:rPr>
  </w:style>
  <w:style w:type="paragraph" w:customStyle="1" w:styleId="NormalHanging12a">
    <w:name w:val="NormalHanging12a"/>
    <w:basedOn w:val="Normal"/>
    <w:rsid w:val="005D4ED2"/>
    <w:pPr>
      <w:widowControl w:val="0"/>
      <w:spacing w:after="240"/>
      <w:ind w:left="567" w:hanging="567"/>
    </w:pPr>
    <w:rPr>
      <w:rFonts w:ascii="Times New Roman" w:eastAsia="Times New Roman" w:hAnsi="Times New Roman"/>
      <w:sz w:val="24"/>
      <w:szCs w:val="20"/>
      <w:lang w:eastAsia="en-GB"/>
    </w:rPr>
  </w:style>
  <w:style w:type="character" w:customStyle="1" w:styleId="Heading2Char">
    <w:name w:val="Heading 2 Char"/>
    <w:basedOn w:val="DefaultParagraphFont"/>
    <w:link w:val="Heading2"/>
    <w:uiPriority w:val="9"/>
    <w:semiHidden/>
    <w:rsid w:val="0087557D"/>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87557D"/>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87557D"/>
    <w:rPr>
      <w:rFonts w:asciiTheme="majorHAnsi" w:eastAsiaTheme="majorEastAsia" w:hAnsiTheme="majorHAnsi" w:cstheme="majorBidi"/>
      <w:i/>
      <w:iCs/>
      <w:color w:val="365F91" w:themeColor="accent1" w:themeShade="BF"/>
      <w:szCs w:val="22"/>
      <w:lang w:eastAsia="en-US"/>
    </w:rPr>
  </w:style>
  <w:style w:type="character" w:customStyle="1" w:styleId="Heading5Char">
    <w:name w:val="Heading 5 Char"/>
    <w:basedOn w:val="DefaultParagraphFont"/>
    <w:link w:val="Heading5"/>
    <w:uiPriority w:val="9"/>
    <w:semiHidden/>
    <w:rsid w:val="0087557D"/>
    <w:rPr>
      <w:rFonts w:asciiTheme="majorHAnsi" w:eastAsiaTheme="majorEastAsia" w:hAnsiTheme="majorHAnsi" w:cstheme="majorBidi"/>
      <w:color w:val="365F91" w:themeColor="accent1" w:themeShade="BF"/>
      <w:szCs w:val="22"/>
      <w:lang w:eastAsia="en-US"/>
    </w:rPr>
  </w:style>
  <w:style w:type="paragraph" w:customStyle="1" w:styleId="calloutCharCharCharCharCharCharCharCharCharChar1CharCharCharChar">
    <w:name w:val="callout Char Char Char Char Char Char Char Char Char Char1 Char Char Char Char"/>
    <w:aliases w:val="Footnotes refss Char Char Char Char Char Char Char Char1 Char Char Char Char Char Char Char Char Char Char Char"/>
    <w:basedOn w:val="Normal"/>
    <w:uiPriority w:val="17"/>
    <w:rsid w:val="0087557D"/>
    <w:pPr>
      <w:spacing w:after="160" w:line="240" w:lineRule="exact"/>
    </w:pPr>
    <w:rPr>
      <w:rFonts w:ascii="Calibri" w:hAnsi="Calibri"/>
      <w:szCs w:val="20"/>
      <w:vertAlign w:val="superscript"/>
      <w:lang w:eastAsia="en-GB"/>
    </w:rPr>
  </w:style>
  <w:style w:type="paragraph" w:customStyle="1" w:styleId="yiv9109008500msonormal">
    <w:name w:val="yiv9109008500msonormal"/>
    <w:basedOn w:val="Normal"/>
    <w:rsid w:val="0087557D"/>
    <w:pPr>
      <w:spacing w:before="100" w:beforeAutospacing="1" w:after="100" w:afterAutospacing="1"/>
    </w:pPr>
    <w:rPr>
      <w:rFonts w:ascii="Times New Roman" w:eastAsia="Times New Roman" w:hAnsi="Times New Roman"/>
      <w:sz w:val="24"/>
      <w:szCs w:val="24"/>
      <w:lang w:val="en-US"/>
    </w:rPr>
  </w:style>
  <w:style w:type="paragraph" w:styleId="NoSpacing">
    <w:name w:val="No Spacing"/>
    <w:link w:val="NoSpacingChar"/>
    <w:uiPriority w:val="1"/>
    <w:qFormat/>
    <w:rsid w:val="0087557D"/>
    <w:rPr>
      <w:sz w:val="22"/>
      <w:szCs w:val="22"/>
      <w:lang w:val="en-US" w:eastAsia="en-US"/>
    </w:rPr>
  </w:style>
  <w:style w:type="character" w:customStyle="1" w:styleId="NoSpacingChar">
    <w:name w:val="No Spacing Char"/>
    <w:link w:val="NoSpacing"/>
    <w:uiPriority w:val="1"/>
    <w:rsid w:val="0087557D"/>
    <w:rPr>
      <w:sz w:val="22"/>
      <w:szCs w:val="22"/>
      <w:lang w:val="en-US" w:eastAsia="en-US"/>
    </w:rPr>
  </w:style>
  <w:style w:type="paragraph" w:styleId="Title">
    <w:name w:val="Title"/>
    <w:basedOn w:val="Normal"/>
    <w:link w:val="TitleChar"/>
    <w:uiPriority w:val="10"/>
    <w:qFormat/>
    <w:rsid w:val="0087557D"/>
    <w:pPr>
      <w:jc w:val="center"/>
    </w:pPr>
    <w:rPr>
      <w:rFonts w:ascii="Times New Roman" w:eastAsiaTheme="minorHAnsi" w:hAnsi="Times New Roman"/>
      <w:b/>
      <w:bCs/>
      <w:sz w:val="48"/>
      <w:szCs w:val="48"/>
    </w:rPr>
  </w:style>
  <w:style w:type="character" w:customStyle="1" w:styleId="TitleChar">
    <w:name w:val="Title Char"/>
    <w:basedOn w:val="DefaultParagraphFont"/>
    <w:link w:val="Title"/>
    <w:uiPriority w:val="10"/>
    <w:rsid w:val="0087557D"/>
    <w:rPr>
      <w:rFonts w:ascii="Times New Roman" w:eastAsiaTheme="minorHAnsi" w:hAnsi="Times New Roman"/>
      <w:b/>
      <w:bCs/>
      <w:sz w:val="48"/>
      <w:szCs w:val="48"/>
      <w:lang w:eastAsia="en-US"/>
    </w:rPr>
  </w:style>
  <w:style w:type="character" w:customStyle="1" w:styleId="visual-border-emphase1">
    <w:name w:val="visual-border-emphase1"/>
    <w:basedOn w:val="DefaultParagraphFont"/>
    <w:rsid w:val="0087557D"/>
    <w:rPr>
      <w:vanish w:val="0"/>
      <w:webHidden w:val="0"/>
      <w:bdr w:val="single" w:sz="6" w:space="4" w:color="D0D0D0" w:frame="1"/>
      <w:shd w:val="clear" w:color="auto" w:fill="F3F3F3"/>
      <w:specVanish w:val="0"/>
    </w:rPr>
  </w:style>
  <w:style w:type="character" w:customStyle="1" w:styleId="ilfuvd">
    <w:name w:val="ilfuvd"/>
    <w:basedOn w:val="DefaultParagraphFont"/>
    <w:rsid w:val="0087557D"/>
  </w:style>
  <w:style w:type="paragraph" w:styleId="EndnoteText">
    <w:name w:val="endnote text"/>
    <w:basedOn w:val="Normal"/>
    <w:link w:val="EndnoteTextChar"/>
    <w:rsid w:val="0087557D"/>
    <w:rPr>
      <w:rFonts w:ascii="Times New Roman" w:eastAsia="Times New Roman" w:hAnsi="Times New Roman"/>
      <w:szCs w:val="20"/>
      <w:lang w:eastAsia="fr-FR"/>
    </w:rPr>
  </w:style>
  <w:style w:type="character" w:customStyle="1" w:styleId="EndnoteTextChar">
    <w:name w:val="Endnote Text Char"/>
    <w:basedOn w:val="DefaultParagraphFont"/>
    <w:link w:val="EndnoteText"/>
    <w:rsid w:val="0087557D"/>
    <w:rPr>
      <w:rFonts w:ascii="Times New Roman" w:eastAsia="Times New Roman" w:hAnsi="Times New Roman"/>
      <w:lang w:eastAsia="fr-FR"/>
    </w:rPr>
  </w:style>
  <w:style w:type="paragraph" w:customStyle="1" w:styleId="HeadingA">
    <w:name w:val="Heading A"/>
    <w:basedOn w:val="Heading3"/>
    <w:qFormat/>
    <w:rsid w:val="0087557D"/>
    <w:pPr>
      <w:numPr>
        <w:numId w:val="7"/>
      </w:numPr>
      <w:tabs>
        <w:tab w:val="num" w:pos="360"/>
      </w:tabs>
      <w:spacing w:before="200" w:after="120"/>
      <w:ind w:left="0" w:firstLine="0"/>
    </w:pPr>
    <w:rPr>
      <w:rFonts w:asciiTheme="minorHAnsi" w:hAnsiTheme="minorHAnsi"/>
      <w:b/>
      <w:color w:val="auto"/>
      <w:sz w:val="32"/>
      <w:szCs w:val="20"/>
      <w:lang w:eastAsia="de-DE"/>
    </w:rPr>
  </w:style>
  <w:style w:type="paragraph" w:customStyle="1" w:styleId="HeadingB">
    <w:name w:val="Heading B"/>
    <w:basedOn w:val="Heading4"/>
    <w:qFormat/>
    <w:rsid w:val="0087557D"/>
    <w:pPr>
      <w:numPr>
        <w:ilvl w:val="1"/>
        <w:numId w:val="7"/>
      </w:numPr>
      <w:tabs>
        <w:tab w:val="num" w:pos="360"/>
      </w:tabs>
      <w:spacing w:before="200" w:after="120"/>
      <w:ind w:left="0" w:firstLine="0"/>
    </w:pPr>
    <w:rPr>
      <w:rFonts w:asciiTheme="minorHAnsi" w:hAnsiTheme="minorHAnsi"/>
      <w:b/>
      <w:color w:val="auto"/>
      <w:sz w:val="28"/>
      <w:szCs w:val="20"/>
      <w:lang w:eastAsia="de-DE"/>
    </w:rPr>
  </w:style>
  <w:style w:type="paragraph" w:customStyle="1" w:styleId="Style2">
    <w:name w:val="Style2"/>
    <w:basedOn w:val="Heading5"/>
    <w:qFormat/>
    <w:rsid w:val="0087557D"/>
    <w:pPr>
      <w:numPr>
        <w:ilvl w:val="2"/>
        <w:numId w:val="7"/>
      </w:numPr>
      <w:tabs>
        <w:tab w:val="num" w:pos="360"/>
      </w:tabs>
      <w:spacing w:before="120" w:after="120"/>
      <w:ind w:left="0" w:firstLine="0"/>
    </w:pPr>
    <w:rPr>
      <w:rFonts w:asciiTheme="minorHAnsi" w:hAnsiTheme="minorHAnsi"/>
      <w:b/>
      <w:i/>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un.org/sustainabledevelopme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4.png"/><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4812F45-A3E2-433C-9066-28A89793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9818</Words>
  <Characters>54001</Characters>
  <Application>Microsoft Office Word</Application>
  <DocSecurity>0</DocSecurity>
  <Lines>450</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63692</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EVANS Elizabeth</cp:lastModifiedBy>
  <cp:revision>4</cp:revision>
  <cp:lastPrinted>2016-03-16T18:37:00Z</cp:lastPrinted>
  <dcterms:created xsi:type="dcterms:W3CDTF">2022-04-22T12:48:00Z</dcterms:created>
  <dcterms:modified xsi:type="dcterms:W3CDTF">2022-05-16T09:18:00Z</dcterms:modified>
</cp:coreProperties>
</file>