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67E6F0C" w14:textId="77777777" w:rsidTr="00E54322">
        <w:trPr>
          <w:trHeight w:val="737"/>
        </w:trPr>
        <w:tc>
          <w:tcPr>
            <w:tcW w:w="1250" w:type="pct"/>
            <w:shd w:val="clear" w:color="auto" w:fill="auto"/>
            <w:vAlign w:val="center"/>
          </w:tcPr>
          <w:p w14:paraId="04C67FAF"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4E1D2002" w14:textId="77777777" w:rsidR="002D11B8" w:rsidRPr="009C5258" w:rsidRDefault="002A66FE" w:rsidP="00E54322">
            <w:pPr>
              <w:ind w:left="-108"/>
              <w:jc w:val="center"/>
              <w:rPr>
                <w:rFonts w:ascii="Arial Narrow" w:hAnsi="Arial Narrow" w:cs="Arial"/>
                <w:szCs w:val="20"/>
              </w:rPr>
            </w:pPr>
            <w:r w:rsidRPr="002A66FE">
              <w:rPr>
                <w:rFonts w:ascii="Arial Narrow" w:hAnsi="Arial Narrow" w:cs="Calibri"/>
                <w:szCs w:val="20"/>
              </w:rPr>
              <w:t>Notes on the Agenda</w:t>
            </w:r>
          </w:p>
        </w:tc>
        <w:tc>
          <w:tcPr>
            <w:tcW w:w="1250" w:type="pct"/>
            <w:shd w:val="clear" w:color="auto" w:fill="auto"/>
            <w:vAlign w:val="center"/>
          </w:tcPr>
          <w:p w14:paraId="4E61D8D9" w14:textId="6BAE9255" w:rsidR="002D11B8" w:rsidRPr="00757FF1" w:rsidRDefault="00757FF1" w:rsidP="00FF584C">
            <w:pPr>
              <w:ind w:left="-40"/>
              <w:jc w:val="center"/>
              <w:rPr>
                <w:rFonts w:ascii="Arial Narrow" w:hAnsi="Arial Narrow" w:cs="Arial"/>
                <w:b/>
                <w:sz w:val="22"/>
              </w:rPr>
            </w:pPr>
            <w:r w:rsidRPr="00757FF1">
              <w:rPr>
                <w:rFonts w:ascii="Arial Narrow" w:hAnsi="Arial Narrow" w:cs="Calibri"/>
                <w:b/>
                <w:sz w:val="22"/>
              </w:rPr>
              <w:t>CM/Notes/1390/H46-6</w:t>
            </w:r>
          </w:p>
        </w:tc>
        <w:tc>
          <w:tcPr>
            <w:tcW w:w="1250" w:type="pct"/>
            <w:shd w:val="clear" w:color="auto" w:fill="auto"/>
            <w:vAlign w:val="center"/>
          </w:tcPr>
          <w:p w14:paraId="1AC8DACB" w14:textId="520183C7" w:rsidR="002D11B8" w:rsidRPr="00F96689" w:rsidRDefault="00645BBC" w:rsidP="006B3C60">
            <w:pPr>
              <w:jc w:val="right"/>
              <w:rPr>
                <w:rFonts w:ascii="Arial Narrow" w:hAnsi="Arial Narrow" w:cs="Arial"/>
                <w:sz w:val="16"/>
                <w:szCs w:val="16"/>
              </w:rPr>
            </w:pPr>
            <w:r>
              <w:rPr>
                <w:rFonts w:ascii="Arial Narrow" w:hAnsi="Arial Narrow" w:cs="Arial"/>
                <w:sz w:val="16"/>
                <w:szCs w:val="16"/>
              </w:rPr>
              <w:t>3 December 2020</w:t>
            </w:r>
          </w:p>
        </w:tc>
      </w:tr>
    </w:tbl>
    <w:p w14:paraId="5B76D5E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3D7EE8" w14:paraId="5676E03D" w14:textId="77777777" w:rsidTr="00E54322">
        <w:tc>
          <w:tcPr>
            <w:tcW w:w="9399" w:type="dxa"/>
            <w:shd w:val="clear" w:color="auto" w:fill="auto"/>
            <w:tcMar>
              <w:top w:w="227" w:type="dxa"/>
              <w:bottom w:w="227" w:type="dxa"/>
            </w:tcMar>
            <w:vAlign w:val="center"/>
          </w:tcPr>
          <w:p w14:paraId="78F9081C" w14:textId="6F11EE13" w:rsidR="00E24C57" w:rsidRPr="00D73FF1" w:rsidRDefault="003D6AC2" w:rsidP="00E54322">
            <w:pPr>
              <w:widowControl w:val="0"/>
              <w:autoSpaceDE w:val="0"/>
              <w:autoSpaceDN w:val="0"/>
              <w:adjustRightInd w:val="0"/>
              <w:rPr>
                <w:rFonts w:ascii="Arial Narrow" w:hAnsi="Arial Narrow" w:cs="Calibri"/>
                <w:b/>
                <w:bCs/>
                <w:sz w:val="32"/>
                <w:szCs w:val="32"/>
              </w:rPr>
            </w:pPr>
            <w:r w:rsidRPr="00D73FF1">
              <w:rPr>
                <w:rFonts w:ascii="Arial Narrow" w:hAnsi="Arial Narrow" w:cs="Calibri"/>
                <w:b/>
                <w:bCs/>
                <w:sz w:val="32"/>
                <w:szCs w:val="32"/>
              </w:rPr>
              <w:t>1</w:t>
            </w:r>
            <w:r w:rsidR="00FF584C">
              <w:rPr>
                <w:rFonts w:ascii="Arial Narrow" w:hAnsi="Arial Narrow" w:cs="Calibri"/>
                <w:b/>
                <w:bCs/>
                <w:sz w:val="32"/>
                <w:szCs w:val="32"/>
              </w:rPr>
              <w:t>3</w:t>
            </w:r>
            <w:r w:rsidR="008C089A">
              <w:rPr>
                <w:rFonts w:ascii="Arial Narrow" w:hAnsi="Arial Narrow" w:cs="Calibri"/>
                <w:b/>
                <w:bCs/>
                <w:sz w:val="32"/>
                <w:szCs w:val="32"/>
              </w:rPr>
              <w:t>90</w:t>
            </w:r>
            <w:r w:rsidR="008C089A" w:rsidRPr="008C089A">
              <w:rPr>
                <w:rFonts w:ascii="Arial Narrow" w:hAnsi="Arial Narrow" w:cs="Calibri"/>
                <w:b/>
                <w:bCs/>
                <w:sz w:val="32"/>
                <w:szCs w:val="32"/>
                <w:vertAlign w:val="superscript"/>
              </w:rPr>
              <w:t>th</w:t>
            </w:r>
            <w:r w:rsidR="008C089A">
              <w:rPr>
                <w:rFonts w:ascii="Arial Narrow" w:hAnsi="Arial Narrow" w:cs="Calibri"/>
                <w:b/>
                <w:bCs/>
                <w:sz w:val="32"/>
                <w:szCs w:val="32"/>
              </w:rPr>
              <w:t xml:space="preserve"> </w:t>
            </w:r>
            <w:r w:rsidR="005F18B9">
              <w:rPr>
                <w:rFonts w:ascii="Arial Narrow" w:hAnsi="Arial Narrow" w:cs="Calibri"/>
                <w:b/>
                <w:bCs/>
                <w:sz w:val="32"/>
                <w:szCs w:val="32"/>
              </w:rPr>
              <w:t xml:space="preserve">meeting, </w:t>
            </w:r>
            <w:r w:rsidR="008C089A">
              <w:rPr>
                <w:rFonts w:ascii="Arial Narrow" w:hAnsi="Arial Narrow" w:cs="Calibri"/>
                <w:b/>
                <w:bCs/>
                <w:sz w:val="32"/>
                <w:szCs w:val="32"/>
              </w:rPr>
              <w:t>1-3</w:t>
            </w:r>
            <w:r w:rsidR="0038248E">
              <w:rPr>
                <w:rFonts w:ascii="Arial Narrow" w:hAnsi="Arial Narrow" w:cs="Calibri"/>
                <w:b/>
                <w:bCs/>
                <w:sz w:val="32"/>
                <w:szCs w:val="32"/>
              </w:rPr>
              <w:t xml:space="preserve"> </w:t>
            </w:r>
            <w:r w:rsidR="008C089A">
              <w:rPr>
                <w:rFonts w:ascii="Arial Narrow" w:hAnsi="Arial Narrow" w:cs="Calibri"/>
                <w:b/>
                <w:bCs/>
                <w:sz w:val="32"/>
                <w:szCs w:val="32"/>
              </w:rPr>
              <w:t>Dec</w:t>
            </w:r>
            <w:r w:rsidR="0038248E">
              <w:rPr>
                <w:rFonts w:ascii="Arial Narrow" w:hAnsi="Arial Narrow" w:cs="Calibri"/>
                <w:b/>
                <w:bCs/>
                <w:sz w:val="32"/>
                <w:szCs w:val="32"/>
              </w:rPr>
              <w:t>ember</w:t>
            </w:r>
            <w:r w:rsidR="006B4EE5" w:rsidRPr="006B4EE5">
              <w:rPr>
                <w:rFonts w:ascii="Arial Narrow" w:hAnsi="Arial Narrow" w:cs="Calibri"/>
                <w:b/>
                <w:bCs/>
                <w:sz w:val="32"/>
                <w:szCs w:val="32"/>
              </w:rPr>
              <w:t xml:space="preserve"> </w:t>
            </w:r>
            <w:r w:rsidR="003F6583">
              <w:rPr>
                <w:rFonts w:ascii="Arial Narrow" w:hAnsi="Arial Narrow" w:cs="Calibri"/>
                <w:b/>
                <w:bCs/>
                <w:sz w:val="32"/>
                <w:szCs w:val="32"/>
              </w:rPr>
              <w:t>2020</w:t>
            </w:r>
            <w:r w:rsidR="005F18B9">
              <w:rPr>
                <w:rFonts w:ascii="Arial Narrow" w:hAnsi="Arial Narrow" w:cs="Calibri"/>
                <w:b/>
                <w:bCs/>
                <w:sz w:val="32"/>
                <w:szCs w:val="32"/>
              </w:rPr>
              <w:t xml:space="preserve"> (DH)</w:t>
            </w:r>
          </w:p>
          <w:p w14:paraId="04B90A6B" w14:textId="77777777" w:rsidR="00242ABB" w:rsidRPr="00D73FF1" w:rsidRDefault="005F18B9" w:rsidP="00E54322">
            <w:pPr>
              <w:rPr>
                <w:rFonts w:ascii="Arial Narrow" w:hAnsi="Arial Narrow" w:cs="Calibri"/>
                <w:sz w:val="22"/>
              </w:rPr>
            </w:pPr>
            <w:r>
              <w:rPr>
                <w:rFonts w:ascii="Arial Narrow" w:hAnsi="Arial Narrow" w:cs="Calibri"/>
                <w:sz w:val="22"/>
              </w:rPr>
              <w:t>Human rights</w:t>
            </w:r>
          </w:p>
          <w:p w14:paraId="49D1623E" w14:textId="77777777" w:rsidR="0037200F" w:rsidRPr="00D73FF1" w:rsidRDefault="00CE6FD2" w:rsidP="00E54322">
            <w:pPr>
              <w:rPr>
                <w:rFonts w:ascii="Arial Narrow" w:hAnsi="Arial Narrow" w:cs="Calibri"/>
                <w:i/>
                <w:szCs w:val="20"/>
              </w:rPr>
            </w:pPr>
            <w:r w:rsidRPr="00D73FF1">
              <w:rPr>
                <w:rFonts w:ascii="Arial Narrow" w:hAnsi="Arial Narrow" w:cs="Calibri"/>
                <w:i/>
                <w:szCs w:val="20"/>
              </w:rPr>
              <w:t xml:space="preserve"> </w:t>
            </w:r>
          </w:p>
          <w:p w14:paraId="00B2C748" w14:textId="65DD9990" w:rsidR="003D6AC2" w:rsidRPr="00D73FF1" w:rsidRDefault="005F18B9" w:rsidP="00E54322">
            <w:pPr>
              <w:rPr>
                <w:rFonts w:ascii="Arial Narrow" w:hAnsi="Arial Narrow" w:cs="Calibri"/>
                <w:b/>
                <w:sz w:val="28"/>
                <w:szCs w:val="28"/>
              </w:rPr>
            </w:pPr>
            <w:r>
              <w:rPr>
                <w:rFonts w:ascii="Arial Narrow" w:hAnsi="Arial Narrow" w:cs="Calibri"/>
                <w:b/>
                <w:sz w:val="28"/>
                <w:szCs w:val="28"/>
              </w:rPr>
              <w:t>H46-</w:t>
            </w:r>
            <w:r w:rsidR="00C73A65">
              <w:rPr>
                <w:rFonts w:ascii="Arial Narrow" w:hAnsi="Arial Narrow" w:cs="Calibri"/>
                <w:b/>
                <w:sz w:val="28"/>
                <w:szCs w:val="28"/>
              </w:rPr>
              <w:t xml:space="preserve">6 </w:t>
            </w:r>
            <w:proofErr w:type="spellStart"/>
            <w:r w:rsidR="00C73A65" w:rsidRPr="00C73A65">
              <w:rPr>
                <w:rFonts w:ascii="Arial Narrow" w:hAnsi="Arial Narrow" w:cs="Calibri"/>
                <w:b/>
                <w:sz w:val="28"/>
                <w:szCs w:val="28"/>
              </w:rPr>
              <w:t>Skendžić</w:t>
            </w:r>
            <w:proofErr w:type="spellEnd"/>
            <w:r w:rsidR="00C73A65" w:rsidRPr="00C73A65">
              <w:rPr>
                <w:rFonts w:ascii="Arial Narrow" w:hAnsi="Arial Narrow" w:cs="Calibri"/>
                <w:b/>
                <w:sz w:val="28"/>
                <w:szCs w:val="28"/>
              </w:rPr>
              <w:t xml:space="preserve"> and </w:t>
            </w:r>
            <w:proofErr w:type="spellStart"/>
            <w:r w:rsidR="00C73A65" w:rsidRPr="00C73A65">
              <w:rPr>
                <w:rFonts w:ascii="Arial Narrow" w:hAnsi="Arial Narrow" w:cs="Calibri"/>
                <w:b/>
                <w:sz w:val="28"/>
                <w:szCs w:val="28"/>
              </w:rPr>
              <w:t>Krznarić</w:t>
            </w:r>
            <w:proofErr w:type="spellEnd"/>
            <w:r w:rsidR="00C73A65" w:rsidRPr="00C73A65">
              <w:rPr>
                <w:rFonts w:ascii="Arial Narrow" w:hAnsi="Arial Narrow" w:cs="Calibri"/>
                <w:b/>
                <w:sz w:val="28"/>
                <w:szCs w:val="28"/>
              </w:rPr>
              <w:t xml:space="preserve"> group v. Croatia (Application No. 16212/08)</w:t>
            </w:r>
          </w:p>
          <w:p w14:paraId="6593D811" w14:textId="77777777" w:rsidR="00242ABB" w:rsidRPr="00D73FF1" w:rsidRDefault="005F18B9" w:rsidP="00E54322">
            <w:pPr>
              <w:rPr>
                <w:rFonts w:ascii="Arial Narrow" w:hAnsi="Arial Narrow" w:cs="Calibri"/>
                <w:sz w:val="22"/>
              </w:rPr>
            </w:pPr>
            <w:r w:rsidRPr="005F18B9">
              <w:rPr>
                <w:rFonts w:ascii="Arial Narrow" w:hAnsi="Arial Narrow" w:cs="Calibri"/>
                <w:sz w:val="22"/>
              </w:rPr>
              <w:t xml:space="preserve">Supervision of the execution of the European Court’s judgments </w:t>
            </w:r>
          </w:p>
          <w:p w14:paraId="73D4E5E1" w14:textId="77777777" w:rsidR="002A66FE" w:rsidRPr="00D73FF1" w:rsidRDefault="002A66FE" w:rsidP="002A66FE">
            <w:pPr>
              <w:rPr>
                <w:rFonts w:ascii="Arial Narrow" w:hAnsi="Arial Narrow" w:cs="Calibri"/>
                <w:szCs w:val="20"/>
              </w:rPr>
            </w:pPr>
          </w:p>
          <w:p w14:paraId="4983EF02" w14:textId="77777777" w:rsidR="002A66FE" w:rsidRPr="00C73A65" w:rsidRDefault="002A66FE" w:rsidP="002A66FE">
            <w:pPr>
              <w:rPr>
                <w:rFonts w:ascii="Arial Narrow" w:hAnsi="Arial Narrow" w:cs="Calibri"/>
                <w:sz w:val="18"/>
                <w:szCs w:val="18"/>
                <w:lang w:val="es-ES"/>
              </w:rPr>
            </w:pPr>
            <w:r w:rsidRPr="00C73A65">
              <w:rPr>
                <w:rFonts w:ascii="Arial Narrow" w:hAnsi="Arial Narrow" w:cs="Calibri"/>
                <w:sz w:val="18"/>
                <w:szCs w:val="18"/>
                <w:lang w:val="es-ES"/>
              </w:rPr>
              <w:t xml:space="preserve">Reference </w:t>
            </w:r>
            <w:proofErr w:type="spellStart"/>
            <w:r w:rsidRPr="00C73A65">
              <w:rPr>
                <w:rFonts w:ascii="Arial Narrow" w:hAnsi="Arial Narrow" w:cs="Calibri"/>
                <w:sz w:val="18"/>
                <w:szCs w:val="18"/>
                <w:lang w:val="es-ES"/>
              </w:rPr>
              <w:t>documents</w:t>
            </w:r>
            <w:proofErr w:type="spellEnd"/>
          </w:p>
          <w:bookmarkStart w:id="0" w:name="_ML_000000000001_VALID"/>
          <w:p w14:paraId="65750CBF" w14:textId="562BBA33" w:rsidR="00E457C3" w:rsidRPr="00C73A65" w:rsidRDefault="00757FF1" w:rsidP="002A66FE">
            <w:pPr>
              <w:rPr>
                <w:rFonts w:ascii="Arial Narrow" w:hAnsi="Arial Narrow" w:cs="Calibri"/>
                <w:b/>
                <w:szCs w:val="20"/>
                <w:lang w:val="es-ES"/>
              </w:rPr>
            </w:pPr>
            <w:r w:rsidRPr="00757FF1">
              <w:rPr>
                <w:rFonts w:ascii="Arial Narrow" w:hAnsi="Arial Narrow" w:cs="Calibri"/>
                <w:sz w:val="18"/>
                <w:szCs w:val="18"/>
                <w:lang w:val="es-ES"/>
              </w:rPr>
              <w:fldChar w:fldCharType="begin"/>
            </w:r>
            <w:r w:rsidRPr="00757FF1">
              <w:rPr>
                <w:rFonts w:ascii="Arial Narrow" w:hAnsi="Arial Narrow" w:cs="Calibri"/>
                <w:sz w:val="18"/>
                <w:szCs w:val="18"/>
                <w:lang w:val="es-ES"/>
              </w:rPr>
              <w:instrText xml:space="preserve"> HYPERLINK "https://search.coe.int/cm/Pages/result_details.aspx?Reference=DH-DD(2020)880" \o "1390th meeting (December 2020) (DH) - Action plan (08/10/2020) - Communication from Croatia concerning the group of cases of SKENDZIC AND KRZNARIC v. Croatia (Application No. 16212/08) [anglais uniquement] " </w:instrText>
            </w:r>
            <w:r w:rsidRPr="00757FF1">
              <w:rPr>
                <w:rFonts w:ascii="Arial Narrow" w:hAnsi="Arial Narrow" w:cs="Calibri"/>
                <w:sz w:val="18"/>
                <w:szCs w:val="18"/>
                <w:lang w:val="es-ES"/>
              </w:rPr>
              <w:fldChar w:fldCharType="separate"/>
            </w:r>
            <w:bookmarkEnd w:id="0"/>
            <w:r w:rsidRPr="00757FF1">
              <w:rPr>
                <w:rStyle w:val="Hyperlink"/>
                <w:rFonts w:ascii="Arial Narrow" w:hAnsi="Arial Narrow" w:cs="Calibri"/>
                <w:sz w:val="18"/>
                <w:szCs w:val="18"/>
                <w:lang w:val="es-ES"/>
              </w:rPr>
              <w:t>DH-DD(2020)880</w:t>
            </w:r>
            <w:r w:rsidRPr="00757FF1">
              <w:rPr>
                <w:rFonts w:ascii="Arial Narrow" w:hAnsi="Arial Narrow" w:cs="Calibri"/>
                <w:sz w:val="18"/>
                <w:szCs w:val="18"/>
                <w:lang w:val="es-ES"/>
              </w:rPr>
              <w:fldChar w:fldCharType="end"/>
            </w:r>
            <w:r w:rsidR="00C73A65" w:rsidRPr="00C73A65">
              <w:rPr>
                <w:rFonts w:ascii="Arial Narrow" w:hAnsi="Arial Narrow" w:cs="Calibri"/>
                <w:sz w:val="18"/>
                <w:szCs w:val="18"/>
                <w:lang w:val="es-ES"/>
              </w:rPr>
              <w:t xml:space="preserve">, </w:t>
            </w:r>
            <w:bookmarkStart w:id="1" w:name="_ML_000000000002_INVALID"/>
            <w:r w:rsidRPr="00757FF1">
              <w:rPr>
                <w:rFonts w:ascii="Arial Narrow" w:hAnsi="Arial Narrow" w:cs="Calibri"/>
                <w:sz w:val="18"/>
                <w:szCs w:val="18"/>
                <w:lang w:val="es-ES"/>
              </w:rPr>
              <w:fldChar w:fldCharType="begin"/>
            </w:r>
            <w:r w:rsidRPr="00757FF1">
              <w:rPr>
                <w:rFonts w:ascii="Arial Narrow" w:hAnsi="Arial Narrow" w:cs="Calibri"/>
                <w:sz w:val="18"/>
                <w:szCs w:val="18"/>
                <w:lang w:val="es-ES"/>
              </w:rPr>
              <w:instrText xml:space="preserve"> HYPERLINK "https://search.coe.int/cm/Pages/result_details.aspx?Reference=CM/Del/Dec(2019)1348/H46-7" </w:instrText>
            </w:r>
            <w:r w:rsidRPr="00757FF1">
              <w:rPr>
                <w:rFonts w:ascii="Arial Narrow" w:hAnsi="Arial Narrow" w:cs="Calibri"/>
                <w:sz w:val="18"/>
                <w:szCs w:val="18"/>
                <w:lang w:val="es-ES"/>
              </w:rPr>
              <w:fldChar w:fldCharType="separate"/>
            </w:r>
            <w:bookmarkEnd w:id="1"/>
            <w:r w:rsidRPr="00757FF1">
              <w:rPr>
                <w:rStyle w:val="Hyperlink"/>
                <w:rFonts w:ascii="Arial Narrow" w:hAnsi="Arial Narrow" w:cs="Calibri"/>
                <w:sz w:val="18"/>
                <w:szCs w:val="18"/>
                <w:lang w:val="es-ES"/>
              </w:rPr>
              <w:t>CM/Del/</w:t>
            </w:r>
            <w:proofErr w:type="spellStart"/>
            <w:r w:rsidRPr="00757FF1">
              <w:rPr>
                <w:rStyle w:val="Hyperlink"/>
                <w:rFonts w:ascii="Arial Narrow" w:hAnsi="Arial Narrow" w:cs="Calibri"/>
                <w:sz w:val="18"/>
                <w:szCs w:val="18"/>
                <w:lang w:val="es-ES"/>
              </w:rPr>
              <w:t>Dec</w:t>
            </w:r>
            <w:proofErr w:type="spellEnd"/>
            <w:r w:rsidRPr="00757FF1">
              <w:rPr>
                <w:rStyle w:val="Hyperlink"/>
                <w:rFonts w:ascii="Arial Narrow" w:hAnsi="Arial Narrow" w:cs="Calibri"/>
                <w:sz w:val="18"/>
                <w:szCs w:val="18"/>
                <w:lang w:val="es-ES"/>
              </w:rPr>
              <w:t>(2019)1348/H46-7</w:t>
            </w:r>
            <w:r w:rsidRPr="00757FF1">
              <w:rPr>
                <w:rFonts w:ascii="Arial Narrow" w:hAnsi="Arial Narrow" w:cs="Calibri"/>
                <w:sz w:val="18"/>
                <w:szCs w:val="18"/>
                <w:lang w:val="es-ES"/>
              </w:rPr>
              <w:fldChar w:fldCharType="end"/>
            </w:r>
          </w:p>
        </w:tc>
      </w:tr>
    </w:tbl>
    <w:p w14:paraId="298570BC" w14:textId="77777777" w:rsidR="00E54322" w:rsidRPr="00C73A65" w:rsidRDefault="00E54322" w:rsidP="0037200F">
      <w:pPr>
        <w:rPr>
          <w:rFonts w:eastAsia="Times New Roman"/>
          <w:szCs w:val="24"/>
          <w:lang w:val="es-ES"/>
        </w:rPr>
      </w:pPr>
      <w:r w:rsidRPr="00C73A65">
        <w:rPr>
          <w:rFonts w:eastAsia="Times New Roman"/>
          <w:szCs w:val="24"/>
          <w:lang w:val="es-ES"/>
        </w:rPr>
        <w:t xml:space="preserve"> </w:t>
      </w:r>
    </w:p>
    <w:p w14:paraId="44FFBB81" w14:textId="77777777" w:rsidR="002A66FE" w:rsidRPr="003D7EE8" w:rsidRDefault="002A66FE" w:rsidP="002A66FE">
      <w:pPr>
        <w:pStyle w:val="COELignes"/>
        <w:rPr>
          <w:lang w:val="es-ES"/>
        </w:rPr>
      </w:pPr>
    </w:p>
    <w:tbl>
      <w:tblPr>
        <w:tblW w:w="944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957"/>
        <w:gridCol w:w="1531"/>
        <w:gridCol w:w="1417"/>
        <w:gridCol w:w="2033"/>
      </w:tblGrid>
      <w:tr w:rsidR="00C73A65" w:rsidRPr="00AD7B69" w14:paraId="08DCD619" w14:textId="77777777" w:rsidTr="00497188">
        <w:tc>
          <w:tcPr>
            <w:tcW w:w="1504" w:type="dxa"/>
            <w:tcBorders>
              <w:top w:val="single" w:sz="4" w:space="0" w:color="auto"/>
              <w:left w:val="single" w:sz="4" w:space="0" w:color="auto"/>
              <w:bottom w:val="single" w:sz="4" w:space="0" w:color="auto"/>
              <w:right w:val="single" w:sz="4" w:space="0" w:color="auto"/>
            </w:tcBorders>
            <w:vAlign w:val="center"/>
          </w:tcPr>
          <w:p w14:paraId="2F5EF1C5" w14:textId="77777777" w:rsidR="00C73A65" w:rsidRPr="00AD7B69" w:rsidRDefault="00C73A65" w:rsidP="00ED781C">
            <w:pPr>
              <w:rPr>
                <w:rFonts w:cs="Arial"/>
                <w:b/>
                <w:bCs/>
                <w:sz w:val="18"/>
                <w:szCs w:val="18"/>
              </w:rPr>
            </w:pPr>
            <w:r w:rsidRPr="00AD7B69">
              <w:rPr>
                <w:rFonts w:cs="Arial"/>
                <w:b/>
                <w:bCs/>
                <w:sz w:val="18"/>
                <w:szCs w:val="18"/>
              </w:rPr>
              <w:t>Application</w:t>
            </w:r>
          </w:p>
        </w:tc>
        <w:tc>
          <w:tcPr>
            <w:tcW w:w="2957" w:type="dxa"/>
            <w:tcBorders>
              <w:top w:val="single" w:sz="4" w:space="0" w:color="auto"/>
              <w:left w:val="single" w:sz="4" w:space="0" w:color="auto"/>
              <w:bottom w:val="single" w:sz="4" w:space="0" w:color="auto"/>
              <w:right w:val="single" w:sz="4" w:space="0" w:color="auto"/>
            </w:tcBorders>
            <w:vAlign w:val="center"/>
          </w:tcPr>
          <w:p w14:paraId="686DE7D5" w14:textId="77777777" w:rsidR="00C73A65" w:rsidRPr="00AD7B69" w:rsidRDefault="00C73A65" w:rsidP="00ED781C">
            <w:pPr>
              <w:rPr>
                <w:rFonts w:cs="Arial"/>
                <w:b/>
                <w:bCs/>
                <w:sz w:val="18"/>
                <w:szCs w:val="18"/>
              </w:rPr>
            </w:pPr>
            <w:r w:rsidRPr="00AD7B69">
              <w:rPr>
                <w:rFonts w:cs="Arial"/>
                <w:b/>
                <w:bCs/>
                <w:sz w:val="18"/>
                <w:szCs w:val="18"/>
              </w:rPr>
              <w:t>Case</w:t>
            </w:r>
          </w:p>
        </w:tc>
        <w:tc>
          <w:tcPr>
            <w:tcW w:w="1531" w:type="dxa"/>
            <w:tcBorders>
              <w:top w:val="single" w:sz="4" w:space="0" w:color="auto"/>
              <w:left w:val="single" w:sz="4" w:space="0" w:color="auto"/>
              <w:bottom w:val="single" w:sz="4" w:space="0" w:color="auto"/>
              <w:right w:val="single" w:sz="4" w:space="0" w:color="auto"/>
            </w:tcBorders>
            <w:vAlign w:val="center"/>
          </w:tcPr>
          <w:p w14:paraId="5B63CB57" w14:textId="77777777" w:rsidR="00C73A65" w:rsidRPr="00AD7B69" w:rsidRDefault="00C73A65" w:rsidP="00ED781C">
            <w:pPr>
              <w:rPr>
                <w:rFonts w:cs="Arial"/>
                <w:b/>
                <w:bCs/>
                <w:sz w:val="18"/>
                <w:szCs w:val="18"/>
              </w:rPr>
            </w:pPr>
            <w:r w:rsidRPr="00AD7B69">
              <w:rPr>
                <w:rFonts w:cs="Arial"/>
                <w:b/>
                <w:bCs/>
                <w:sz w:val="18"/>
                <w:szCs w:val="18"/>
              </w:rPr>
              <w:t>Judgment of</w:t>
            </w:r>
          </w:p>
        </w:tc>
        <w:tc>
          <w:tcPr>
            <w:tcW w:w="1417" w:type="dxa"/>
            <w:tcBorders>
              <w:top w:val="single" w:sz="4" w:space="0" w:color="auto"/>
              <w:left w:val="single" w:sz="4" w:space="0" w:color="auto"/>
              <w:bottom w:val="single" w:sz="4" w:space="0" w:color="auto"/>
              <w:right w:val="single" w:sz="4" w:space="0" w:color="auto"/>
            </w:tcBorders>
            <w:vAlign w:val="center"/>
          </w:tcPr>
          <w:p w14:paraId="1E7CB734" w14:textId="77777777" w:rsidR="00C73A65" w:rsidRPr="00AD7B69" w:rsidRDefault="00C73A65" w:rsidP="00ED781C">
            <w:pPr>
              <w:rPr>
                <w:rFonts w:cs="Arial"/>
                <w:b/>
                <w:bCs/>
                <w:sz w:val="18"/>
                <w:szCs w:val="18"/>
              </w:rPr>
            </w:pPr>
            <w:r w:rsidRPr="00AD7B69">
              <w:rPr>
                <w:rFonts w:cs="Arial"/>
                <w:b/>
                <w:bCs/>
                <w:sz w:val="18"/>
                <w:szCs w:val="18"/>
              </w:rPr>
              <w:t>Final on</w:t>
            </w:r>
          </w:p>
        </w:tc>
        <w:tc>
          <w:tcPr>
            <w:tcW w:w="2033" w:type="dxa"/>
            <w:tcBorders>
              <w:top w:val="single" w:sz="4" w:space="0" w:color="auto"/>
              <w:left w:val="single" w:sz="4" w:space="0" w:color="auto"/>
              <w:right w:val="single" w:sz="4" w:space="0" w:color="auto"/>
            </w:tcBorders>
            <w:vAlign w:val="center"/>
          </w:tcPr>
          <w:p w14:paraId="318CFD44" w14:textId="77777777" w:rsidR="00C73A65" w:rsidRPr="00AD7B69" w:rsidRDefault="00C73A65" w:rsidP="00ED781C">
            <w:pPr>
              <w:rPr>
                <w:rFonts w:cs="Arial"/>
                <w:b/>
                <w:bCs/>
                <w:sz w:val="18"/>
                <w:szCs w:val="18"/>
              </w:rPr>
            </w:pPr>
            <w:r w:rsidRPr="00AD7B69">
              <w:rPr>
                <w:rFonts w:cs="Arial"/>
                <w:b/>
                <w:bCs/>
                <w:sz w:val="18"/>
                <w:szCs w:val="18"/>
              </w:rPr>
              <w:t>Indicator for the classification</w:t>
            </w:r>
          </w:p>
        </w:tc>
      </w:tr>
      <w:tr w:rsidR="00C73A65" w:rsidRPr="00AD7B69" w14:paraId="67A3C41E" w14:textId="77777777" w:rsidTr="00497188">
        <w:tc>
          <w:tcPr>
            <w:tcW w:w="1504" w:type="dxa"/>
            <w:tcBorders>
              <w:top w:val="single" w:sz="4" w:space="0" w:color="auto"/>
              <w:left w:val="single" w:sz="4" w:space="0" w:color="auto"/>
              <w:bottom w:val="single" w:sz="4" w:space="0" w:color="auto"/>
              <w:right w:val="single" w:sz="4" w:space="0" w:color="auto"/>
            </w:tcBorders>
          </w:tcPr>
          <w:p w14:paraId="1B0E3FFF" w14:textId="77777777" w:rsidR="00C73A65" w:rsidRPr="00AD7B69" w:rsidRDefault="00C73A65" w:rsidP="00ED781C">
            <w:pPr>
              <w:rPr>
                <w:rFonts w:cs="Arial"/>
                <w:bCs/>
                <w:sz w:val="18"/>
                <w:szCs w:val="18"/>
              </w:rPr>
            </w:pPr>
            <w:bookmarkStart w:id="2" w:name="ApplicationNumber"/>
            <w:bookmarkEnd w:id="2"/>
            <w:r w:rsidRPr="00AD7B69">
              <w:rPr>
                <w:rFonts w:cs="Arial"/>
                <w:sz w:val="18"/>
                <w:szCs w:val="18"/>
              </w:rPr>
              <w:t>16212/08</w:t>
            </w:r>
          </w:p>
        </w:tc>
        <w:tc>
          <w:tcPr>
            <w:tcW w:w="2957" w:type="dxa"/>
            <w:tcBorders>
              <w:top w:val="single" w:sz="4" w:space="0" w:color="auto"/>
              <w:left w:val="single" w:sz="4" w:space="0" w:color="auto"/>
              <w:bottom w:val="single" w:sz="4" w:space="0" w:color="auto"/>
              <w:right w:val="single" w:sz="4" w:space="0" w:color="auto"/>
            </w:tcBorders>
          </w:tcPr>
          <w:p w14:paraId="0CB9D4FC" w14:textId="77777777" w:rsidR="00C73A65" w:rsidRPr="00AD7B69" w:rsidRDefault="00C73A65" w:rsidP="00ED781C">
            <w:pPr>
              <w:rPr>
                <w:rFonts w:cs="Arial"/>
                <w:bCs/>
                <w:sz w:val="18"/>
                <w:szCs w:val="18"/>
              </w:rPr>
            </w:pPr>
            <w:bookmarkStart w:id="3" w:name="CaseTitleEnglish"/>
            <w:bookmarkEnd w:id="3"/>
            <w:r w:rsidRPr="00AD7B69">
              <w:rPr>
                <w:rFonts w:cs="Arial"/>
                <w:sz w:val="18"/>
                <w:szCs w:val="18"/>
              </w:rPr>
              <w:t>SKENDŽIĆ AND KRZNARIĆ</w:t>
            </w:r>
          </w:p>
        </w:tc>
        <w:tc>
          <w:tcPr>
            <w:tcW w:w="1531" w:type="dxa"/>
            <w:tcBorders>
              <w:top w:val="single" w:sz="4" w:space="0" w:color="auto"/>
              <w:left w:val="single" w:sz="4" w:space="0" w:color="auto"/>
              <w:bottom w:val="single" w:sz="4" w:space="0" w:color="auto"/>
              <w:right w:val="single" w:sz="4" w:space="0" w:color="auto"/>
            </w:tcBorders>
          </w:tcPr>
          <w:p w14:paraId="502C75A1" w14:textId="77777777" w:rsidR="00C73A65" w:rsidRPr="00AD7B69" w:rsidRDefault="00C73A65" w:rsidP="00ED781C">
            <w:pPr>
              <w:rPr>
                <w:rFonts w:cs="Arial"/>
                <w:bCs/>
                <w:sz w:val="18"/>
                <w:szCs w:val="18"/>
              </w:rPr>
            </w:pPr>
            <w:bookmarkStart w:id="4" w:name="DateOfJudgment"/>
            <w:bookmarkEnd w:id="4"/>
            <w:r w:rsidRPr="00AD7B69">
              <w:rPr>
                <w:rFonts w:cs="Arial"/>
                <w:sz w:val="18"/>
                <w:szCs w:val="18"/>
              </w:rPr>
              <w:t>20/01/2011</w:t>
            </w:r>
          </w:p>
        </w:tc>
        <w:tc>
          <w:tcPr>
            <w:tcW w:w="1417" w:type="dxa"/>
            <w:tcBorders>
              <w:top w:val="single" w:sz="4" w:space="0" w:color="auto"/>
              <w:left w:val="single" w:sz="4" w:space="0" w:color="auto"/>
              <w:bottom w:val="single" w:sz="4" w:space="0" w:color="auto"/>
              <w:right w:val="single" w:sz="4" w:space="0" w:color="auto"/>
            </w:tcBorders>
          </w:tcPr>
          <w:p w14:paraId="54A97029" w14:textId="77777777" w:rsidR="00C73A65" w:rsidRPr="00AD7B69" w:rsidRDefault="00C73A65" w:rsidP="00ED781C">
            <w:pPr>
              <w:rPr>
                <w:rFonts w:cs="Arial"/>
                <w:bCs/>
                <w:sz w:val="18"/>
                <w:szCs w:val="18"/>
              </w:rPr>
            </w:pPr>
            <w:bookmarkStart w:id="5" w:name="DefinitiveDateOfJudgment"/>
            <w:bookmarkEnd w:id="5"/>
            <w:r w:rsidRPr="00AD7B69">
              <w:rPr>
                <w:rFonts w:cs="Arial"/>
                <w:sz w:val="18"/>
                <w:szCs w:val="18"/>
              </w:rPr>
              <w:t>20/04/2011</w:t>
            </w:r>
          </w:p>
        </w:tc>
        <w:tc>
          <w:tcPr>
            <w:tcW w:w="2033" w:type="dxa"/>
            <w:vMerge w:val="restart"/>
            <w:tcBorders>
              <w:top w:val="single" w:sz="4" w:space="0" w:color="auto"/>
              <w:left w:val="single" w:sz="4" w:space="0" w:color="auto"/>
              <w:right w:val="single" w:sz="4" w:space="0" w:color="auto"/>
            </w:tcBorders>
          </w:tcPr>
          <w:p w14:paraId="0340CA76" w14:textId="7E0671DD" w:rsidR="00C73A65" w:rsidRPr="00AD7B69" w:rsidRDefault="00C73A65" w:rsidP="00ED781C">
            <w:pPr>
              <w:rPr>
                <w:rFonts w:cs="Arial"/>
                <w:bCs/>
                <w:sz w:val="18"/>
                <w:szCs w:val="18"/>
              </w:rPr>
            </w:pPr>
            <w:r w:rsidRPr="00AD7B69">
              <w:rPr>
                <w:rFonts w:cs="Arial"/>
                <w:sz w:val="18"/>
                <w:szCs w:val="18"/>
              </w:rPr>
              <w:t xml:space="preserve">Complex </w:t>
            </w:r>
            <w:r w:rsidR="0076756B">
              <w:rPr>
                <w:rFonts w:cs="Arial"/>
                <w:sz w:val="18"/>
                <w:szCs w:val="18"/>
              </w:rPr>
              <w:t xml:space="preserve">structural </w:t>
            </w:r>
            <w:r w:rsidRPr="00AD7B69">
              <w:rPr>
                <w:rFonts w:cs="Arial"/>
                <w:sz w:val="18"/>
                <w:szCs w:val="18"/>
              </w:rPr>
              <w:t>problem</w:t>
            </w:r>
          </w:p>
        </w:tc>
      </w:tr>
      <w:tr w:rsidR="00C73A65" w:rsidRPr="00AD7B69" w14:paraId="7DB4BAA7" w14:textId="77777777" w:rsidTr="00497188">
        <w:tc>
          <w:tcPr>
            <w:tcW w:w="1504" w:type="dxa"/>
            <w:tcBorders>
              <w:top w:val="single" w:sz="4" w:space="0" w:color="auto"/>
              <w:left w:val="single" w:sz="4" w:space="0" w:color="auto"/>
              <w:bottom w:val="single" w:sz="4" w:space="0" w:color="auto"/>
              <w:right w:val="single" w:sz="4" w:space="0" w:color="auto"/>
            </w:tcBorders>
          </w:tcPr>
          <w:p w14:paraId="10A79609" w14:textId="77777777" w:rsidR="00C73A65" w:rsidRPr="00AD7B69" w:rsidRDefault="00C73A65" w:rsidP="00ED781C">
            <w:pPr>
              <w:rPr>
                <w:rFonts w:cs="Arial"/>
                <w:bCs/>
                <w:sz w:val="18"/>
                <w:szCs w:val="18"/>
              </w:rPr>
            </w:pPr>
            <w:r w:rsidRPr="00AD7B69">
              <w:rPr>
                <w:rFonts w:cs="Arial"/>
                <w:sz w:val="18"/>
                <w:szCs w:val="18"/>
              </w:rPr>
              <w:t>20106/06</w:t>
            </w:r>
          </w:p>
        </w:tc>
        <w:tc>
          <w:tcPr>
            <w:tcW w:w="2957" w:type="dxa"/>
            <w:tcBorders>
              <w:top w:val="single" w:sz="4" w:space="0" w:color="auto"/>
              <w:left w:val="single" w:sz="4" w:space="0" w:color="auto"/>
              <w:bottom w:val="single" w:sz="4" w:space="0" w:color="auto"/>
              <w:right w:val="single" w:sz="4" w:space="0" w:color="auto"/>
            </w:tcBorders>
          </w:tcPr>
          <w:p w14:paraId="0833874D" w14:textId="77777777" w:rsidR="00C73A65" w:rsidRPr="00AD7B69" w:rsidRDefault="00C73A65" w:rsidP="00ED781C">
            <w:pPr>
              <w:rPr>
                <w:rFonts w:cs="Arial"/>
                <w:bCs/>
                <w:sz w:val="18"/>
                <w:szCs w:val="18"/>
              </w:rPr>
            </w:pPr>
            <w:r w:rsidRPr="00AD7B69">
              <w:rPr>
                <w:rFonts w:cs="Arial"/>
                <w:sz w:val="18"/>
                <w:szCs w:val="18"/>
              </w:rPr>
              <w:t>JULARIC</w:t>
            </w:r>
          </w:p>
        </w:tc>
        <w:tc>
          <w:tcPr>
            <w:tcW w:w="1531" w:type="dxa"/>
            <w:tcBorders>
              <w:top w:val="single" w:sz="4" w:space="0" w:color="auto"/>
              <w:left w:val="single" w:sz="4" w:space="0" w:color="auto"/>
              <w:bottom w:val="single" w:sz="4" w:space="0" w:color="auto"/>
              <w:right w:val="single" w:sz="4" w:space="0" w:color="auto"/>
            </w:tcBorders>
          </w:tcPr>
          <w:p w14:paraId="3BDA5902" w14:textId="77777777" w:rsidR="00C73A65" w:rsidRPr="00AD7B69" w:rsidRDefault="00C73A65" w:rsidP="00ED781C">
            <w:pPr>
              <w:rPr>
                <w:rFonts w:cs="Arial"/>
                <w:bCs/>
                <w:sz w:val="18"/>
                <w:szCs w:val="18"/>
              </w:rPr>
            </w:pPr>
            <w:r w:rsidRPr="00AD7B69">
              <w:rPr>
                <w:rFonts w:cs="Arial"/>
                <w:sz w:val="18"/>
                <w:szCs w:val="18"/>
              </w:rPr>
              <w:t>20/01/2011</w:t>
            </w:r>
          </w:p>
        </w:tc>
        <w:tc>
          <w:tcPr>
            <w:tcW w:w="1417" w:type="dxa"/>
            <w:tcBorders>
              <w:top w:val="single" w:sz="4" w:space="0" w:color="auto"/>
              <w:left w:val="single" w:sz="4" w:space="0" w:color="auto"/>
              <w:bottom w:val="single" w:sz="4" w:space="0" w:color="auto"/>
              <w:right w:val="single" w:sz="4" w:space="0" w:color="auto"/>
            </w:tcBorders>
          </w:tcPr>
          <w:p w14:paraId="429578DE" w14:textId="77777777" w:rsidR="00C73A65" w:rsidRPr="00AD7B69" w:rsidRDefault="00C73A65" w:rsidP="00ED781C">
            <w:pPr>
              <w:rPr>
                <w:rFonts w:cs="Arial"/>
                <w:bCs/>
                <w:sz w:val="18"/>
                <w:szCs w:val="18"/>
              </w:rPr>
            </w:pPr>
            <w:r w:rsidRPr="00AD7B69">
              <w:rPr>
                <w:rFonts w:cs="Arial"/>
                <w:sz w:val="18"/>
                <w:szCs w:val="18"/>
              </w:rPr>
              <w:t>20/04/2011</w:t>
            </w:r>
          </w:p>
        </w:tc>
        <w:tc>
          <w:tcPr>
            <w:tcW w:w="2033" w:type="dxa"/>
            <w:vMerge/>
            <w:tcBorders>
              <w:left w:val="single" w:sz="4" w:space="0" w:color="auto"/>
              <w:right w:val="single" w:sz="4" w:space="0" w:color="auto"/>
            </w:tcBorders>
          </w:tcPr>
          <w:p w14:paraId="7B4AC000" w14:textId="77777777" w:rsidR="00C73A65" w:rsidRPr="00AD7B69" w:rsidRDefault="00C73A65" w:rsidP="00ED781C">
            <w:pPr>
              <w:rPr>
                <w:rFonts w:cs="Arial"/>
                <w:bCs/>
                <w:sz w:val="18"/>
                <w:szCs w:val="18"/>
              </w:rPr>
            </w:pPr>
          </w:p>
        </w:tc>
      </w:tr>
      <w:tr w:rsidR="00C73A65" w:rsidRPr="00AD7B69" w14:paraId="54AF9C2C" w14:textId="77777777" w:rsidTr="00497188">
        <w:tc>
          <w:tcPr>
            <w:tcW w:w="1504" w:type="dxa"/>
            <w:tcBorders>
              <w:top w:val="single" w:sz="4" w:space="0" w:color="auto"/>
              <w:left w:val="single" w:sz="4" w:space="0" w:color="auto"/>
              <w:bottom w:val="single" w:sz="4" w:space="0" w:color="auto"/>
              <w:right w:val="single" w:sz="4" w:space="0" w:color="auto"/>
            </w:tcBorders>
          </w:tcPr>
          <w:p w14:paraId="1969A636" w14:textId="77777777" w:rsidR="00C73A65" w:rsidRPr="00AD7B69" w:rsidRDefault="00C73A65" w:rsidP="00ED781C">
            <w:pPr>
              <w:rPr>
                <w:rFonts w:cs="Arial"/>
                <w:bCs/>
                <w:sz w:val="18"/>
                <w:szCs w:val="18"/>
              </w:rPr>
            </w:pPr>
            <w:r w:rsidRPr="00AD7B69">
              <w:rPr>
                <w:rFonts w:cs="Arial"/>
                <w:sz w:val="18"/>
                <w:szCs w:val="18"/>
              </w:rPr>
              <w:t>57856/11</w:t>
            </w:r>
          </w:p>
        </w:tc>
        <w:tc>
          <w:tcPr>
            <w:tcW w:w="2957" w:type="dxa"/>
            <w:tcBorders>
              <w:top w:val="single" w:sz="4" w:space="0" w:color="auto"/>
              <w:left w:val="single" w:sz="4" w:space="0" w:color="auto"/>
              <w:bottom w:val="single" w:sz="4" w:space="0" w:color="auto"/>
              <w:right w:val="single" w:sz="4" w:space="0" w:color="auto"/>
            </w:tcBorders>
          </w:tcPr>
          <w:p w14:paraId="051A1DBE" w14:textId="77777777" w:rsidR="00C73A65" w:rsidRPr="00AD7B69" w:rsidRDefault="00C73A65" w:rsidP="00ED781C">
            <w:pPr>
              <w:rPr>
                <w:rFonts w:cs="Arial"/>
                <w:bCs/>
                <w:sz w:val="18"/>
                <w:szCs w:val="18"/>
              </w:rPr>
            </w:pPr>
            <w:r w:rsidRPr="00AD7B69">
              <w:rPr>
                <w:rFonts w:cs="Arial"/>
                <w:sz w:val="18"/>
                <w:szCs w:val="18"/>
              </w:rPr>
              <w:t>JELIĆ</w:t>
            </w:r>
          </w:p>
        </w:tc>
        <w:tc>
          <w:tcPr>
            <w:tcW w:w="1531" w:type="dxa"/>
            <w:tcBorders>
              <w:top w:val="single" w:sz="4" w:space="0" w:color="auto"/>
              <w:left w:val="single" w:sz="4" w:space="0" w:color="auto"/>
              <w:bottom w:val="single" w:sz="4" w:space="0" w:color="auto"/>
              <w:right w:val="single" w:sz="4" w:space="0" w:color="auto"/>
            </w:tcBorders>
          </w:tcPr>
          <w:p w14:paraId="55F3B75F" w14:textId="77777777" w:rsidR="00C73A65" w:rsidRPr="00AD7B69" w:rsidRDefault="00C73A65" w:rsidP="00ED781C">
            <w:pPr>
              <w:rPr>
                <w:rFonts w:cs="Arial"/>
                <w:bCs/>
                <w:sz w:val="18"/>
                <w:szCs w:val="18"/>
              </w:rPr>
            </w:pPr>
            <w:r w:rsidRPr="00AD7B69">
              <w:rPr>
                <w:rFonts w:cs="Arial"/>
                <w:sz w:val="18"/>
                <w:szCs w:val="18"/>
              </w:rPr>
              <w:t>12/06/2014</w:t>
            </w:r>
          </w:p>
        </w:tc>
        <w:tc>
          <w:tcPr>
            <w:tcW w:w="1417" w:type="dxa"/>
            <w:tcBorders>
              <w:top w:val="single" w:sz="4" w:space="0" w:color="auto"/>
              <w:left w:val="single" w:sz="4" w:space="0" w:color="auto"/>
              <w:bottom w:val="single" w:sz="4" w:space="0" w:color="auto"/>
              <w:right w:val="single" w:sz="4" w:space="0" w:color="auto"/>
            </w:tcBorders>
          </w:tcPr>
          <w:p w14:paraId="01CE9DF1" w14:textId="77777777" w:rsidR="00C73A65" w:rsidRPr="00AD7B69" w:rsidRDefault="00C73A65" w:rsidP="00ED781C">
            <w:pPr>
              <w:rPr>
                <w:rFonts w:cs="Arial"/>
                <w:bCs/>
                <w:sz w:val="18"/>
                <w:szCs w:val="18"/>
              </w:rPr>
            </w:pPr>
            <w:r w:rsidRPr="00AD7B69">
              <w:rPr>
                <w:rFonts w:cs="Arial"/>
                <w:sz w:val="18"/>
                <w:szCs w:val="18"/>
              </w:rPr>
              <w:t>13/10/2014</w:t>
            </w:r>
          </w:p>
        </w:tc>
        <w:tc>
          <w:tcPr>
            <w:tcW w:w="2033" w:type="dxa"/>
            <w:vMerge/>
            <w:tcBorders>
              <w:left w:val="single" w:sz="4" w:space="0" w:color="auto"/>
              <w:right w:val="single" w:sz="4" w:space="0" w:color="auto"/>
            </w:tcBorders>
          </w:tcPr>
          <w:p w14:paraId="6E8DE5A3" w14:textId="77777777" w:rsidR="00C73A65" w:rsidRPr="00AD7B69" w:rsidRDefault="00C73A65" w:rsidP="00ED781C">
            <w:pPr>
              <w:rPr>
                <w:rFonts w:cs="Arial"/>
                <w:bCs/>
                <w:sz w:val="18"/>
                <w:szCs w:val="18"/>
              </w:rPr>
            </w:pPr>
          </w:p>
        </w:tc>
      </w:tr>
      <w:tr w:rsidR="00C73A65" w:rsidRPr="00AD7B69" w14:paraId="2013C8BF" w14:textId="77777777" w:rsidTr="00497188">
        <w:tc>
          <w:tcPr>
            <w:tcW w:w="1504" w:type="dxa"/>
            <w:tcBorders>
              <w:top w:val="single" w:sz="4" w:space="0" w:color="auto"/>
              <w:left w:val="single" w:sz="4" w:space="0" w:color="auto"/>
              <w:bottom w:val="single" w:sz="4" w:space="0" w:color="auto"/>
              <w:right w:val="single" w:sz="4" w:space="0" w:color="auto"/>
            </w:tcBorders>
          </w:tcPr>
          <w:p w14:paraId="70071B6C" w14:textId="77777777" w:rsidR="00C73A65" w:rsidRPr="00AD7B69" w:rsidRDefault="00C73A65" w:rsidP="00ED781C">
            <w:pPr>
              <w:rPr>
                <w:rFonts w:cs="Arial"/>
                <w:bCs/>
                <w:sz w:val="18"/>
                <w:szCs w:val="18"/>
              </w:rPr>
            </w:pPr>
            <w:r w:rsidRPr="00AD7B69">
              <w:rPr>
                <w:rFonts w:cs="Arial"/>
                <w:sz w:val="18"/>
                <w:szCs w:val="18"/>
              </w:rPr>
              <w:t>71593/11</w:t>
            </w:r>
          </w:p>
        </w:tc>
        <w:tc>
          <w:tcPr>
            <w:tcW w:w="2957" w:type="dxa"/>
            <w:tcBorders>
              <w:top w:val="single" w:sz="4" w:space="0" w:color="auto"/>
              <w:left w:val="single" w:sz="4" w:space="0" w:color="auto"/>
              <w:bottom w:val="single" w:sz="4" w:space="0" w:color="auto"/>
              <w:right w:val="single" w:sz="4" w:space="0" w:color="auto"/>
            </w:tcBorders>
          </w:tcPr>
          <w:p w14:paraId="5BB3FD76" w14:textId="77777777" w:rsidR="00C73A65" w:rsidRPr="00AD7B69" w:rsidRDefault="00C73A65" w:rsidP="00ED781C">
            <w:pPr>
              <w:rPr>
                <w:rFonts w:cs="Arial"/>
                <w:bCs/>
                <w:sz w:val="18"/>
                <w:szCs w:val="18"/>
              </w:rPr>
            </w:pPr>
            <w:r w:rsidRPr="00AD7B69">
              <w:rPr>
                <w:rFonts w:cs="Arial"/>
                <w:sz w:val="18"/>
                <w:szCs w:val="18"/>
              </w:rPr>
              <w:t xml:space="preserve">B. AND OTHERS </w:t>
            </w:r>
          </w:p>
        </w:tc>
        <w:tc>
          <w:tcPr>
            <w:tcW w:w="1531" w:type="dxa"/>
            <w:tcBorders>
              <w:top w:val="single" w:sz="4" w:space="0" w:color="auto"/>
              <w:left w:val="single" w:sz="4" w:space="0" w:color="auto"/>
              <w:bottom w:val="single" w:sz="4" w:space="0" w:color="auto"/>
              <w:right w:val="single" w:sz="4" w:space="0" w:color="auto"/>
            </w:tcBorders>
          </w:tcPr>
          <w:p w14:paraId="230F8231" w14:textId="77777777" w:rsidR="00C73A65" w:rsidRPr="00AD7B69" w:rsidRDefault="00C73A65" w:rsidP="00ED781C">
            <w:pPr>
              <w:rPr>
                <w:rFonts w:cs="Arial"/>
                <w:bCs/>
                <w:sz w:val="18"/>
                <w:szCs w:val="18"/>
              </w:rPr>
            </w:pPr>
            <w:r w:rsidRPr="00AD7B69">
              <w:rPr>
                <w:rFonts w:cs="Arial"/>
                <w:sz w:val="18"/>
                <w:szCs w:val="18"/>
              </w:rPr>
              <w:t>18/06/2015</w:t>
            </w:r>
          </w:p>
        </w:tc>
        <w:tc>
          <w:tcPr>
            <w:tcW w:w="1417" w:type="dxa"/>
            <w:tcBorders>
              <w:top w:val="single" w:sz="4" w:space="0" w:color="auto"/>
              <w:left w:val="single" w:sz="4" w:space="0" w:color="auto"/>
              <w:bottom w:val="single" w:sz="4" w:space="0" w:color="auto"/>
              <w:right w:val="single" w:sz="4" w:space="0" w:color="auto"/>
            </w:tcBorders>
          </w:tcPr>
          <w:p w14:paraId="250261FA" w14:textId="77777777" w:rsidR="00C73A65" w:rsidRPr="00AD7B69" w:rsidRDefault="00C73A65" w:rsidP="00ED781C">
            <w:pPr>
              <w:rPr>
                <w:rFonts w:cs="Arial"/>
                <w:bCs/>
                <w:sz w:val="18"/>
                <w:szCs w:val="18"/>
              </w:rPr>
            </w:pPr>
            <w:r w:rsidRPr="00AD7B69">
              <w:rPr>
                <w:rFonts w:cs="Arial"/>
                <w:sz w:val="18"/>
                <w:szCs w:val="18"/>
              </w:rPr>
              <w:t>19/10/2015</w:t>
            </w:r>
          </w:p>
        </w:tc>
        <w:tc>
          <w:tcPr>
            <w:tcW w:w="2033" w:type="dxa"/>
            <w:vMerge/>
            <w:tcBorders>
              <w:left w:val="single" w:sz="4" w:space="0" w:color="auto"/>
              <w:right w:val="single" w:sz="4" w:space="0" w:color="auto"/>
            </w:tcBorders>
          </w:tcPr>
          <w:p w14:paraId="677574EE" w14:textId="77777777" w:rsidR="00C73A65" w:rsidRPr="00AD7B69" w:rsidRDefault="00C73A65" w:rsidP="00ED781C">
            <w:pPr>
              <w:rPr>
                <w:rFonts w:cs="Arial"/>
                <w:bCs/>
                <w:sz w:val="18"/>
                <w:szCs w:val="18"/>
              </w:rPr>
            </w:pPr>
          </w:p>
        </w:tc>
      </w:tr>
      <w:tr w:rsidR="00C73A65" w:rsidRPr="00AD7B69" w14:paraId="40970AA5" w14:textId="77777777" w:rsidTr="00497188">
        <w:tc>
          <w:tcPr>
            <w:tcW w:w="1504" w:type="dxa"/>
            <w:tcBorders>
              <w:top w:val="single" w:sz="4" w:space="0" w:color="auto"/>
              <w:left w:val="single" w:sz="4" w:space="0" w:color="auto"/>
              <w:bottom w:val="single" w:sz="4" w:space="0" w:color="auto"/>
              <w:right w:val="single" w:sz="4" w:space="0" w:color="auto"/>
            </w:tcBorders>
          </w:tcPr>
          <w:p w14:paraId="32090BA6" w14:textId="77777777" w:rsidR="00C73A65" w:rsidRPr="00AD7B69" w:rsidRDefault="00C73A65" w:rsidP="00ED781C">
            <w:pPr>
              <w:rPr>
                <w:rFonts w:cs="Arial"/>
                <w:bCs/>
                <w:sz w:val="18"/>
                <w:szCs w:val="18"/>
              </w:rPr>
            </w:pPr>
            <w:r w:rsidRPr="00AD7B69">
              <w:rPr>
                <w:rFonts w:cs="Arial"/>
                <w:sz w:val="18"/>
                <w:szCs w:val="18"/>
              </w:rPr>
              <w:t>50175/12</w:t>
            </w:r>
          </w:p>
        </w:tc>
        <w:tc>
          <w:tcPr>
            <w:tcW w:w="2957" w:type="dxa"/>
            <w:tcBorders>
              <w:top w:val="single" w:sz="4" w:space="0" w:color="auto"/>
              <w:left w:val="single" w:sz="4" w:space="0" w:color="auto"/>
              <w:bottom w:val="single" w:sz="4" w:space="0" w:color="auto"/>
              <w:right w:val="single" w:sz="4" w:space="0" w:color="auto"/>
            </w:tcBorders>
          </w:tcPr>
          <w:p w14:paraId="2010A4FE" w14:textId="77777777" w:rsidR="00C73A65" w:rsidRPr="00AD7B69" w:rsidRDefault="00C73A65" w:rsidP="00ED781C">
            <w:pPr>
              <w:rPr>
                <w:rFonts w:cs="Arial"/>
                <w:bCs/>
                <w:sz w:val="18"/>
                <w:szCs w:val="18"/>
              </w:rPr>
            </w:pPr>
            <w:r w:rsidRPr="00AD7B69">
              <w:rPr>
                <w:rFonts w:cs="Arial"/>
                <w:sz w:val="18"/>
                <w:szCs w:val="18"/>
              </w:rPr>
              <w:t xml:space="preserve">M. AND OTHERS </w:t>
            </w:r>
          </w:p>
        </w:tc>
        <w:tc>
          <w:tcPr>
            <w:tcW w:w="1531" w:type="dxa"/>
            <w:tcBorders>
              <w:top w:val="single" w:sz="4" w:space="0" w:color="auto"/>
              <w:left w:val="single" w:sz="4" w:space="0" w:color="auto"/>
              <w:bottom w:val="single" w:sz="4" w:space="0" w:color="auto"/>
              <w:right w:val="single" w:sz="4" w:space="0" w:color="auto"/>
            </w:tcBorders>
          </w:tcPr>
          <w:p w14:paraId="399654E7" w14:textId="77777777" w:rsidR="00C73A65" w:rsidRPr="00AD7B69" w:rsidRDefault="00C73A65" w:rsidP="00ED781C">
            <w:pPr>
              <w:rPr>
                <w:rFonts w:cs="Arial"/>
                <w:bCs/>
                <w:sz w:val="18"/>
                <w:szCs w:val="18"/>
              </w:rPr>
            </w:pPr>
            <w:r w:rsidRPr="00AD7B69">
              <w:rPr>
                <w:rFonts w:cs="Arial"/>
                <w:sz w:val="18"/>
                <w:szCs w:val="18"/>
              </w:rPr>
              <w:t>02/05/2017</w:t>
            </w:r>
          </w:p>
        </w:tc>
        <w:tc>
          <w:tcPr>
            <w:tcW w:w="1417" w:type="dxa"/>
            <w:tcBorders>
              <w:top w:val="single" w:sz="4" w:space="0" w:color="auto"/>
              <w:left w:val="single" w:sz="4" w:space="0" w:color="auto"/>
              <w:bottom w:val="single" w:sz="4" w:space="0" w:color="auto"/>
              <w:right w:val="single" w:sz="4" w:space="0" w:color="auto"/>
            </w:tcBorders>
          </w:tcPr>
          <w:p w14:paraId="5743F756" w14:textId="77777777" w:rsidR="00C73A65" w:rsidRPr="00AD7B69" w:rsidRDefault="00C73A65" w:rsidP="00ED781C">
            <w:pPr>
              <w:rPr>
                <w:rFonts w:cs="Arial"/>
                <w:bCs/>
                <w:sz w:val="18"/>
                <w:szCs w:val="18"/>
              </w:rPr>
            </w:pPr>
            <w:r w:rsidRPr="00AD7B69">
              <w:rPr>
                <w:rFonts w:cs="Arial"/>
                <w:sz w:val="18"/>
                <w:szCs w:val="18"/>
              </w:rPr>
              <w:t>13/11/2017</w:t>
            </w:r>
          </w:p>
        </w:tc>
        <w:tc>
          <w:tcPr>
            <w:tcW w:w="2033" w:type="dxa"/>
            <w:vMerge/>
            <w:tcBorders>
              <w:left w:val="single" w:sz="4" w:space="0" w:color="auto"/>
              <w:bottom w:val="single" w:sz="4" w:space="0" w:color="auto"/>
              <w:right w:val="single" w:sz="4" w:space="0" w:color="auto"/>
            </w:tcBorders>
          </w:tcPr>
          <w:p w14:paraId="65747AC7" w14:textId="77777777" w:rsidR="00C73A65" w:rsidRPr="00AD7B69" w:rsidRDefault="00C73A65" w:rsidP="00ED781C">
            <w:pPr>
              <w:rPr>
                <w:rFonts w:cs="Arial"/>
                <w:bCs/>
                <w:sz w:val="18"/>
                <w:szCs w:val="18"/>
              </w:rPr>
            </w:pPr>
          </w:p>
        </w:tc>
      </w:tr>
    </w:tbl>
    <w:p w14:paraId="7D803A6C" w14:textId="6FB395C3" w:rsidR="00C73A65" w:rsidRDefault="00C73A65" w:rsidP="00C73A65">
      <w:pPr>
        <w:rPr>
          <w:lang w:val="en-US"/>
        </w:rPr>
      </w:pPr>
    </w:p>
    <w:p w14:paraId="525452BA" w14:textId="77777777" w:rsidR="00C73A65" w:rsidRPr="00AD7B69" w:rsidRDefault="00C73A65" w:rsidP="00C73A65">
      <w:pPr>
        <w:rPr>
          <w:b/>
          <w:bCs/>
        </w:rPr>
      </w:pPr>
      <w:r w:rsidRPr="00AD7B69">
        <w:rPr>
          <w:b/>
          <w:bCs/>
        </w:rPr>
        <w:t>Case description</w:t>
      </w:r>
    </w:p>
    <w:p w14:paraId="07F69A7E" w14:textId="77777777" w:rsidR="00C73A65" w:rsidRPr="00AD7B69" w:rsidRDefault="00C73A65" w:rsidP="00C73A65">
      <w:pPr>
        <w:rPr>
          <w:b/>
          <w:bCs/>
        </w:rPr>
      </w:pPr>
    </w:p>
    <w:p w14:paraId="1A917CFD" w14:textId="77777777" w:rsidR="00C73A65" w:rsidRPr="00AD7B69" w:rsidRDefault="00C73A65" w:rsidP="00C73A65">
      <w:pPr>
        <w:rPr>
          <w:lang w:val="en-US"/>
        </w:rPr>
      </w:pPr>
      <w:bookmarkStart w:id="6" w:name="DebateReasonEnglish"/>
      <w:bookmarkStart w:id="7" w:name="CaseDescriptionEnglish"/>
      <w:bookmarkEnd w:id="6"/>
      <w:bookmarkEnd w:id="7"/>
      <w:r w:rsidRPr="00AD7B69">
        <w:rPr>
          <w:lang w:val="en-US"/>
        </w:rPr>
        <w:t xml:space="preserve">These cases concern violations of the right to life on account of the lack of effective investigations into war crimes committed during the Croatian Homeland War (1991-1995) against the applicants’ next-of-kin, in particular an enforced disappearance in </w:t>
      </w:r>
      <w:proofErr w:type="spellStart"/>
      <w:r w:rsidRPr="00AD7B69">
        <w:rPr>
          <w:i/>
          <w:lang w:val="en-US"/>
        </w:rPr>
        <w:t>Skendžić</w:t>
      </w:r>
      <w:proofErr w:type="spellEnd"/>
      <w:r w:rsidRPr="00AD7B69">
        <w:rPr>
          <w:i/>
          <w:lang w:val="en-US"/>
        </w:rPr>
        <w:t xml:space="preserve"> and </w:t>
      </w:r>
      <w:proofErr w:type="spellStart"/>
      <w:r w:rsidRPr="00AD7B69">
        <w:rPr>
          <w:i/>
          <w:lang w:val="en-US"/>
        </w:rPr>
        <w:t>Krznarić</w:t>
      </w:r>
      <w:proofErr w:type="spellEnd"/>
      <w:r w:rsidRPr="00AD7B69">
        <w:rPr>
          <w:lang w:val="en-US"/>
        </w:rPr>
        <w:t xml:space="preserve"> and killings in the other cases (violations of Article 2 in its procedural limb).</w:t>
      </w:r>
    </w:p>
    <w:p w14:paraId="5A74A5A3" w14:textId="77777777" w:rsidR="00C73A65" w:rsidRPr="00AD7B69" w:rsidRDefault="00C73A65" w:rsidP="00C73A65">
      <w:pPr>
        <w:rPr>
          <w:lang w:val="en-US"/>
        </w:rPr>
      </w:pPr>
    </w:p>
    <w:p w14:paraId="4803531A" w14:textId="77777777" w:rsidR="00C73A65" w:rsidRPr="00AD7B69" w:rsidRDefault="00C73A65" w:rsidP="00C73A65">
      <w:pPr>
        <w:rPr>
          <w:lang w:val="en-US"/>
        </w:rPr>
      </w:pPr>
      <w:r w:rsidRPr="00AD7B69">
        <w:rPr>
          <w:lang w:val="en-US"/>
        </w:rPr>
        <w:t>The European Court found the following shortcomings in these investigations:</w:t>
      </w:r>
    </w:p>
    <w:p w14:paraId="4297F412" w14:textId="77777777" w:rsidR="00C73A65" w:rsidRPr="00AD7B69" w:rsidRDefault="00C73A65" w:rsidP="00C73A65">
      <w:pPr>
        <w:rPr>
          <w:lang w:val="en-US"/>
        </w:rPr>
      </w:pPr>
    </w:p>
    <w:p w14:paraId="5A7B3865" w14:textId="77777777" w:rsidR="00C73A65" w:rsidRPr="00AD7B69" w:rsidRDefault="00C73A65" w:rsidP="00C73A65">
      <w:pPr>
        <w:rPr>
          <w:lang w:val="en-US"/>
        </w:rPr>
      </w:pPr>
      <w:r w:rsidRPr="00AD7B69">
        <w:rPr>
          <w:lang w:val="en-US"/>
        </w:rPr>
        <w:t>-</w:t>
      </w:r>
      <w:r w:rsidRPr="00AD7B69">
        <w:rPr>
          <w:lang w:val="en-US"/>
        </w:rPr>
        <w:tab/>
        <w:t xml:space="preserve">inexplicable delays and absence of serious efforts to establish the identity of the perpetrators in </w:t>
      </w:r>
      <w:proofErr w:type="spellStart"/>
      <w:r w:rsidRPr="00AD7B69">
        <w:rPr>
          <w:i/>
          <w:lang w:val="en-US"/>
        </w:rPr>
        <w:t>Skendžić</w:t>
      </w:r>
      <w:proofErr w:type="spellEnd"/>
      <w:r w:rsidRPr="00AD7B69">
        <w:rPr>
          <w:i/>
          <w:lang w:val="en-US"/>
        </w:rPr>
        <w:t xml:space="preserve"> and </w:t>
      </w:r>
      <w:proofErr w:type="spellStart"/>
      <w:r w:rsidRPr="00AD7B69">
        <w:rPr>
          <w:i/>
          <w:lang w:val="en-US"/>
        </w:rPr>
        <w:t>Krznarić</w:t>
      </w:r>
      <w:proofErr w:type="spellEnd"/>
      <w:r w:rsidRPr="00AD7B69">
        <w:rPr>
          <w:lang w:val="en-US"/>
        </w:rPr>
        <w:t xml:space="preserve"> (§§ 82-85), </w:t>
      </w:r>
      <w:proofErr w:type="spellStart"/>
      <w:r w:rsidRPr="00AD7B69">
        <w:rPr>
          <w:i/>
          <w:lang w:val="en-US"/>
        </w:rPr>
        <w:t>Jelić</w:t>
      </w:r>
      <w:proofErr w:type="spellEnd"/>
      <w:r w:rsidRPr="00AD7B69">
        <w:rPr>
          <w:lang w:val="en-US"/>
        </w:rPr>
        <w:t xml:space="preserve"> (§ 93) and </w:t>
      </w:r>
      <w:proofErr w:type="spellStart"/>
      <w:r w:rsidRPr="00AD7B69">
        <w:rPr>
          <w:i/>
          <w:lang w:val="en-US"/>
        </w:rPr>
        <w:t>Jularić</w:t>
      </w:r>
      <w:proofErr w:type="spellEnd"/>
      <w:r w:rsidRPr="00AD7B69">
        <w:rPr>
          <w:lang w:val="en-US"/>
        </w:rPr>
        <w:t xml:space="preserve"> (§§ 47-49);</w:t>
      </w:r>
    </w:p>
    <w:p w14:paraId="442F5D13" w14:textId="77777777" w:rsidR="00C73A65" w:rsidRPr="00AD7B69" w:rsidRDefault="00C73A65" w:rsidP="00C73A65">
      <w:pPr>
        <w:rPr>
          <w:lang w:val="en-US"/>
        </w:rPr>
      </w:pPr>
    </w:p>
    <w:p w14:paraId="68126855" w14:textId="77777777" w:rsidR="00C73A65" w:rsidRPr="00AD7B69" w:rsidRDefault="00C73A65" w:rsidP="00C73A65">
      <w:pPr>
        <w:rPr>
          <w:lang w:val="en-US"/>
        </w:rPr>
      </w:pPr>
      <w:r w:rsidRPr="00AD7B69">
        <w:rPr>
          <w:lang w:val="en-US"/>
        </w:rPr>
        <w:t>-</w:t>
      </w:r>
      <w:r w:rsidRPr="00AD7B69">
        <w:rPr>
          <w:lang w:val="en-US"/>
        </w:rPr>
        <w:tab/>
        <w:t>lack of adequate investigations on account of the authorities’ failure to identify and bring the direct perpetrators to justice (only members of the superior chain of command were brought to justice, while the authorities were also under the obligation to identify and bring to justice those who were directly responsible for the killing of the applicants’ next-of-kin) (</w:t>
      </w:r>
      <w:r w:rsidRPr="00AD7B69">
        <w:rPr>
          <w:i/>
          <w:lang w:val="en-US"/>
        </w:rPr>
        <w:t>B.</w:t>
      </w:r>
      <w:r w:rsidRPr="00AD7B69">
        <w:rPr>
          <w:lang w:val="en-US"/>
        </w:rPr>
        <w:t xml:space="preserve">, § 66; </w:t>
      </w:r>
      <w:proofErr w:type="spellStart"/>
      <w:r w:rsidRPr="00AD7B69">
        <w:rPr>
          <w:i/>
          <w:lang w:val="en-US"/>
        </w:rPr>
        <w:t>Jelić</w:t>
      </w:r>
      <w:proofErr w:type="spellEnd"/>
      <w:r w:rsidRPr="00AD7B69">
        <w:rPr>
          <w:lang w:val="en-US"/>
        </w:rPr>
        <w:t xml:space="preserve">, §§ 88 and 94, </w:t>
      </w:r>
      <w:r w:rsidRPr="00AD7B69">
        <w:rPr>
          <w:i/>
          <w:lang w:val="en-US"/>
        </w:rPr>
        <w:t>M.</w:t>
      </w:r>
      <w:r w:rsidRPr="00AD7B69">
        <w:rPr>
          <w:lang w:val="en-US"/>
        </w:rPr>
        <w:t>, § 76);</w:t>
      </w:r>
    </w:p>
    <w:p w14:paraId="25397B31" w14:textId="77777777" w:rsidR="00C73A65" w:rsidRPr="00AD7B69" w:rsidRDefault="00C73A65" w:rsidP="00C73A65">
      <w:pPr>
        <w:rPr>
          <w:lang w:val="en-US"/>
        </w:rPr>
      </w:pPr>
    </w:p>
    <w:p w14:paraId="2937D960" w14:textId="77777777" w:rsidR="00C73A65" w:rsidRPr="00AD7B69" w:rsidRDefault="00C73A65" w:rsidP="00C73A65">
      <w:pPr>
        <w:rPr>
          <w:lang w:val="en-US"/>
        </w:rPr>
      </w:pPr>
      <w:r w:rsidRPr="00AD7B69">
        <w:rPr>
          <w:lang w:val="en-US"/>
        </w:rPr>
        <w:t>-</w:t>
      </w:r>
      <w:r w:rsidRPr="00AD7B69">
        <w:rPr>
          <w:lang w:val="en-US"/>
        </w:rPr>
        <w:tab/>
        <w:t>the examination of the circumstances surrounding the killing of the applicants’ next-of-kin remained at the level of a police inquiry, excluding involvement of an investigating judge, despite the existence of a large number of direct witnesses (</w:t>
      </w:r>
      <w:r w:rsidRPr="00AD7B69">
        <w:rPr>
          <w:i/>
          <w:lang w:val="en-US"/>
        </w:rPr>
        <w:t>B.</w:t>
      </w:r>
      <w:r w:rsidRPr="00AD7B69">
        <w:rPr>
          <w:lang w:val="en-US"/>
        </w:rPr>
        <w:t xml:space="preserve">, § 71 and </w:t>
      </w:r>
      <w:r w:rsidRPr="00AD7B69">
        <w:rPr>
          <w:i/>
          <w:lang w:val="en-US"/>
        </w:rPr>
        <w:t>M.</w:t>
      </w:r>
      <w:r w:rsidRPr="00AD7B69">
        <w:rPr>
          <w:lang w:val="en-US"/>
        </w:rPr>
        <w:t>, § 86);</w:t>
      </w:r>
    </w:p>
    <w:p w14:paraId="5E9AF1CB" w14:textId="77777777" w:rsidR="00C73A65" w:rsidRPr="00AD7B69" w:rsidRDefault="00C73A65" w:rsidP="00C73A65">
      <w:pPr>
        <w:rPr>
          <w:lang w:val="en-US"/>
        </w:rPr>
      </w:pPr>
    </w:p>
    <w:p w14:paraId="793AE23E" w14:textId="77777777" w:rsidR="00C73A65" w:rsidRPr="00AD7B69" w:rsidRDefault="00C73A65" w:rsidP="00C73A65">
      <w:pPr>
        <w:rPr>
          <w:lang w:val="en-US"/>
        </w:rPr>
      </w:pPr>
      <w:r w:rsidRPr="00AD7B69">
        <w:rPr>
          <w:lang w:val="en-US"/>
        </w:rPr>
        <w:t>-</w:t>
      </w:r>
      <w:r w:rsidRPr="00AD7B69">
        <w:rPr>
          <w:lang w:val="en-US"/>
        </w:rPr>
        <w:tab/>
        <w:t>lack of independence in investigations which were entrusted to police stations employing officers suspected of being involved in the disappearance/killings (</w:t>
      </w:r>
      <w:proofErr w:type="spellStart"/>
      <w:r w:rsidRPr="00AD7B69">
        <w:rPr>
          <w:i/>
          <w:lang w:val="en-US"/>
        </w:rPr>
        <w:t>Skendžić</w:t>
      </w:r>
      <w:proofErr w:type="spellEnd"/>
      <w:r w:rsidRPr="00AD7B69">
        <w:rPr>
          <w:i/>
          <w:lang w:val="en-US"/>
        </w:rPr>
        <w:t xml:space="preserve"> and </w:t>
      </w:r>
      <w:proofErr w:type="spellStart"/>
      <w:r w:rsidRPr="00AD7B69">
        <w:rPr>
          <w:i/>
          <w:lang w:val="en-US"/>
        </w:rPr>
        <w:t>Krznarić</w:t>
      </w:r>
      <w:proofErr w:type="spellEnd"/>
      <w:r w:rsidRPr="00AD7B69">
        <w:rPr>
          <w:lang w:val="en-US"/>
        </w:rPr>
        <w:t xml:space="preserve"> (§ 90) and </w:t>
      </w:r>
      <w:r w:rsidRPr="00AD7B69">
        <w:rPr>
          <w:i/>
          <w:lang w:val="en-US"/>
        </w:rPr>
        <w:t>B.</w:t>
      </w:r>
      <w:r w:rsidRPr="00AD7B69">
        <w:rPr>
          <w:lang w:val="en-US"/>
        </w:rPr>
        <w:t xml:space="preserve"> (§ 73)).</w:t>
      </w:r>
    </w:p>
    <w:p w14:paraId="63065B22" w14:textId="77777777" w:rsidR="00C73A65" w:rsidRPr="00AD7B69" w:rsidRDefault="00C73A65" w:rsidP="00C73A65">
      <w:pPr>
        <w:rPr>
          <w:rFonts w:cs="Arial"/>
          <w:i/>
          <w:iCs/>
          <w:szCs w:val="20"/>
          <w:u w:val="single"/>
          <w:lang w:eastAsia="en-GB"/>
        </w:rPr>
      </w:pPr>
    </w:p>
    <w:p w14:paraId="05E315E0" w14:textId="239D7382" w:rsidR="00C73A65" w:rsidRPr="00AD7B69" w:rsidRDefault="00C73A65" w:rsidP="00C73A65">
      <w:pPr>
        <w:rPr>
          <w:rFonts w:cs="Arial"/>
          <w:b/>
          <w:iCs/>
          <w:szCs w:val="20"/>
          <w:lang w:eastAsia="en-GB"/>
        </w:rPr>
      </w:pPr>
      <w:r w:rsidRPr="00AD7B69">
        <w:rPr>
          <w:rFonts w:cs="Arial"/>
          <w:b/>
          <w:iCs/>
          <w:szCs w:val="20"/>
          <w:lang w:eastAsia="en-GB"/>
        </w:rPr>
        <w:t>Status of execution</w:t>
      </w:r>
    </w:p>
    <w:p w14:paraId="73CAE2C7" w14:textId="77777777" w:rsidR="00C73A65" w:rsidRPr="00AD7B69" w:rsidRDefault="00C73A65" w:rsidP="00C73A65">
      <w:pPr>
        <w:rPr>
          <w:rFonts w:cs="Arial"/>
          <w:b/>
          <w:iCs/>
          <w:szCs w:val="20"/>
          <w:u w:val="single"/>
          <w:lang w:eastAsia="en-GB"/>
        </w:rPr>
      </w:pPr>
    </w:p>
    <w:p w14:paraId="496AD32B" w14:textId="463250F5" w:rsidR="00C73A65" w:rsidRDefault="00C73A65" w:rsidP="00C73A65">
      <w:pPr>
        <w:rPr>
          <w:bCs/>
          <w:iCs/>
          <w:lang w:val="en-US"/>
        </w:rPr>
      </w:pPr>
      <w:r w:rsidRPr="00AD7B69">
        <w:rPr>
          <w:rFonts w:cs="Arial"/>
          <w:i/>
          <w:iCs/>
          <w:szCs w:val="20"/>
          <w:u w:val="single"/>
          <w:lang w:eastAsia="en-GB"/>
        </w:rPr>
        <w:t>Individual measures</w:t>
      </w:r>
      <w:r>
        <w:rPr>
          <w:rFonts w:cs="Arial"/>
          <w:i/>
          <w:iCs/>
          <w:szCs w:val="20"/>
          <w:lang w:eastAsia="en-GB"/>
        </w:rPr>
        <w:t xml:space="preserve">: </w:t>
      </w:r>
      <w:r w:rsidRPr="00AD7B69">
        <w:rPr>
          <w:iCs/>
          <w:szCs w:val="20"/>
        </w:rPr>
        <w:t>In its last</w:t>
      </w:r>
      <w:r w:rsidRPr="00AD7B69">
        <w:rPr>
          <w:iCs/>
          <w:sz w:val="22"/>
        </w:rPr>
        <w:t xml:space="preserve"> </w:t>
      </w:r>
      <w:r w:rsidRPr="00AD7B69">
        <w:rPr>
          <w:iCs/>
        </w:rPr>
        <w:t xml:space="preserve">decision adopted at the </w:t>
      </w:r>
      <w:r w:rsidR="0076756B">
        <w:rPr>
          <w:iCs/>
        </w:rPr>
        <w:t>1348</w:t>
      </w:r>
      <w:r w:rsidR="0076756B" w:rsidRPr="00AD7B69">
        <w:rPr>
          <w:iCs/>
          <w:vertAlign w:val="superscript"/>
        </w:rPr>
        <w:t>th</w:t>
      </w:r>
      <w:r w:rsidR="0076756B" w:rsidRPr="00AD7B69">
        <w:rPr>
          <w:iCs/>
        </w:rPr>
        <w:t xml:space="preserve"> </w:t>
      </w:r>
      <w:r w:rsidRPr="00AD7B69">
        <w:rPr>
          <w:iCs/>
        </w:rPr>
        <w:t>meeting</w:t>
      </w:r>
      <w:r w:rsidR="0076756B" w:rsidRPr="0076756B">
        <w:rPr>
          <w:iCs/>
        </w:rPr>
        <w:t xml:space="preserve"> </w:t>
      </w:r>
      <w:r w:rsidR="0076756B">
        <w:rPr>
          <w:iCs/>
        </w:rPr>
        <w:t>(</w:t>
      </w:r>
      <w:r w:rsidR="0076756B" w:rsidRPr="00AD7B69">
        <w:rPr>
          <w:iCs/>
        </w:rPr>
        <w:t>DH</w:t>
      </w:r>
      <w:r w:rsidR="0076756B">
        <w:rPr>
          <w:iCs/>
        </w:rPr>
        <w:t>)</w:t>
      </w:r>
      <w:r w:rsidRPr="00AD7B69">
        <w:rPr>
          <w:iCs/>
        </w:rPr>
        <w:t xml:space="preserve">, </w:t>
      </w:r>
      <w:r w:rsidRPr="00AD7B69">
        <w:rPr>
          <w:bCs/>
          <w:iCs/>
          <w:lang w:val="en-US"/>
        </w:rPr>
        <w:t>in June 2019,</w:t>
      </w:r>
      <w:r w:rsidRPr="00AD7B69">
        <w:rPr>
          <w:iCs/>
        </w:rPr>
        <w:t xml:space="preserve"> </w:t>
      </w:r>
      <w:r w:rsidRPr="00AD7B69">
        <w:rPr>
          <w:bCs/>
          <w:iCs/>
          <w:lang w:val="en-US"/>
        </w:rPr>
        <w:t>the Committee of Ministers decided to close the examination of individual measures in these cases</w:t>
      </w:r>
      <w:r w:rsidR="0076756B">
        <w:rPr>
          <w:bCs/>
          <w:iCs/>
          <w:lang w:val="en-US"/>
        </w:rPr>
        <w:t xml:space="preserve"> given the steps taken</w:t>
      </w:r>
      <w:r w:rsidR="00BA7BAC">
        <w:rPr>
          <w:bCs/>
          <w:iCs/>
          <w:lang w:val="en-US"/>
        </w:rPr>
        <w:t>.</w:t>
      </w:r>
      <w:r w:rsidR="0076756B">
        <w:rPr>
          <w:bCs/>
          <w:iCs/>
          <w:lang w:val="en-US"/>
        </w:rPr>
        <w:t xml:space="preserve"> </w:t>
      </w:r>
    </w:p>
    <w:p w14:paraId="22340199" w14:textId="77777777" w:rsidR="00C73A65" w:rsidRPr="00AD7B69" w:rsidRDefault="00C73A65" w:rsidP="00C73A65">
      <w:pPr>
        <w:rPr>
          <w:rFonts w:cs="Arial"/>
          <w:i/>
          <w:iCs/>
          <w:szCs w:val="20"/>
          <w:lang w:eastAsia="en-GB"/>
        </w:rPr>
      </w:pPr>
    </w:p>
    <w:p w14:paraId="402E106A" w14:textId="502212A6" w:rsidR="00C73A65" w:rsidRPr="00AD7B69" w:rsidRDefault="00C73A65" w:rsidP="00C73A65">
      <w:pPr>
        <w:rPr>
          <w:rFonts w:cs="Arial"/>
          <w:iCs/>
          <w:strike/>
          <w:szCs w:val="20"/>
          <w:lang w:eastAsia="en-GB"/>
        </w:rPr>
      </w:pPr>
      <w:r w:rsidRPr="00AD7B69">
        <w:rPr>
          <w:bCs/>
          <w:iCs/>
          <w:lang w:val="en-US"/>
        </w:rPr>
        <w:t xml:space="preserve">Recalling that </w:t>
      </w:r>
      <w:r w:rsidRPr="00AD7B69">
        <w:rPr>
          <w:rFonts w:cs="Arial"/>
          <w:color w:val="000000"/>
          <w:szCs w:val="20"/>
          <w:shd w:val="clear" w:color="auto" w:fill="FFFFFF"/>
        </w:rPr>
        <w:t>war crimes are not subject to a statute of limitation</w:t>
      </w:r>
      <w:r w:rsidRPr="00AD7B69">
        <w:rPr>
          <w:bCs/>
          <w:iCs/>
        </w:rPr>
        <w:t xml:space="preserve">, it took note </w:t>
      </w:r>
      <w:r w:rsidRPr="00AD7B69">
        <w:rPr>
          <w:bCs/>
          <w:iCs/>
          <w:lang w:val="en-US"/>
        </w:rPr>
        <w:t xml:space="preserve">of the authorities’ full commitment to continuing their efforts if new evidence comes to light.  </w:t>
      </w:r>
    </w:p>
    <w:p w14:paraId="42389770" w14:textId="77777777" w:rsidR="00C73A65" w:rsidRPr="00AD7B69" w:rsidRDefault="00C73A65" w:rsidP="00C73A65">
      <w:pPr>
        <w:rPr>
          <w:bCs/>
          <w:iCs/>
          <w:lang w:val="en-US"/>
        </w:rPr>
      </w:pPr>
    </w:p>
    <w:p w14:paraId="100B6E50" w14:textId="77777777" w:rsidR="003D7EE8" w:rsidRDefault="003D7EE8">
      <w:pPr>
        <w:rPr>
          <w:rFonts w:cs="Arial"/>
          <w:i/>
          <w:iCs/>
          <w:szCs w:val="20"/>
          <w:u w:val="single"/>
          <w:lang w:eastAsia="en-GB"/>
        </w:rPr>
      </w:pPr>
      <w:r>
        <w:rPr>
          <w:rFonts w:cs="Arial"/>
          <w:i/>
          <w:iCs/>
          <w:szCs w:val="20"/>
          <w:u w:val="single"/>
          <w:lang w:eastAsia="en-GB"/>
        </w:rPr>
        <w:br w:type="page"/>
      </w:r>
    </w:p>
    <w:p w14:paraId="101670DE" w14:textId="76435471" w:rsidR="00C73A65" w:rsidRPr="00AD7B69" w:rsidRDefault="00C73A65" w:rsidP="00C73A65">
      <w:pPr>
        <w:rPr>
          <w:rFonts w:cs="Arial"/>
          <w:i/>
          <w:iCs/>
          <w:szCs w:val="20"/>
          <w:u w:val="single"/>
          <w:lang w:eastAsia="en-GB"/>
        </w:rPr>
      </w:pPr>
      <w:r w:rsidRPr="00AD7B69">
        <w:rPr>
          <w:rFonts w:cs="Arial"/>
          <w:i/>
          <w:iCs/>
          <w:szCs w:val="20"/>
          <w:u w:val="single"/>
          <w:lang w:eastAsia="en-GB"/>
        </w:rPr>
        <w:lastRenderedPageBreak/>
        <w:t xml:space="preserve">General measures </w:t>
      </w:r>
    </w:p>
    <w:p w14:paraId="47F4AB92" w14:textId="77777777" w:rsidR="00C73A65" w:rsidRPr="00AD7B69" w:rsidRDefault="00C73A65" w:rsidP="00C73A65">
      <w:pPr>
        <w:rPr>
          <w:rFonts w:cs="Arial"/>
          <w:i/>
          <w:iCs/>
          <w:szCs w:val="20"/>
          <w:u w:val="single"/>
          <w:lang w:eastAsia="en-GB"/>
        </w:rPr>
      </w:pPr>
    </w:p>
    <w:p w14:paraId="1066DF5A" w14:textId="77777777" w:rsidR="00C73A65" w:rsidRPr="00AD7B69" w:rsidRDefault="00C73A65" w:rsidP="00C73A65">
      <w:pPr>
        <w:rPr>
          <w:rFonts w:cs="Arial"/>
          <w:iCs/>
          <w:szCs w:val="20"/>
          <w:lang w:eastAsia="en-GB"/>
        </w:rPr>
      </w:pPr>
      <w:r w:rsidRPr="00AD7B69">
        <w:rPr>
          <w:rFonts w:cs="Arial"/>
          <w:iCs/>
          <w:szCs w:val="20"/>
          <w:lang w:eastAsia="en-GB"/>
        </w:rPr>
        <w:t>At the outset, it is recalled that the issues of independence of investigations, of victim involvement in and public scrutiny of investigations have been already closed by the Committee of Ministers (for more details in this respect see Committee’s decision adopted in March 2017 during its 1280</w:t>
      </w:r>
      <w:r w:rsidRPr="00AD7B69">
        <w:rPr>
          <w:rFonts w:cs="Arial"/>
          <w:iCs/>
          <w:szCs w:val="20"/>
          <w:vertAlign w:val="superscript"/>
          <w:lang w:eastAsia="en-GB"/>
        </w:rPr>
        <w:t>th</w:t>
      </w:r>
      <w:r w:rsidRPr="00AD7B69">
        <w:rPr>
          <w:rFonts w:cs="Arial"/>
          <w:iCs/>
          <w:szCs w:val="20"/>
          <w:lang w:eastAsia="en-GB"/>
        </w:rPr>
        <w:t xml:space="preserve"> meeting). </w:t>
      </w:r>
    </w:p>
    <w:p w14:paraId="559334F8" w14:textId="77777777" w:rsidR="00C73A65" w:rsidRPr="00AD7B69" w:rsidRDefault="00C73A65" w:rsidP="00C73A65">
      <w:pPr>
        <w:rPr>
          <w:rFonts w:cs="Arial"/>
          <w:iCs/>
          <w:szCs w:val="20"/>
          <w:lang w:eastAsia="en-GB"/>
        </w:rPr>
      </w:pPr>
    </w:p>
    <w:p w14:paraId="0B63ED8E" w14:textId="0CA4967B" w:rsidR="00C73A65" w:rsidRPr="00AD7B69" w:rsidRDefault="00C73A65" w:rsidP="00C73A65">
      <w:pPr>
        <w:rPr>
          <w:rFonts w:cs="Arial"/>
          <w:i/>
          <w:iCs/>
          <w:szCs w:val="20"/>
          <w:lang w:eastAsia="en-GB"/>
        </w:rPr>
      </w:pPr>
      <w:r w:rsidRPr="00AD7B69">
        <w:rPr>
          <w:rFonts w:cs="Arial"/>
          <w:iCs/>
          <w:szCs w:val="20"/>
          <w:lang w:eastAsia="en-GB"/>
        </w:rPr>
        <w:t xml:space="preserve">The </w:t>
      </w:r>
      <w:r>
        <w:rPr>
          <w:rFonts w:cs="Arial"/>
          <w:iCs/>
          <w:szCs w:val="20"/>
          <w:lang w:eastAsia="en-GB"/>
        </w:rPr>
        <w:t xml:space="preserve">major </w:t>
      </w:r>
      <w:r w:rsidRPr="00AD7B69">
        <w:rPr>
          <w:rFonts w:cs="Arial"/>
          <w:iCs/>
          <w:szCs w:val="20"/>
          <w:lang w:eastAsia="en-GB"/>
        </w:rPr>
        <w:t>outstanding issues currently examined by the Committee of Ministers concern adequacy and promptness as well as the independent oversight of investigations into war crimes. In their revised action plan of 8 October 2020 (</w:t>
      </w:r>
      <w:bookmarkStart w:id="8" w:name="_ML_000000000003_VALID"/>
      <w:r w:rsidR="00757FF1" w:rsidRPr="00757FF1">
        <w:fldChar w:fldCharType="begin"/>
      </w:r>
      <w:r w:rsidR="00757FF1" w:rsidRPr="00757FF1">
        <w:instrText xml:space="preserve"> HYPERLINK "https://search.coe.int/cm/Pages/result_details.aspx?Reference=DH-DD(2020)880" \o "1390th meeting (December 2020) (DH) - Action plan (08/10/2020) - Communication from Croatia concerning the group of cases of SKENDZIC AND KRZNARIC v. Croatia (Application No. 16212/08) [anglais uniquement] " </w:instrText>
      </w:r>
      <w:r w:rsidR="00757FF1" w:rsidRPr="00757FF1">
        <w:fldChar w:fldCharType="separate"/>
      </w:r>
      <w:bookmarkEnd w:id="8"/>
      <w:r w:rsidR="00757FF1" w:rsidRPr="00757FF1">
        <w:rPr>
          <w:rStyle w:val="Hyperlink"/>
        </w:rPr>
        <w:t>DH-DD(2020)880</w:t>
      </w:r>
      <w:r w:rsidR="00757FF1" w:rsidRPr="00757FF1">
        <w:fldChar w:fldCharType="end"/>
      </w:r>
      <w:r w:rsidRPr="00AD7B69">
        <w:rPr>
          <w:rFonts w:cs="Arial"/>
          <w:iCs/>
          <w:szCs w:val="20"/>
          <w:lang w:eastAsia="en-GB"/>
        </w:rPr>
        <w:t xml:space="preserve">), the authorities provided  information on these </w:t>
      </w:r>
      <w:r w:rsidRPr="00AD7B69">
        <w:t>outstanding issues</w:t>
      </w:r>
      <w:r>
        <w:t xml:space="preserve"> which may be summarised as follows:</w:t>
      </w:r>
    </w:p>
    <w:p w14:paraId="139D23CD" w14:textId="77777777" w:rsidR="00C73A65" w:rsidRPr="00AD7B69" w:rsidRDefault="00C73A65" w:rsidP="00C73A65">
      <w:pPr>
        <w:rPr>
          <w:rFonts w:cs="Arial"/>
          <w:szCs w:val="20"/>
          <w:lang w:eastAsia="en-GB"/>
        </w:rPr>
      </w:pPr>
    </w:p>
    <w:p w14:paraId="0E732054" w14:textId="77777777" w:rsidR="00C73A65" w:rsidRPr="00AD7B69" w:rsidRDefault="00C73A65" w:rsidP="00C73A65">
      <w:pPr>
        <w:numPr>
          <w:ilvl w:val="0"/>
          <w:numId w:val="1"/>
        </w:numPr>
        <w:contextualSpacing/>
        <w:rPr>
          <w:rFonts w:cs="Arial"/>
          <w:szCs w:val="20"/>
          <w:lang w:val="en-US" w:eastAsia="en-GB"/>
        </w:rPr>
      </w:pPr>
      <w:r w:rsidRPr="00AD7B69">
        <w:rPr>
          <w:rFonts w:cs="Arial"/>
          <w:b/>
          <w:i/>
          <w:szCs w:val="20"/>
          <w:lang w:val="en-US" w:eastAsia="en-GB"/>
        </w:rPr>
        <w:t xml:space="preserve"> Adequacy and promptness </w:t>
      </w:r>
    </w:p>
    <w:p w14:paraId="71ABFA79" w14:textId="77777777" w:rsidR="00C73A65" w:rsidRPr="00AD7B69" w:rsidRDefault="00C73A65" w:rsidP="00C73A65">
      <w:pPr>
        <w:ind w:left="360"/>
        <w:contextualSpacing/>
        <w:rPr>
          <w:rFonts w:cs="Arial"/>
          <w:szCs w:val="20"/>
          <w:lang w:val="en-US" w:eastAsia="en-GB"/>
        </w:rPr>
      </w:pPr>
    </w:p>
    <w:p w14:paraId="6DB4EA7E" w14:textId="77777777" w:rsidR="00C73A65" w:rsidRPr="00AD7B69" w:rsidRDefault="00C73A65" w:rsidP="00C73A65">
      <w:pPr>
        <w:rPr>
          <w:iCs/>
          <w:szCs w:val="20"/>
          <w:lang w:eastAsia="en-GB"/>
        </w:rPr>
      </w:pPr>
      <w:r w:rsidRPr="00AD7B69">
        <w:rPr>
          <w:rFonts w:cs="Arial"/>
          <w:i/>
          <w:szCs w:val="20"/>
          <w:lang w:val="en-US" w:eastAsia="en-GB"/>
        </w:rPr>
        <w:t>Adequacy</w:t>
      </w:r>
      <w:r w:rsidRPr="00AD7B69">
        <w:rPr>
          <w:i/>
          <w:szCs w:val="20"/>
          <w:lang w:eastAsia="en-GB"/>
        </w:rPr>
        <w:t xml:space="preserve">: </w:t>
      </w:r>
      <w:r w:rsidRPr="00AD7B69">
        <w:rPr>
          <w:szCs w:val="20"/>
          <w:lang w:eastAsia="en-GB"/>
        </w:rPr>
        <w:t xml:space="preserve">The authorities have set up special structures responsible for investigating war crimes, notably special prosecutors, police task forces and courts. </w:t>
      </w:r>
      <w:r w:rsidRPr="00AD7B69">
        <w:rPr>
          <w:rFonts w:cs="Arial"/>
          <w:color w:val="000000"/>
          <w:szCs w:val="20"/>
          <w:lang w:val="en-US" w:eastAsia="en-GB"/>
        </w:rPr>
        <w:t xml:space="preserve">The best qualified judges and prosecutors were assigned to these special structures with the aim of achieving best results in war crime investigations. </w:t>
      </w:r>
      <w:r w:rsidRPr="00AD7B69">
        <w:rPr>
          <w:iCs/>
          <w:szCs w:val="20"/>
          <w:lang w:eastAsia="en-GB"/>
        </w:rPr>
        <w:t>The prosecuting authorities have instructed the police to investigate direct perpetrators in war crime cases where criminal charges are filed against those holding command responsibilities.</w:t>
      </w:r>
    </w:p>
    <w:p w14:paraId="5094CB66" w14:textId="77777777" w:rsidR="00C73A65" w:rsidRPr="00AD7B69" w:rsidRDefault="00C73A65" w:rsidP="00C73A65">
      <w:pPr>
        <w:autoSpaceDE w:val="0"/>
        <w:autoSpaceDN w:val="0"/>
        <w:adjustRightInd w:val="0"/>
        <w:rPr>
          <w:rFonts w:cs="Arial"/>
          <w:color w:val="000000"/>
          <w:sz w:val="24"/>
          <w:lang w:val="en-US" w:eastAsia="en-GB"/>
        </w:rPr>
      </w:pPr>
    </w:p>
    <w:p w14:paraId="774BE9FC" w14:textId="42F87519" w:rsidR="00C73A65" w:rsidRPr="00AD7B69" w:rsidRDefault="00C73A65" w:rsidP="00C73A65">
      <w:pPr>
        <w:rPr>
          <w:rFonts w:cs="Arial"/>
          <w:szCs w:val="20"/>
          <w:lang w:eastAsia="en-GB"/>
        </w:rPr>
      </w:pPr>
      <w:r w:rsidRPr="00AD7B69">
        <w:rPr>
          <w:rFonts w:cs="Arial"/>
          <w:szCs w:val="20"/>
          <w:lang w:eastAsia="en-GB"/>
        </w:rPr>
        <w:t>According to the statistics provided by the authorities the total number of alleged war crime perpetrators in respect of whom investigations were opened increased</w:t>
      </w:r>
      <w:r w:rsidR="008D361E">
        <w:rPr>
          <w:rFonts w:cs="Arial"/>
          <w:szCs w:val="20"/>
          <w:lang w:eastAsia="en-GB"/>
        </w:rPr>
        <w:t xml:space="preserve"> from</w:t>
      </w:r>
      <w:r w:rsidRPr="00AD7B69">
        <w:rPr>
          <w:rFonts w:cs="Arial"/>
          <w:szCs w:val="20"/>
          <w:lang w:eastAsia="en-GB"/>
        </w:rPr>
        <w:t xml:space="preserve"> </w:t>
      </w:r>
      <w:r w:rsidR="008D361E" w:rsidRPr="00AD7B69">
        <w:rPr>
          <w:rFonts w:cs="Arial"/>
          <w:szCs w:val="20"/>
          <w:lang w:eastAsia="en-GB"/>
        </w:rPr>
        <w:t xml:space="preserve">3,436 </w:t>
      </w:r>
      <w:r w:rsidR="008D361E">
        <w:rPr>
          <w:rFonts w:cs="Arial"/>
          <w:szCs w:val="20"/>
          <w:lang w:eastAsia="en-GB"/>
        </w:rPr>
        <w:t xml:space="preserve">in 2012 </w:t>
      </w:r>
      <w:r w:rsidRPr="00AD7B69">
        <w:rPr>
          <w:rFonts w:cs="Arial"/>
          <w:szCs w:val="20"/>
          <w:lang w:eastAsia="en-GB"/>
        </w:rPr>
        <w:t xml:space="preserve">to 3,708 in 2020 (i.e. 272 fresh investigations launched). In addition, the total number of </w:t>
      </w:r>
      <w:r w:rsidRPr="00431FE9">
        <w:rPr>
          <w:rFonts w:cs="Arial"/>
          <w:i/>
          <w:iCs/>
          <w:szCs w:val="20"/>
          <w:u w:val="single"/>
          <w:lang w:eastAsia="en-GB"/>
        </w:rPr>
        <w:t>convictions</w:t>
      </w:r>
      <w:r w:rsidRPr="00AD7B69">
        <w:rPr>
          <w:rFonts w:cs="Arial"/>
          <w:szCs w:val="20"/>
          <w:lang w:eastAsia="en-GB"/>
        </w:rPr>
        <w:t xml:space="preserve"> for war crimes </w:t>
      </w:r>
      <w:r w:rsidR="008D361E">
        <w:rPr>
          <w:rFonts w:cs="Arial"/>
          <w:szCs w:val="20"/>
          <w:lang w:eastAsia="en-GB"/>
        </w:rPr>
        <w:t xml:space="preserve">increased from </w:t>
      </w:r>
      <w:r w:rsidR="008D361E" w:rsidRPr="00AD7B69">
        <w:rPr>
          <w:rFonts w:cs="Arial"/>
          <w:szCs w:val="20"/>
          <w:lang w:eastAsia="en-GB"/>
        </w:rPr>
        <w:t xml:space="preserve">557 </w:t>
      </w:r>
      <w:r w:rsidR="008D361E">
        <w:rPr>
          <w:rFonts w:cs="Arial"/>
          <w:szCs w:val="20"/>
          <w:lang w:eastAsia="en-GB"/>
        </w:rPr>
        <w:t xml:space="preserve">in 2012 to </w:t>
      </w:r>
      <w:r w:rsidR="008D361E" w:rsidRPr="00AD7B69">
        <w:rPr>
          <w:rFonts w:cs="Arial"/>
          <w:szCs w:val="20"/>
          <w:lang w:eastAsia="en-GB"/>
        </w:rPr>
        <w:t xml:space="preserve">648 </w:t>
      </w:r>
      <w:r w:rsidRPr="00AD7B69">
        <w:rPr>
          <w:rFonts w:cs="Arial"/>
          <w:szCs w:val="20"/>
          <w:lang w:eastAsia="en-GB"/>
        </w:rPr>
        <w:t xml:space="preserve">in 2020 (i.e. 91 additional convictions). </w:t>
      </w:r>
    </w:p>
    <w:p w14:paraId="365C51E6" w14:textId="77777777" w:rsidR="00C73A65" w:rsidRPr="00AD7B69" w:rsidRDefault="00C73A65" w:rsidP="00C73A65">
      <w:pPr>
        <w:autoSpaceDE w:val="0"/>
        <w:autoSpaceDN w:val="0"/>
        <w:adjustRightInd w:val="0"/>
        <w:rPr>
          <w:rFonts w:cs="Arial"/>
          <w:color w:val="000000"/>
          <w:szCs w:val="20"/>
          <w:lang w:eastAsia="en-GB"/>
        </w:rPr>
      </w:pPr>
    </w:p>
    <w:p w14:paraId="0EBEA705" w14:textId="77777777" w:rsidR="00C73A65" w:rsidRPr="00AD7B69" w:rsidRDefault="00C73A65" w:rsidP="00C73A65">
      <w:pPr>
        <w:autoSpaceDE w:val="0"/>
        <w:autoSpaceDN w:val="0"/>
        <w:adjustRightInd w:val="0"/>
        <w:rPr>
          <w:rFonts w:cs="Arial"/>
          <w:color w:val="000000"/>
          <w:szCs w:val="20"/>
          <w:lang w:val="en-US" w:eastAsia="en-GB"/>
        </w:rPr>
      </w:pPr>
      <w:bookmarkStart w:id="9" w:name="_Hlk54269547"/>
      <w:r w:rsidRPr="00AD7B69">
        <w:rPr>
          <w:rFonts w:cs="Arial"/>
          <w:color w:val="000000"/>
          <w:szCs w:val="20"/>
          <w:lang w:val="en-US" w:eastAsia="en-GB"/>
        </w:rPr>
        <w:t xml:space="preserve">In its last decision adopted in June 2019, the Committee of Ministers stressed </w:t>
      </w:r>
      <w:r w:rsidRPr="00AD7B69">
        <w:rPr>
          <w:rFonts w:cs="Arial"/>
          <w:color w:val="000000"/>
          <w:szCs w:val="20"/>
          <w:lang w:eastAsia="en-GB"/>
        </w:rPr>
        <w:t xml:space="preserve">the important and undiminished humanitarian dimension of the issue of </w:t>
      </w:r>
      <w:r w:rsidRPr="00431FE9">
        <w:rPr>
          <w:rFonts w:cs="Arial"/>
          <w:i/>
          <w:iCs/>
          <w:color w:val="000000"/>
          <w:szCs w:val="20"/>
          <w:u w:val="single"/>
          <w:lang w:eastAsia="en-GB"/>
        </w:rPr>
        <w:t>missing persons</w:t>
      </w:r>
      <w:r w:rsidRPr="00AD7B69">
        <w:rPr>
          <w:rFonts w:cs="Arial"/>
          <w:color w:val="000000"/>
          <w:szCs w:val="20"/>
          <w:lang w:eastAsia="en-GB"/>
        </w:rPr>
        <w:t>, noted with satisfaction the authorities’ efforts in this respect, notably the fact that 5,162 persons have been exhumed until then, and encouraged them to sustain these efforts with a view to establishing the fate of the remaining 1,903 missing persons.</w:t>
      </w:r>
    </w:p>
    <w:p w14:paraId="431A22B7" w14:textId="77777777" w:rsidR="00C73A65" w:rsidRPr="00AD7B69" w:rsidRDefault="00C73A65" w:rsidP="00C73A65">
      <w:pPr>
        <w:autoSpaceDE w:val="0"/>
        <w:autoSpaceDN w:val="0"/>
        <w:adjustRightInd w:val="0"/>
        <w:rPr>
          <w:rFonts w:cs="Arial"/>
          <w:color w:val="000000"/>
          <w:szCs w:val="20"/>
          <w:lang w:val="en-US" w:eastAsia="en-GB"/>
        </w:rPr>
      </w:pPr>
    </w:p>
    <w:p w14:paraId="5CB28D49" w14:textId="2558B001" w:rsidR="00C73A65" w:rsidRPr="00AD7B69" w:rsidRDefault="00C73A65" w:rsidP="00C73A65">
      <w:pPr>
        <w:autoSpaceDE w:val="0"/>
        <w:autoSpaceDN w:val="0"/>
        <w:adjustRightInd w:val="0"/>
        <w:rPr>
          <w:rFonts w:cs="Arial"/>
          <w:color w:val="000000"/>
          <w:szCs w:val="20"/>
          <w:lang w:val="en-US" w:eastAsia="en-GB"/>
        </w:rPr>
      </w:pPr>
      <w:r w:rsidRPr="00AD7B69">
        <w:rPr>
          <w:rFonts w:cs="Arial"/>
          <w:color w:val="000000"/>
          <w:szCs w:val="20"/>
          <w:lang w:val="en-US" w:eastAsia="en-GB"/>
        </w:rPr>
        <w:t>In response, the authorities indicated that on 12 July 2019 the Act on the Missing Persons in the Homeland War was adopted (in force since 1 August 2019). The Act mainly aims at providing for a higher degree of protection for family members of missing persons and creating an effective legal framework</w:t>
      </w:r>
      <w:r>
        <w:rPr>
          <w:rFonts w:cs="Arial"/>
          <w:color w:val="000000"/>
          <w:szCs w:val="20"/>
          <w:lang w:val="en-US" w:eastAsia="en-GB"/>
        </w:rPr>
        <w:t>. It</w:t>
      </w:r>
      <w:r w:rsidRPr="00AD7B69">
        <w:rPr>
          <w:rFonts w:cs="Arial"/>
          <w:color w:val="000000"/>
          <w:szCs w:val="20"/>
          <w:lang w:val="en-US" w:eastAsia="en-GB"/>
        </w:rPr>
        <w:t xml:space="preserve"> stipulates the</w:t>
      </w:r>
      <w:r w:rsidR="009C28C9">
        <w:rPr>
          <w:rFonts w:cs="Arial"/>
          <w:color w:val="000000"/>
          <w:szCs w:val="20"/>
          <w:lang w:val="en-US" w:eastAsia="en-GB"/>
        </w:rPr>
        <w:t xml:space="preserve"> </w:t>
      </w:r>
      <w:r w:rsidRPr="00AD7B69">
        <w:rPr>
          <w:rFonts w:cs="Arial"/>
          <w:color w:val="000000"/>
          <w:szCs w:val="20"/>
          <w:lang w:val="en-US" w:eastAsia="en-GB"/>
        </w:rPr>
        <w:t>procedure, competence, record keeping, and other issues related to</w:t>
      </w:r>
      <w:r w:rsidR="009C28C9">
        <w:rPr>
          <w:rFonts w:cs="Arial"/>
          <w:color w:val="000000"/>
          <w:szCs w:val="20"/>
          <w:lang w:val="en-US" w:eastAsia="en-GB"/>
        </w:rPr>
        <w:t xml:space="preserve"> </w:t>
      </w:r>
      <w:r w:rsidRPr="00AD7B69">
        <w:rPr>
          <w:rFonts w:cs="Arial"/>
          <w:color w:val="000000"/>
          <w:szCs w:val="20"/>
          <w:lang w:val="en-US" w:eastAsia="en-GB"/>
        </w:rPr>
        <w:t>search, exhumation and identification of the persons who went missing during the war. In addition, on 17 July 2019, a</w:t>
      </w:r>
      <w:r>
        <w:rPr>
          <w:rFonts w:cs="Arial"/>
          <w:color w:val="000000"/>
          <w:szCs w:val="20"/>
          <w:lang w:val="en-US" w:eastAsia="en-GB"/>
        </w:rPr>
        <w:t xml:space="preserve"> </w:t>
      </w:r>
      <w:r w:rsidRPr="00AD7B69">
        <w:rPr>
          <w:rFonts w:cs="Arial"/>
          <w:color w:val="000000"/>
          <w:szCs w:val="20"/>
          <w:lang w:val="en-US" w:eastAsia="en-GB"/>
        </w:rPr>
        <w:t>Memorandum of Understanding was</w:t>
      </w:r>
      <w:r>
        <w:rPr>
          <w:rFonts w:cs="Arial"/>
          <w:color w:val="000000"/>
          <w:szCs w:val="20"/>
          <w:lang w:val="en-US" w:eastAsia="en-GB"/>
        </w:rPr>
        <w:t xml:space="preserve"> </w:t>
      </w:r>
      <w:r w:rsidRPr="00AD7B69">
        <w:rPr>
          <w:rFonts w:cs="Arial"/>
          <w:color w:val="000000"/>
          <w:szCs w:val="20"/>
          <w:lang w:val="en-US" w:eastAsia="en-GB"/>
        </w:rPr>
        <w:t>signed</w:t>
      </w:r>
      <w:r w:rsidRPr="00AD7B69">
        <w:t xml:space="preserve"> </w:t>
      </w:r>
      <w:r w:rsidRPr="00AD7B69">
        <w:rPr>
          <w:rFonts w:cs="Arial"/>
          <w:color w:val="000000"/>
          <w:szCs w:val="20"/>
          <w:lang w:val="en-US" w:eastAsia="en-GB"/>
        </w:rPr>
        <w:t>between the Ministry of Croatian Veterans and the International Committee of the Red Cross on</w:t>
      </w:r>
      <w:r>
        <w:rPr>
          <w:rFonts w:cs="Arial"/>
          <w:color w:val="000000"/>
          <w:szCs w:val="20"/>
          <w:lang w:val="en-US" w:eastAsia="en-GB"/>
        </w:rPr>
        <w:t xml:space="preserve"> </w:t>
      </w:r>
      <w:r w:rsidRPr="00AD7B69">
        <w:rPr>
          <w:rFonts w:cs="Arial"/>
          <w:color w:val="000000"/>
          <w:szCs w:val="20"/>
          <w:lang w:val="en-US" w:eastAsia="en-GB"/>
        </w:rPr>
        <w:t>the</w:t>
      </w:r>
      <w:r>
        <w:rPr>
          <w:rFonts w:cs="Arial"/>
          <w:color w:val="000000"/>
          <w:szCs w:val="20"/>
          <w:lang w:val="en-US" w:eastAsia="en-GB"/>
        </w:rPr>
        <w:t xml:space="preserve"> </w:t>
      </w:r>
      <w:r w:rsidRPr="00AD7B69">
        <w:rPr>
          <w:rFonts w:cs="Arial"/>
          <w:color w:val="000000"/>
          <w:szCs w:val="20"/>
          <w:lang w:val="en-US" w:eastAsia="en-GB"/>
        </w:rPr>
        <w:t>transmission</w:t>
      </w:r>
      <w:r>
        <w:rPr>
          <w:rFonts w:cs="Arial"/>
          <w:color w:val="000000"/>
          <w:szCs w:val="20"/>
          <w:lang w:val="en-US" w:eastAsia="en-GB"/>
        </w:rPr>
        <w:t xml:space="preserve"> </w:t>
      </w:r>
      <w:r w:rsidRPr="00AD7B69">
        <w:rPr>
          <w:rFonts w:cs="Arial"/>
          <w:color w:val="000000"/>
          <w:szCs w:val="20"/>
          <w:lang w:val="en-US" w:eastAsia="en-GB"/>
        </w:rPr>
        <w:t xml:space="preserve">and use of information and documents on missing persons. </w:t>
      </w:r>
      <w:bookmarkEnd w:id="9"/>
      <w:r w:rsidRPr="00AD7B69">
        <w:rPr>
          <w:rFonts w:cs="Arial"/>
          <w:color w:val="000000"/>
          <w:szCs w:val="20"/>
          <w:lang w:val="en-US" w:eastAsia="en-GB"/>
        </w:rPr>
        <w:t xml:space="preserve">The authorities furthermore highlighted that until September 2020, a total of 150 mass graves and more than 1,200 individual burial sites have been located throughout </w:t>
      </w:r>
      <w:r>
        <w:rPr>
          <w:rFonts w:cs="Arial"/>
          <w:color w:val="000000"/>
          <w:szCs w:val="20"/>
          <w:lang w:val="en-US" w:eastAsia="en-GB"/>
        </w:rPr>
        <w:t>Croatia.</w:t>
      </w:r>
      <w:r w:rsidRPr="00AD7B69">
        <w:rPr>
          <w:rFonts w:cs="Arial"/>
          <w:color w:val="000000"/>
          <w:szCs w:val="20"/>
          <w:lang w:val="en-US" w:eastAsia="en-GB"/>
        </w:rPr>
        <w:t xml:space="preserve"> Remains of 5,181 persons have been exhumed, out of which 83% (4,303) have been identified. Between 2011 and end of September 2020 approximately EUR 6,7 million have been allocated in the State Budget to find the persons who went missing during the Homeland War.</w:t>
      </w:r>
    </w:p>
    <w:p w14:paraId="48E31C4F" w14:textId="77777777" w:rsidR="00C73A65" w:rsidRPr="00AD7B69" w:rsidRDefault="00C73A65" w:rsidP="00C73A65">
      <w:pPr>
        <w:autoSpaceDE w:val="0"/>
        <w:autoSpaceDN w:val="0"/>
        <w:adjustRightInd w:val="0"/>
        <w:rPr>
          <w:rFonts w:cs="Arial"/>
          <w:color w:val="000000"/>
          <w:sz w:val="24"/>
          <w:lang w:val="en-US" w:eastAsia="en-GB"/>
        </w:rPr>
      </w:pPr>
    </w:p>
    <w:p w14:paraId="70BB02CC" w14:textId="77777777" w:rsidR="00EF4115" w:rsidRDefault="00C73A65" w:rsidP="009C28C9">
      <w:pPr>
        <w:rPr>
          <w:rFonts w:cs="Arial"/>
          <w:color w:val="000000"/>
          <w:szCs w:val="20"/>
          <w:lang w:val="en-US" w:eastAsia="en-GB"/>
        </w:rPr>
      </w:pPr>
      <w:r w:rsidRPr="00AD7B69">
        <w:rPr>
          <w:rFonts w:cs="Arial"/>
          <w:color w:val="000000"/>
          <w:szCs w:val="20"/>
          <w:lang w:val="en-US" w:eastAsia="en-GB"/>
        </w:rPr>
        <w:t>In the above-mentioned last decision, the Committee,</w:t>
      </w:r>
      <w:r w:rsidRPr="00AD7B69">
        <w:rPr>
          <w:rFonts w:cs="Arial"/>
          <w:color w:val="000000"/>
          <w:szCs w:val="20"/>
          <w:lang w:eastAsia="en-GB"/>
        </w:rPr>
        <w:t xml:space="preserve"> recalling the contracting State’s procedural obligation under Article 2 of the Convention to conduct effective investigations into war crimes, and stressing that all States have a corresponding Convention obligation to provide necessary assistance, underlined the importance of effective </w:t>
      </w:r>
      <w:r w:rsidRPr="00431FE9">
        <w:rPr>
          <w:rFonts w:cs="Arial"/>
          <w:i/>
          <w:iCs/>
          <w:color w:val="000000"/>
          <w:szCs w:val="20"/>
          <w:u w:val="single"/>
          <w:lang w:eastAsia="en-GB"/>
        </w:rPr>
        <w:t>regional cooperation</w:t>
      </w:r>
      <w:r w:rsidRPr="00AD7B69">
        <w:rPr>
          <w:rFonts w:cs="Arial"/>
          <w:color w:val="000000"/>
          <w:szCs w:val="20"/>
          <w:lang w:eastAsia="en-GB"/>
        </w:rPr>
        <w:t xml:space="preserve">, in particular judicial cooperation, to ensure the effectiveness of investigations into such crimes. In response, the authorities stressed that </w:t>
      </w:r>
      <w:r w:rsidRPr="00AD7B69">
        <w:rPr>
          <w:rFonts w:cs="Arial"/>
          <w:color w:val="000000"/>
          <w:szCs w:val="20"/>
          <w:lang w:val="en-US" w:eastAsia="en-GB"/>
        </w:rPr>
        <w:t xml:space="preserve">judicial regional cooperation on war crimes has continued through several high-level meetings. </w:t>
      </w:r>
      <w:proofErr w:type="gramStart"/>
      <w:r w:rsidRPr="00AD7B69">
        <w:rPr>
          <w:rFonts w:cs="Arial"/>
          <w:color w:val="000000"/>
          <w:szCs w:val="20"/>
          <w:lang w:val="en-US" w:eastAsia="en-GB"/>
        </w:rPr>
        <w:t>In particular, from</w:t>
      </w:r>
      <w:proofErr w:type="gramEnd"/>
      <w:r w:rsidRPr="00AD7B69">
        <w:rPr>
          <w:rFonts w:cs="Arial"/>
          <w:color w:val="000000"/>
          <w:szCs w:val="20"/>
          <w:lang w:val="en-US" w:eastAsia="en-GB"/>
        </w:rPr>
        <w:t xml:space="preserve"> 25 to 27 November 2019, in Sarajevo (Bosnia and Herzegovina), the </w:t>
      </w:r>
      <w:r>
        <w:rPr>
          <w:rFonts w:cs="Arial"/>
          <w:color w:val="000000"/>
          <w:szCs w:val="20"/>
          <w:lang w:val="en-US" w:eastAsia="en-GB"/>
        </w:rPr>
        <w:t>S</w:t>
      </w:r>
      <w:r w:rsidRPr="00AD7B69">
        <w:rPr>
          <w:rFonts w:cs="Arial"/>
          <w:color w:val="000000"/>
          <w:szCs w:val="20"/>
          <w:lang w:val="en-US" w:eastAsia="en-GB"/>
        </w:rPr>
        <w:t xml:space="preserve">tate prosecutors from the region met and discussed specific war crime cases, legal issues and differences between member states in prosecuting war crimes and the ways of overcoming them. From 17 to 19 December 2019, the Chief Prosecutor of Bosnia and Herzegovina hosted a high-level meeting of the prosecutors from the region on cooperation in war crimes proceedings. </w:t>
      </w:r>
    </w:p>
    <w:p w14:paraId="7E723E39" w14:textId="77777777" w:rsidR="00EF4115" w:rsidRDefault="00EF4115" w:rsidP="00C73A65">
      <w:pPr>
        <w:autoSpaceDE w:val="0"/>
        <w:autoSpaceDN w:val="0"/>
        <w:adjustRightInd w:val="0"/>
        <w:rPr>
          <w:rFonts w:cs="Arial"/>
          <w:color w:val="000000"/>
          <w:szCs w:val="20"/>
          <w:lang w:val="en-US" w:eastAsia="en-GB"/>
        </w:rPr>
      </w:pPr>
    </w:p>
    <w:p w14:paraId="4BC1E707" w14:textId="3F346E80" w:rsidR="00C73A65" w:rsidRPr="00AD7B69" w:rsidRDefault="00C73A65" w:rsidP="00C73A65">
      <w:pPr>
        <w:autoSpaceDE w:val="0"/>
        <w:autoSpaceDN w:val="0"/>
        <w:adjustRightInd w:val="0"/>
        <w:rPr>
          <w:rFonts w:cs="Arial"/>
          <w:color w:val="000000"/>
          <w:szCs w:val="20"/>
          <w:lang w:val="en-US" w:eastAsia="en-GB"/>
        </w:rPr>
      </w:pPr>
      <w:r w:rsidRPr="00AD7B69">
        <w:rPr>
          <w:rFonts w:cs="Arial"/>
          <w:color w:val="000000"/>
          <w:szCs w:val="20"/>
          <w:lang w:val="en-US" w:eastAsia="en-GB"/>
        </w:rPr>
        <w:t xml:space="preserve">The participants included the State Attorney of Croatia, the Chief War Crimes Prosecutor of Serbia, the Prosecutor of the Mechanism (IRMCT), representatives of the Supreme State Prosecutor’s Office of Montenegro and of the </w:t>
      </w:r>
      <w:proofErr w:type="spellStart"/>
      <w:r w:rsidRPr="00AD7B69">
        <w:rPr>
          <w:rFonts w:cs="Arial"/>
          <w:color w:val="000000"/>
          <w:szCs w:val="20"/>
          <w:lang w:val="en-US" w:eastAsia="en-GB"/>
        </w:rPr>
        <w:t>Brčko</w:t>
      </w:r>
      <w:proofErr w:type="spellEnd"/>
      <w:r w:rsidRPr="00AD7B69">
        <w:rPr>
          <w:rFonts w:cs="Arial"/>
          <w:color w:val="000000"/>
          <w:szCs w:val="20"/>
          <w:lang w:val="en-US" w:eastAsia="en-GB"/>
        </w:rPr>
        <w:t xml:space="preserve"> District, district and cantonal prosecution offices in Bosnia and Herzegovina. This high-level conference, as a follow-up to the Belgrade conference held in May 2019, was convened and organized by the UNDP with support of the governments of the United Kingdom and Italy. </w:t>
      </w:r>
    </w:p>
    <w:p w14:paraId="68C8D9B2" w14:textId="77777777" w:rsidR="00C73A65" w:rsidRPr="00AD7B69" w:rsidRDefault="00C73A65" w:rsidP="00C73A65">
      <w:pPr>
        <w:contextualSpacing/>
        <w:rPr>
          <w:iCs/>
          <w:szCs w:val="20"/>
          <w:lang w:eastAsia="en-GB"/>
        </w:rPr>
      </w:pPr>
    </w:p>
    <w:p w14:paraId="379E0061" w14:textId="77777777" w:rsidR="003D7EE8" w:rsidRDefault="003D7EE8">
      <w:pPr>
        <w:rPr>
          <w:i/>
          <w:szCs w:val="20"/>
          <w:lang w:eastAsia="en-GB"/>
        </w:rPr>
      </w:pPr>
      <w:r>
        <w:rPr>
          <w:i/>
          <w:szCs w:val="20"/>
          <w:lang w:eastAsia="en-GB"/>
        </w:rPr>
        <w:br w:type="page"/>
      </w:r>
    </w:p>
    <w:p w14:paraId="7C547FEA" w14:textId="37439AFF" w:rsidR="00C73A65" w:rsidRPr="00AD7B69" w:rsidRDefault="00C73A65" w:rsidP="00C73A65">
      <w:pPr>
        <w:rPr>
          <w:iCs/>
          <w:szCs w:val="20"/>
          <w:lang w:eastAsia="en-GB"/>
        </w:rPr>
      </w:pPr>
      <w:r w:rsidRPr="00AD7B69">
        <w:rPr>
          <w:i/>
          <w:szCs w:val="20"/>
          <w:lang w:eastAsia="en-GB"/>
        </w:rPr>
        <w:lastRenderedPageBreak/>
        <w:t>Promptness</w:t>
      </w:r>
      <w:r w:rsidRPr="00AD7B69">
        <w:rPr>
          <w:szCs w:val="20"/>
          <w:lang w:eastAsia="en-GB"/>
        </w:rPr>
        <w:t xml:space="preserve">: In its decision adopted in September 2014, the Committee noted with interest the amendments introduced in 2013 to the Criminal Procedural Code </w:t>
      </w:r>
      <w:r>
        <w:rPr>
          <w:szCs w:val="20"/>
          <w:lang w:eastAsia="en-GB"/>
        </w:rPr>
        <w:t xml:space="preserve">(CPC) </w:t>
      </w:r>
      <w:r w:rsidRPr="00AD7B69">
        <w:rPr>
          <w:szCs w:val="20"/>
          <w:lang w:eastAsia="en-GB"/>
        </w:rPr>
        <w:t xml:space="preserve">to ensure that investigations into war crimes are concluded expeditiously. Pursuant to these amendments, competencies to conduct investigations were transferred from the police to state attorneys. The police are now under an obligation to inform the state attorney directing the investigation, without delay, of the steps taken. </w:t>
      </w:r>
      <w:r>
        <w:rPr>
          <w:iCs/>
          <w:szCs w:val="20"/>
          <w:lang w:eastAsia="en-GB"/>
        </w:rPr>
        <w:t xml:space="preserve">The CPC </w:t>
      </w:r>
      <w:r w:rsidRPr="00AD7B69">
        <w:rPr>
          <w:iCs/>
          <w:szCs w:val="20"/>
          <w:lang w:eastAsia="en-GB"/>
        </w:rPr>
        <w:t>also introduced a six-month deadline for the state attorney to deal with criminal complaints. In 2015 an electronic case management system was introduced to ensure that procedural actions are carried out without delay. In 2018 the State Attorney General and the Ministry of the Interior set deadlines to accelerate investigations into war crimes. As a result, the cooperation between county state attorney offices and the police was enhanced</w:t>
      </w:r>
      <w:r w:rsidRPr="00AD7B69">
        <w:t xml:space="preserve"> </w:t>
      </w:r>
      <w:r w:rsidRPr="00AD7B69">
        <w:rPr>
          <w:iCs/>
          <w:szCs w:val="20"/>
          <w:lang w:eastAsia="en-GB"/>
        </w:rPr>
        <w:t>to prevent delays in the investigations.</w:t>
      </w:r>
    </w:p>
    <w:p w14:paraId="50BC36AF" w14:textId="77777777" w:rsidR="00C73A65" w:rsidRPr="00AD7B69" w:rsidRDefault="00C73A65" w:rsidP="00C73A65">
      <w:pPr>
        <w:rPr>
          <w:iCs/>
          <w:szCs w:val="20"/>
          <w:lang w:eastAsia="en-GB"/>
        </w:rPr>
      </w:pPr>
    </w:p>
    <w:p w14:paraId="5F8AA905" w14:textId="391DA5FB" w:rsidR="00C73A65" w:rsidRPr="00AD7B69" w:rsidRDefault="00C73A65" w:rsidP="00C73A65">
      <w:pPr>
        <w:rPr>
          <w:iCs/>
          <w:szCs w:val="20"/>
          <w:lang w:eastAsia="en-GB"/>
        </w:rPr>
      </w:pPr>
      <w:r w:rsidRPr="00AD7B69">
        <w:rPr>
          <w:iCs/>
          <w:szCs w:val="20"/>
          <w:lang w:val="en-US" w:eastAsia="en-GB"/>
        </w:rPr>
        <w:t xml:space="preserve">In addition, following the Committee’s </w:t>
      </w:r>
      <w:r>
        <w:rPr>
          <w:iCs/>
          <w:szCs w:val="20"/>
          <w:lang w:val="en-US" w:eastAsia="en-GB"/>
        </w:rPr>
        <w:t xml:space="preserve">last </w:t>
      </w:r>
      <w:r w:rsidRPr="00AD7B69">
        <w:rPr>
          <w:iCs/>
          <w:szCs w:val="20"/>
          <w:lang w:val="en-US" w:eastAsia="en-GB"/>
        </w:rPr>
        <w:t>decision, with a view to preventing procrastination and ensuring effective criminal investigations into war crimes, the State Attorney General rendered decision</w:t>
      </w:r>
      <w:r w:rsidR="007713FA">
        <w:rPr>
          <w:iCs/>
          <w:szCs w:val="20"/>
          <w:lang w:val="en-US" w:eastAsia="en-GB"/>
        </w:rPr>
        <w:t>s</w:t>
      </w:r>
      <w:r w:rsidRPr="00AD7B69">
        <w:rPr>
          <w:iCs/>
          <w:szCs w:val="20"/>
          <w:lang w:val="en-US" w:eastAsia="en-GB"/>
        </w:rPr>
        <w:t xml:space="preserve"> requesting state attorneys countrywide that all cases concerning war crimes (even those that are still in the stage of inquiries</w:t>
      </w:r>
      <w:r>
        <w:rPr>
          <w:iCs/>
          <w:szCs w:val="20"/>
          <w:lang w:val="en-US" w:eastAsia="en-GB"/>
        </w:rPr>
        <w:t>)</w:t>
      </w:r>
      <w:r w:rsidRPr="00AD7B69">
        <w:rPr>
          <w:iCs/>
          <w:szCs w:val="20"/>
          <w:lang w:val="en-US" w:eastAsia="en-GB"/>
        </w:rPr>
        <w:t xml:space="preserve"> be transferred to the four state attorney offices </w:t>
      </w:r>
      <w:proofErr w:type="spellStart"/>
      <w:r w:rsidRPr="00AD7B69">
        <w:rPr>
          <w:iCs/>
          <w:szCs w:val="20"/>
          <w:lang w:val="en-US" w:eastAsia="en-GB"/>
        </w:rPr>
        <w:t>specialised</w:t>
      </w:r>
      <w:proofErr w:type="spellEnd"/>
      <w:r w:rsidRPr="00AD7B69">
        <w:rPr>
          <w:iCs/>
          <w:szCs w:val="20"/>
          <w:lang w:val="en-US" w:eastAsia="en-GB"/>
        </w:rPr>
        <w:t xml:space="preserve"> </w:t>
      </w:r>
      <w:r w:rsidR="001112B5">
        <w:rPr>
          <w:iCs/>
          <w:szCs w:val="20"/>
          <w:lang w:val="en-US" w:eastAsia="en-GB"/>
        </w:rPr>
        <w:t>in</w:t>
      </w:r>
      <w:r w:rsidR="001112B5" w:rsidRPr="00AD7B69">
        <w:rPr>
          <w:iCs/>
          <w:szCs w:val="20"/>
          <w:lang w:val="en-US" w:eastAsia="en-GB"/>
        </w:rPr>
        <w:t xml:space="preserve"> </w:t>
      </w:r>
      <w:r w:rsidRPr="00AD7B69">
        <w:rPr>
          <w:iCs/>
          <w:szCs w:val="20"/>
          <w:lang w:val="en-US" w:eastAsia="en-GB"/>
        </w:rPr>
        <w:t>dealing with war crimes. In addition, on 2 September 2020, the State Attorney General held a meeting with county state attorneys and their deputies urging them to intensify their efforts in war crime investigations with a view to bringing them to an end. During the same meeting, county state attorneys were requested to</w:t>
      </w:r>
      <w:r w:rsidRPr="00AD7B69">
        <w:rPr>
          <w:iCs/>
          <w:szCs w:val="20"/>
          <w:lang w:eastAsia="en-GB"/>
        </w:rPr>
        <w:t xml:space="preserve"> deliver</w:t>
      </w:r>
      <w:r>
        <w:rPr>
          <w:iCs/>
          <w:szCs w:val="20"/>
          <w:lang w:eastAsia="en-GB"/>
        </w:rPr>
        <w:t xml:space="preserve"> </w:t>
      </w:r>
      <w:r w:rsidRPr="00AD7B69">
        <w:rPr>
          <w:iCs/>
          <w:szCs w:val="20"/>
          <w:lang w:eastAsia="en-GB"/>
        </w:rPr>
        <w:t>to the State Attorney General an estimation of</w:t>
      </w:r>
      <w:r w:rsidR="00EF4115">
        <w:rPr>
          <w:iCs/>
          <w:szCs w:val="20"/>
          <w:lang w:eastAsia="en-GB"/>
        </w:rPr>
        <w:t xml:space="preserve"> </w:t>
      </w:r>
      <w:r w:rsidRPr="00AD7B69">
        <w:rPr>
          <w:iCs/>
          <w:szCs w:val="20"/>
          <w:lang w:eastAsia="en-GB"/>
        </w:rPr>
        <w:t>a</w:t>
      </w:r>
      <w:r w:rsidR="00EF4115">
        <w:rPr>
          <w:iCs/>
          <w:szCs w:val="20"/>
          <w:lang w:eastAsia="en-GB"/>
        </w:rPr>
        <w:t xml:space="preserve"> </w:t>
      </w:r>
      <w:r w:rsidRPr="00AD7B69">
        <w:rPr>
          <w:iCs/>
          <w:szCs w:val="20"/>
          <w:lang w:eastAsia="en-GB"/>
        </w:rPr>
        <w:t>number</w:t>
      </w:r>
      <w:r w:rsidR="00EF4115">
        <w:rPr>
          <w:iCs/>
          <w:szCs w:val="20"/>
          <w:lang w:eastAsia="en-GB"/>
        </w:rPr>
        <w:t xml:space="preserve"> </w:t>
      </w:r>
      <w:r w:rsidRPr="00AD7B69">
        <w:rPr>
          <w:iCs/>
          <w:szCs w:val="20"/>
          <w:lang w:eastAsia="en-GB"/>
        </w:rPr>
        <w:t>of</w:t>
      </w:r>
      <w:r w:rsidR="00EF4115">
        <w:rPr>
          <w:iCs/>
          <w:szCs w:val="20"/>
          <w:lang w:eastAsia="en-GB"/>
        </w:rPr>
        <w:t xml:space="preserve"> </w:t>
      </w:r>
      <w:r w:rsidRPr="00AD7B69">
        <w:rPr>
          <w:iCs/>
          <w:szCs w:val="20"/>
          <w:lang w:eastAsia="en-GB"/>
        </w:rPr>
        <w:t>additional prosecutors</w:t>
      </w:r>
      <w:r w:rsidR="00EF4115">
        <w:rPr>
          <w:iCs/>
          <w:szCs w:val="20"/>
          <w:lang w:eastAsia="en-GB"/>
        </w:rPr>
        <w:t xml:space="preserve"> </w:t>
      </w:r>
      <w:r w:rsidRPr="00AD7B69">
        <w:rPr>
          <w:iCs/>
          <w:szCs w:val="20"/>
          <w:lang w:eastAsia="en-GB"/>
        </w:rPr>
        <w:t>and</w:t>
      </w:r>
      <w:r w:rsidR="00EF4115">
        <w:rPr>
          <w:iCs/>
          <w:szCs w:val="20"/>
          <w:lang w:eastAsia="en-GB"/>
        </w:rPr>
        <w:t xml:space="preserve"> </w:t>
      </w:r>
      <w:r w:rsidRPr="00AD7B69">
        <w:rPr>
          <w:iCs/>
          <w:szCs w:val="20"/>
          <w:lang w:eastAsia="en-GB"/>
        </w:rPr>
        <w:t>advisers to be assigned</w:t>
      </w:r>
      <w:r>
        <w:rPr>
          <w:iCs/>
          <w:szCs w:val="20"/>
          <w:lang w:eastAsia="en-GB"/>
        </w:rPr>
        <w:t xml:space="preserve"> </w:t>
      </w:r>
      <w:r w:rsidRPr="00AD7B69">
        <w:rPr>
          <w:iCs/>
          <w:szCs w:val="20"/>
          <w:lang w:eastAsia="en-GB"/>
        </w:rPr>
        <w:t>with war crime cases with a view to speeding up and enhancing the effectiveness of war crime investigations.</w:t>
      </w:r>
    </w:p>
    <w:p w14:paraId="65830FAA" w14:textId="77777777" w:rsidR="00C73A65" w:rsidRPr="00AD7B69" w:rsidRDefault="00C73A65" w:rsidP="00C73A65">
      <w:pPr>
        <w:rPr>
          <w:rFonts w:cs="Arial"/>
          <w:b/>
          <w:szCs w:val="20"/>
          <w:lang w:eastAsia="en-GB"/>
        </w:rPr>
      </w:pPr>
    </w:p>
    <w:p w14:paraId="218DB478" w14:textId="77777777" w:rsidR="007713FA" w:rsidRPr="00474587" w:rsidRDefault="007713FA" w:rsidP="007713FA">
      <w:pPr>
        <w:numPr>
          <w:ilvl w:val="0"/>
          <w:numId w:val="1"/>
        </w:numPr>
        <w:ind w:left="0" w:firstLine="0"/>
        <w:contextualSpacing/>
        <w:rPr>
          <w:rFonts w:cs="Arial"/>
          <w:szCs w:val="20"/>
        </w:rPr>
      </w:pPr>
      <w:r w:rsidRPr="00AD7B69">
        <w:rPr>
          <w:rFonts w:cs="Arial"/>
          <w:b/>
          <w:i/>
          <w:szCs w:val="20"/>
          <w:lang w:val="en-US" w:eastAsia="en-GB"/>
        </w:rPr>
        <w:t>Independent oversight of investigations</w:t>
      </w:r>
      <w:r w:rsidRPr="00AD7B69">
        <w:rPr>
          <w:rFonts w:cs="Arial"/>
          <w:b/>
          <w:i/>
          <w:sz w:val="22"/>
          <w:szCs w:val="20"/>
          <w:lang w:val="en-US" w:eastAsia="en-GB"/>
        </w:rPr>
        <w:t xml:space="preserve"> </w:t>
      </w:r>
    </w:p>
    <w:p w14:paraId="54511A86" w14:textId="77777777" w:rsidR="007713FA" w:rsidRDefault="007713FA" w:rsidP="007713FA">
      <w:pPr>
        <w:contextualSpacing/>
        <w:rPr>
          <w:rFonts w:cs="Arial"/>
          <w:b/>
          <w:i/>
          <w:szCs w:val="20"/>
          <w:lang w:eastAsia="en-GB"/>
        </w:rPr>
      </w:pPr>
    </w:p>
    <w:p w14:paraId="46736E58" w14:textId="77777777" w:rsidR="007713FA" w:rsidRDefault="007713FA" w:rsidP="007713FA">
      <w:pPr>
        <w:contextualSpacing/>
        <w:rPr>
          <w:rFonts w:cs="Arial"/>
          <w:szCs w:val="20"/>
        </w:rPr>
      </w:pPr>
      <w:r w:rsidRPr="00AD7B69">
        <w:rPr>
          <w:rFonts w:cs="Arial"/>
          <w:szCs w:val="20"/>
        </w:rPr>
        <w:t>In its last decision, the Committee noted with interest the development of the Constitutional Court’s case-law allowing judicial review of the effectiveness of investigations into war crimes and invited the authorities to keep the Committee informed about further case-law developments. It is to be recalled that under the Constitutional Court Act, one may lodge a constitutional complaint even before all legal remedies have been exhausted if the relevant court has failed to decide within a reasonable time on his or her rights or obligations or if the contested decision grossly violates constitutional rights and it is completely clear that the complainant will face serious and irreparable consequences if Constitutional Court proceedings are not instituted. The Constitutional Court’s decisions have a binding effect and the domestic authorities are obliged to implement them in matters of their competence.</w:t>
      </w:r>
    </w:p>
    <w:p w14:paraId="555CF817" w14:textId="77777777" w:rsidR="007713FA" w:rsidRPr="00AD7B69" w:rsidRDefault="007713FA" w:rsidP="007713FA">
      <w:pPr>
        <w:contextualSpacing/>
        <w:rPr>
          <w:rFonts w:cs="Arial"/>
          <w:szCs w:val="20"/>
        </w:rPr>
      </w:pPr>
    </w:p>
    <w:p w14:paraId="6AA66730" w14:textId="77777777" w:rsidR="007713FA" w:rsidRPr="00AD7B69" w:rsidRDefault="007713FA" w:rsidP="007713FA">
      <w:pPr>
        <w:rPr>
          <w:rFonts w:cs="Arial"/>
          <w:szCs w:val="20"/>
        </w:rPr>
      </w:pPr>
      <w:bookmarkStart w:id="10" w:name="_Hlk54268860"/>
      <w:r>
        <w:rPr>
          <w:rFonts w:cs="Arial"/>
          <w:szCs w:val="20"/>
        </w:rPr>
        <w:t>T</w:t>
      </w:r>
      <w:r w:rsidRPr="00AD7B69">
        <w:rPr>
          <w:rFonts w:cs="Arial"/>
          <w:szCs w:val="20"/>
        </w:rPr>
        <w:t>he authorities highlighted that according to the European Court</w:t>
      </w:r>
      <w:r>
        <w:rPr>
          <w:rFonts w:cs="Arial"/>
          <w:szCs w:val="20"/>
        </w:rPr>
        <w:t>’ decision of 10 December 2019</w:t>
      </w:r>
      <w:r w:rsidRPr="00AD7B69">
        <w:rPr>
          <w:rFonts w:cs="Arial"/>
          <w:szCs w:val="20"/>
        </w:rPr>
        <w:t xml:space="preserve"> </w:t>
      </w:r>
      <w:r>
        <w:rPr>
          <w:rFonts w:cs="Arial"/>
          <w:szCs w:val="20"/>
        </w:rPr>
        <w:t xml:space="preserve">in </w:t>
      </w:r>
      <w:bookmarkStart w:id="11" w:name="_Hlk54262562"/>
      <w:bookmarkStart w:id="12" w:name="_Hlk54262369"/>
      <w:bookmarkStart w:id="13" w:name="_Hlk54269209"/>
      <w:proofErr w:type="spellStart"/>
      <w:r w:rsidRPr="00431FE9">
        <w:rPr>
          <w:rFonts w:cs="Arial"/>
          <w:i/>
          <w:iCs/>
          <w:szCs w:val="20"/>
        </w:rPr>
        <w:t>Kušić</w:t>
      </w:r>
      <w:bookmarkEnd w:id="11"/>
      <w:proofErr w:type="spellEnd"/>
      <w:r w:rsidRPr="00431FE9">
        <w:rPr>
          <w:rFonts w:cs="Arial"/>
          <w:i/>
          <w:iCs/>
          <w:szCs w:val="20"/>
        </w:rPr>
        <w:t xml:space="preserve"> </w:t>
      </w:r>
      <w:bookmarkEnd w:id="12"/>
      <w:r w:rsidRPr="00431FE9">
        <w:rPr>
          <w:rFonts w:cs="Arial"/>
          <w:i/>
          <w:iCs/>
          <w:szCs w:val="20"/>
        </w:rPr>
        <w:t>and Others v. Croatia</w:t>
      </w:r>
      <w:r w:rsidRPr="00AD7B69">
        <w:rPr>
          <w:rFonts w:cs="Arial"/>
          <w:szCs w:val="20"/>
        </w:rPr>
        <w:t xml:space="preserve">, </w:t>
      </w:r>
      <w:r>
        <w:rPr>
          <w:rFonts w:cs="Arial"/>
          <w:szCs w:val="20"/>
        </w:rPr>
        <w:t>(</w:t>
      </w:r>
      <w:r w:rsidRPr="00AD7B69">
        <w:rPr>
          <w:rFonts w:cs="Arial"/>
          <w:szCs w:val="20"/>
        </w:rPr>
        <w:t xml:space="preserve">application </w:t>
      </w:r>
      <w:r>
        <w:rPr>
          <w:rFonts w:cs="Arial"/>
          <w:szCs w:val="20"/>
        </w:rPr>
        <w:t>N</w:t>
      </w:r>
      <w:r w:rsidRPr="00AD7B69">
        <w:rPr>
          <w:rFonts w:cs="Arial"/>
          <w:szCs w:val="20"/>
        </w:rPr>
        <w:t>o. 71667/17</w:t>
      </w:r>
      <w:r>
        <w:rPr>
          <w:rFonts w:cs="Arial"/>
          <w:szCs w:val="20"/>
        </w:rPr>
        <w:t>)</w:t>
      </w:r>
      <w:r w:rsidRPr="00AD7B69">
        <w:rPr>
          <w:rFonts w:cs="Arial"/>
          <w:szCs w:val="20"/>
        </w:rPr>
        <w:t>,</w:t>
      </w:r>
      <w:bookmarkEnd w:id="13"/>
      <w:r w:rsidRPr="00AD7B69">
        <w:rPr>
          <w:rFonts w:cs="Arial"/>
          <w:szCs w:val="20"/>
        </w:rPr>
        <w:t xml:space="preserve"> a constitutional complaint now provides the </w:t>
      </w:r>
      <w:r>
        <w:rPr>
          <w:rFonts w:cs="Arial"/>
          <w:szCs w:val="20"/>
        </w:rPr>
        <w:t>complainants</w:t>
      </w:r>
      <w:r w:rsidRPr="00AD7B69">
        <w:rPr>
          <w:rFonts w:cs="Arial"/>
          <w:szCs w:val="20"/>
        </w:rPr>
        <w:t xml:space="preserve"> with the possibility to have the effectiveness of investigations under Articles 2 and 3 of the Convention examined in the light of the principles developed by the Court. The Government has, accordingly, met the burden to prove the effectiveness of the remedy in theory and practice (</w:t>
      </w:r>
      <w:bookmarkStart w:id="14" w:name="_Hlk54272634"/>
      <w:proofErr w:type="spellStart"/>
      <w:r w:rsidRPr="00431FE9">
        <w:rPr>
          <w:rFonts w:cs="Arial"/>
          <w:i/>
          <w:iCs/>
          <w:szCs w:val="20"/>
        </w:rPr>
        <w:t>Kušić</w:t>
      </w:r>
      <w:proofErr w:type="spellEnd"/>
      <w:r w:rsidRPr="00431FE9">
        <w:rPr>
          <w:rFonts w:cs="Arial"/>
          <w:i/>
          <w:iCs/>
          <w:szCs w:val="20"/>
        </w:rPr>
        <w:t xml:space="preserve"> and Others</w:t>
      </w:r>
      <w:r w:rsidRPr="00AD7B69">
        <w:rPr>
          <w:rFonts w:cs="Arial"/>
          <w:szCs w:val="20"/>
        </w:rPr>
        <w:t xml:space="preserve"> </w:t>
      </w:r>
      <w:bookmarkEnd w:id="14"/>
      <w:r w:rsidRPr="00AD7B69">
        <w:rPr>
          <w:rFonts w:cs="Arial"/>
          <w:szCs w:val="20"/>
        </w:rPr>
        <w:t>§</w:t>
      </w:r>
      <w:r>
        <w:rPr>
          <w:rFonts w:cs="Arial"/>
          <w:szCs w:val="20"/>
        </w:rPr>
        <w:t> </w:t>
      </w:r>
      <w:r w:rsidRPr="00AD7B69">
        <w:rPr>
          <w:rFonts w:cs="Arial"/>
          <w:szCs w:val="20"/>
        </w:rPr>
        <w:t>99)</w:t>
      </w:r>
      <w:r>
        <w:rPr>
          <w:rStyle w:val="FootnoteReference"/>
          <w:rFonts w:cs="Arial"/>
          <w:szCs w:val="20"/>
        </w:rPr>
        <w:footnoteReference w:id="1"/>
      </w:r>
      <w:r w:rsidRPr="00AD7B69">
        <w:rPr>
          <w:rFonts w:cs="Arial"/>
          <w:szCs w:val="20"/>
        </w:rPr>
        <w:t xml:space="preserve">. </w:t>
      </w:r>
    </w:p>
    <w:bookmarkEnd w:id="10"/>
    <w:p w14:paraId="12323BEF" w14:textId="77777777" w:rsidR="007713FA" w:rsidRDefault="007713FA" w:rsidP="007713FA">
      <w:pPr>
        <w:rPr>
          <w:rFonts w:cs="Arial"/>
          <w:szCs w:val="20"/>
          <w:lang w:val="en-US"/>
        </w:rPr>
      </w:pPr>
    </w:p>
    <w:p w14:paraId="5AD6C8B0" w14:textId="77777777" w:rsidR="007713FA" w:rsidRPr="006A2DD5" w:rsidRDefault="007713FA" w:rsidP="007713FA">
      <w:pPr>
        <w:numPr>
          <w:ilvl w:val="0"/>
          <w:numId w:val="1"/>
        </w:numPr>
        <w:ind w:left="0" w:firstLine="0"/>
        <w:contextualSpacing/>
        <w:rPr>
          <w:rFonts w:cs="Arial"/>
          <w:b/>
          <w:bCs/>
          <w:i/>
          <w:iCs/>
          <w:szCs w:val="20"/>
        </w:rPr>
      </w:pPr>
      <w:r w:rsidRPr="006A2DD5">
        <w:rPr>
          <w:rFonts w:cs="Arial"/>
          <w:b/>
          <w:bCs/>
          <w:i/>
          <w:iCs/>
          <w:szCs w:val="20"/>
        </w:rPr>
        <w:t>Capacity building and awareness-raising measures</w:t>
      </w:r>
    </w:p>
    <w:p w14:paraId="7CDDE046" w14:textId="77777777" w:rsidR="007713FA" w:rsidRDefault="007713FA" w:rsidP="007713FA">
      <w:pPr>
        <w:rPr>
          <w:rFonts w:cs="Arial"/>
          <w:b/>
          <w:bCs/>
          <w:szCs w:val="20"/>
        </w:rPr>
      </w:pPr>
    </w:p>
    <w:p w14:paraId="66F1E38D" w14:textId="77777777" w:rsidR="007713FA" w:rsidRDefault="007713FA" w:rsidP="007713FA">
      <w:pPr>
        <w:rPr>
          <w:rFonts w:cs="Arial"/>
          <w:szCs w:val="20"/>
        </w:rPr>
      </w:pPr>
      <w:proofErr w:type="gramStart"/>
      <w:r>
        <w:rPr>
          <w:rFonts w:cs="Arial"/>
          <w:szCs w:val="20"/>
        </w:rPr>
        <w:t>A number of</w:t>
      </w:r>
      <w:proofErr w:type="gramEnd"/>
      <w:r>
        <w:rPr>
          <w:rFonts w:cs="Arial"/>
          <w:szCs w:val="20"/>
        </w:rPr>
        <w:t xml:space="preserve"> further measures were adopted in order to enhance the capacity and effectiveness of authorities involved in war crime investigations. </w:t>
      </w:r>
    </w:p>
    <w:p w14:paraId="68B37774" w14:textId="77777777" w:rsidR="007713FA" w:rsidRPr="006A2DD5" w:rsidRDefault="007713FA" w:rsidP="007713FA">
      <w:pPr>
        <w:rPr>
          <w:rFonts w:cs="Arial"/>
          <w:szCs w:val="20"/>
        </w:rPr>
      </w:pPr>
    </w:p>
    <w:p w14:paraId="47FA982C" w14:textId="77777777" w:rsidR="007713FA" w:rsidRPr="006A2DD5" w:rsidRDefault="007713FA" w:rsidP="007713FA">
      <w:pPr>
        <w:rPr>
          <w:rFonts w:cs="Arial"/>
          <w:szCs w:val="20"/>
        </w:rPr>
      </w:pPr>
      <w:proofErr w:type="gramStart"/>
      <w:r w:rsidRPr="006A2DD5">
        <w:rPr>
          <w:rFonts w:cs="Arial"/>
          <w:szCs w:val="20"/>
        </w:rPr>
        <w:t>In particular, in</w:t>
      </w:r>
      <w:proofErr w:type="gramEnd"/>
      <w:r w:rsidRPr="006A2DD5">
        <w:rPr>
          <w:rFonts w:cs="Arial"/>
          <w:szCs w:val="20"/>
        </w:rPr>
        <w:t xml:space="preserve"> 2017, 91 prosecutors were employed in the State Attorney’s Offices and in 2018, 25 additional prosecutors and 13 legal trainees joined the </w:t>
      </w:r>
      <w:r>
        <w:rPr>
          <w:rFonts w:cs="Arial"/>
          <w:szCs w:val="20"/>
        </w:rPr>
        <w:t>O</w:t>
      </w:r>
      <w:r w:rsidRPr="006A2DD5">
        <w:rPr>
          <w:rFonts w:cs="Arial"/>
          <w:szCs w:val="20"/>
        </w:rPr>
        <w:t>ffices.</w:t>
      </w:r>
    </w:p>
    <w:p w14:paraId="73ACB390" w14:textId="77777777" w:rsidR="007713FA" w:rsidRPr="006A2DD5" w:rsidRDefault="007713FA" w:rsidP="007713FA">
      <w:pPr>
        <w:rPr>
          <w:rFonts w:cs="Arial"/>
          <w:szCs w:val="20"/>
        </w:rPr>
      </w:pPr>
    </w:p>
    <w:p w14:paraId="43718483" w14:textId="7CE04460" w:rsidR="007713FA" w:rsidRDefault="007713FA" w:rsidP="007713FA">
      <w:pPr>
        <w:rPr>
          <w:rFonts w:cs="Arial"/>
          <w:szCs w:val="20"/>
        </w:rPr>
      </w:pPr>
      <w:r w:rsidRPr="006A2DD5">
        <w:rPr>
          <w:rFonts w:cs="Arial"/>
          <w:szCs w:val="20"/>
        </w:rPr>
        <w:t xml:space="preserve">On 6 December 2019, the Croatian Association of Criminal Sciences and Practice organised a workshop “Effective criminal proceedings in war crime cases” </w:t>
      </w:r>
      <w:r>
        <w:rPr>
          <w:rFonts w:cs="Arial"/>
          <w:szCs w:val="20"/>
        </w:rPr>
        <w:t xml:space="preserve">which </w:t>
      </w:r>
      <w:r w:rsidRPr="006A2DD5">
        <w:rPr>
          <w:rFonts w:cs="Arial"/>
          <w:szCs w:val="20"/>
        </w:rPr>
        <w:t>was carried out</w:t>
      </w:r>
      <w:r>
        <w:rPr>
          <w:rFonts w:cs="Arial"/>
          <w:szCs w:val="20"/>
        </w:rPr>
        <w:t xml:space="preserve"> with the participation of</w:t>
      </w:r>
      <w:r w:rsidRPr="006A2DD5">
        <w:rPr>
          <w:rFonts w:cs="Arial"/>
          <w:szCs w:val="20"/>
        </w:rPr>
        <w:t xml:space="preserve"> representatives </w:t>
      </w:r>
      <w:r>
        <w:rPr>
          <w:rFonts w:cs="Arial"/>
          <w:szCs w:val="20"/>
        </w:rPr>
        <w:t>from</w:t>
      </w:r>
      <w:r w:rsidRPr="006A2DD5">
        <w:rPr>
          <w:rFonts w:cs="Arial"/>
          <w:szCs w:val="20"/>
        </w:rPr>
        <w:t xml:space="preserve"> the European Court </w:t>
      </w:r>
      <w:r>
        <w:rPr>
          <w:rFonts w:cs="Arial"/>
          <w:szCs w:val="20"/>
        </w:rPr>
        <w:t xml:space="preserve">and </w:t>
      </w:r>
      <w:r w:rsidRPr="006A2DD5">
        <w:rPr>
          <w:rFonts w:cs="Arial"/>
          <w:szCs w:val="20"/>
        </w:rPr>
        <w:t>the Deputy State Attorney General</w:t>
      </w:r>
      <w:r>
        <w:rPr>
          <w:rFonts w:cs="Arial"/>
          <w:szCs w:val="20"/>
        </w:rPr>
        <w:t xml:space="preserve"> </w:t>
      </w:r>
      <w:r w:rsidRPr="006A2DD5">
        <w:rPr>
          <w:rFonts w:cs="Arial"/>
          <w:szCs w:val="20"/>
        </w:rPr>
        <w:t>in charge for war crime investigations.</w:t>
      </w:r>
    </w:p>
    <w:p w14:paraId="74F57053" w14:textId="77777777" w:rsidR="007713FA" w:rsidRPr="006A2DD5" w:rsidRDefault="007713FA" w:rsidP="007713FA">
      <w:pPr>
        <w:rPr>
          <w:rFonts w:cs="Arial"/>
          <w:szCs w:val="20"/>
        </w:rPr>
      </w:pPr>
    </w:p>
    <w:p w14:paraId="06E31F16" w14:textId="77777777" w:rsidR="007713FA" w:rsidRDefault="007713FA" w:rsidP="007713FA">
      <w:pPr>
        <w:rPr>
          <w:rFonts w:cs="Arial"/>
          <w:szCs w:val="20"/>
        </w:rPr>
      </w:pPr>
      <w:r>
        <w:rPr>
          <w:rFonts w:cs="Arial"/>
          <w:szCs w:val="20"/>
        </w:rPr>
        <w:t>T</w:t>
      </w:r>
      <w:r w:rsidRPr="006A2DD5">
        <w:rPr>
          <w:rFonts w:cs="Arial"/>
          <w:szCs w:val="20"/>
        </w:rPr>
        <w:t>he Judicial Academy envisaged two workshops for members of the judiciary and state attorneys dealing with war crime cases to be carried out in October 2020.</w:t>
      </w:r>
    </w:p>
    <w:p w14:paraId="522C3714" w14:textId="77777777" w:rsidR="007713FA" w:rsidRDefault="007713FA" w:rsidP="007713FA">
      <w:pPr>
        <w:rPr>
          <w:rFonts w:cs="Arial"/>
          <w:szCs w:val="20"/>
        </w:rPr>
      </w:pPr>
    </w:p>
    <w:p w14:paraId="076161D7" w14:textId="77777777" w:rsidR="003D7EE8" w:rsidRDefault="003D7EE8">
      <w:pPr>
        <w:rPr>
          <w:rFonts w:cs="Arial"/>
          <w:szCs w:val="20"/>
        </w:rPr>
      </w:pPr>
      <w:r>
        <w:rPr>
          <w:rFonts w:cs="Arial"/>
          <w:szCs w:val="20"/>
        </w:rPr>
        <w:br w:type="page"/>
      </w:r>
    </w:p>
    <w:p w14:paraId="0549DAED" w14:textId="22328692" w:rsidR="007713FA" w:rsidRDefault="007713FA" w:rsidP="007713FA">
      <w:pPr>
        <w:rPr>
          <w:rFonts w:cs="Arial"/>
          <w:szCs w:val="20"/>
        </w:rPr>
      </w:pPr>
      <w:r>
        <w:rPr>
          <w:rFonts w:cs="Arial"/>
          <w:szCs w:val="20"/>
        </w:rPr>
        <w:lastRenderedPageBreak/>
        <w:t xml:space="preserve">In 2018 and 2019 </w:t>
      </w:r>
      <w:r w:rsidRPr="006A2DD5">
        <w:rPr>
          <w:rFonts w:cs="Arial"/>
          <w:szCs w:val="20"/>
        </w:rPr>
        <w:t xml:space="preserve">the Department for the Execution of </w:t>
      </w:r>
      <w:r>
        <w:rPr>
          <w:rFonts w:cs="Arial"/>
          <w:szCs w:val="20"/>
        </w:rPr>
        <w:t>the European Court’s j</w:t>
      </w:r>
      <w:r w:rsidRPr="006A2DD5">
        <w:rPr>
          <w:rFonts w:cs="Arial"/>
          <w:szCs w:val="20"/>
        </w:rPr>
        <w:t>udgments</w:t>
      </w:r>
      <w:r>
        <w:rPr>
          <w:rFonts w:cs="Arial"/>
          <w:szCs w:val="20"/>
        </w:rPr>
        <w:t>, in cooperation with the Government Agent’s Office, carried out two missions to Zagreb that</w:t>
      </w:r>
      <w:r w:rsidRPr="006A2DD5">
        <w:rPr>
          <w:rFonts w:cs="Arial"/>
          <w:szCs w:val="20"/>
        </w:rPr>
        <w:t xml:space="preserve"> brought together relevant stakeholders, namely the Constitutional Court, the State Attorney General’s Office, the Ministry of the Interior, the Judicial Academy and the Police Academy</w:t>
      </w:r>
      <w:r>
        <w:rPr>
          <w:rFonts w:cs="Arial"/>
          <w:szCs w:val="20"/>
        </w:rPr>
        <w:t xml:space="preserve"> sharing its</w:t>
      </w:r>
      <w:r w:rsidRPr="006A2DD5">
        <w:rPr>
          <w:rFonts w:cs="Arial"/>
          <w:szCs w:val="20"/>
        </w:rPr>
        <w:t xml:space="preserve"> expertise </w:t>
      </w:r>
      <w:r>
        <w:rPr>
          <w:rFonts w:cs="Arial"/>
          <w:szCs w:val="20"/>
        </w:rPr>
        <w:t xml:space="preserve">on effective </w:t>
      </w:r>
      <w:r w:rsidRPr="006A2DD5">
        <w:rPr>
          <w:rFonts w:cs="Arial"/>
          <w:szCs w:val="20"/>
        </w:rPr>
        <w:t>investigations</w:t>
      </w:r>
      <w:r>
        <w:rPr>
          <w:rFonts w:cs="Arial"/>
          <w:szCs w:val="20"/>
        </w:rPr>
        <w:t>.</w:t>
      </w:r>
    </w:p>
    <w:p w14:paraId="7D6075B5" w14:textId="77777777" w:rsidR="007713FA" w:rsidRDefault="007713FA" w:rsidP="007713FA">
      <w:pPr>
        <w:rPr>
          <w:rFonts w:cs="Arial"/>
          <w:szCs w:val="20"/>
        </w:rPr>
      </w:pPr>
    </w:p>
    <w:p w14:paraId="7890A91F" w14:textId="77777777" w:rsidR="007713FA" w:rsidRDefault="007713FA" w:rsidP="007713FA">
      <w:pPr>
        <w:rPr>
          <w:rFonts w:cs="Arial"/>
          <w:szCs w:val="20"/>
        </w:rPr>
      </w:pPr>
      <w:r>
        <w:rPr>
          <w:rFonts w:cs="Arial"/>
          <w:szCs w:val="20"/>
        </w:rPr>
        <w:t>I</w:t>
      </w:r>
      <w:r w:rsidRPr="000607DA">
        <w:rPr>
          <w:rFonts w:cs="Arial"/>
          <w:szCs w:val="20"/>
        </w:rPr>
        <w:t xml:space="preserve">n October 2019, </w:t>
      </w:r>
      <w:r>
        <w:rPr>
          <w:rFonts w:cs="Arial"/>
          <w:szCs w:val="20"/>
        </w:rPr>
        <w:t xml:space="preserve">the authorities </w:t>
      </w:r>
      <w:r w:rsidRPr="000607DA">
        <w:rPr>
          <w:rFonts w:cs="Arial"/>
          <w:szCs w:val="20"/>
        </w:rPr>
        <w:t>addressed a joint letter to the Council of Europe Director General</w:t>
      </w:r>
      <w:r>
        <w:rPr>
          <w:rFonts w:cs="Arial"/>
          <w:szCs w:val="20"/>
        </w:rPr>
        <w:t xml:space="preserve"> of</w:t>
      </w:r>
      <w:r w:rsidRPr="000607DA">
        <w:rPr>
          <w:rFonts w:cs="Arial"/>
          <w:szCs w:val="20"/>
        </w:rPr>
        <w:t xml:space="preserve"> Human Rights and Rule of Law </w:t>
      </w:r>
      <w:r>
        <w:rPr>
          <w:rFonts w:cs="Arial"/>
          <w:szCs w:val="20"/>
        </w:rPr>
        <w:t>and</w:t>
      </w:r>
      <w:r w:rsidRPr="000607DA">
        <w:rPr>
          <w:rFonts w:cs="Arial"/>
          <w:szCs w:val="20"/>
        </w:rPr>
        <w:t xml:space="preserve"> expressed their interest in substantive training for domestic judges and prosecutors</w:t>
      </w:r>
      <w:r>
        <w:rPr>
          <w:rFonts w:cs="Arial"/>
          <w:szCs w:val="20"/>
        </w:rPr>
        <w:t xml:space="preserve"> focusing on effective investigations</w:t>
      </w:r>
      <w:r w:rsidRPr="000607DA">
        <w:rPr>
          <w:rFonts w:cs="Arial"/>
          <w:szCs w:val="20"/>
        </w:rPr>
        <w:t xml:space="preserve">. Further </w:t>
      </w:r>
      <w:r>
        <w:rPr>
          <w:rFonts w:cs="Arial"/>
          <w:szCs w:val="20"/>
        </w:rPr>
        <w:t>consultations are ongoing.</w:t>
      </w:r>
      <w:r w:rsidDel="001640F4">
        <w:rPr>
          <w:rFonts w:cs="Arial"/>
          <w:szCs w:val="20"/>
        </w:rPr>
        <w:t xml:space="preserve"> </w:t>
      </w:r>
    </w:p>
    <w:p w14:paraId="60B4FA94" w14:textId="77777777" w:rsidR="007713FA" w:rsidRDefault="007713FA" w:rsidP="007713FA">
      <w:pPr>
        <w:rPr>
          <w:rFonts w:cs="Arial"/>
          <w:b/>
          <w:bCs/>
          <w:szCs w:val="20"/>
        </w:rPr>
      </w:pPr>
    </w:p>
    <w:p w14:paraId="19FDE466" w14:textId="77777777" w:rsidR="007713FA" w:rsidRPr="00AD7B69" w:rsidRDefault="007713FA" w:rsidP="007713FA">
      <w:pPr>
        <w:rPr>
          <w:rFonts w:cs="Arial"/>
          <w:szCs w:val="20"/>
          <w:lang w:eastAsia="en-GB"/>
        </w:rPr>
      </w:pPr>
      <w:r w:rsidRPr="00AD7B69">
        <w:rPr>
          <w:rFonts w:cs="Arial"/>
          <w:b/>
          <w:bCs/>
          <w:szCs w:val="20"/>
        </w:rPr>
        <w:t>Analysis by the Secretariat</w:t>
      </w:r>
    </w:p>
    <w:p w14:paraId="3C2FCE5C" w14:textId="77777777" w:rsidR="007713FA" w:rsidRPr="00AD7B69" w:rsidRDefault="007713FA" w:rsidP="007713FA">
      <w:pPr>
        <w:rPr>
          <w:rFonts w:cs="Arial"/>
          <w:szCs w:val="20"/>
        </w:rPr>
      </w:pPr>
    </w:p>
    <w:p w14:paraId="110C66D5" w14:textId="77777777" w:rsidR="007713FA" w:rsidRPr="00AD7B69" w:rsidRDefault="007713FA" w:rsidP="007713FA">
      <w:pPr>
        <w:rPr>
          <w:strike/>
        </w:rPr>
      </w:pPr>
      <w:r w:rsidRPr="00AD7B69">
        <w:rPr>
          <w:rFonts w:cs="Arial"/>
          <w:i/>
          <w:iCs/>
          <w:szCs w:val="20"/>
          <w:u w:val="single"/>
          <w:lang w:eastAsia="en-GB"/>
        </w:rPr>
        <w:t>General measures</w:t>
      </w:r>
      <w:r w:rsidRPr="00AD7B69">
        <w:rPr>
          <w:rFonts w:cs="Arial"/>
          <w:i/>
          <w:iCs/>
          <w:szCs w:val="20"/>
          <w:lang w:eastAsia="en-GB"/>
        </w:rPr>
        <w:t>:</w:t>
      </w:r>
      <w:r w:rsidRPr="00AD7B69">
        <w:rPr>
          <w:i/>
        </w:rPr>
        <w:t xml:space="preserve"> </w:t>
      </w:r>
    </w:p>
    <w:p w14:paraId="23D1B0D4" w14:textId="77777777" w:rsidR="007713FA" w:rsidRDefault="007713FA" w:rsidP="007713FA">
      <w:pPr>
        <w:rPr>
          <w:rFonts w:cs="Arial"/>
          <w:b/>
          <w:i/>
          <w:szCs w:val="20"/>
          <w:lang w:eastAsia="en-GB"/>
        </w:rPr>
      </w:pPr>
    </w:p>
    <w:p w14:paraId="3E797860" w14:textId="77777777" w:rsidR="007713FA" w:rsidRDefault="007713FA" w:rsidP="007713FA">
      <w:pPr>
        <w:rPr>
          <w:rFonts w:eastAsiaTheme="minorEastAsia" w:cs="Arial"/>
          <w:szCs w:val="20"/>
          <w:lang w:eastAsia="en-GB"/>
        </w:rPr>
      </w:pPr>
      <w:r w:rsidRPr="00AD7B69">
        <w:rPr>
          <w:rFonts w:eastAsiaTheme="minorEastAsia" w:cs="Arial"/>
          <w:szCs w:val="20"/>
          <w:lang w:eastAsia="en-GB"/>
        </w:rPr>
        <w:t xml:space="preserve">It appears that the authorities continued </w:t>
      </w:r>
      <w:r>
        <w:rPr>
          <w:rFonts w:eastAsiaTheme="minorEastAsia" w:cs="Arial"/>
          <w:szCs w:val="20"/>
          <w:lang w:eastAsia="en-GB"/>
        </w:rPr>
        <w:t xml:space="preserve">making </w:t>
      </w:r>
      <w:r w:rsidRPr="00AD7B69">
        <w:rPr>
          <w:rFonts w:eastAsiaTheme="minorEastAsia" w:cs="Arial"/>
          <w:szCs w:val="20"/>
          <w:lang w:eastAsia="en-GB"/>
        </w:rPr>
        <w:t>strenuous efforts to put in place the required legal standards to ensure effective investigations of war crimes, showing their commitment to fulfil their obligations to identify and bring to justice</w:t>
      </w:r>
      <w:r w:rsidRPr="00AD7B69" w:rsidDel="004A552C">
        <w:rPr>
          <w:rFonts w:eastAsiaTheme="minorEastAsia" w:cs="Arial"/>
          <w:szCs w:val="20"/>
          <w:lang w:eastAsia="en-GB"/>
        </w:rPr>
        <w:t xml:space="preserve"> </w:t>
      </w:r>
      <w:r w:rsidRPr="00AD7B69">
        <w:rPr>
          <w:rFonts w:eastAsiaTheme="minorEastAsia" w:cs="Arial"/>
          <w:szCs w:val="20"/>
          <w:lang w:eastAsia="en-GB"/>
        </w:rPr>
        <w:t xml:space="preserve">war crimes perpetrators. It transpires from the information that further steps were taken to ensure that these investigations are swiftly </w:t>
      </w:r>
      <w:proofErr w:type="gramStart"/>
      <w:r w:rsidRPr="00AD7B69">
        <w:rPr>
          <w:rFonts w:eastAsiaTheme="minorEastAsia" w:cs="Arial"/>
          <w:szCs w:val="20"/>
          <w:lang w:eastAsia="en-GB"/>
        </w:rPr>
        <w:t>brought to an end</w:t>
      </w:r>
      <w:proofErr w:type="gramEnd"/>
      <w:r w:rsidRPr="00AD7B69">
        <w:rPr>
          <w:rFonts w:eastAsiaTheme="minorEastAsia" w:cs="Arial"/>
          <w:szCs w:val="20"/>
          <w:lang w:eastAsia="en-GB"/>
        </w:rPr>
        <w:t xml:space="preserve">. In this respect, efforts made by the State Attorney General are particularly noteworthy. </w:t>
      </w:r>
    </w:p>
    <w:p w14:paraId="550BE007" w14:textId="77777777" w:rsidR="007713FA" w:rsidRDefault="007713FA" w:rsidP="007713FA">
      <w:pPr>
        <w:rPr>
          <w:rFonts w:eastAsiaTheme="minorEastAsia" w:cs="Arial"/>
          <w:szCs w:val="20"/>
          <w:lang w:eastAsia="en-GB"/>
        </w:rPr>
      </w:pPr>
    </w:p>
    <w:p w14:paraId="439E4EA0" w14:textId="56EC6C50" w:rsidR="007713FA" w:rsidRPr="00AD7B69" w:rsidRDefault="007713FA" w:rsidP="007713FA">
      <w:pPr>
        <w:rPr>
          <w:rFonts w:eastAsiaTheme="minorEastAsia" w:cs="Arial"/>
          <w:szCs w:val="20"/>
          <w:lang w:eastAsia="en-GB"/>
        </w:rPr>
      </w:pPr>
      <w:r w:rsidRPr="00AD7B69">
        <w:rPr>
          <w:rFonts w:eastAsiaTheme="minorEastAsia" w:cs="Arial"/>
          <w:szCs w:val="20"/>
          <w:lang w:eastAsia="en-GB"/>
        </w:rPr>
        <w:t xml:space="preserve">When it comes to </w:t>
      </w:r>
      <w:r w:rsidR="006E0B42">
        <w:rPr>
          <w:rFonts w:eastAsiaTheme="minorEastAsia" w:cs="Arial"/>
          <w:szCs w:val="20"/>
          <w:lang w:eastAsia="en-GB"/>
        </w:rPr>
        <w:t>investigations</w:t>
      </w:r>
      <w:r w:rsidRPr="00AD7B69">
        <w:rPr>
          <w:rFonts w:eastAsiaTheme="minorEastAsia" w:cs="Arial"/>
          <w:szCs w:val="20"/>
          <w:lang w:eastAsia="en-GB"/>
        </w:rPr>
        <w:t xml:space="preserve"> of these crimes, it is recalled that since 2011 four specialised county courts are tasked with exclusive competence </w:t>
      </w:r>
      <w:r>
        <w:rPr>
          <w:rFonts w:eastAsiaTheme="minorEastAsia" w:cs="Arial"/>
          <w:szCs w:val="20"/>
          <w:lang w:eastAsia="en-GB"/>
        </w:rPr>
        <w:t xml:space="preserve">over </w:t>
      </w:r>
      <w:r w:rsidRPr="00AD7B69">
        <w:rPr>
          <w:rFonts w:eastAsiaTheme="minorEastAsia" w:cs="Arial"/>
          <w:szCs w:val="20"/>
          <w:lang w:eastAsia="en-GB"/>
        </w:rPr>
        <w:t xml:space="preserve">these cases. The NGOs previously raised some concerns before the Committee of Ministers about the </w:t>
      </w:r>
      <w:r w:rsidRPr="00431FE9">
        <w:rPr>
          <w:rFonts w:eastAsiaTheme="minorEastAsia" w:cs="Arial"/>
          <w:i/>
          <w:iCs/>
          <w:szCs w:val="20"/>
          <w:u w:val="single"/>
          <w:lang w:eastAsia="en-GB"/>
        </w:rPr>
        <w:t>length of proceedings</w:t>
      </w:r>
      <w:r w:rsidRPr="00AD7B69">
        <w:rPr>
          <w:rFonts w:eastAsiaTheme="minorEastAsia" w:cs="Arial"/>
          <w:szCs w:val="20"/>
          <w:lang w:eastAsia="en-GB"/>
        </w:rPr>
        <w:t xml:space="preserve"> before these courts. In particular, in their joint communication (</w:t>
      </w:r>
      <w:bookmarkStart w:id="15" w:name="_ML_000000000004_VALID"/>
      <w:r w:rsidR="00757FF1" w:rsidRPr="00757FF1">
        <w:rPr>
          <w:rFonts w:eastAsiaTheme="minorEastAsia" w:cs="Arial"/>
          <w:szCs w:val="20"/>
          <w:lang w:eastAsia="en-GB"/>
        </w:rPr>
        <w:fldChar w:fldCharType="begin"/>
      </w:r>
      <w:r w:rsidR="00757FF1" w:rsidRPr="00757FF1">
        <w:rPr>
          <w:rFonts w:eastAsiaTheme="minorEastAsia" w:cs="Arial"/>
          <w:szCs w:val="20"/>
          <w:lang w:eastAsia="en-GB"/>
        </w:rPr>
        <w:instrText xml:space="preserve"> HYPERLINK "https://search.coe.int/cm/Pages/result_details.aspx?Reference=DH-DD(2019)546" \o "1348th meeting (June 2019) (DH) - Rule 9.2 Communication from a NGO (Human Rights House Zagreb and Documenta - Center for Dealing with the Past) and response from the Croatian authorities (14/05/2019) in the SKENDZIC AND KRZNARIC group of cases v. Croatia (Application No. 16212/08) [Anglais uniquement] " </w:instrText>
      </w:r>
      <w:r w:rsidR="00757FF1" w:rsidRPr="00757FF1">
        <w:rPr>
          <w:rFonts w:eastAsiaTheme="minorEastAsia" w:cs="Arial"/>
          <w:szCs w:val="20"/>
          <w:lang w:eastAsia="en-GB"/>
        </w:rPr>
        <w:fldChar w:fldCharType="separate"/>
      </w:r>
      <w:bookmarkEnd w:id="15"/>
      <w:r w:rsidR="00757FF1" w:rsidRPr="00757FF1">
        <w:rPr>
          <w:rStyle w:val="Hyperlink"/>
          <w:rFonts w:eastAsiaTheme="minorEastAsia" w:cs="Arial"/>
          <w:szCs w:val="20"/>
          <w:lang w:eastAsia="en-GB"/>
        </w:rPr>
        <w:t>DH-DD(2019)546</w:t>
      </w:r>
      <w:r w:rsidR="00757FF1" w:rsidRPr="00757FF1">
        <w:rPr>
          <w:rFonts w:eastAsiaTheme="minorEastAsia" w:cs="Arial"/>
          <w:szCs w:val="20"/>
          <w:lang w:eastAsia="en-GB"/>
        </w:rPr>
        <w:fldChar w:fldCharType="end"/>
      </w:r>
      <w:r w:rsidRPr="00C73A65">
        <w:rPr>
          <w:rFonts w:eastAsiaTheme="minorEastAsia" w:cs="Arial"/>
          <w:szCs w:val="20"/>
          <w:lang w:eastAsia="en-GB"/>
        </w:rPr>
        <w:t xml:space="preserve">) </w:t>
      </w:r>
      <w:r w:rsidRPr="00AD7B69">
        <w:rPr>
          <w:rFonts w:eastAsiaTheme="minorEastAsia" w:cs="Arial"/>
          <w:szCs w:val="20"/>
          <w:lang w:eastAsia="en-GB"/>
        </w:rPr>
        <w:t xml:space="preserve">dated 6 May 2019, Human Rights House Zagreb and </w:t>
      </w:r>
      <w:proofErr w:type="spellStart"/>
      <w:r w:rsidRPr="00AD7B69">
        <w:rPr>
          <w:rFonts w:eastAsiaTheme="minorEastAsia" w:cs="Arial"/>
          <w:szCs w:val="20"/>
          <w:lang w:eastAsia="en-GB"/>
        </w:rPr>
        <w:t>Documenta</w:t>
      </w:r>
      <w:proofErr w:type="spellEnd"/>
      <w:r w:rsidRPr="00AD7B69">
        <w:rPr>
          <w:rFonts w:eastAsiaTheme="minorEastAsia" w:cs="Arial"/>
          <w:szCs w:val="20"/>
          <w:lang w:eastAsia="en-GB"/>
        </w:rPr>
        <w:t xml:space="preserve"> pointed out that the average case resolution time during 2017 was 2,529 days. </w:t>
      </w:r>
      <w:r>
        <w:rPr>
          <w:rFonts w:eastAsiaTheme="minorEastAsia" w:cs="Arial"/>
          <w:szCs w:val="20"/>
          <w:lang w:eastAsia="en-GB"/>
        </w:rPr>
        <w:t xml:space="preserve">The </w:t>
      </w:r>
      <w:r w:rsidRPr="00AD7B69">
        <w:rPr>
          <w:rFonts w:eastAsiaTheme="minorEastAsia" w:cs="Arial"/>
          <w:szCs w:val="20"/>
          <w:lang w:eastAsia="en-GB"/>
        </w:rPr>
        <w:t>Ombudswom</w:t>
      </w:r>
      <w:r>
        <w:rPr>
          <w:rFonts w:eastAsiaTheme="minorEastAsia" w:cs="Arial"/>
          <w:szCs w:val="20"/>
          <w:lang w:eastAsia="en-GB"/>
        </w:rPr>
        <w:t>a</w:t>
      </w:r>
      <w:r w:rsidRPr="00AD7B69">
        <w:rPr>
          <w:rFonts w:eastAsiaTheme="minorEastAsia" w:cs="Arial"/>
          <w:szCs w:val="20"/>
          <w:lang w:eastAsia="en-GB"/>
        </w:rPr>
        <w:t>n’s 2019 Annual Report</w:t>
      </w:r>
      <w:r w:rsidRPr="00AD7B69">
        <w:rPr>
          <w:rFonts w:eastAsiaTheme="minorEastAsia" w:cs="Arial"/>
          <w:szCs w:val="20"/>
          <w:vertAlign w:val="superscript"/>
          <w:lang w:eastAsia="en-GB"/>
        </w:rPr>
        <w:footnoteReference w:id="2"/>
      </w:r>
      <w:r w:rsidRPr="00AD7B69">
        <w:rPr>
          <w:rFonts w:eastAsiaTheme="minorEastAsia" w:cs="Arial"/>
          <w:szCs w:val="20"/>
          <w:lang w:eastAsia="en-GB"/>
        </w:rPr>
        <w:t xml:space="preserve"> show</w:t>
      </w:r>
      <w:r>
        <w:rPr>
          <w:rFonts w:eastAsiaTheme="minorEastAsia" w:cs="Arial"/>
          <w:szCs w:val="20"/>
          <w:lang w:eastAsia="en-GB"/>
        </w:rPr>
        <w:t>ed</w:t>
      </w:r>
      <w:r w:rsidRPr="00AD7B69">
        <w:rPr>
          <w:rFonts w:eastAsiaTheme="minorEastAsia" w:cs="Arial"/>
          <w:szCs w:val="20"/>
          <w:lang w:eastAsia="en-GB"/>
        </w:rPr>
        <w:t xml:space="preserve"> that </w:t>
      </w:r>
      <w:r>
        <w:rPr>
          <w:rFonts w:eastAsiaTheme="minorEastAsia" w:cs="Arial"/>
          <w:szCs w:val="20"/>
          <w:lang w:eastAsia="en-GB"/>
        </w:rPr>
        <w:t xml:space="preserve">the </w:t>
      </w:r>
      <w:r w:rsidRPr="00AD7B69">
        <w:rPr>
          <w:rFonts w:eastAsiaTheme="minorEastAsia" w:cs="Arial"/>
          <w:szCs w:val="20"/>
          <w:lang w:eastAsia="en-GB"/>
        </w:rPr>
        <w:t>average length of these proceedings in 2018 increased to 5,156 days. The statistics published by the Supreme Court</w:t>
      </w:r>
      <w:r w:rsidRPr="00AD7B69">
        <w:rPr>
          <w:rFonts w:eastAsiaTheme="minorEastAsia" w:cs="Arial"/>
          <w:szCs w:val="20"/>
          <w:vertAlign w:val="superscript"/>
          <w:lang w:eastAsia="en-GB"/>
        </w:rPr>
        <w:footnoteReference w:id="3"/>
      </w:r>
      <w:r w:rsidRPr="00AD7B69">
        <w:rPr>
          <w:rFonts w:eastAsiaTheme="minorEastAsia" w:cs="Arial"/>
          <w:szCs w:val="20"/>
          <w:lang w:eastAsia="en-GB"/>
        </w:rPr>
        <w:t xml:space="preserve"> in April 2020 show that these figures improved in 2019 (average length of 1,063 days and clearance rate of domestic courts set at 170%). However, in order to enable the Committee of Ministers to make a conclusive analysis in this matter, it would be useful to receive the authorities’ assessment as to whether additional measures are required to ensure that </w:t>
      </w:r>
      <w:r w:rsidR="006E0B42">
        <w:rPr>
          <w:rFonts w:eastAsiaTheme="minorEastAsia" w:cs="Arial"/>
          <w:szCs w:val="20"/>
          <w:lang w:eastAsia="en-GB"/>
        </w:rPr>
        <w:t>investigations</w:t>
      </w:r>
      <w:r w:rsidRPr="00AD7B69">
        <w:rPr>
          <w:rFonts w:eastAsiaTheme="minorEastAsia" w:cs="Arial"/>
          <w:szCs w:val="20"/>
          <w:lang w:eastAsia="en-GB"/>
        </w:rPr>
        <w:t xml:space="preserve"> of war crimes are promptly brought to an end.</w:t>
      </w:r>
    </w:p>
    <w:p w14:paraId="2B3B210D" w14:textId="77777777" w:rsidR="007713FA" w:rsidRPr="00AD7B69" w:rsidRDefault="007713FA" w:rsidP="007713FA">
      <w:pPr>
        <w:rPr>
          <w:rFonts w:eastAsiaTheme="minorEastAsia" w:cs="Arial"/>
          <w:szCs w:val="20"/>
          <w:lang w:eastAsia="en-GB"/>
        </w:rPr>
      </w:pPr>
    </w:p>
    <w:p w14:paraId="166FA9CC" w14:textId="77777777" w:rsidR="007713FA" w:rsidRDefault="007713FA" w:rsidP="007713FA">
      <w:pPr>
        <w:rPr>
          <w:rFonts w:asciiTheme="minorHAnsi" w:eastAsiaTheme="minorEastAsia" w:hAnsiTheme="minorHAnsi" w:cstheme="minorBidi"/>
          <w:sz w:val="24"/>
        </w:rPr>
      </w:pPr>
      <w:r w:rsidRPr="00AD7B69">
        <w:rPr>
          <w:rFonts w:eastAsiaTheme="minorEastAsia" w:cs="Arial"/>
          <w:szCs w:val="20"/>
          <w:lang w:eastAsia="en-GB"/>
        </w:rPr>
        <w:t>It is furthermore noted that the statistics provided by the State Attorney General’s Office demonstrate that the number of fresh investigations launched by the prosecuting authorities and the number of convictions for war crimes has increased since the last examination of this group of cases (106 fresh investigations were opened and 23 additional convictions were imposed).</w:t>
      </w:r>
      <w:r w:rsidRPr="00AD7B69">
        <w:rPr>
          <w:rFonts w:asciiTheme="minorHAnsi" w:eastAsiaTheme="minorEastAsia" w:hAnsiTheme="minorHAnsi" w:cstheme="minorBidi"/>
          <w:sz w:val="24"/>
        </w:rPr>
        <w:t xml:space="preserve"> </w:t>
      </w:r>
    </w:p>
    <w:p w14:paraId="071FD572" w14:textId="77777777" w:rsidR="007713FA" w:rsidRPr="00AD7B69" w:rsidRDefault="007713FA" w:rsidP="007713FA">
      <w:pPr>
        <w:rPr>
          <w:rFonts w:eastAsiaTheme="minorEastAsia" w:cs="Arial"/>
          <w:szCs w:val="20"/>
        </w:rPr>
      </w:pPr>
    </w:p>
    <w:p w14:paraId="6B4C18CE" w14:textId="77777777" w:rsidR="007713FA" w:rsidRPr="00AD7B69" w:rsidRDefault="007713FA" w:rsidP="007713FA">
      <w:pPr>
        <w:rPr>
          <w:rFonts w:eastAsiaTheme="minorEastAsia" w:cs="Arial"/>
          <w:szCs w:val="20"/>
        </w:rPr>
      </w:pPr>
      <w:r w:rsidRPr="00AD7B69">
        <w:rPr>
          <w:rFonts w:eastAsiaTheme="minorEastAsia" w:cs="Arial"/>
          <w:szCs w:val="20"/>
        </w:rPr>
        <w:t xml:space="preserve">Bearing in mind the humanitarian dimension of the </w:t>
      </w:r>
      <w:r>
        <w:rPr>
          <w:rFonts w:eastAsiaTheme="minorEastAsia" w:cs="Arial"/>
          <w:szCs w:val="20"/>
        </w:rPr>
        <w:t xml:space="preserve">issue of </w:t>
      </w:r>
      <w:r w:rsidRPr="00431FE9">
        <w:rPr>
          <w:rFonts w:eastAsiaTheme="minorEastAsia" w:cs="Arial"/>
          <w:i/>
          <w:iCs/>
          <w:szCs w:val="20"/>
          <w:u w:val="single"/>
        </w:rPr>
        <w:t>missing persons</w:t>
      </w:r>
      <w:r w:rsidRPr="00AD7B69">
        <w:rPr>
          <w:rFonts w:eastAsiaTheme="minorEastAsia" w:cs="Arial"/>
          <w:szCs w:val="20"/>
        </w:rPr>
        <w:t xml:space="preserve"> as set out in the last Committee’s decision, developments in this field are important to be noted. In this respect, </w:t>
      </w:r>
      <w:r w:rsidRPr="00AD7B69">
        <w:rPr>
          <w:rFonts w:eastAsiaTheme="minorEastAsia" w:cs="Arial"/>
          <w:szCs w:val="20"/>
          <w:lang w:eastAsia="en-GB"/>
        </w:rPr>
        <w:t xml:space="preserve">the </w:t>
      </w:r>
      <w:r>
        <w:rPr>
          <w:rFonts w:eastAsiaTheme="minorEastAsia" w:cs="Arial"/>
          <w:szCs w:val="20"/>
          <w:lang w:eastAsia="en-GB"/>
        </w:rPr>
        <w:t xml:space="preserve">entry into force in August 2019 of </w:t>
      </w:r>
      <w:r w:rsidRPr="00AD7B69">
        <w:rPr>
          <w:rFonts w:eastAsiaTheme="minorEastAsia" w:cs="Arial"/>
          <w:szCs w:val="20"/>
          <w:lang w:eastAsia="en-GB"/>
        </w:rPr>
        <w:t>the Act on the Missing Persons in the Homeland War which seems to be the first piece of legislation to regulate the area of search for missing persons at domestic level appears to be particularly relevant. Its adoption was recommended by the UN WGEID and was spelled out by the Ombudswoman as a qualitative step forward, together with the improvement of research methodology and procurement of additional modern equipment. These positive developments might be welcomed by the Committee of Ministers, while</w:t>
      </w:r>
      <w:r>
        <w:rPr>
          <w:rFonts w:eastAsiaTheme="minorEastAsia" w:cs="Arial"/>
          <w:szCs w:val="20"/>
          <w:lang w:eastAsia="en-GB"/>
        </w:rPr>
        <w:t>,</w:t>
      </w:r>
      <w:r w:rsidRPr="00AD7B69">
        <w:rPr>
          <w:rFonts w:eastAsiaTheme="minorEastAsia" w:cs="Arial"/>
          <w:szCs w:val="20"/>
          <w:lang w:eastAsia="en-GB"/>
        </w:rPr>
        <w:t xml:space="preserve"> at the same time</w:t>
      </w:r>
      <w:r>
        <w:rPr>
          <w:rFonts w:eastAsiaTheme="minorEastAsia" w:cs="Arial"/>
          <w:szCs w:val="20"/>
          <w:lang w:eastAsia="en-GB"/>
        </w:rPr>
        <w:t>,</w:t>
      </w:r>
      <w:r w:rsidRPr="00AD7B69">
        <w:rPr>
          <w:rFonts w:eastAsiaTheme="minorEastAsia" w:cs="Arial"/>
          <w:szCs w:val="20"/>
          <w:lang w:eastAsia="en-GB"/>
        </w:rPr>
        <w:t xml:space="preserve"> the authorities could be encouraged to sustain their efforts with a view to establishing the fate of the remaining missing persons</w:t>
      </w:r>
      <w:r>
        <w:rPr>
          <w:rFonts w:eastAsiaTheme="minorEastAsia" w:cs="Arial"/>
          <w:szCs w:val="20"/>
          <w:lang w:eastAsia="en-GB"/>
        </w:rPr>
        <w:t>.</w:t>
      </w:r>
    </w:p>
    <w:p w14:paraId="61607EFC" w14:textId="77777777" w:rsidR="007713FA" w:rsidRPr="00AD7B69" w:rsidRDefault="007713FA" w:rsidP="007713FA">
      <w:pPr>
        <w:rPr>
          <w:rFonts w:cs="Arial"/>
        </w:rPr>
      </w:pPr>
    </w:p>
    <w:p w14:paraId="4DF475F8" w14:textId="77777777" w:rsidR="007713FA" w:rsidRPr="00AD7B69" w:rsidRDefault="007713FA" w:rsidP="007713FA">
      <w:pPr>
        <w:rPr>
          <w:szCs w:val="20"/>
        </w:rPr>
      </w:pPr>
      <w:r w:rsidRPr="00AD7B69">
        <w:rPr>
          <w:rFonts w:cs="Arial"/>
          <w:bCs/>
          <w:szCs w:val="20"/>
        </w:rPr>
        <w:t xml:space="preserve">The main achievement to date in the present cases is that </w:t>
      </w:r>
      <w:bookmarkStart w:id="16" w:name="_Hlk54268920"/>
      <w:r w:rsidRPr="00AD7B69">
        <w:rPr>
          <w:rFonts w:cs="Arial"/>
          <w:szCs w:val="20"/>
        </w:rPr>
        <w:t xml:space="preserve">a constitutional complaint is now considered as an </w:t>
      </w:r>
      <w:r w:rsidRPr="00431FE9">
        <w:rPr>
          <w:rFonts w:cs="Arial"/>
          <w:i/>
          <w:iCs/>
          <w:szCs w:val="20"/>
          <w:u w:val="single"/>
        </w:rPr>
        <w:t>effective remedy</w:t>
      </w:r>
      <w:r w:rsidRPr="00AD7B69">
        <w:rPr>
          <w:rFonts w:cs="Arial"/>
          <w:szCs w:val="20"/>
        </w:rPr>
        <w:t xml:space="preserve"> by the European Court for allegation</w:t>
      </w:r>
      <w:r>
        <w:rPr>
          <w:rFonts w:cs="Arial"/>
          <w:szCs w:val="20"/>
        </w:rPr>
        <w:t>s concerning</w:t>
      </w:r>
      <w:r w:rsidRPr="00AD7B69">
        <w:rPr>
          <w:rFonts w:cs="Arial"/>
          <w:szCs w:val="20"/>
        </w:rPr>
        <w:t xml:space="preserve"> ineffective investigation</w:t>
      </w:r>
      <w:r>
        <w:rPr>
          <w:rFonts w:cs="Arial"/>
          <w:szCs w:val="20"/>
        </w:rPr>
        <w:t>s</w:t>
      </w:r>
      <w:r w:rsidRPr="00AD7B69">
        <w:rPr>
          <w:rFonts w:cs="Arial"/>
          <w:szCs w:val="20"/>
        </w:rPr>
        <w:t xml:space="preserve">, </w:t>
      </w:r>
      <w:bookmarkEnd w:id="16"/>
      <w:r w:rsidRPr="00AD7B69">
        <w:rPr>
          <w:rFonts w:cs="Arial"/>
          <w:color w:val="000000"/>
          <w:szCs w:val="20"/>
          <w:lang w:val="en-US"/>
        </w:rPr>
        <w:t xml:space="preserve">in compliance with the Court’s case-law. </w:t>
      </w:r>
      <w:r w:rsidRPr="00AD7B69">
        <w:rPr>
          <w:szCs w:val="20"/>
        </w:rPr>
        <w:t>This important development might be welcomed by the Committee of Ministers.</w:t>
      </w:r>
    </w:p>
    <w:p w14:paraId="365E7E91" w14:textId="77777777" w:rsidR="007713FA" w:rsidRPr="00AD7B69" w:rsidRDefault="007713FA" w:rsidP="007713FA">
      <w:pPr>
        <w:rPr>
          <w:szCs w:val="20"/>
        </w:rPr>
      </w:pPr>
    </w:p>
    <w:p w14:paraId="11E5136B" w14:textId="77777777" w:rsidR="003D7EE8" w:rsidRDefault="007713FA" w:rsidP="007713FA">
      <w:pPr>
        <w:rPr>
          <w:rFonts w:cs="Arial"/>
          <w:color w:val="000000"/>
          <w:szCs w:val="20"/>
        </w:rPr>
      </w:pPr>
      <w:r w:rsidRPr="00AD7B69">
        <w:rPr>
          <w:szCs w:val="20"/>
          <w:lang w:val="en-US" w:eastAsia="en-GB"/>
        </w:rPr>
        <w:t>As</w:t>
      </w:r>
      <w:r w:rsidRPr="00AD7B69">
        <w:rPr>
          <w:rFonts w:cs="Arial"/>
          <w:szCs w:val="20"/>
        </w:rPr>
        <w:t xml:space="preserve"> regards the </w:t>
      </w:r>
      <w:r w:rsidRPr="00431FE9">
        <w:rPr>
          <w:rFonts w:cs="Arial"/>
          <w:i/>
          <w:iCs/>
          <w:szCs w:val="20"/>
          <w:u w:val="single"/>
        </w:rPr>
        <w:t>regional dimension of investigations</w:t>
      </w:r>
      <w:r w:rsidRPr="00AD7B69">
        <w:rPr>
          <w:rFonts w:cs="Arial"/>
          <w:szCs w:val="20"/>
        </w:rPr>
        <w:t xml:space="preserve"> in these cases,</w:t>
      </w:r>
      <w:r w:rsidRPr="00AD7B69">
        <w:rPr>
          <w:rFonts w:cs="Arial"/>
          <w:color w:val="000000"/>
          <w:szCs w:val="20"/>
          <w:lang w:val="en-US"/>
        </w:rPr>
        <w:t xml:space="preserve"> </w:t>
      </w:r>
      <w:r w:rsidRPr="00AD7B69">
        <w:rPr>
          <w:rFonts w:cs="Arial"/>
          <w:color w:val="000000"/>
        </w:rPr>
        <w:t>in May 2020, in his progress report to the UN Security Council, the Prosecutor of the International Residual Mechanism for Criminal Tribunals noted that “Prosecution services in neighbouring countries still report</w:t>
      </w:r>
      <w:r>
        <w:rPr>
          <w:rFonts w:cs="Arial"/>
          <w:color w:val="000000"/>
        </w:rPr>
        <w:t>…</w:t>
      </w:r>
      <w:r w:rsidRPr="00AD7B69">
        <w:rPr>
          <w:rFonts w:cs="Arial"/>
          <w:color w:val="000000"/>
        </w:rPr>
        <w:t xml:space="preserve"> that many past requests remain unaddressed and that there are still significant difficulties in obtaining cooperation from Croatia, including access to evidence and suspects”</w:t>
      </w:r>
      <w:r>
        <w:rPr>
          <w:rFonts w:cs="Arial"/>
          <w:color w:val="000000"/>
        </w:rPr>
        <w:t>.</w:t>
      </w:r>
      <w:r w:rsidRPr="00AD7B69">
        <w:rPr>
          <w:rFonts w:cs="Arial"/>
          <w:color w:val="000000"/>
          <w:vertAlign w:val="superscript"/>
        </w:rPr>
        <w:footnoteReference w:id="4"/>
      </w:r>
      <w:r w:rsidRPr="00AD7B69">
        <w:rPr>
          <w:rFonts w:cs="Arial"/>
          <w:color w:val="000000"/>
          <w:szCs w:val="20"/>
        </w:rPr>
        <w:t xml:space="preserve"> The European Union Commission’s </w:t>
      </w:r>
      <w:r>
        <w:rPr>
          <w:rFonts w:cs="Arial"/>
          <w:color w:val="000000"/>
          <w:szCs w:val="20"/>
        </w:rPr>
        <w:t xml:space="preserve">2020 </w:t>
      </w:r>
      <w:r w:rsidRPr="00AD7B69">
        <w:rPr>
          <w:rFonts w:cs="Arial"/>
          <w:color w:val="000000"/>
          <w:szCs w:val="20"/>
        </w:rPr>
        <w:t>Progress Reports</w:t>
      </w:r>
      <w:r>
        <w:rPr>
          <w:rStyle w:val="FootnoteReference"/>
          <w:rFonts w:cs="Arial"/>
          <w:color w:val="000000"/>
          <w:szCs w:val="20"/>
        </w:rPr>
        <w:footnoteReference w:id="5"/>
      </w:r>
      <w:r w:rsidRPr="00AD7B69">
        <w:rPr>
          <w:rFonts w:cs="Arial"/>
          <w:color w:val="000000"/>
          <w:szCs w:val="20"/>
        </w:rPr>
        <w:t xml:space="preserve"> pointed out that bilateral agreements between prosecutors in the Western Balkans had not been used to their full extent and that cooperation of Bosnia and Herzegovina and Serbia, respectively, with Croatia had continued to face a number of impediments and had not led to tangible results. </w:t>
      </w:r>
    </w:p>
    <w:p w14:paraId="12C54E74" w14:textId="77777777" w:rsidR="003D7EE8" w:rsidRDefault="003D7EE8">
      <w:pPr>
        <w:rPr>
          <w:rFonts w:cs="Arial"/>
          <w:color w:val="000000"/>
          <w:szCs w:val="20"/>
        </w:rPr>
      </w:pPr>
      <w:r>
        <w:rPr>
          <w:rFonts w:cs="Arial"/>
          <w:color w:val="000000"/>
          <w:szCs w:val="20"/>
        </w:rPr>
        <w:br w:type="page"/>
      </w:r>
    </w:p>
    <w:p w14:paraId="622A417D" w14:textId="1C26ACF1" w:rsidR="007713FA" w:rsidRDefault="007713FA" w:rsidP="007713FA">
      <w:pPr>
        <w:rPr>
          <w:rFonts w:cs="Arial"/>
          <w:color w:val="000000"/>
        </w:rPr>
      </w:pPr>
      <w:bookmarkStart w:id="17" w:name="_GoBack"/>
      <w:bookmarkEnd w:id="17"/>
      <w:r w:rsidRPr="00AD7B69">
        <w:rPr>
          <w:rFonts w:cs="Arial"/>
          <w:color w:val="000000"/>
          <w:szCs w:val="20"/>
        </w:rPr>
        <w:lastRenderedPageBreak/>
        <w:t xml:space="preserve">Similar concerns were reported by the </w:t>
      </w:r>
      <w:r w:rsidRPr="00C73A65">
        <w:rPr>
          <w:rFonts w:cs="Arial"/>
          <w:szCs w:val="20"/>
        </w:rPr>
        <w:t>civil society.</w:t>
      </w:r>
      <w:r w:rsidRPr="00C73A65">
        <w:rPr>
          <w:rFonts w:cs="Arial"/>
          <w:szCs w:val="20"/>
          <w:vertAlign w:val="superscript"/>
        </w:rPr>
        <w:footnoteReference w:id="6"/>
      </w:r>
      <w:r w:rsidRPr="00C73A65">
        <w:rPr>
          <w:rFonts w:cs="Arial"/>
          <w:szCs w:val="20"/>
        </w:rPr>
        <w:t xml:space="preserve"> It thus appears necessary for the Committee to </w:t>
      </w:r>
      <w:r>
        <w:rPr>
          <w:rFonts w:cs="Arial"/>
          <w:szCs w:val="20"/>
        </w:rPr>
        <w:t xml:space="preserve">encourage </w:t>
      </w:r>
      <w:r w:rsidRPr="00C73A65">
        <w:rPr>
          <w:rFonts w:cs="Arial"/>
          <w:szCs w:val="20"/>
        </w:rPr>
        <w:t xml:space="preserve">all states in the region to </w:t>
      </w:r>
      <w:r>
        <w:rPr>
          <w:rFonts w:cs="Arial"/>
          <w:szCs w:val="20"/>
        </w:rPr>
        <w:t xml:space="preserve">sustain their efforts in </w:t>
      </w:r>
      <w:r w:rsidRPr="00AD7B69">
        <w:rPr>
          <w:rFonts w:cs="Arial"/>
          <w:color w:val="000000"/>
          <w:szCs w:val="20"/>
        </w:rPr>
        <w:t>enhanc</w:t>
      </w:r>
      <w:r>
        <w:rPr>
          <w:rFonts w:cs="Arial"/>
          <w:color w:val="000000"/>
          <w:szCs w:val="20"/>
        </w:rPr>
        <w:t>ing</w:t>
      </w:r>
      <w:r w:rsidRPr="00AD7B69">
        <w:rPr>
          <w:rFonts w:cs="Arial"/>
          <w:color w:val="000000"/>
          <w:szCs w:val="20"/>
        </w:rPr>
        <w:t xml:space="preserve"> judicial cooperation in </w:t>
      </w:r>
      <w:r>
        <w:rPr>
          <w:rFonts w:cs="Arial"/>
          <w:color w:val="000000"/>
          <w:szCs w:val="20"/>
        </w:rPr>
        <w:t>war crime cases</w:t>
      </w:r>
      <w:r w:rsidRPr="00AD7B69">
        <w:rPr>
          <w:rFonts w:cs="Arial"/>
          <w:color w:val="000000"/>
          <w:szCs w:val="20"/>
        </w:rPr>
        <w:t>.</w:t>
      </w:r>
    </w:p>
    <w:p w14:paraId="0A1F36D3" w14:textId="77777777" w:rsidR="007713FA" w:rsidRPr="006A2DD5" w:rsidRDefault="007713FA" w:rsidP="007713FA">
      <w:pPr>
        <w:rPr>
          <w:rFonts w:cs="Arial"/>
          <w:color w:val="000000"/>
        </w:rPr>
      </w:pPr>
    </w:p>
    <w:p w14:paraId="6A86EB08" w14:textId="77777777" w:rsidR="007713FA" w:rsidRPr="00AD7B69" w:rsidRDefault="007713FA" w:rsidP="007713FA">
      <w:pPr>
        <w:autoSpaceDE w:val="0"/>
        <w:autoSpaceDN w:val="0"/>
        <w:adjustRightInd w:val="0"/>
        <w:rPr>
          <w:szCs w:val="20"/>
          <w:lang w:eastAsia="en-GB"/>
        </w:rPr>
      </w:pPr>
      <w:r w:rsidRPr="00AD7B69">
        <w:rPr>
          <w:szCs w:val="20"/>
          <w:lang w:eastAsia="en-GB"/>
        </w:rPr>
        <w:t>Lastly, it appears that in response to the Committee’s last decision, the authorities, with a view to drawing upon the Council of Europe’s expertise addressed a letter to the Council of Europe Director General</w:t>
      </w:r>
      <w:r>
        <w:rPr>
          <w:szCs w:val="20"/>
          <w:lang w:eastAsia="en-GB"/>
        </w:rPr>
        <w:t xml:space="preserve"> </w:t>
      </w:r>
      <w:r w:rsidRPr="00AD7B69">
        <w:rPr>
          <w:szCs w:val="20"/>
          <w:lang w:eastAsia="en-GB"/>
        </w:rPr>
        <w:t>of Human Rights</w:t>
      </w:r>
      <w:r>
        <w:rPr>
          <w:szCs w:val="20"/>
          <w:lang w:eastAsia="en-GB"/>
        </w:rPr>
        <w:t xml:space="preserve"> </w:t>
      </w:r>
      <w:r w:rsidRPr="00AD7B69">
        <w:rPr>
          <w:szCs w:val="20"/>
          <w:lang w:eastAsia="en-GB"/>
        </w:rPr>
        <w:t>and Rule of Law</w:t>
      </w:r>
      <w:r>
        <w:rPr>
          <w:szCs w:val="20"/>
          <w:lang w:eastAsia="en-GB"/>
        </w:rPr>
        <w:t xml:space="preserve"> </w:t>
      </w:r>
      <w:r w:rsidRPr="00AD7B69">
        <w:rPr>
          <w:szCs w:val="20"/>
          <w:lang w:eastAsia="en-GB"/>
        </w:rPr>
        <w:t>expressing</w:t>
      </w:r>
      <w:r>
        <w:rPr>
          <w:szCs w:val="20"/>
          <w:lang w:eastAsia="en-GB"/>
        </w:rPr>
        <w:t xml:space="preserve"> </w:t>
      </w:r>
      <w:r w:rsidRPr="00AD7B69">
        <w:rPr>
          <w:szCs w:val="20"/>
          <w:lang w:eastAsia="en-GB"/>
        </w:rPr>
        <w:t>their</w:t>
      </w:r>
      <w:r>
        <w:rPr>
          <w:szCs w:val="20"/>
          <w:lang w:eastAsia="en-GB"/>
        </w:rPr>
        <w:t xml:space="preserve"> </w:t>
      </w:r>
      <w:r w:rsidRPr="00AD7B69">
        <w:rPr>
          <w:szCs w:val="20"/>
          <w:lang w:eastAsia="en-GB"/>
        </w:rPr>
        <w:t>interest in</w:t>
      </w:r>
      <w:r>
        <w:rPr>
          <w:szCs w:val="20"/>
          <w:lang w:eastAsia="en-GB"/>
        </w:rPr>
        <w:t xml:space="preserve"> </w:t>
      </w:r>
      <w:r w:rsidRPr="00AD7B69">
        <w:rPr>
          <w:szCs w:val="20"/>
          <w:lang w:eastAsia="en-GB"/>
        </w:rPr>
        <w:t xml:space="preserve">substantive </w:t>
      </w:r>
      <w:r w:rsidRPr="00AD7B69">
        <w:rPr>
          <w:i/>
          <w:iCs/>
          <w:szCs w:val="20"/>
          <w:lang w:eastAsia="en-GB"/>
        </w:rPr>
        <w:t>trainings for domestic</w:t>
      </w:r>
      <w:r>
        <w:rPr>
          <w:i/>
          <w:iCs/>
          <w:szCs w:val="20"/>
          <w:lang w:eastAsia="en-GB"/>
        </w:rPr>
        <w:t xml:space="preserve"> </w:t>
      </w:r>
      <w:r w:rsidRPr="00AD7B69">
        <w:rPr>
          <w:i/>
          <w:iCs/>
          <w:szCs w:val="20"/>
          <w:lang w:eastAsia="en-GB"/>
        </w:rPr>
        <w:t>judges and prosecutors</w:t>
      </w:r>
      <w:r w:rsidRPr="00AD7B69">
        <w:rPr>
          <w:szCs w:val="20"/>
          <w:lang w:eastAsia="en-GB"/>
        </w:rPr>
        <w:t xml:space="preserve">. Further arrangement of these trainings is currently underway. The Committee should be </w:t>
      </w:r>
      <w:r w:rsidRPr="00AD7B69">
        <w:rPr>
          <w:rFonts w:cs="Arial"/>
          <w:color w:val="000000"/>
          <w:szCs w:val="20"/>
          <w:lang w:val="en-US" w:eastAsia="en-GB"/>
        </w:rPr>
        <w:t>kept informed on further developments in this respect and of the results achieved.</w:t>
      </w:r>
    </w:p>
    <w:p w14:paraId="54F37C74" w14:textId="77777777" w:rsidR="007713FA" w:rsidRDefault="007713FA" w:rsidP="007713FA">
      <w:pPr>
        <w:pStyle w:val="COELignes"/>
      </w:pPr>
    </w:p>
    <w:tbl>
      <w:tblPr>
        <w:tblW w:w="25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4763"/>
      </w:tblGrid>
      <w:tr w:rsidR="007713FA" w14:paraId="6D576674" w14:textId="77777777" w:rsidTr="00BF7A9F">
        <w:tc>
          <w:tcPr>
            <w:tcW w:w="4320" w:type="dxa"/>
            <w:vAlign w:val="center"/>
          </w:tcPr>
          <w:p w14:paraId="1BFA5339" w14:textId="77777777" w:rsidR="007713FA" w:rsidRDefault="007713FA" w:rsidP="00BF7A9F">
            <w:pPr>
              <w:pStyle w:val="COELignes"/>
            </w:pPr>
            <w:r>
              <w:t>Financing assured: YES</w:t>
            </w:r>
          </w:p>
        </w:tc>
      </w:tr>
    </w:tbl>
    <w:p w14:paraId="02E155F7" w14:textId="1F295977" w:rsidR="007713FA" w:rsidRDefault="007713FA" w:rsidP="00645BBC">
      <w:pPr>
        <w:pStyle w:val="COELignes"/>
      </w:pPr>
      <w:bookmarkStart w:id="18" w:name="DraftDecisions"/>
      <w:r>
        <w:t xml:space="preserve"> </w:t>
      </w:r>
      <w:bookmarkEnd w:id="18"/>
    </w:p>
    <w:p w14:paraId="67F7FB0B" w14:textId="77777777" w:rsidR="007713FA" w:rsidRDefault="007713FA" w:rsidP="007713FA">
      <w:pPr>
        <w:rPr>
          <w:rFonts w:eastAsia="Times New Roman"/>
          <w:szCs w:val="24"/>
        </w:rPr>
      </w:pPr>
    </w:p>
    <w:sectPr w:rsidR="007713FA" w:rsidSect="00145E83">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D132F" w14:textId="77777777" w:rsidR="00003938" w:rsidRDefault="00003938" w:rsidP="00FD6043">
      <w:r>
        <w:separator/>
      </w:r>
    </w:p>
  </w:endnote>
  <w:endnote w:type="continuationSeparator" w:id="0">
    <w:p w14:paraId="1041AF22" w14:textId="77777777" w:rsidR="00003938" w:rsidRDefault="0000393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F1F8"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6B79"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DE14" w14:textId="77777777" w:rsidR="00003938" w:rsidRDefault="00003938" w:rsidP="00FD6043">
      <w:r>
        <w:separator/>
      </w:r>
    </w:p>
  </w:footnote>
  <w:footnote w:type="continuationSeparator" w:id="0">
    <w:p w14:paraId="41437DE5" w14:textId="77777777" w:rsidR="00003938" w:rsidRDefault="00003938" w:rsidP="00FD6043">
      <w:r>
        <w:continuationSeparator/>
      </w:r>
    </w:p>
  </w:footnote>
  <w:footnote w:id="1">
    <w:p w14:paraId="2F66BB03" w14:textId="77777777" w:rsidR="007713FA" w:rsidRDefault="007713FA" w:rsidP="007713FA">
      <w:pPr>
        <w:pStyle w:val="FootnoteText"/>
      </w:pPr>
      <w:r>
        <w:rPr>
          <w:rStyle w:val="FootnoteReference"/>
        </w:rPr>
        <w:footnoteRef/>
      </w:r>
      <w:r>
        <w:t xml:space="preserve"> </w:t>
      </w:r>
      <w:r w:rsidRPr="00CF326A">
        <w:t>In particular, the Court observed that in the decision of 13 November 2014 the Constitutional Court, in addition to finding a violation of the procedural aspect of Article 3 of the Convention, awarded damages to the complainant and ordered the competent prosecutor to conduct an effective investigation into the alleged ill-treatment (</w:t>
      </w:r>
      <w:proofErr w:type="spellStart"/>
      <w:r w:rsidRPr="00CF326A">
        <w:rPr>
          <w:i/>
          <w:iCs/>
        </w:rPr>
        <w:t>Kušić</w:t>
      </w:r>
      <w:proofErr w:type="spellEnd"/>
      <w:r w:rsidRPr="00CF326A">
        <w:rPr>
          <w:i/>
          <w:iCs/>
        </w:rPr>
        <w:t xml:space="preserve"> and Others</w:t>
      </w:r>
      <w:r w:rsidRPr="00CF326A">
        <w:t xml:space="preserve"> § 45). It further noted that following a Constitutional Court decision of 10 January 2018, duly addressing the central issues of the complainant’s arguments and finding a breach of the procedural obligation under Article 3 taken in conjunction with Article 14 of the Convention, the competent prosecutor resumed an investigation into the complainant’s allegations. It noted that in its decision of 5 November 2019 the Constitutional Court, in addition to finding a violation of the procedural aspect of Article 2 of the Convention in a war crime case, awarded damages to the complainants (</w:t>
      </w:r>
      <w:proofErr w:type="spellStart"/>
      <w:r w:rsidRPr="00CF326A">
        <w:rPr>
          <w:i/>
          <w:iCs/>
        </w:rPr>
        <w:t>Kušić</w:t>
      </w:r>
      <w:proofErr w:type="spellEnd"/>
      <w:r w:rsidRPr="00CF326A">
        <w:rPr>
          <w:i/>
          <w:iCs/>
        </w:rPr>
        <w:t xml:space="preserve"> and Others</w:t>
      </w:r>
      <w:r w:rsidRPr="00CF326A">
        <w:t xml:space="preserve"> § 55). </w:t>
      </w:r>
    </w:p>
  </w:footnote>
  <w:footnote w:id="2">
    <w:p w14:paraId="1321345D" w14:textId="77777777" w:rsidR="007713FA" w:rsidRPr="005C38DE" w:rsidRDefault="007713FA" w:rsidP="007713FA">
      <w:pPr>
        <w:pStyle w:val="FootnoteText"/>
      </w:pPr>
      <w:r>
        <w:rPr>
          <w:rStyle w:val="FootnoteReference"/>
        </w:rPr>
        <w:footnoteRef/>
      </w:r>
      <w:r w:rsidRPr="005C38DE">
        <w:t xml:space="preserve"> </w:t>
      </w:r>
      <w:hyperlink r:id="rId1" w:history="1">
        <w:r w:rsidRPr="005C38DE">
          <w:rPr>
            <w:rStyle w:val="Hyperlink"/>
          </w:rPr>
          <w:t>https://www.ombudsman.hr/hr/izvjesca-puckog-pravobranitelja/</w:t>
        </w:r>
      </w:hyperlink>
      <w:r w:rsidRPr="005C38DE">
        <w:t>; Annua</w:t>
      </w:r>
      <w:r>
        <w:t>l Report for 2019, p. 107</w:t>
      </w:r>
    </w:p>
  </w:footnote>
  <w:footnote w:id="3">
    <w:p w14:paraId="7BE29831" w14:textId="77777777" w:rsidR="007713FA" w:rsidRPr="005C38DE" w:rsidRDefault="007713FA" w:rsidP="007713FA">
      <w:pPr>
        <w:pStyle w:val="FootnoteText"/>
      </w:pPr>
      <w:r>
        <w:rPr>
          <w:rStyle w:val="FootnoteReference"/>
        </w:rPr>
        <w:footnoteRef/>
      </w:r>
      <w:r w:rsidRPr="005C38DE">
        <w:t xml:space="preserve"> </w:t>
      </w:r>
      <w:hyperlink r:id="rId2" w:history="1">
        <w:r w:rsidRPr="005C38DE">
          <w:rPr>
            <w:rStyle w:val="Hyperlink"/>
          </w:rPr>
          <w:t>http://www.vsrh.hr/EasyWeb.asp?pcpid=1072</w:t>
        </w:r>
      </w:hyperlink>
      <w:r w:rsidRPr="005C38DE">
        <w:t xml:space="preserve"> ; Annual </w:t>
      </w:r>
      <w:r>
        <w:t xml:space="preserve">Report for 2019, </w:t>
      </w:r>
      <w:r>
        <w:rPr>
          <w:rFonts w:cs="Arial"/>
        </w:rPr>
        <w:t xml:space="preserve">p. </w:t>
      </w:r>
      <w:r>
        <w:t>62</w:t>
      </w:r>
    </w:p>
  </w:footnote>
  <w:footnote w:id="4">
    <w:p w14:paraId="3EF589C9" w14:textId="77777777" w:rsidR="007713FA" w:rsidRPr="003528E4" w:rsidRDefault="007713FA" w:rsidP="007713FA">
      <w:pPr>
        <w:pStyle w:val="FootnoteText"/>
      </w:pPr>
      <w:r>
        <w:rPr>
          <w:rStyle w:val="FootnoteReference"/>
        </w:rPr>
        <w:footnoteRef/>
      </w:r>
      <w:r>
        <w:t xml:space="preserve"> </w:t>
      </w:r>
      <w:r w:rsidRPr="003528E4">
        <w:t xml:space="preserve">See in §77 of the Progress report of the Prosecutor of the International Residual Mechanism for Criminal Tribunals, Serge </w:t>
      </w:r>
      <w:proofErr w:type="spellStart"/>
      <w:r w:rsidRPr="003528E4">
        <w:t>Brammertz</w:t>
      </w:r>
      <w:proofErr w:type="spellEnd"/>
      <w:r w:rsidRPr="003528E4">
        <w:t>, for the period from 16 November 2019 to 16 May 2020</w:t>
      </w:r>
      <w:r>
        <w:t>.</w:t>
      </w:r>
    </w:p>
  </w:footnote>
  <w:footnote w:id="5">
    <w:p w14:paraId="6CB3B2C4" w14:textId="77777777" w:rsidR="007713FA" w:rsidRPr="003A4433" w:rsidRDefault="007713FA" w:rsidP="007713FA">
      <w:pPr>
        <w:pStyle w:val="FootnoteText"/>
      </w:pPr>
      <w:r>
        <w:rPr>
          <w:rStyle w:val="FootnoteReference"/>
        </w:rPr>
        <w:footnoteRef/>
      </w:r>
      <w:r>
        <w:t xml:space="preserve"> </w:t>
      </w:r>
      <w:hyperlink r:id="rId3" w:history="1">
        <w:r w:rsidRPr="006A2DD5">
          <w:rPr>
            <w:rStyle w:val="Hyperlink"/>
          </w:rPr>
          <w:t>SWD(2020)350</w:t>
        </w:r>
      </w:hyperlink>
      <w:r>
        <w:t xml:space="preserve">, p. 21; </w:t>
      </w:r>
      <w:hyperlink r:id="rId4" w:history="1">
        <w:r w:rsidRPr="006A2DD5">
          <w:rPr>
            <w:rStyle w:val="Hyperlink"/>
          </w:rPr>
          <w:t>SWD(2020) 352</w:t>
        </w:r>
      </w:hyperlink>
      <w:r>
        <w:t>, pp. 24-,25.</w:t>
      </w:r>
      <w:r w:rsidRPr="006A2DD5">
        <w:t xml:space="preserve"> </w:t>
      </w:r>
      <w:hyperlink w:history="1"/>
      <w:r>
        <w:t xml:space="preserve">; </w:t>
      </w:r>
    </w:p>
  </w:footnote>
  <w:footnote w:id="6">
    <w:p w14:paraId="44DE05BC" w14:textId="77777777" w:rsidR="007713FA" w:rsidRPr="005C38DE" w:rsidRDefault="007713FA" w:rsidP="007713FA">
      <w:pPr>
        <w:pStyle w:val="FootnoteText"/>
      </w:pPr>
      <w:r>
        <w:rPr>
          <w:rStyle w:val="FootnoteReference"/>
        </w:rPr>
        <w:footnoteRef/>
      </w:r>
      <w:r>
        <w:t xml:space="preserve"> </w:t>
      </w:r>
      <w:hyperlink r:id="rId5" w:history="1">
        <w:r w:rsidRPr="0063415D">
          <w:rPr>
            <w:rStyle w:val="Hyperlink"/>
          </w:rPr>
          <w:t xml:space="preserve">Human Rights </w:t>
        </w:r>
        <w:proofErr w:type="spellStart"/>
        <w:r w:rsidRPr="0063415D">
          <w:rPr>
            <w:rStyle w:val="Hyperlink"/>
          </w:rPr>
          <w:t>i</w:t>
        </w:r>
        <w:proofErr w:type="spellEnd"/>
        <w:r w:rsidRPr="0063415D">
          <w:rPr>
            <w:rStyle w:val="Hyperlink"/>
          </w:rPr>
          <w:t xml:space="preserve"> Croatia: Overview of 2019</w:t>
        </w:r>
      </w:hyperlink>
      <w:r>
        <w:t>; published by Human Rights Zagreb, p.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FCB7" w14:textId="1D7CD04D" w:rsidR="00E24C57" w:rsidRPr="00E54322" w:rsidRDefault="005F18B9" w:rsidP="00E54322">
    <w:pPr>
      <w:pStyle w:val="Header"/>
    </w:pPr>
    <w:r w:rsidRPr="005F18B9">
      <w:t>CM/Notes/1</w:t>
    </w:r>
    <w:r w:rsidR="00CD2AD7">
      <w:t>3</w:t>
    </w:r>
    <w:r w:rsidR="008C089A">
      <w:t>90</w:t>
    </w:r>
    <w:r w:rsidRPr="005F18B9">
      <w:t>/H46-</w:t>
    </w:r>
    <w:r w:rsidR="00C73A65">
      <w:t>6</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C9E3" w14:textId="0E897F97"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5F18B9">
      <w:rPr>
        <w:noProof/>
      </w:rPr>
      <w:t>5</w:t>
    </w:r>
    <w:r w:rsidRPr="00E54322">
      <w:fldChar w:fldCharType="end"/>
    </w:r>
    <w:r w:rsidR="00E475F9" w:rsidRPr="00E54322">
      <w:tab/>
    </w:r>
    <w:r w:rsidR="00C73A65" w:rsidRPr="005F18B9">
      <w:t>CM/Notes/1</w:t>
    </w:r>
    <w:r w:rsidR="00C73A65">
      <w:t>390</w:t>
    </w:r>
    <w:r w:rsidR="00C73A65" w:rsidRPr="005F18B9">
      <w:t>/H46-</w:t>
    </w:r>
    <w:r w:rsidR="00C73A65">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5D59" w14:textId="77777777" w:rsidR="00135BDB" w:rsidRDefault="002A66FE" w:rsidP="00123CDD">
    <w:pPr>
      <w:pStyle w:val="Header"/>
      <w:spacing w:after="2280"/>
    </w:pPr>
    <w:r>
      <w:rPr>
        <w:noProof/>
        <w:lang w:eastAsia="en-GB"/>
      </w:rPr>
      <w:drawing>
        <wp:anchor distT="0" distB="0" distL="114300" distR="114300" simplePos="0" relativeHeight="251657728" behindDoc="1" locked="0" layoutInCell="0" allowOverlap="0" wp14:anchorId="0E4F964F" wp14:editId="1E461E35">
          <wp:simplePos x="0" y="0"/>
          <wp:positionH relativeFrom="page">
            <wp:posOffset>0</wp:posOffset>
          </wp:positionH>
          <wp:positionV relativeFrom="page">
            <wp:posOffset>1544</wp:posOffset>
          </wp:positionV>
          <wp:extent cx="7574400" cy="10714111"/>
          <wp:effectExtent l="0" t="0" r="762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400" cy="107141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D1439"/>
    <w:multiLevelType w:val="hybridMultilevel"/>
    <w:tmpl w:val="947247FC"/>
    <w:lvl w:ilvl="0" w:tplc="F544C99C">
      <w:start w:val="1"/>
      <w:numFmt w:val="upperRoman"/>
      <w:lvlText w:val="%1."/>
      <w:lvlJc w:val="left"/>
      <w:pPr>
        <w:ind w:left="360" w:hanging="360"/>
      </w:pPr>
      <w:rPr>
        <w:rFonts w:hint="default"/>
        <w:b/>
        <w:i/>
        <w:i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3E"/>
    <w:rsid w:val="00003938"/>
    <w:rsid w:val="0001238D"/>
    <w:rsid w:val="00035FDF"/>
    <w:rsid w:val="00041EAF"/>
    <w:rsid w:val="00071EA7"/>
    <w:rsid w:val="00072CBD"/>
    <w:rsid w:val="0007543C"/>
    <w:rsid w:val="00082CEE"/>
    <w:rsid w:val="000A307B"/>
    <w:rsid w:val="000C52A6"/>
    <w:rsid w:val="000E50A4"/>
    <w:rsid w:val="000F4CF2"/>
    <w:rsid w:val="000F58C3"/>
    <w:rsid w:val="000F5ADA"/>
    <w:rsid w:val="00106141"/>
    <w:rsid w:val="00110729"/>
    <w:rsid w:val="001112B5"/>
    <w:rsid w:val="00113EB0"/>
    <w:rsid w:val="00117F6E"/>
    <w:rsid w:val="00123CDD"/>
    <w:rsid w:val="00134D9A"/>
    <w:rsid w:val="00135BDB"/>
    <w:rsid w:val="00140FC8"/>
    <w:rsid w:val="0014266D"/>
    <w:rsid w:val="00145E83"/>
    <w:rsid w:val="00147EF4"/>
    <w:rsid w:val="00153BB3"/>
    <w:rsid w:val="00156DC1"/>
    <w:rsid w:val="00160B03"/>
    <w:rsid w:val="001663C3"/>
    <w:rsid w:val="00171115"/>
    <w:rsid w:val="00181ED9"/>
    <w:rsid w:val="001A6076"/>
    <w:rsid w:val="001B7E0B"/>
    <w:rsid w:val="001E40B2"/>
    <w:rsid w:val="001E7C29"/>
    <w:rsid w:val="001F297D"/>
    <w:rsid w:val="001F4F04"/>
    <w:rsid w:val="00214299"/>
    <w:rsid w:val="002250DD"/>
    <w:rsid w:val="0023437D"/>
    <w:rsid w:val="00242ABB"/>
    <w:rsid w:val="00251353"/>
    <w:rsid w:val="00262B36"/>
    <w:rsid w:val="00265917"/>
    <w:rsid w:val="002660DB"/>
    <w:rsid w:val="002861FB"/>
    <w:rsid w:val="00292217"/>
    <w:rsid w:val="00293EE6"/>
    <w:rsid w:val="002A66FE"/>
    <w:rsid w:val="002C0872"/>
    <w:rsid w:val="002C09C0"/>
    <w:rsid w:val="002C20BA"/>
    <w:rsid w:val="002C43B5"/>
    <w:rsid w:val="002C4704"/>
    <w:rsid w:val="002D0655"/>
    <w:rsid w:val="002D11B8"/>
    <w:rsid w:val="002D1B2F"/>
    <w:rsid w:val="002E4089"/>
    <w:rsid w:val="002F3006"/>
    <w:rsid w:val="002F405C"/>
    <w:rsid w:val="002F6BB7"/>
    <w:rsid w:val="00303712"/>
    <w:rsid w:val="00320BBA"/>
    <w:rsid w:val="003354C4"/>
    <w:rsid w:val="00335CAF"/>
    <w:rsid w:val="003364D1"/>
    <w:rsid w:val="0035458B"/>
    <w:rsid w:val="0037200F"/>
    <w:rsid w:val="00373957"/>
    <w:rsid w:val="00381C50"/>
    <w:rsid w:val="0038248E"/>
    <w:rsid w:val="00385587"/>
    <w:rsid w:val="00392D1D"/>
    <w:rsid w:val="003A5509"/>
    <w:rsid w:val="003B2C8C"/>
    <w:rsid w:val="003B345B"/>
    <w:rsid w:val="003C0E3E"/>
    <w:rsid w:val="003D3B17"/>
    <w:rsid w:val="003D48AE"/>
    <w:rsid w:val="003D6AC2"/>
    <w:rsid w:val="003D7EE8"/>
    <w:rsid w:val="003F3D4B"/>
    <w:rsid w:val="003F6583"/>
    <w:rsid w:val="0040027C"/>
    <w:rsid w:val="00400868"/>
    <w:rsid w:val="004256CB"/>
    <w:rsid w:val="004329B7"/>
    <w:rsid w:val="00443709"/>
    <w:rsid w:val="00447D22"/>
    <w:rsid w:val="004553F6"/>
    <w:rsid w:val="00457E74"/>
    <w:rsid w:val="00480D8B"/>
    <w:rsid w:val="00492E4F"/>
    <w:rsid w:val="00497188"/>
    <w:rsid w:val="004A37E1"/>
    <w:rsid w:val="004C0C2F"/>
    <w:rsid w:val="004C11B3"/>
    <w:rsid w:val="004D3DE3"/>
    <w:rsid w:val="0050115D"/>
    <w:rsid w:val="0054041B"/>
    <w:rsid w:val="00550B6C"/>
    <w:rsid w:val="00574663"/>
    <w:rsid w:val="005B1FA1"/>
    <w:rsid w:val="005B3604"/>
    <w:rsid w:val="005C73BB"/>
    <w:rsid w:val="005D7CDF"/>
    <w:rsid w:val="005F093B"/>
    <w:rsid w:val="005F18B9"/>
    <w:rsid w:val="005F3DC6"/>
    <w:rsid w:val="00614982"/>
    <w:rsid w:val="00631491"/>
    <w:rsid w:val="00643231"/>
    <w:rsid w:val="00643C3F"/>
    <w:rsid w:val="00644AD3"/>
    <w:rsid w:val="006455FA"/>
    <w:rsid w:val="00645BBC"/>
    <w:rsid w:val="006507CC"/>
    <w:rsid w:val="00660638"/>
    <w:rsid w:val="00671684"/>
    <w:rsid w:val="00671EA2"/>
    <w:rsid w:val="006827E4"/>
    <w:rsid w:val="00685066"/>
    <w:rsid w:val="006908C5"/>
    <w:rsid w:val="006B3C60"/>
    <w:rsid w:val="006B4EE5"/>
    <w:rsid w:val="006C5588"/>
    <w:rsid w:val="006E0B42"/>
    <w:rsid w:val="006F0318"/>
    <w:rsid w:val="006F6B48"/>
    <w:rsid w:val="00712E65"/>
    <w:rsid w:val="007150DE"/>
    <w:rsid w:val="00721866"/>
    <w:rsid w:val="00731A34"/>
    <w:rsid w:val="00735569"/>
    <w:rsid w:val="007541C7"/>
    <w:rsid w:val="00757FF1"/>
    <w:rsid w:val="00761627"/>
    <w:rsid w:val="00762448"/>
    <w:rsid w:val="0076756B"/>
    <w:rsid w:val="007713FA"/>
    <w:rsid w:val="00773CFE"/>
    <w:rsid w:val="007A543D"/>
    <w:rsid w:val="007B3DD0"/>
    <w:rsid w:val="007C0AD1"/>
    <w:rsid w:val="007D4444"/>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089A"/>
    <w:rsid w:val="008C12CC"/>
    <w:rsid w:val="008D361E"/>
    <w:rsid w:val="00916BF5"/>
    <w:rsid w:val="009215B8"/>
    <w:rsid w:val="00923554"/>
    <w:rsid w:val="009270C4"/>
    <w:rsid w:val="00940F14"/>
    <w:rsid w:val="009432D0"/>
    <w:rsid w:val="00950D67"/>
    <w:rsid w:val="009527D7"/>
    <w:rsid w:val="00955512"/>
    <w:rsid w:val="00963962"/>
    <w:rsid w:val="00974C41"/>
    <w:rsid w:val="00984737"/>
    <w:rsid w:val="009B3AB7"/>
    <w:rsid w:val="009C28C9"/>
    <w:rsid w:val="009C48D5"/>
    <w:rsid w:val="009C5258"/>
    <w:rsid w:val="009D28F3"/>
    <w:rsid w:val="00A12DEC"/>
    <w:rsid w:val="00A22D53"/>
    <w:rsid w:val="00A474E5"/>
    <w:rsid w:val="00A55BC7"/>
    <w:rsid w:val="00A842D4"/>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90246"/>
    <w:rsid w:val="00B920E4"/>
    <w:rsid w:val="00BA79A3"/>
    <w:rsid w:val="00BA7BAC"/>
    <w:rsid w:val="00BB7DCE"/>
    <w:rsid w:val="00BD25C0"/>
    <w:rsid w:val="00BF55E6"/>
    <w:rsid w:val="00C049EE"/>
    <w:rsid w:val="00C109FD"/>
    <w:rsid w:val="00C14C2C"/>
    <w:rsid w:val="00C409C2"/>
    <w:rsid w:val="00C440B9"/>
    <w:rsid w:val="00C73A65"/>
    <w:rsid w:val="00C74E6F"/>
    <w:rsid w:val="00C8348A"/>
    <w:rsid w:val="00C92F89"/>
    <w:rsid w:val="00CA10CB"/>
    <w:rsid w:val="00CC39DC"/>
    <w:rsid w:val="00CD2AD7"/>
    <w:rsid w:val="00CD7C63"/>
    <w:rsid w:val="00CE1FF8"/>
    <w:rsid w:val="00CE4890"/>
    <w:rsid w:val="00CE6FD2"/>
    <w:rsid w:val="00CF326A"/>
    <w:rsid w:val="00CF4221"/>
    <w:rsid w:val="00D0182E"/>
    <w:rsid w:val="00D0265B"/>
    <w:rsid w:val="00D2279B"/>
    <w:rsid w:val="00D24A57"/>
    <w:rsid w:val="00D53526"/>
    <w:rsid w:val="00D554E6"/>
    <w:rsid w:val="00D6446A"/>
    <w:rsid w:val="00D70628"/>
    <w:rsid w:val="00D73FF1"/>
    <w:rsid w:val="00DA7643"/>
    <w:rsid w:val="00DB029C"/>
    <w:rsid w:val="00DC162E"/>
    <w:rsid w:val="00DC4A39"/>
    <w:rsid w:val="00DE0A21"/>
    <w:rsid w:val="00DF3B8E"/>
    <w:rsid w:val="00DF6796"/>
    <w:rsid w:val="00E125C6"/>
    <w:rsid w:val="00E15639"/>
    <w:rsid w:val="00E173B5"/>
    <w:rsid w:val="00E24C57"/>
    <w:rsid w:val="00E457C3"/>
    <w:rsid w:val="00E475F9"/>
    <w:rsid w:val="00E50974"/>
    <w:rsid w:val="00E52BAE"/>
    <w:rsid w:val="00E54322"/>
    <w:rsid w:val="00E603F9"/>
    <w:rsid w:val="00E62A60"/>
    <w:rsid w:val="00E86611"/>
    <w:rsid w:val="00E940BF"/>
    <w:rsid w:val="00E96C12"/>
    <w:rsid w:val="00EA643A"/>
    <w:rsid w:val="00EC3A8A"/>
    <w:rsid w:val="00EC7AD9"/>
    <w:rsid w:val="00EE34E3"/>
    <w:rsid w:val="00EF4115"/>
    <w:rsid w:val="00F01885"/>
    <w:rsid w:val="00F168A4"/>
    <w:rsid w:val="00F2380B"/>
    <w:rsid w:val="00F24713"/>
    <w:rsid w:val="00F40699"/>
    <w:rsid w:val="00F433D6"/>
    <w:rsid w:val="00F61D34"/>
    <w:rsid w:val="00F76BBD"/>
    <w:rsid w:val="00F96689"/>
    <w:rsid w:val="00FD6043"/>
    <w:rsid w:val="00FF2641"/>
    <w:rsid w:val="00FF3BAB"/>
    <w:rsid w:val="00FF584C"/>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9D3146"/>
  <w15:docId w15:val="{F7CDED4D-C8D5-4398-9DD4-6B038FFF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C73A65"/>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nhideWhenUsed/>
    <w:rsid w:val="009C5258"/>
    <w:rPr>
      <w:sz w:val="16"/>
      <w:szCs w:val="20"/>
    </w:rPr>
  </w:style>
  <w:style w:type="character" w:customStyle="1" w:styleId="FootnoteTextChar">
    <w:name w:val="Footnote Text Char"/>
    <w:aliases w:val="Footnote Text Char2 Char Char1,Footnote Text Char1 Char Char1 Char1,Footnote Text Char Char Char Char1 Char1,Footnote Text Char1 Char Char1 Char Char1 Char1,Footnote Text Char Char Char Char1 Char Char1 Char1"/>
    <w:link w:val="FootnoteText"/>
    <w:uiPriority w:val="99"/>
    <w:semiHidden/>
    <w:rsid w:val="009C5258"/>
    <w:rPr>
      <w:rFonts w:ascii="Arial" w:hAnsi="Arial"/>
      <w:sz w:val="16"/>
      <w:lang w:val="fr-FR" w:eastAsia="en-US"/>
    </w:rPr>
  </w:style>
  <w:style w:type="character" w:styleId="FootnoteReference">
    <w:name w:val="footnote reference"/>
    <w:aliases w:val="Footnotes refss,Footnote Refernece,Footnotes refss Caracter,Appel note de bas de p Caracter,Footnotes refss Car Char Char Char Caracter,callout Car Char Char Char Caracter,4_G,BVI fnr Char Char Char Char Char1 Char,ftref"/>
    <w:link w:val="Appelnotedebasdep"/>
    <w:uiPriority w:val="99"/>
    <w:unhideWhenUsed/>
    <w:qFormat/>
    <w:rsid w:val="00853C90"/>
    <w:rPr>
      <w:vertAlign w:val="superscript"/>
    </w:rPr>
  </w:style>
  <w:style w:type="paragraph" w:customStyle="1" w:styleId="COELignes">
    <w:name w:val="COE_Lignes"/>
    <w:basedOn w:val="Normal"/>
    <w:rsid w:val="002A66FE"/>
    <w:rPr>
      <w:rFonts w:eastAsia="Times New Roman"/>
      <w:szCs w:val="24"/>
      <w:lang w:val="en-US"/>
    </w:rPr>
  </w:style>
  <w:style w:type="character" w:customStyle="1" w:styleId="FootnoteTextChar1">
    <w:name w:val="Footnote Text Char1"/>
    <w:aliases w:val="Footnote Text Char Char,Footnote Text Char2 Char Char,Footnote Text Char1 Char Char1 Char,Footnote Text Char Char Char Char1 Char,Footnote Text Char1 Char Char1 Char Char1 Char,Footnote Text Char Char Char Char1 Char Char1 Char"/>
    <w:uiPriority w:val="99"/>
    <w:rsid w:val="00C73A65"/>
    <w:rPr>
      <w:rFonts w:ascii="Arial" w:hAnsi="Arial"/>
      <w:sz w:val="16"/>
      <w:lang w:val="fr-FR" w:eastAsia="fr-FR"/>
    </w:rPr>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C73A65"/>
    <w:pPr>
      <w:spacing w:after="160" w:line="240" w:lineRule="exact"/>
    </w:pPr>
    <w:rPr>
      <w:rFonts w:ascii="Calibri" w:hAnsi="Calibri"/>
      <w:szCs w:val="20"/>
      <w:vertAlign w:val="superscript"/>
      <w:lang w:eastAsia="en-GB"/>
    </w:rPr>
  </w:style>
  <w:style w:type="character" w:styleId="UnresolvedMention">
    <w:name w:val="Unresolved Mention"/>
    <w:basedOn w:val="DefaultParagraphFont"/>
    <w:uiPriority w:val="99"/>
    <w:semiHidden/>
    <w:unhideWhenUsed/>
    <w:rsid w:val="00E6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sites/near/files/bosnia_and_herzegovina_report_2020.pdf" TargetMode="External"/><Relationship Id="rId2" Type="http://schemas.openxmlformats.org/officeDocument/2006/relationships/hyperlink" Target="http://www.vsrh.hr/EasyWeb.asp?pcpid=1072" TargetMode="External"/><Relationship Id="rId1" Type="http://schemas.openxmlformats.org/officeDocument/2006/relationships/hyperlink" Target="https://www.ombudsman.hr/hr/izvjesca-puckog-pravobranitelja/" TargetMode="External"/><Relationship Id="rId5" Type="http://schemas.openxmlformats.org/officeDocument/2006/relationships/hyperlink" Target="https://www.kucaljudskihprava.hr/wp-content/uploads/2020/04/KLJP_godisnjeIzvjesce2019_ENG_web.pdf" TargetMode="External"/><Relationship Id="rId4" Type="http://schemas.openxmlformats.org/officeDocument/2006/relationships/hyperlink" Target="https://ec.europa.eu/neighbourhood-enlargement/sites/near/files/serbia_report_202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776C-37CA-467D-9049-98BBB2E9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2796</Words>
  <Characters>15379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18139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 Dominique</dc:creator>
  <cp:lastModifiedBy>Dominique</cp:lastModifiedBy>
  <cp:revision>19</cp:revision>
  <cp:lastPrinted>2016-03-16T18:37:00Z</cp:lastPrinted>
  <dcterms:created xsi:type="dcterms:W3CDTF">2020-11-02T15:11:00Z</dcterms:created>
  <dcterms:modified xsi:type="dcterms:W3CDTF">2020-12-03T16:53:00Z</dcterms:modified>
</cp:coreProperties>
</file>