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5F5DC441" w14:textId="77777777" w:rsidTr="00E54322">
        <w:trPr>
          <w:trHeight w:val="737"/>
        </w:trPr>
        <w:tc>
          <w:tcPr>
            <w:tcW w:w="1250" w:type="pct"/>
            <w:shd w:val="clear" w:color="auto" w:fill="auto"/>
            <w:vAlign w:val="center"/>
          </w:tcPr>
          <w:p w14:paraId="757D1CD4"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5BC7DA83"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14:paraId="1D16CA34" w14:textId="0D176047" w:rsidR="002D11B8" w:rsidRPr="00C06C71" w:rsidRDefault="00C06C71" w:rsidP="00FE16E3">
            <w:pPr>
              <w:ind w:left="-40"/>
              <w:jc w:val="center"/>
              <w:rPr>
                <w:rFonts w:ascii="Arial Narrow" w:hAnsi="Arial Narrow" w:cs="Arial"/>
                <w:b/>
                <w:sz w:val="24"/>
                <w:szCs w:val="24"/>
              </w:rPr>
            </w:pPr>
            <w:bookmarkStart w:id="0" w:name="_GoBack"/>
            <w:bookmarkEnd w:id="0"/>
            <w:proofErr w:type="gramStart"/>
            <w:r w:rsidRPr="00C06C71">
              <w:rPr>
                <w:rFonts w:ascii="Arial Narrow" w:hAnsi="Arial Narrow" w:cs="Calibri"/>
                <w:b/>
                <w:sz w:val="24"/>
                <w:szCs w:val="24"/>
              </w:rPr>
              <w:t>CM(</w:t>
            </w:r>
            <w:proofErr w:type="gramEnd"/>
            <w:r w:rsidRPr="00C06C71">
              <w:rPr>
                <w:rFonts w:ascii="Arial Narrow" w:hAnsi="Arial Narrow" w:cs="Calibri"/>
                <w:b/>
                <w:sz w:val="24"/>
                <w:szCs w:val="24"/>
              </w:rPr>
              <w:t>2020)140</w:t>
            </w:r>
          </w:p>
        </w:tc>
        <w:tc>
          <w:tcPr>
            <w:tcW w:w="1250" w:type="pct"/>
            <w:shd w:val="clear" w:color="auto" w:fill="auto"/>
            <w:vAlign w:val="center"/>
          </w:tcPr>
          <w:p w14:paraId="0E57F4FA" w14:textId="183E0D7C" w:rsidR="002D11B8" w:rsidRPr="00F96689" w:rsidRDefault="0099120C" w:rsidP="00FE16E3">
            <w:pPr>
              <w:jc w:val="right"/>
              <w:rPr>
                <w:rFonts w:ascii="Arial Narrow" w:hAnsi="Arial Narrow" w:cs="Arial"/>
                <w:sz w:val="16"/>
                <w:szCs w:val="16"/>
              </w:rPr>
            </w:pPr>
            <w:r>
              <w:rPr>
                <w:rFonts w:ascii="Arial Narrow" w:hAnsi="Arial Narrow" w:cs="Calibri"/>
                <w:sz w:val="16"/>
                <w:szCs w:val="16"/>
              </w:rPr>
              <w:t>28 October</w:t>
            </w:r>
            <w:r w:rsidR="002D11B8" w:rsidRPr="00F96689">
              <w:rPr>
                <w:rFonts w:ascii="Arial Narrow" w:hAnsi="Arial Narrow" w:cs="Calibri"/>
                <w:sz w:val="16"/>
                <w:szCs w:val="16"/>
              </w:rPr>
              <w:t xml:space="preserve"> </w:t>
            </w:r>
            <w:r w:rsidR="006E6FA7">
              <w:rPr>
                <w:rFonts w:ascii="Arial Narrow" w:hAnsi="Arial Narrow" w:cs="Calibri"/>
                <w:sz w:val="16"/>
                <w:szCs w:val="16"/>
              </w:rPr>
              <w:t>2020</w:t>
            </w:r>
            <w:r w:rsidR="00853C90" w:rsidRPr="00B920E4">
              <w:rPr>
                <w:rStyle w:val="FootnoteReference"/>
                <w:rFonts w:ascii="Arial Narrow" w:hAnsi="Arial Narrow" w:cs="Calibri"/>
                <w:sz w:val="16"/>
                <w:szCs w:val="16"/>
              </w:rPr>
              <w:footnoteReference w:id="1"/>
            </w:r>
          </w:p>
        </w:tc>
      </w:tr>
    </w:tbl>
    <w:p w14:paraId="2B3EDC9D"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2EA02815" w14:textId="77777777" w:rsidTr="00E54322">
        <w:tc>
          <w:tcPr>
            <w:tcW w:w="9399" w:type="dxa"/>
            <w:shd w:val="clear" w:color="auto" w:fill="auto"/>
            <w:tcMar>
              <w:top w:w="227" w:type="dxa"/>
              <w:bottom w:w="227" w:type="dxa"/>
            </w:tcMar>
            <w:vAlign w:val="center"/>
          </w:tcPr>
          <w:p w14:paraId="25A23533" w14:textId="2B3CD417" w:rsidR="00E24C57" w:rsidRPr="00A12DEC" w:rsidRDefault="003D6AC2" w:rsidP="00E54322">
            <w:pPr>
              <w:widowControl w:val="0"/>
              <w:autoSpaceDE w:val="0"/>
              <w:autoSpaceDN w:val="0"/>
              <w:adjustRightInd w:val="0"/>
              <w:rPr>
                <w:rFonts w:ascii="Arial Narrow" w:hAnsi="Arial Narrow" w:cs="Calibri"/>
                <w:b/>
                <w:bCs/>
                <w:sz w:val="32"/>
                <w:szCs w:val="32"/>
              </w:rPr>
            </w:pPr>
            <w:r w:rsidRPr="003D6AC2">
              <w:rPr>
                <w:rFonts w:ascii="Arial Narrow" w:hAnsi="Arial Narrow" w:cs="Calibri"/>
                <w:b/>
                <w:bCs/>
                <w:sz w:val="32"/>
                <w:szCs w:val="32"/>
              </w:rPr>
              <w:t>1</w:t>
            </w:r>
            <w:r w:rsidR="00AC30A2">
              <w:rPr>
                <w:rFonts w:ascii="Arial Narrow" w:hAnsi="Arial Narrow" w:cs="Calibri"/>
                <w:b/>
                <w:bCs/>
                <w:sz w:val="32"/>
                <w:szCs w:val="32"/>
              </w:rPr>
              <w:t>3</w:t>
            </w:r>
            <w:r w:rsidR="00CA56ED">
              <w:rPr>
                <w:rFonts w:ascii="Arial Narrow" w:hAnsi="Arial Narrow" w:cs="Calibri"/>
                <w:b/>
                <w:bCs/>
                <w:sz w:val="32"/>
                <w:szCs w:val="32"/>
              </w:rPr>
              <w:t>91</w:t>
            </w:r>
            <w:r w:rsidR="00CA56ED" w:rsidRPr="00CA56ED">
              <w:rPr>
                <w:rFonts w:ascii="Arial Narrow" w:hAnsi="Arial Narrow" w:cs="Calibri"/>
                <w:b/>
                <w:bCs/>
                <w:sz w:val="32"/>
                <w:szCs w:val="32"/>
                <w:vertAlign w:val="superscript"/>
              </w:rPr>
              <w:t>st</w:t>
            </w:r>
            <w:r w:rsidR="00CA56ED">
              <w:rPr>
                <w:rFonts w:ascii="Arial Narrow" w:hAnsi="Arial Narrow" w:cs="Calibri"/>
                <w:b/>
                <w:bCs/>
                <w:sz w:val="32"/>
                <w:szCs w:val="32"/>
              </w:rPr>
              <w:t> </w:t>
            </w:r>
            <w:r>
              <w:rPr>
                <w:rFonts w:ascii="Arial Narrow" w:hAnsi="Arial Narrow" w:cs="Calibri"/>
                <w:b/>
                <w:bCs/>
                <w:sz w:val="32"/>
                <w:szCs w:val="32"/>
              </w:rPr>
              <w:t>m</w:t>
            </w:r>
            <w:r w:rsidRPr="003D6AC2">
              <w:rPr>
                <w:rFonts w:ascii="Arial Narrow" w:hAnsi="Arial Narrow" w:cs="Calibri"/>
                <w:b/>
                <w:bCs/>
                <w:sz w:val="32"/>
                <w:szCs w:val="32"/>
              </w:rPr>
              <w:t xml:space="preserve">eeting, </w:t>
            </w:r>
            <w:r w:rsidR="009B6A2D">
              <w:rPr>
                <w:rFonts w:ascii="Arial Narrow" w:hAnsi="Arial Narrow" w:cs="Calibri"/>
                <w:b/>
                <w:bCs/>
                <w:sz w:val="32"/>
                <w:szCs w:val="32"/>
              </w:rPr>
              <w:t>8</w:t>
            </w:r>
            <w:r w:rsidR="00CA56ED">
              <w:rPr>
                <w:rFonts w:ascii="Arial Narrow" w:hAnsi="Arial Narrow" w:cs="Calibri"/>
                <w:b/>
                <w:bCs/>
                <w:sz w:val="32"/>
                <w:szCs w:val="32"/>
              </w:rPr>
              <w:t xml:space="preserve"> December</w:t>
            </w:r>
            <w:r w:rsidRPr="003D6AC2">
              <w:rPr>
                <w:rFonts w:ascii="Arial Narrow" w:hAnsi="Arial Narrow" w:cs="Calibri"/>
                <w:b/>
                <w:bCs/>
                <w:sz w:val="32"/>
                <w:szCs w:val="32"/>
              </w:rPr>
              <w:t xml:space="preserve"> </w:t>
            </w:r>
            <w:r w:rsidR="006E6FA7">
              <w:rPr>
                <w:rFonts w:ascii="Arial Narrow" w:hAnsi="Arial Narrow" w:cs="Calibri"/>
                <w:b/>
                <w:bCs/>
                <w:sz w:val="32"/>
                <w:szCs w:val="32"/>
              </w:rPr>
              <w:t>2020</w:t>
            </w:r>
          </w:p>
          <w:p w14:paraId="5ADFA7EA" w14:textId="55832B14" w:rsidR="00242ABB" w:rsidRPr="003D6AC2" w:rsidRDefault="003D6AC2" w:rsidP="00E54322">
            <w:pPr>
              <w:rPr>
                <w:rFonts w:ascii="Arial Narrow" w:hAnsi="Arial Narrow" w:cs="Calibri"/>
                <w:sz w:val="22"/>
              </w:rPr>
            </w:pPr>
            <w:r w:rsidRPr="003D6AC2">
              <w:rPr>
                <w:rFonts w:ascii="Arial Narrow" w:hAnsi="Arial Narrow" w:cs="Calibri"/>
                <w:sz w:val="22"/>
              </w:rPr>
              <w:t>1</w:t>
            </w:r>
            <w:r w:rsidR="00416EA2">
              <w:rPr>
                <w:rFonts w:ascii="Arial Narrow" w:hAnsi="Arial Narrow" w:cs="Calibri"/>
                <w:sz w:val="22"/>
              </w:rPr>
              <w:t>1</w:t>
            </w:r>
            <w:r w:rsidRPr="003D6AC2">
              <w:rPr>
                <w:rFonts w:ascii="Arial Narrow" w:hAnsi="Arial Narrow" w:cs="Calibri"/>
                <w:sz w:val="22"/>
              </w:rPr>
              <w:t xml:space="preserve"> </w:t>
            </w:r>
            <w:r w:rsidR="00416EA2">
              <w:rPr>
                <w:rFonts w:ascii="Arial Narrow" w:hAnsi="Arial Narrow" w:cs="Calibri"/>
                <w:sz w:val="22"/>
              </w:rPr>
              <w:t>Programme, Budget and Administration</w:t>
            </w:r>
          </w:p>
          <w:p w14:paraId="5139934C" w14:textId="77777777" w:rsidR="0037200F" w:rsidRPr="00A12DEC" w:rsidRDefault="00CE6FD2" w:rsidP="00E54322">
            <w:pPr>
              <w:rPr>
                <w:rFonts w:ascii="Arial Narrow" w:hAnsi="Arial Narrow" w:cs="Calibri"/>
                <w:i/>
                <w:szCs w:val="20"/>
              </w:rPr>
            </w:pPr>
            <w:r w:rsidRPr="00A12DEC">
              <w:rPr>
                <w:rFonts w:ascii="Arial Narrow" w:hAnsi="Arial Narrow" w:cs="Calibri"/>
                <w:i/>
                <w:szCs w:val="20"/>
              </w:rPr>
              <w:t xml:space="preserve"> </w:t>
            </w:r>
          </w:p>
          <w:p w14:paraId="28D4BBE7" w14:textId="328AC929" w:rsidR="003D6AC2" w:rsidRPr="00385587" w:rsidRDefault="00416EA2" w:rsidP="00416EA2">
            <w:pPr>
              <w:rPr>
                <w:rFonts w:ascii="Arial Narrow" w:hAnsi="Arial Narrow" w:cs="Calibri"/>
                <w:b/>
                <w:sz w:val="28"/>
                <w:szCs w:val="28"/>
              </w:rPr>
            </w:pPr>
            <w:r>
              <w:rPr>
                <w:rFonts w:ascii="Arial Narrow" w:hAnsi="Arial Narrow" w:cs="Calibri"/>
                <w:b/>
                <w:sz w:val="28"/>
                <w:szCs w:val="28"/>
              </w:rPr>
              <w:t>1</w:t>
            </w:r>
            <w:r w:rsidR="003D6AC2" w:rsidRPr="00385587">
              <w:rPr>
                <w:rFonts w:ascii="Arial Narrow" w:hAnsi="Arial Narrow" w:cs="Calibri"/>
                <w:b/>
                <w:sz w:val="28"/>
                <w:szCs w:val="28"/>
              </w:rPr>
              <w:t>1.</w:t>
            </w:r>
            <w:r w:rsidR="0099120C">
              <w:rPr>
                <w:rFonts w:ascii="Arial Narrow" w:hAnsi="Arial Narrow" w:cs="Calibri"/>
                <w:b/>
                <w:sz w:val="28"/>
                <w:szCs w:val="28"/>
              </w:rPr>
              <w:t>2</w:t>
            </w:r>
            <w:r w:rsidR="003D6AC2" w:rsidRPr="00385587">
              <w:rPr>
                <w:rFonts w:ascii="Arial Narrow" w:hAnsi="Arial Narrow" w:cs="Calibri"/>
                <w:b/>
                <w:sz w:val="28"/>
                <w:szCs w:val="28"/>
              </w:rPr>
              <w:t xml:space="preserve"> </w:t>
            </w:r>
            <w:r w:rsidRPr="00416EA2">
              <w:rPr>
                <w:rFonts w:ascii="Arial Narrow" w:hAnsi="Arial Narrow" w:cs="Calibri"/>
                <w:b/>
                <w:sz w:val="28"/>
                <w:szCs w:val="28"/>
              </w:rPr>
              <w:t>Co-ordinating Committee on Remuneration (CCR) –</w:t>
            </w:r>
          </w:p>
          <w:p w14:paraId="055A8ADE" w14:textId="69A8D747" w:rsidR="00CA56ED" w:rsidRDefault="00B94F57" w:rsidP="00CA56ED">
            <w:pPr>
              <w:rPr>
                <w:rFonts w:ascii="Arial Narrow" w:hAnsi="Arial Narrow" w:cs="Calibri"/>
                <w:sz w:val="22"/>
              </w:rPr>
            </w:pPr>
            <w:r w:rsidRPr="00D943A9">
              <w:rPr>
                <w:rFonts w:ascii="Arial Narrow" w:hAnsi="Arial Narrow" w:cs="Calibri"/>
                <w:sz w:val="22"/>
              </w:rPr>
              <w:t>d</w:t>
            </w:r>
            <w:r w:rsidR="00F846E3" w:rsidRPr="00D943A9">
              <w:rPr>
                <w:rFonts w:ascii="Arial Narrow" w:hAnsi="Arial Narrow" w:cs="Calibri"/>
                <w:sz w:val="22"/>
              </w:rPr>
              <w:t>.</w:t>
            </w:r>
            <w:r w:rsidR="00F846E3">
              <w:rPr>
                <w:rFonts w:ascii="Arial Narrow" w:hAnsi="Arial Narrow" w:cs="Calibri"/>
                <w:sz w:val="22"/>
              </w:rPr>
              <w:t xml:space="preserve"> </w:t>
            </w:r>
            <w:r w:rsidR="00CA56ED">
              <w:rPr>
                <w:rFonts w:ascii="Arial Narrow" w:hAnsi="Arial Narrow" w:cs="Calibri"/>
                <w:sz w:val="22"/>
              </w:rPr>
              <w:t>R</w:t>
            </w:r>
            <w:r w:rsidR="00CA56ED" w:rsidRPr="00CA56ED">
              <w:rPr>
                <w:rFonts w:ascii="Arial Narrow" w:hAnsi="Arial Narrow" w:cs="Calibri"/>
                <w:sz w:val="22"/>
              </w:rPr>
              <w:t>eview of the system of the daily subsistence allowance</w:t>
            </w:r>
            <w:r w:rsidR="00086FBA">
              <w:rPr>
                <w:rFonts w:ascii="Arial Narrow" w:hAnsi="Arial Narrow" w:cs="Calibri"/>
                <w:sz w:val="22"/>
              </w:rPr>
              <w:t xml:space="preserve"> –</w:t>
            </w:r>
          </w:p>
          <w:p w14:paraId="059A30E7" w14:textId="68A7E5E7" w:rsidR="00416EA2" w:rsidRDefault="00086FBA" w:rsidP="00E54322">
            <w:pPr>
              <w:rPr>
                <w:rFonts w:ascii="Arial Narrow" w:hAnsi="Arial Narrow" w:cs="Calibri"/>
                <w:sz w:val="22"/>
              </w:rPr>
            </w:pPr>
            <w:r w:rsidRPr="00086FBA">
              <w:rPr>
                <w:rFonts w:ascii="Arial Narrow" w:hAnsi="Arial Narrow" w:cs="Calibri"/>
                <w:sz w:val="22"/>
              </w:rPr>
              <w:t>268</w:t>
            </w:r>
            <w:r w:rsidRPr="00086FBA">
              <w:rPr>
                <w:rFonts w:ascii="Arial Narrow" w:hAnsi="Arial Narrow" w:cs="Calibri"/>
                <w:sz w:val="22"/>
                <w:vertAlign w:val="superscript"/>
              </w:rPr>
              <w:t>th</w:t>
            </w:r>
            <w:r>
              <w:rPr>
                <w:rFonts w:ascii="Arial Narrow" w:hAnsi="Arial Narrow" w:cs="Calibri"/>
                <w:sz w:val="22"/>
              </w:rPr>
              <w:t> r</w:t>
            </w:r>
            <w:r w:rsidRPr="00086FBA">
              <w:rPr>
                <w:rFonts w:ascii="Arial Narrow" w:hAnsi="Arial Narrow" w:cs="Calibri"/>
                <w:sz w:val="22"/>
              </w:rPr>
              <w:t>eport</w:t>
            </w:r>
          </w:p>
          <w:p w14:paraId="0C2BBA38" w14:textId="77777777" w:rsidR="00086FBA" w:rsidRDefault="00086FBA" w:rsidP="00E54322">
            <w:pPr>
              <w:rPr>
                <w:rFonts w:ascii="Arial Narrow" w:hAnsi="Arial Narrow" w:cs="Calibri"/>
                <w:sz w:val="22"/>
              </w:rPr>
            </w:pPr>
          </w:p>
          <w:p w14:paraId="39E55950" w14:textId="56D1399E" w:rsidR="00E457C3" w:rsidRPr="000A307B" w:rsidRDefault="000A307B" w:rsidP="00FE16E3">
            <w:pPr>
              <w:rPr>
                <w:rFonts w:ascii="Arial Narrow" w:hAnsi="Arial Narrow" w:cs="Calibri"/>
                <w:b/>
                <w:szCs w:val="20"/>
              </w:rPr>
            </w:pPr>
            <w:r w:rsidRPr="000A307B">
              <w:rPr>
                <w:rFonts w:ascii="Arial Narrow" w:hAnsi="Arial Narrow" w:cs="Calibri"/>
                <w:b/>
                <w:szCs w:val="20"/>
              </w:rPr>
              <w:t>Item to be considered by the GR-</w:t>
            </w:r>
            <w:r w:rsidR="00416EA2">
              <w:rPr>
                <w:rFonts w:ascii="Arial Narrow" w:hAnsi="Arial Narrow" w:cs="Calibri"/>
                <w:b/>
                <w:szCs w:val="20"/>
              </w:rPr>
              <w:t>PBA</w:t>
            </w:r>
            <w:r w:rsidRPr="000A307B">
              <w:rPr>
                <w:rFonts w:ascii="Arial Narrow" w:hAnsi="Arial Narrow" w:cs="Calibri"/>
                <w:b/>
                <w:szCs w:val="20"/>
              </w:rPr>
              <w:t xml:space="preserve"> at its meeting on </w:t>
            </w:r>
            <w:r w:rsidR="00CA56ED">
              <w:rPr>
                <w:rFonts w:ascii="Arial Narrow" w:hAnsi="Arial Narrow" w:cs="Calibri"/>
                <w:b/>
                <w:szCs w:val="20"/>
              </w:rPr>
              <w:t>24 November</w:t>
            </w:r>
            <w:r w:rsidRPr="000A307B">
              <w:rPr>
                <w:rFonts w:ascii="Arial Narrow" w:hAnsi="Arial Narrow" w:cs="Calibri"/>
                <w:b/>
                <w:szCs w:val="20"/>
              </w:rPr>
              <w:t xml:space="preserve"> </w:t>
            </w:r>
            <w:r w:rsidR="006E6FA7">
              <w:rPr>
                <w:rFonts w:ascii="Arial Narrow" w:hAnsi="Arial Narrow" w:cs="Calibri"/>
                <w:b/>
                <w:szCs w:val="20"/>
              </w:rPr>
              <w:t>2020</w:t>
            </w:r>
          </w:p>
        </w:tc>
      </w:tr>
    </w:tbl>
    <w:p w14:paraId="512E752F" w14:textId="77777777" w:rsidR="00E54322" w:rsidRDefault="00E54322" w:rsidP="00F846E3">
      <w:pPr>
        <w:rPr>
          <w:rFonts w:eastAsia="Times New Roman"/>
          <w:szCs w:val="24"/>
        </w:rPr>
      </w:pPr>
      <w:r>
        <w:rPr>
          <w:rFonts w:eastAsia="Times New Roman"/>
          <w:szCs w:val="24"/>
        </w:rPr>
        <w:t xml:space="preserve"> </w:t>
      </w:r>
    </w:p>
    <w:p w14:paraId="589712CF" w14:textId="77777777" w:rsidR="00416EA2" w:rsidRPr="00416EA2" w:rsidRDefault="00416EA2" w:rsidP="00F846E3">
      <w:pPr>
        <w:jc w:val="center"/>
        <w:rPr>
          <w:rFonts w:cs="Arial"/>
          <w:color w:val="000000" w:themeColor="text1"/>
          <w:szCs w:val="20"/>
        </w:rPr>
      </w:pPr>
    </w:p>
    <w:p w14:paraId="3654F945" w14:textId="77777777" w:rsidR="00F846E3" w:rsidRDefault="00F846E3">
      <w:pPr>
        <w:rPr>
          <w:rFonts w:cs="Arial"/>
          <w:b/>
          <w:color w:val="000000" w:themeColor="text1"/>
          <w:szCs w:val="20"/>
        </w:rPr>
      </w:pPr>
      <w:r>
        <w:rPr>
          <w:rFonts w:cs="Arial"/>
          <w:b/>
          <w:color w:val="000000" w:themeColor="text1"/>
          <w:szCs w:val="20"/>
        </w:rPr>
        <w:br w:type="page"/>
      </w:r>
    </w:p>
    <w:p w14:paraId="66F1F67F" w14:textId="467CA1B8" w:rsidR="00CA56ED" w:rsidRPr="00CA56ED" w:rsidRDefault="00CA56ED" w:rsidP="00F846E3">
      <w:pPr>
        <w:jc w:val="center"/>
        <w:rPr>
          <w:rFonts w:cs="Arial"/>
          <w:b/>
          <w:color w:val="000000" w:themeColor="text1"/>
          <w:szCs w:val="20"/>
        </w:rPr>
      </w:pPr>
      <w:r w:rsidRPr="00CA56ED">
        <w:rPr>
          <w:rFonts w:cs="Arial"/>
          <w:b/>
          <w:color w:val="000000" w:themeColor="text1"/>
          <w:szCs w:val="20"/>
        </w:rPr>
        <w:lastRenderedPageBreak/>
        <w:t>REVIEW OF THE SYSTEM OF THE DAILY SUBSISTENCE ALLOWANCE</w:t>
      </w:r>
    </w:p>
    <w:p w14:paraId="6F2E7320" w14:textId="0F7CF6C5" w:rsidR="0040027C" w:rsidRPr="00CA56ED" w:rsidRDefault="0040027C" w:rsidP="00F846E3">
      <w:pPr>
        <w:tabs>
          <w:tab w:val="left" w:pos="1985"/>
          <w:tab w:val="left" w:pos="2127"/>
          <w:tab w:val="left" w:pos="4820"/>
        </w:tabs>
        <w:ind w:left="4820" w:hanging="4820"/>
        <w:jc w:val="center"/>
        <w:rPr>
          <w:rFonts w:cs="Arial"/>
          <w:b/>
          <w:color w:val="000000" w:themeColor="text1"/>
          <w:szCs w:val="20"/>
        </w:rPr>
      </w:pPr>
    </w:p>
    <w:p w14:paraId="48139F5C" w14:textId="744B9E77" w:rsidR="00CA56ED" w:rsidRPr="00CA56ED" w:rsidRDefault="00CA56ED" w:rsidP="00F846E3">
      <w:pPr>
        <w:tabs>
          <w:tab w:val="left" w:pos="1985"/>
          <w:tab w:val="left" w:pos="2127"/>
          <w:tab w:val="left" w:pos="4820"/>
        </w:tabs>
        <w:ind w:left="4820" w:hanging="4820"/>
        <w:jc w:val="center"/>
        <w:rPr>
          <w:rFonts w:eastAsia="Times New Roman" w:cs="Arial"/>
          <w:szCs w:val="20"/>
        </w:rPr>
      </w:pPr>
      <w:r w:rsidRPr="00CA56ED">
        <w:rPr>
          <w:rFonts w:eastAsia="Times New Roman" w:cs="Arial"/>
          <w:szCs w:val="20"/>
        </w:rPr>
        <w:t>268</w:t>
      </w:r>
      <w:r w:rsidRPr="00086FBA">
        <w:rPr>
          <w:rFonts w:eastAsia="Times New Roman" w:cs="Arial"/>
          <w:szCs w:val="20"/>
          <w:vertAlign w:val="superscript"/>
        </w:rPr>
        <w:t>th</w:t>
      </w:r>
      <w:r w:rsidR="00086FBA">
        <w:rPr>
          <w:rFonts w:eastAsia="Times New Roman" w:cs="Arial"/>
          <w:szCs w:val="20"/>
        </w:rPr>
        <w:t> r</w:t>
      </w:r>
      <w:r w:rsidRPr="00CA56ED">
        <w:rPr>
          <w:rFonts w:eastAsia="Times New Roman" w:cs="Arial"/>
          <w:szCs w:val="20"/>
        </w:rPr>
        <w:t>eport</w:t>
      </w:r>
    </w:p>
    <w:p w14:paraId="2B938E6D" w14:textId="56CBB15B" w:rsidR="00CA56ED" w:rsidRPr="00CA56ED" w:rsidRDefault="00CA56ED" w:rsidP="00F846E3">
      <w:pPr>
        <w:tabs>
          <w:tab w:val="left" w:pos="1985"/>
          <w:tab w:val="left" w:pos="2127"/>
          <w:tab w:val="left" w:pos="4820"/>
        </w:tabs>
        <w:ind w:left="4820" w:hanging="4820"/>
        <w:rPr>
          <w:rFonts w:eastAsia="Times New Roman" w:cs="Arial"/>
          <w:szCs w:val="20"/>
        </w:rPr>
      </w:pPr>
    </w:p>
    <w:p w14:paraId="1B6DC5C8" w14:textId="1348D499" w:rsidR="00CA56ED" w:rsidRDefault="00CA56ED" w:rsidP="00F846E3">
      <w:pPr>
        <w:pStyle w:val="ListParagraph"/>
        <w:numPr>
          <w:ilvl w:val="0"/>
          <w:numId w:val="3"/>
        </w:numPr>
        <w:suppressAutoHyphens/>
        <w:ind w:left="0" w:firstLine="0"/>
        <w:contextualSpacing w:val="0"/>
        <w:rPr>
          <w:rFonts w:ascii="Arial" w:hAnsi="Arial" w:cs="Arial"/>
          <w:b/>
          <w:sz w:val="20"/>
          <w:szCs w:val="20"/>
          <w:lang w:val="fr-FR"/>
        </w:rPr>
      </w:pPr>
      <w:r w:rsidRPr="00CA56ED">
        <w:rPr>
          <w:rFonts w:ascii="Arial" w:hAnsi="Arial" w:cs="Arial"/>
          <w:b/>
          <w:sz w:val="20"/>
          <w:szCs w:val="20"/>
          <w:lang w:val="fr-FR"/>
        </w:rPr>
        <w:t>Introduction</w:t>
      </w:r>
    </w:p>
    <w:p w14:paraId="6C10A581" w14:textId="77777777" w:rsidR="00086FBA" w:rsidRPr="00CA56ED" w:rsidRDefault="00086FBA" w:rsidP="00F846E3">
      <w:pPr>
        <w:pStyle w:val="ListParagraph"/>
        <w:tabs>
          <w:tab w:val="left" w:pos="851"/>
        </w:tabs>
        <w:suppressAutoHyphens/>
        <w:ind w:left="0" w:firstLine="0"/>
        <w:contextualSpacing w:val="0"/>
        <w:rPr>
          <w:rFonts w:ascii="Arial" w:hAnsi="Arial" w:cs="Arial"/>
          <w:b/>
          <w:sz w:val="20"/>
          <w:szCs w:val="20"/>
          <w:lang w:val="fr-FR"/>
        </w:rPr>
      </w:pPr>
    </w:p>
    <w:p w14:paraId="5D495B67" w14:textId="16523B2F" w:rsidR="00CA56ED" w:rsidRPr="00086FBA" w:rsidRDefault="00CA56ED" w:rsidP="00F846E3">
      <w:pPr>
        <w:pStyle w:val="ListParagraph"/>
        <w:numPr>
          <w:ilvl w:val="0"/>
          <w:numId w:val="6"/>
        </w:numPr>
        <w:tabs>
          <w:tab w:val="clear" w:pos="786"/>
          <w:tab w:val="num" w:pos="0"/>
        </w:tabs>
        <w:ind w:left="0" w:firstLine="0"/>
        <w:contextualSpacing w:val="0"/>
        <w:rPr>
          <w:rFonts w:ascii="Arial" w:hAnsi="Arial" w:cs="Arial"/>
          <w:spacing w:val="-2"/>
          <w:sz w:val="20"/>
          <w:szCs w:val="20"/>
        </w:rPr>
      </w:pPr>
      <w:r w:rsidRPr="00CA56ED">
        <w:rPr>
          <w:rFonts w:ascii="Arial" w:hAnsi="Arial" w:cs="Arial"/>
          <w:noProof/>
          <w:spacing w:val="-2"/>
          <w:sz w:val="20"/>
          <w:szCs w:val="20"/>
        </w:rPr>
        <w:t>The</w:t>
      </w:r>
      <w:r w:rsidRPr="00CA56ED">
        <w:rPr>
          <w:rFonts w:ascii="Arial" w:hAnsi="Arial" w:cs="Arial"/>
          <w:sz w:val="20"/>
          <w:szCs w:val="20"/>
        </w:rPr>
        <w:t xml:space="preserve"> </w:t>
      </w:r>
      <w:r w:rsidRPr="00CA56ED">
        <w:rPr>
          <w:rFonts w:ascii="Arial" w:hAnsi="Arial" w:cs="Arial"/>
          <w:sz w:val="20"/>
          <w:szCs w:val="20"/>
          <w:lang w:val="en-US"/>
        </w:rPr>
        <w:t>rules</w:t>
      </w:r>
      <w:r w:rsidRPr="00CA56ED">
        <w:rPr>
          <w:rFonts w:ascii="Arial" w:hAnsi="Arial" w:cs="Arial"/>
          <w:sz w:val="20"/>
          <w:szCs w:val="20"/>
        </w:rPr>
        <w:t xml:space="preserve"> governing the Daily Subsistence Allowance (DSA) were set out in the CCR 228</w:t>
      </w:r>
      <w:r w:rsidRPr="00CA56ED">
        <w:rPr>
          <w:rFonts w:ascii="Arial" w:hAnsi="Arial" w:cs="Arial"/>
          <w:sz w:val="20"/>
          <w:szCs w:val="20"/>
          <w:vertAlign w:val="superscript"/>
        </w:rPr>
        <w:t>th</w:t>
      </w:r>
      <w:r w:rsidRPr="00CA56ED">
        <w:rPr>
          <w:rFonts w:ascii="Arial" w:hAnsi="Arial" w:cs="Arial"/>
          <w:sz w:val="20"/>
          <w:szCs w:val="20"/>
        </w:rPr>
        <w:t xml:space="preserve"> Report (CCR/</w:t>
      </w:r>
      <w:proofErr w:type="gramStart"/>
      <w:r w:rsidRPr="00CA56ED">
        <w:rPr>
          <w:rFonts w:ascii="Arial" w:hAnsi="Arial" w:cs="Arial"/>
          <w:sz w:val="20"/>
          <w:szCs w:val="20"/>
        </w:rPr>
        <w:t>R(</w:t>
      </w:r>
      <w:proofErr w:type="gramEnd"/>
      <w:r w:rsidRPr="00CA56ED">
        <w:rPr>
          <w:rFonts w:ascii="Arial" w:hAnsi="Arial" w:cs="Arial"/>
          <w:sz w:val="20"/>
          <w:szCs w:val="20"/>
        </w:rPr>
        <w:t>2014)3</w:t>
      </w:r>
      <w:r w:rsidR="00841E3D">
        <w:rPr>
          <w:rStyle w:val="FootnoteReference"/>
          <w:rFonts w:ascii="Arial" w:hAnsi="Arial" w:cs="Arial"/>
          <w:sz w:val="20"/>
          <w:szCs w:val="20"/>
        </w:rPr>
        <w:footnoteReference w:id="2"/>
      </w:r>
      <w:r w:rsidRPr="00CA56ED">
        <w:rPr>
          <w:rFonts w:ascii="Arial" w:hAnsi="Arial" w:cs="Arial"/>
          <w:sz w:val="20"/>
          <w:szCs w:val="20"/>
        </w:rPr>
        <w:t>) and replaced those set out in the 189</w:t>
      </w:r>
      <w:r w:rsidRPr="00CA56ED">
        <w:rPr>
          <w:rFonts w:ascii="Arial" w:hAnsi="Arial" w:cs="Arial"/>
          <w:sz w:val="20"/>
          <w:szCs w:val="20"/>
          <w:vertAlign w:val="superscript"/>
        </w:rPr>
        <w:t>th</w:t>
      </w:r>
      <w:r w:rsidRPr="00CA56ED">
        <w:rPr>
          <w:rFonts w:ascii="Arial" w:hAnsi="Arial" w:cs="Arial"/>
          <w:sz w:val="20"/>
          <w:szCs w:val="20"/>
        </w:rPr>
        <w:t xml:space="preserve"> Report (CCR/R(2008)5</w:t>
      </w:r>
      <w:r w:rsidR="00841E3D">
        <w:rPr>
          <w:rStyle w:val="FootnoteReference"/>
          <w:rFonts w:ascii="Arial" w:hAnsi="Arial" w:cs="Arial"/>
          <w:sz w:val="20"/>
          <w:szCs w:val="20"/>
        </w:rPr>
        <w:footnoteReference w:id="3"/>
      </w:r>
      <w:r w:rsidRPr="00CA56ED">
        <w:rPr>
          <w:rFonts w:ascii="Arial" w:hAnsi="Arial" w:cs="Arial"/>
          <w:sz w:val="20"/>
          <w:szCs w:val="20"/>
        </w:rPr>
        <w:t>). These rules entered into force at 1 January 2015 for a period of six years, i.e. until 31 December 2020</w:t>
      </w:r>
      <w:r w:rsidRPr="00CA56ED">
        <w:rPr>
          <w:rFonts w:ascii="Arial" w:hAnsi="Arial" w:cs="Arial"/>
          <w:spacing w:val="-2"/>
          <w:sz w:val="20"/>
          <w:szCs w:val="20"/>
        </w:rPr>
        <w:t>. They were complemented with an addendum (</w:t>
      </w:r>
      <w:r w:rsidRPr="00CA56ED">
        <w:rPr>
          <w:rFonts w:ascii="Arial" w:hAnsi="Arial" w:cs="Arial"/>
          <w:sz w:val="20"/>
          <w:szCs w:val="20"/>
        </w:rPr>
        <w:t>CCR/R(2014)3/ADD1</w:t>
      </w:r>
      <w:r w:rsidR="004E655F">
        <w:rPr>
          <w:rStyle w:val="FootnoteReference"/>
          <w:rFonts w:ascii="Arial" w:hAnsi="Arial" w:cs="Arial"/>
          <w:sz w:val="20"/>
          <w:szCs w:val="20"/>
        </w:rPr>
        <w:footnoteReference w:id="4"/>
      </w:r>
      <w:r w:rsidRPr="00CA56ED">
        <w:rPr>
          <w:rFonts w:ascii="Arial" w:hAnsi="Arial" w:cs="Arial"/>
          <w:sz w:val="20"/>
          <w:szCs w:val="20"/>
        </w:rPr>
        <w:t>) in order to set out some methodological details.</w:t>
      </w:r>
    </w:p>
    <w:p w14:paraId="7F99B3FE" w14:textId="77777777" w:rsidR="00086FBA" w:rsidRPr="00CA56ED" w:rsidRDefault="00086FBA" w:rsidP="00F846E3">
      <w:pPr>
        <w:pStyle w:val="ListParagraph"/>
        <w:ind w:left="0" w:firstLine="0"/>
        <w:contextualSpacing w:val="0"/>
        <w:rPr>
          <w:rFonts w:ascii="Arial" w:hAnsi="Arial" w:cs="Arial"/>
          <w:spacing w:val="-2"/>
          <w:sz w:val="20"/>
          <w:szCs w:val="20"/>
        </w:rPr>
      </w:pPr>
    </w:p>
    <w:p w14:paraId="62445EC6" w14:textId="469B0E1C" w:rsidR="00CA56ED" w:rsidRPr="00086FBA" w:rsidRDefault="00CA56ED" w:rsidP="00F846E3">
      <w:pPr>
        <w:pStyle w:val="ListParagraph"/>
        <w:numPr>
          <w:ilvl w:val="0"/>
          <w:numId w:val="6"/>
        </w:numPr>
        <w:tabs>
          <w:tab w:val="clear" w:pos="786"/>
          <w:tab w:val="num" w:pos="0"/>
        </w:tabs>
        <w:ind w:left="0" w:firstLine="0"/>
        <w:contextualSpacing w:val="0"/>
        <w:rPr>
          <w:rFonts w:ascii="Arial" w:hAnsi="Arial" w:cs="Arial"/>
          <w:spacing w:val="-2"/>
          <w:sz w:val="20"/>
          <w:szCs w:val="20"/>
        </w:rPr>
      </w:pPr>
      <w:r w:rsidRPr="00CA56ED">
        <w:rPr>
          <w:rFonts w:ascii="Arial" w:hAnsi="Arial" w:cs="Arial"/>
          <w:noProof/>
          <w:spacing w:val="-2"/>
          <w:sz w:val="20"/>
          <w:szCs w:val="20"/>
        </w:rPr>
        <w:t>As a result, the 2020 Programme of Work of the Co-ordination system foresees a review of the method</w:t>
      </w:r>
      <w:r w:rsidRPr="00CA56ED">
        <w:rPr>
          <w:rFonts w:ascii="Arial" w:hAnsi="Arial" w:cs="Arial"/>
          <w:sz w:val="20"/>
          <w:szCs w:val="20"/>
        </w:rPr>
        <w:t xml:space="preserve"> for the daily subsistence allowance starting in February and a final CCR Report in September 2020 for a method to govern the DSA as from January 2021.</w:t>
      </w:r>
    </w:p>
    <w:p w14:paraId="4579254F" w14:textId="77777777" w:rsidR="00086FBA" w:rsidRPr="00CA56ED" w:rsidRDefault="00086FBA" w:rsidP="00F846E3">
      <w:pPr>
        <w:pStyle w:val="ListParagraph"/>
        <w:ind w:left="0" w:firstLine="0"/>
        <w:contextualSpacing w:val="0"/>
        <w:rPr>
          <w:rFonts w:ascii="Arial" w:hAnsi="Arial" w:cs="Arial"/>
          <w:spacing w:val="-2"/>
          <w:sz w:val="20"/>
          <w:szCs w:val="20"/>
        </w:rPr>
      </w:pPr>
    </w:p>
    <w:p w14:paraId="73F4C265" w14:textId="3AE7F8B1" w:rsidR="00CA56ED" w:rsidRDefault="00CA56ED" w:rsidP="00F846E3">
      <w:pPr>
        <w:pStyle w:val="ListParagraph"/>
        <w:numPr>
          <w:ilvl w:val="0"/>
          <w:numId w:val="3"/>
        </w:numPr>
        <w:tabs>
          <w:tab w:val="left" w:pos="0"/>
        </w:tabs>
        <w:suppressAutoHyphens/>
        <w:ind w:left="0" w:firstLine="0"/>
        <w:contextualSpacing w:val="0"/>
        <w:rPr>
          <w:rFonts w:ascii="Arial" w:hAnsi="Arial" w:cs="Arial"/>
          <w:b/>
          <w:spacing w:val="-2"/>
          <w:sz w:val="20"/>
          <w:szCs w:val="20"/>
        </w:rPr>
      </w:pPr>
      <w:r w:rsidRPr="00CA56ED">
        <w:rPr>
          <w:rFonts w:ascii="Arial" w:hAnsi="Arial" w:cs="Arial"/>
          <w:b/>
          <w:spacing w:val="-2"/>
          <w:sz w:val="20"/>
          <w:szCs w:val="20"/>
        </w:rPr>
        <w:t>Main features of the current method</w:t>
      </w:r>
    </w:p>
    <w:p w14:paraId="703C6867" w14:textId="77777777" w:rsidR="00F846E3" w:rsidRPr="00CA56ED" w:rsidRDefault="00F846E3" w:rsidP="00F846E3">
      <w:pPr>
        <w:pStyle w:val="ListParagraph"/>
        <w:tabs>
          <w:tab w:val="left" w:pos="851"/>
        </w:tabs>
        <w:suppressAutoHyphens/>
        <w:ind w:left="0" w:firstLine="0"/>
        <w:contextualSpacing w:val="0"/>
        <w:rPr>
          <w:rFonts w:ascii="Arial" w:hAnsi="Arial" w:cs="Arial"/>
          <w:b/>
          <w:spacing w:val="-2"/>
          <w:sz w:val="20"/>
          <w:szCs w:val="20"/>
        </w:rPr>
      </w:pPr>
    </w:p>
    <w:p w14:paraId="0FD28F2F" w14:textId="587E29E8" w:rsidR="00CA56ED" w:rsidRPr="00F846E3" w:rsidRDefault="00CA56ED" w:rsidP="00F846E3">
      <w:pPr>
        <w:pStyle w:val="ListParagraph"/>
        <w:numPr>
          <w:ilvl w:val="0"/>
          <w:numId w:val="7"/>
        </w:numPr>
        <w:tabs>
          <w:tab w:val="clear" w:pos="720"/>
        </w:tabs>
        <w:ind w:left="0" w:firstLine="0"/>
        <w:contextualSpacing w:val="0"/>
        <w:rPr>
          <w:rFonts w:ascii="Arial" w:hAnsi="Arial" w:cs="Arial"/>
          <w:spacing w:val="-2"/>
          <w:sz w:val="20"/>
          <w:szCs w:val="20"/>
        </w:rPr>
      </w:pPr>
      <w:r w:rsidRPr="00CA56ED">
        <w:rPr>
          <w:rFonts w:ascii="Arial" w:hAnsi="Arial" w:cs="Arial"/>
          <w:sz w:val="20"/>
          <w:szCs w:val="20"/>
        </w:rPr>
        <w:t>The</w:t>
      </w:r>
      <w:r w:rsidRPr="00CA56ED">
        <w:rPr>
          <w:rFonts w:ascii="Arial" w:hAnsi="Arial" w:cs="Arial"/>
          <w:spacing w:val="-2"/>
          <w:sz w:val="20"/>
          <w:szCs w:val="20"/>
        </w:rPr>
        <w:t xml:space="preserve"> </w:t>
      </w:r>
      <w:r w:rsidRPr="00CA56ED">
        <w:rPr>
          <w:rFonts w:ascii="Arial" w:hAnsi="Arial" w:cs="Arial"/>
          <w:sz w:val="20"/>
          <w:szCs w:val="20"/>
          <w:lang w:val="en-US"/>
        </w:rPr>
        <w:t>first</w:t>
      </w:r>
      <w:r w:rsidRPr="00CA56ED">
        <w:rPr>
          <w:rFonts w:ascii="Arial" w:hAnsi="Arial" w:cs="Arial"/>
          <w:spacing w:val="-2"/>
          <w:sz w:val="20"/>
          <w:szCs w:val="20"/>
        </w:rPr>
        <w:t xml:space="preserve"> noticeable feature is about the calculation of </w:t>
      </w:r>
      <w:r w:rsidRPr="00CA56ED">
        <w:rPr>
          <w:rFonts w:ascii="Arial" w:hAnsi="Arial" w:cs="Arial"/>
          <w:sz w:val="20"/>
          <w:szCs w:val="20"/>
        </w:rPr>
        <w:t>the initial level of the rates of the DSA, which were defined by reference to the average of the relevant rates in force at 1 March 2014 in the National Civil Services (NCS) of the reference countries. In case when none of the eight NCS had a daily subsistence rate for a given country, the United Nations DSA rates for the month of June would be used. That was a change compared to the previous system, where the values resulted from a comparison of the United Nations system, data from the private consultant Mercer and from the online hotel reservation portal HRS.</w:t>
      </w:r>
    </w:p>
    <w:p w14:paraId="7B1A9819" w14:textId="77777777" w:rsidR="00F846E3" w:rsidRPr="00CA56ED" w:rsidRDefault="00F846E3" w:rsidP="00F846E3">
      <w:pPr>
        <w:pStyle w:val="ListParagraph"/>
        <w:ind w:left="0" w:firstLine="0"/>
        <w:contextualSpacing w:val="0"/>
        <w:rPr>
          <w:rFonts w:ascii="Arial" w:hAnsi="Arial" w:cs="Arial"/>
          <w:spacing w:val="-2"/>
          <w:sz w:val="20"/>
          <w:szCs w:val="20"/>
        </w:rPr>
      </w:pPr>
    </w:p>
    <w:p w14:paraId="1BCBC688" w14:textId="4649E9B9" w:rsidR="00CA56ED" w:rsidRPr="00F846E3" w:rsidRDefault="00CA56ED" w:rsidP="00F846E3">
      <w:pPr>
        <w:pStyle w:val="ListParagraph"/>
        <w:numPr>
          <w:ilvl w:val="0"/>
          <w:numId w:val="7"/>
        </w:numPr>
        <w:tabs>
          <w:tab w:val="clear" w:pos="720"/>
          <w:tab w:val="num" w:pos="0"/>
        </w:tabs>
        <w:ind w:left="0" w:firstLine="0"/>
        <w:contextualSpacing w:val="0"/>
        <w:rPr>
          <w:rFonts w:ascii="Arial" w:hAnsi="Arial" w:cs="Arial"/>
          <w:spacing w:val="-2"/>
          <w:sz w:val="20"/>
          <w:szCs w:val="20"/>
        </w:rPr>
      </w:pPr>
      <w:r w:rsidRPr="00CA56ED">
        <w:rPr>
          <w:rFonts w:ascii="Arial" w:hAnsi="Arial" w:cs="Arial"/>
          <w:sz w:val="20"/>
          <w:szCs w:val="20"/>
        </w:rPr>
        <w:t xml:space="preserve">The </w:t>
      </w:r>
      <w:r w:rsidRPr="00CA56ED">
        <w:rPr>
          <w:rFonts w:ascii="Arial" w:hAnsi="Arial" w:cs="Arial"/>
          <w:sz w:val="20"/>
          <w:szCs w:val="20"/>
          <w:lang w:val="en-US"/>
        </w:rPr>
        <w:t>initial</w:t>
      </w:r>
      <w:r w:rsidRPr="00CA56ED">
        <w:rPr>
          <w:rFonts w:ascii="Arial" w:hAnsi="Arial" w:cs="Arial"/>
          <w:sz w:val="20"/>
          <w:szCs w:val="20"/>
        </w:rPr>
        <w:t xml:space="preserve"> levels entered into force on 1 January 2015 and were adjusted every three years, in contrast to the yearly update under the previous framework. As a result, there was an update in DSA rates effective on 1 January 2018.</w:t>
      </w:r>
    </w:p>
    <w:p w14:paraId="1C9834C0" w14:textId="77777777" w:rsidR="00F846E3" w:rsidRPr="00CA56ED" w:rsidRDefault="00F846E3" w:rsidP="00F846E3">
      <w:pPr>
        <w:pStyle w:val="ListParagraph"/>
        <w:ind w:left="0" w:firstLine="0"/>
        <w:contextualSpacing w:val="0"/>
        <w:rPr>
          <w:rFonts w:ascii="Arial" w:hAnsi="Arial" w:cs="Arial"/>
          <w:spacing w:val="-2"/>
          <w:sz w:val="20"/>
          <w:szCs w:val="20"/>
        </w:rPr>
      </w:pPr>
    </w:p>
    <w:p w14:paraId="738C1BAE" w14:textId="3A793A12" w:rsidR="00CA56ED" w:rsidRPr="00F846E3" w:rsidRDefault="00CA56ED" w:rsidP="00F846E3">
      <w:pPr>
        <w:pStyle w:val="ListParagraph"/>
        <w:numPr>
          <w:ilvl w:val="0"/>
          <w:numId w:val="7"/>
        </w:numPr>
        <w:tabs>
          <w:tab w:val="clear" w:pos="720"/>
          <w:tab w:val="num" w:pos="567"/>
        </w:tabs>
        <w:ind w:left="0" w:firstLine="0"/>
        <w:contextualSpacing w:val="0"/>
        <w:rPr>
          <w:rFonts w:ascii="Arial" w:hAnsi="Arial" w:cs="Arial"/>
          <w:spacing w:val="-2"/>
          <w:sz w:val="20"/>
          <w:szCs w:val="20"/>
        </w:rPr>
      </w:pPr>
      <w:r w:rsidRPr="00CA56ED">
        <w:rPr>
          <w:rFonts w:ascii="Arial" w:hAnsi="Arial" w:cs="Arial"/>
          <w:sz w:val="20"/>
          <w:szCs w:val="20"/>
        </w:rPr>
        <w:t>A “</w:t>
      </w:r>
      <w:r w:rsidRPr="00CA56ED">
        <w:rPr>
          <w:rFonts w:ascii="Arial" w:hAnsi="Arial" w:cs="Arial"/>
          <w:sz w:val="20"/>
          <w:szCs w:val="20"/>
          <w:lang w:val="en-US"/>
        </w:rPr>
        <w:t>compromise</w:t>
      </w:r>
      <w:r w:rsidRPr="00CA56ED">
        <w:rPr>
          <w:rFonts w:ascii="Arial" w:hAnsi="Arial" w:cs="Arial"/>
          <w:sz w:val="20"/>
          <w:szCs w:val="20"/>
        </w:rPr>
        <w:t>” was found on the system of reimbursement for accommodation costs where the reimbursement is either made on the basis of real costs within a ceiling of 60% of the rate or on a flat</w:t>
      </w:r>
      <w:r w:rsidRPr="00CA56ED">
        <w:rPr>
          <w:rFonts w:ascii="Arial" w:hAnsi="Arial" w:cs="Arial"/>
          <w:sz w:val="20"/>
          <w:szCs w:val="20"/>
        </w:rPr>
        <w:noBreakHyphen/>
        <w:t>rate basis “</w:t>
      </w:r>
      <w:r w:rsidRPr="00CA56ED">
        <w:rPr>
          <w:rFonts w:ascii="Arial" w:hAnsi="Arial" w:cs="Arial"/>
          <w:i/>
          <w:sz w:val="20"/>
          <w:szCs w:val="20"/>
        </w:rPr>
        <w:t>if the cost is deemed to be less expensive than a real-costs reimbursement system</w:t>
      </w:r>
      <w:r w:rsidRPr="00CA56ED">
        <w:rPr>
          <w:rFonts w:ascii="Arial" w:hAnsi="Arial" w:cs="Arial"/>
          <w:sz w:val="20"/>
          <w:szCs w:val="20"/>
        </w:rPr>
        <w:t>”. In both cases, reimbursements are made upon submission of invoices.</w:t>
      </w:r>
    </w:p>
    <w:p w14:paraId="57B5A14D" w14:textId="77777777" w:rsidR="00F846E3" w:rsidRPr="00CA56ED" w:rsidRDefault="00F846E3" w:rsidP="00F846E3">
      <w:pPr>
        <w:pStyle w:val="ListParagraph"/>
        <w:ind w:left="0" w:firstLine="0"/>
        <w:contextualSpacing w:val="0"/>
        <w:rPr>
          <w:rFonts w:ascii="Arial" w:hAnsi="Arial" w:cs="Arial"/>
          <w:spacing w:val="-2"/>
          <w:sz w:val="20"/>
          <w:szCs w:val="20"/>
        </w:rPr>
      </w:pPr>
    </w:p>
    <w:p w14:paraId="610EDEF7" w14:textId="6DF9DBDD" w:rsidR="00CA56ED" w:rsidRDefault="00CA56ED" w:rsidP="0048480A">
      <w:pPr>
        <w:pStyle w:val="ListParagraph"/>
        <w:numPr>
          <w:ilvl w:val="0"/>
          <w:numId w:val="3"/>
        </w:numPr>
        <w:suppressAutoHyphens/>
        <w:ind w:left="0" w:firstLine="0"/>
        <w:contextualSpacing w:val="0"/>
        <w:rPr>
          <w:rFonts w:ascii="Arial" w:hAnsi="Arial" w:cs="Arial"/>
          <w:b/>
          <w:spacing w:val="-2"/>
          <w:sz w:val="20"/>
          <w:szCs w:val="20"/>
        </w:rPr>
      </w:pPr>
      <w:r w:rsidRPr="00CA56ED">
        <w:rPr>
          <w:rFonts w:ascii="Arial" w:hAnsi="Arial" w:cs="Arial"/>
          <w:b/>
          <w:spacing w:val="-2"/>
          <w:sz w:val="20"/>
          <w:szCs w:val="20"/>
        </w:rPr>
        <w:t>DSA values</w:t>
      </w:r>
    </w:p>
    <w:p w14:paraId="2574A5C6" w14:textId="77777777" w:rsidR="00F846E3" w:rsidRPr="00CA56ED" w:rsidRDefault="00F846E3" w:rsidP="0048480A">
      <w:pPr>
        <w:pStyle w:val="ListParagraph"/>
        <w:tabs>
          <w:tab w:val="left" w:pos="0"/>
        </w:tabs>
        <w:suppressAutoHyphens/>
        <w:ind w:left="0" w:firstLine="0"/>
        <w:contextualSpacing w:val="0"/>
        <w:rPr>
          <w:rFonts w:ascii="Arial" w:hAnsi="Arial" w:cs="Arial"/>
          <w:b/>
          <w:spacing w:val="-2"/>
          <w:sz w:val="20"/>
          <w:szCs w:val="20"/>
        </w:rPr>
      </w:pPr>
    </w:p>
    <w:p w14:paraId="128C9435" w14:textId="65747247" w:rsidR="00CA56ED" w:rsidRDefault="00CA56ED" w:rsidP="0048480A">
      <w:pPr>
        <w:pStyle w:val="ListParagraph"/>
        <w:numPr>
          <w:ilvl w:val="1"/>
          <w:numId w:val="8"/>
        </w:numPr>
        <w:tabs>
          <w:tab w:val="clear" w:pos="756"/>
          <w:tab w:val="left" w:pos="0"/>
        </w:tabs>
        <w:suppressAutoHyphens/>
        <w:ind w:left="0" w:firstLine="0"/>
        <w:contextualSpacing w:val="0"/>
        <w:rPr>
          <w:rFonts w:ascii="Arial" w:hAnsi="Arial" w:cs="Arial"/>
          <w:spacing w:val="-2"/>
          <w:sz w:val="20"/>
          <w:szCs w:val="20"/>
        </w:rPr>
      </w:pPr>
      <w:r w:rsidRPr="00CA56ED">
        <w:rPr>
          <w:rFonts w:ascii="Arial" w:hAnsi="Arial" w:cs="Arial"/>
          <w:spacing w:val="-2"/>
          <w:sz w:val="20"/>
          <w:szCs w:val="20"/>
        </w:rPr>
        <w:t xml:space="preserve">As a </w:t>
      </w:r>
      <w:r w:rsidRPr="00CA56ED">
        <w:rPr>
          <w:rFonts w:ascii="Arial" w:hAnsi="Arial" w:cs="Arial"/>
          <w:sz w:val="20"/>
          <w:szCs w:val="20"/>
          <w:lang w:val="en-US"/>
        </w:rPr>
        <w:t>result</w:t>
      </w:r>
      <w:r w:rsidRPr="00CA56ED">
        <w:rPr>
          <w:rFonts w:ascii="Arial" w:hAnsi="Arial" w:cs="Arial"/>
          <w:spacing w:val="-2"/>
          <w:sz w:val="20"/>
          <w:szCs w:val="20"/>
        </w:rPr>
        <w:t xml:space="preserve"> of using a different source for calculating the DSA values, some differences appeared in 2015 and again in 2018 in comparison with those in force in 2014. The CRSG nevertheless concluded that the Organisations could cope with these differences and managed them through exceptional reimbursements. In several cases, difficulties have been experienced to find accommodation that fulfil certain conditions within the ceilings; e.g. travel in high season to destinations, when pre-booked by organisers or relating to security when officials travel to high security risk areas, among other reasons.</w:t>
      </w:r>
    </w:p>
    <w:p w14:paraId="3F510228" w14:textId="77777777" w:rsidR="00F846E3" w:rsidRPr="00CA56ED" w:rsidRDefault="00F846E3" w:rsidP="00F846E3">
      <w:pPr>
        <w:pStyle w:val="ListParagraph"/>
        <w:tabs>
          <w:tab w:val="left" w:pos="567"/>
          <w:tab w:val="left" w:pos="1276"/>
        </w:tabs>
        <w:suppressAutoHyphens/>
        <w:ind w:left="0" w:firstLine="0"/>
        <w:contextualSpacing w:val="0"/>
        <w:rPr>
          <w:rFonts w:ascii="Arial" w:hAnsi="Arial" w:cs="Arial"/>
          <w:spacing w:val="-2"/>
          <w:sz w:val="20"/>
          <w:szCs w:val="20"/>
        </w:rPr>
      </w:pPr>
    </w:p>
    <w:p w14:paraId="361E6D00" w14:textId="21CC95BF" w:rsidR="00CA56ED" w:rsidRDefault="00CA56ED" w:rsidP="0048480A">
      <w:pPr>
        <w:pStyle w:val="ListParagraph"/>
        <w:numPr>
          <w:ilvl w:val="0"/>
          <w:numId w:val="3"/>
        </w:numPr>
        <w:suppressAutoHyphens/>
        <w:ind w:left="0" w:firstLine="0"/>
        <w:contextualSpacing w:val="0"/>
        <w:rPr>
          <w:rFonts w:ascii="Arial" w:hAnsi="Arial" w:cs="Arial"/>
          <w:b/>
          <w:spacing w:val="-2"/>
          <w:sz w:val="20"/>
          <w:szCs w:val="20"/>
        </w:rPr>
      </w:pPr>
      <w:r w:rsidRPr="00CA56ED">
        <w:rPr>
          <w:rFonts w:ascii="Arial" w:hAnsi="Arial" w:cs="Arial"/>
          <w:b/>
          <w:spacing w:val="-2"/>
          <w:sz w:val="20"/>
          <w:szCs w:val="20"/>
        </w:rPr>
        <w:t>Conclusions</w:t>
      </w:r>
    </w:p>
    <w:p w14:paraId="4099725D" w14:textId="77777777" w:rsidR="00F846E3" w:rsidRPr="00CA56ED" w:rsidRDefault="00F846E3" w:rsidP="0048480A">
      <w:pPr>
        <w:pStyle w:val="ListParagraph"/>
        <w:suppressAutoHyphens/>
        <w:ind w:left="0" w:firstLine="0"/>
        <w:contextualSpacing w:val="0"/>
        <w:rPr>
          <w:rFonts w:ascii="Arial" w:hAnsi="Arial" w:cs="Arial"/>
          <w:b/>
          <w:spacing w:val="-2"/>
          <w:sz w:val="20"/>
          <w:szCs w:val="20"/>
        </w:rPr>
      </w:pPr>
    </w:p>
    <w:p w14:paraId="4848783C" w14:textId="59C5398B" w:rsidR="00CA56ED" w:rsidRDefault="00CA56ED" w:rsidP="0048480A">
      <w:pPr>
        <w:pStyle w:val="ListParagraph"/>
        <w:numPr>
          <w:ilvl w:val="1"/>
          <w:numId w:val="9"/>
        </w:numPr>
        <w:suppressAutoHyphens/>
        <w:ind w:left="0" w:firstLine="0"/>
        <w:contextualSpacing w:val="0"/>
        <w:rPr>
          <w:rFonts w:ascii="Arial" w:hAnsi="Arial" w:cs="Arial"/>
          <w:b/>
          <w:sz w:val="20"/>
          <w:szCs w:val="20"/>
        </w:rPr>
      </w:pPr>
      <w:r w:rsidRPr="00CA56ED">
        <w:rPr>
          <w:rFonts w:ascii="Arial" w:hAnsi="Arial" w:cs="Arial"/>
          <w:b/>
          <w:sz w:val="20"/>
          <w:szCs w:val="20"/>
        </w:rPr>
        <w:t>CRSG position</w:t>
      </w:r>
    </w:p>
    <w:p w14:paraId="7E3D6894" w14:textId="77777777" w:rsidR="00F846E3" w:rsidRPr="00CA56ED" w:rsidRDefault="00F846E3" w:rsidP="0048480A">
      <w:pPr>
        <w:pStyle w:val="ListParagraph"/>
        <w:suppressAutoHyphens/>
        <w:ind w:left="0" w:firstLine="0"/>
        <w:contextualSpacing w:val="0"/>
        <w:rPr>
          <w:rFonts w:ascii="Arial" w:hAnsi="Arial" w:cs="Arial"/>
          <w:b/>
          <w:sz w:val="20"/>
          <w:szCs w:val="20"/>
        </w:rPr>
      </w:pPr>
    </w:p>
    <w:p w14:paraId="38C8FDBF" w14:textId="5924E5BD" w:rsidR="00F846E3" w:rsidRDefault="00CA56ED" w:rsidP="00F846E3">
      <w:pPr>
        <w:pStyle w:val="NormalWeb"/>
        <w:jc w:val="left"/>
        <w:rPr>
          <w:rFonts w:ascii="Arial" w:hAnsi="Arial" w:cs="Arial"/>
          <w:iCs/>
          <w:sz w:val="20"/>
          <w:szCs w:val="20"/>
        </w:rPr>
      </w:pPr>
      <w:r w:rsidRPr="00CA56ED">
        <w:rPr>
          <w:rFonts w:ascii="Arial" w:hAnsi="Arial" w:cs="Arial"/>
          <w:iCs/>
          <w:sz w:val="20"/>
          <w:szCs w:val="20"/>
        </w:rPr>
        <w:t>The CRSG notes that the current system is providing an effective tool for the Co-ordinated Organisations to manage the cost of staff travelling on duty. The difficulties resulting from a three-yearly periodical adjustment solely based on the reference to national civil services are managed through exceptional reimbursements, as foreseen in the 228</w:t>
      </w:r>
      <w:r w:rsidRPr="00CA56ED">
        <w:rPr>
          <w:rFonts w:ascii="Arial" w:hAnsi="Arial" w:cs="Arial"/>
          <w:iCs/>
          <w:sz w:val="20"/>
          <w:szCs w:val="20"/>
          <w:vertAlign w:val="superscript"/>
        </w:rPr>
        <w:t>th</w:t>
      </w:r>
      <w:r w:rsidRPr="00CA56ED">
        <w:rPr>
          <w:rFonts w:ascii="Arial" w:hAnsi="Arial" w:cs="Arial"/>
          <w:iCs/>
          <w:sz w:val="20"/>
          <w:szCs w:val="20"/>
        </w:rPr>
        <w:t xml:space="preserve"> Report. </w:t>
      </w:r>
    </w:p>
    <w:p w14:paraId="778E5F12" w14:textId="77777777" w:rsidR="00F846E3" w:rsidRPr="00F846E3" w:rsidRDefault="00F846E3" w:rsidP="00F846E3">
      <w:pPr>
        <w:pStyle w:val="NormalWeb"/>
        <w:jc w:val="left"/>
        <w:rPr>
          <w:rFonts w:ascii="Arial" w:hAnsi="Arial" w:cs="Arial"/>
          <w:iCs/>
          <w:sz w:val="20"/>
          <w:szCs w:val="20"/>
        </w:rPr>
      </w:pPr>
    </w:p>
    <w:p w14:paraId="78B63ACF" w14:textId="2BE22675" w:rsidR="00CA56ED" w:rsidRDefault="00CA56ED" w:rsidP="0048480A">
      <w:pPr>
        <w:pStyle w:val="ListParagraph"/>
        <w:numPr>
          <w:ilvl w:val="1"/>
          <w:numId w:val="9"/>
        </w:numPr>
        <w:tabs>
          <w:tab w:val="clear" w:pos="756"/>
          <w:tab w:val="num" w:pos="0"/>
        </w:tabs>
        <w:suppressAutoHyphens/>
        <w:ind w:left="0" w:firstLine="0"/>
        <w:contextualSpacing w:val="0"/>
        <w:rPr>
          <w:rFonts w:ascii="Arial" w:hAnsi="Arial" w:cs="Arial"/>
          <w:b/>
          <w:sz w:val="20"/>
          <w:szCs w:val="20"/>
        </w:rPr>
      </w:pPr>
      <w:r w:rsidRPr="00CA56ED">
        <w:rPr>
          <w:rFonts w:ascii="Arial" w:hAnsi="Arial" w:cs="Arial"/>
          <w:b/>
          <w:sz w:val="20"/>
          <w:szCs w:val="20"/>
        </w:rPr>
        <w:t>CRP position</w:t>
      </w:r>
    </w:p>
    <w:p w14:paraId="1DEA2628" w14:textId="77777777" w:rsidR="00F846E3" w:rsidRPr="00CA56ED" w:rsidRDefault="00F846E3" w:rsidP="00F846E3">
      <w:pPr>
        <w:pStyle w:val="ListParagraph"/>
        <w:tabs>
          <w:tab w:val="left" w:pos="851"/>
        </w:tabs>
        <w:suppressAutoHyphens/>
        <w:ind w:left="567" w:firstLine="0"/>
        <w:contextualSpacing w:val="0"/>
        <w:rPr>
          <w:rFonts w:ascii="Arial" w:hAnsi="Arial" w:cs="Arial"/>
          <w:b/>
          <w:sz w:val="20"/>
          <w:szCs w:val="20"/>
        </w:rPr>
      </w:pPr>
    </w:p>
    <w:p w14:paraId="01FB0067" w14:textId="3AC6833B" w:rsidR="00CA56ED" w:rsidRDefault="00CA56ED" w:rsidP="00F846E3">
      <w:pPr>
        <w:pStyle w:val="NormalWeb"/>
        <w:jc w:val="left"/>
        <w:rPr>
          <w:rFonts w:ascii="Arial" w:eastAsiaTheme="minorEastAsia" w:hAnsi="Arial" w:cs="Arial"/>
          <w:sz w:val="20"/>
          <w:szCs w:val="20"/>
        </w:rPr>
      </w:pPr>
      <w:r w:rsidRPr="00CA56ED">
        <w:rPr>
          <w:rFonts w:ascii="Arial" w:eastAsiaTheme="minorEastAsia" w:hAnsi="Arial" w:cs="Arial"/>
          <w:sz w:val="20"/>
          <w:szCs w:val="20"/>
        </w:rPr>
        <w:t>First of all, the CRP continues to strongly regret, as it did when the current method was put in place, that the “other international organisations” comparator and an independent comparator representing hotel/restaurant services, of the HRS/Mercer/</w:t>
      </w:r>
      <w:proofErr w:type="spellStart"/>
      <w:r w:rsidRPr="00CA56ED">
        <w:rPr>
          <w:rFonts w:ascii="Arial" w:eastAsiaTheme="minorEastAsia" w:hAnsi="Arial" w:cs="Arial"/>
          <w:sz w:val="20"/>
          <w:szCs w:val="20"/>
        </w:rPr>
        <w:t>HoReCa</w:t>
      </w:r>
      <w:proofErr w:type="spellEnd"/>
      <w:r w:rsidRPr="00CA56ED">
        <w:rPr>
          <w:rFonts w:ascii="Arial" w:eastAsiaTheme="minorEastAsia" w:hAnsi="Arial" w:cs="Arial"/>
          <w:sz w:val="20"/>
          <w:szCs w:val="20"/>
        </w:rPr>
        <w:t xml:space="preserve"> type, are no longer used in the method used to set daily subsistence allowances (DSAs).</w:t>
      </w:r>
    </w:p>
    <w:p w14:paraId="154B23CC" w14:textId="77777777" w:rsidR="00CA56ED" w:rsidRPr="00CA56ED" w:rsidRDefault="00CA56ED" w:rsidP="00F846E3">
      <w:pPr>
        <w:pStyle w:val="NormalWeb"/>
        <w:jc w:val="left"/>
        <w:rPr>
          <w:rFonts w:ascii="Arial" w:eastAsiaTheme="minorEastAsia" w:hAnsi="Arial" w:cs="Arial"/>
          <w:sz w:val="20"/>
          <w:szCs w:val="20"/>
        </w:rPr>
      </w:pPr>
    </w:p>
    <w:p w14:paraId="4A13CCD7" w14:textId="77777777" w:rsidR="00841E3D" w:rsidRDefault="00841E3D">
      <w:pPr>
        <w:rPr>
          <w:rFonts w:eastAsiaTheme="minorEastAsia" w:cs="Arial"/>
          <w:szCs w:val="20"/>
        </w:rPr>
      </w:pPr>
      <w:r>
        <w:rPr>
          <w:rFonts w:eastAsiaTheme="minorEastAsia" w:cs="Arial"/>
          <w:szCs w:val="20"/>
        </w:rPr>
        <w:br w:type="page"/>
      </w:r>
    </w:p>
    <w:p w14:paraId="7EA8FB4F" w14:textId="4171E966" w:rsidR="00CA56ED" w:rsidRPr="00CA56ED" w:rsidRDefault="00CA56ED" w:rsidP="00F846E3">
      <w:pPr>
        <w:pStyle w:val="NormalWeb"/>
        <w:jc w:val="left"/>
        <w:rPr>
          <w:rFonts w:ascii="Arial" w:eastAsiaTheme="minorEastAsia" w:hAnsi="Arial" w:cs="Arial"/>
          <w:sz w:val="20"/>
          <w:szCs w:val="20"/>
        </w:rPr>
      </w:pPr>
      <w:r w:rsidRPr="00CA56ED">
        <w:rPr>
          <w:rFonts w:ascii="Arial" w:eastAsiaTheme="minorEastAsia" w:hAnsi="Arial" w:cs="Arial"/>
          <w:sz w:val="20"/>
          <w:szCs w:val="20"/>
        </w:rPr>
        <w:lastRenderedPageBreak/>
        <w:t>The reference to national civil services only does not reflect the reality of international Organisations</w:t>
      </w:r>
      <w:r w:rsidR="002A0674">
        <w:rPr>
          <w:rFonts w:ascii="Arial" w:eastAsiaTheme="minorEastAsia" w:hAnsi="Arial" w:cs="Arial"/>
          <w:sz w:val="20"/>
          <w:szCs w:val="20"/>
        </w:rPr>
        <w:t>’</w:t>
      </w:r>
      <w:r w:rsidRPr="00CA56ED">
        <w:rPr>
          <w:rFonts w:ascii="Arial" w:eastAsiaTheme="minorEastAsia" w:hAnsi="Arial" w:cs="Arial"/>
          <w:sz w:val="20"/>
          <w:szCs w:val="20"/>
        </w:rPr>
        <w:t xml:space="preserve"> officials travelling for work, nor does it meet the specific requirements of international organisations.</w:t>
      </w:r>
    </w:p>
    <w:p w14:paraId="33BE115E" w14:textId="77777777" w:rsidR="00CA56ED" w:rsidRPr="00CA56ED" w:rsidRDefault="00CA56ED" w:rsidP="00F846E3">
      <w:pPr>
        <w:pStyle w:val="NormalWeb"/>
        <w:jc w:val="left"/>
        <w:rPr>
          <w:rFonts w:ascii="Arial" w:eastAsiaTheme="minorEastAsia" w:hAnsi="Arial" w:cs="Arial"/>
          <w:sz w:val="20"/>
          <w:szCs w:val="20"/>
        </w:rPr>
      </w:pPr>
    </w:p>
    <w:p w14:paraId="1DAD0CCE" w14:textId="54792205" w:rsidR="00CA56ED" w:rsidRPr="00CA56ED" w:rsidRDefault="00CA56ED" w:rsidP="00F846E3">
      <w:pPr>
        <w:pStyle w:val="NormalWeb"/>
        <w:jc w:val="left"/>
        <w:rPr>
          <w:rFonts w:ascii="Arial" w:eastAsiaTheme="minorEastAsia" w:hAnsi="Arial" w:cs="Arial"/>
          <w:sz w:val="20"/>
          <w:szCs w:val="20"/>
        </w:rPr>
      </w:pPr>
      <w:r w:rsidRPr="00CA56ED">
        <w:rPr>
          <w:rFonts w:ascii="Arial" w:eastAsiaTheme="minorEastAsia" w:hAnsi="Arial" w:cs="Arial"/>
          <w:sz w:val="20"/>
          <w:szCs w:val="20"/>
        </w:rPr>
        <w:t xml:space="preserve">The CRP also regrets that the CCR has opted to maintain a three-yearly periodical adjustment of the DSA. The CRP would have preferred a return to an annual adjustment, and still fails to understand the arguments used to justify a three-year approach. The frequency for the </w:t>
      </w:r>
      <w:proofErr w:type="gramStart"/>
      <w:r w:rsidRPr="00CA56ED">
        <w:rPr>
          <w:rFonts w:ascii="Arial" w:eastAsiaTheme="minorEastAsia" w:hAnsi="Arial" w:cs="Arial"/>
          <w:sz w:val="20"/>
          <w:szCs w:val="20"/>
        </w:rPr>
        <w:t>adjustment in particular, and</w:t>
      </w:r>
      <w:proofErr w:type="gramEnd"/>
      <w:r w:rsidRPr="00CA56ED">
        <w:rPr>
          <w:rFonts w:ascii="Arial" w:eastAsiaTheme="minorEastAsia" w:hAnsi="Arial" w:cs="Arial"/>
          <w:sz w:val="20"/>
          <w:szCs w:val="20"/>
        </w:rPr>
        <w:t xml:space="preserve"> the CRSG’s proposal in general: </w:t>
      </w:r>
    </w:p>
    <w:p w14:paraId="12D10385" w14:textId="77777777" w:rsidR="00CA56ED" w:rsidRPr="00CA56ED" w:rsidRDefault="00CA56ED" w:rsidP="00F846E3">
      <w:pPr>
        <w:pStyle w:val="NormalWeb"/>
        <w:jc w:val="left"/>
        <w:rPr>
          <w:rFonts w:ascii="Arial" w:eastAsiaTheme="minorEastAsia" w:hAnsi="Arial" w:cs="Arial"/>
          <w:sz w:val="20"/>
          <w:szCs w:val="20"/>
        </w:rPr>
      </w:pPr>
    </w:p>
    <w:p w14:paraId="7780C022" w14:textId="77777777" w:rsidR="00CA56ED" w:rsidRPr="00CA56ED" w:rsidRDefault="00CA56ED" w:rsidP="0048480A">
      <w:pPr>
        <w:pStyle w:val="NormalWeb"/>
        <w:numPr>
          <w:ilvl w:val="0"/>
          <w:numId w:val="10"/>
        </w:numPr>
        <w:ind w:left="709" w:hanging="709"/>
        <w:jc w:val="left"/>
        <w:rPr>
          <w:rFonts w:ascii="Arial" w:eastAsiaTheme="minorEastAsia" w:hAnsi="Arial" w:cs="Arial"/>
          <w:sz w:val="20"/>
          <w:szCs w:val="20"/>
        </w:rPr>
      </w:pPr>
      <w:r w:rsidRPr="00CA56ED">
        <w:rPr>
          <w:rFonts w:ascii="Arial" w:eastAsiaTheme="minorEastAsia" w:hAnsi="Arial" w:cs="Arial"/>
          <w:sz w:val="20"/>
          <w:szCs w:val="20"/>
        </w:rPr>
        <w:t xml:space="preserve">heavily penalise officials going on mission to high-inflation countries for which the DSA is paid in the local currency; </w:t>
      </w:r>
    </w:p>
    <w:p w14:paraId="2157C8BF" w14:textId="77777777" w:rsidR="00CA56ED" w:rsidRPr="00CA56ED" w:rsidRDefault="00CA56ED" w:rsidP="0048480A">
      <w:pPr>
        <w:pStyle w:val="NormalWeb"/>
        <w:ind w:left="709" w:hanging="709"/>
        <w:jc w:val="left"/>
        <w:rPr>
          <w:rFonts w:ascii="Arial" w:eastAsiaTheme="minorEastAsia" w:hAnsi="Arial" w:cs="Arial"/>
          <w:sz w:val="20"/>
          <w:szCs w:val="20"/>
        </w:rPr>
      </w:pPr>
    </w:p>
    <w:p w14:paraId="3FBD0C8C" w14:textId="77777777" w:rsidR="00CA56ED" w:rsidRPr="00CA56ED" w:rsidRDefault="00CA56ED" w:rsidP="0048480A">
      <w:pPr>
        <w:pStyle w:val="NormalWeb"/>
        <w:numPr>
          <w:ilvl w:val="0"/>
          <w:numId w:val="10"/>
        </w:numPr>
        <w:ind w:left="709" w:hanging="709"/>
        <w:jc w:val="left"/>
        <w:rPr>
          <w:rFonts w:ascii="Arial" w:eastAsiaTheme="minorEastAsia" w:hAnsi="Arial" w:cs="Arial"/>
          <w:sz w:val="20"/>
          <w:szCs w:val="20"/>
        </w:rPr>
      </w:pPr>
      <w:r w:rsidRPr="00CA56ED">
        <w:rPr>
          <w:rFonts w:ascii="Arial" w:eastAsiaTheme="minorEastAsia" w:hAnsi="Arial" w:cs="Arial"/>
          <w:sz w:val="20"/>
          <w:szCs w:val="20"/>
        </w:rPr>
        <w:t xml:space="preserve">do not allow account to be taken of sudden changes in the security situation in countries where officials are sent on mission that could result in drastic changes in accommodation costs far exceeding the cost-of-living increase; </w:t>
      </w:r>
    </w:p>
    <w:p w14:paraId="5297236F" w14:textId="77777777" w:rsidR="00CA56ED" w:rsidRPr="00CA56ED" w:rsidRDefault="00CA56ED" w:rsidP="0048480A">
      <w:pPr>
        <w:pStyle w:val="NormalWeb"/>
        <w:ind w:left="709" w:hanging="709"/>
        <w:jc w:val="left"/>
        <w:rPr>
          <w:rFonts w:ascii="Arial" w:eastAsiaTheme="minorEastAsia" w:hAnsi="Arial" w:cs="Arial"/>
          <w:sz w:val="20"/>
          <w:szCs w:val="20"/>
        </w:rPr>
      </w:pPr>
    </w:p>
    <w:p w14:paraId="0B374B98" w14:textId="77777777" w:rsidR="00CA56ED" w:rsidRPr="00CA56ED" w:rsidRDefault="00CA56ED" w:rsidP="0048480A">
      <w:pPr>
        <w:pStyle w:val="NormalWeb"/>
        <w:numPr>
          <w:ilvl w:val="0"/>
          <w:numId w:val="10"/>
        </w:numPr>
        <w:ind w:left="709" w:hanging="709"/>
        <w:jc w:val="left"/>
        <w:rPr>
          <w:rFonts w:ascii="Arial" w:eastAsiaTheme="minorEastAsia" w:hAnsi="Arial" w:cs="Arial"/>
          <w:sz w:val="20"/>
          <w:szCs w:val="20"/>
        </w:rPr>
      </w:pPr>
      <w:r w:rsidRPr="00CA56ED">
        <w:rPr>
          <w:rFonts w:ascii="Arial" w:eastAsiaTheme="minorEastAsia" w:hAnsi="Arial" w:cs="Arial"/>
          <w:sz w:val="20"/>
          <w:szCs w:val="20"/>
        </w:rPr>
        <w:t xml:space="preserve">go against current practices in most reference countries where the amounts of DSAs are revised on an annual basis. </w:t>
      </w:r>
    </w:p>
    <w:p w14:paraId="635BB9C5" w14:textId="77777777" w:rsidR="00CA56ED" w:rsidRPr="00CA56ED" w:rsidRDefault="00CA56ED" w:rsidP="0048480A">
      <w:pPr>
        <w:pStyle w:val="NormalWeb"/>
        <w:ind w:left="709" w:hanging="709"/>
        <w:jc w:val="left"/>
        <w:rPr>
          <w:rFonts w:ascii="Arial" w:eastAsiaTheme="minorEastAsia" w:hAnsi="Arial" w:cs="Arial"/>
          <w:sz w:val="20"/>
          <w:szCs w:val="20"/>
        </w:rPr>
      </w:pPr>
    </w:p>
    <w:p w14:paraId="50F29335" w14:textId="77777777" w:rsidR="00CA56ED" w:rsidRPr="00CA56ED" w:rsidRDefault="00CA56ED" w:rsidP="0048480A">
      <w:pPr>
        <w:pStyle w:val="NormalWeb"/>
        <w:numPr>
          <w:ilvl w:val="0"/>
          <w:numId w:val="10"/>
        </w:numPr>
        <w:ind w:left="709" w:hanging="709"/>
        <w:jc w:val="left"/>
        <w:rPr>
          <w:rFonts w:ascii="Arial" w:eastAsiaTheme="minorEastAsia" w:hAnsi="Arial" w:cs="Arial"/>
          <w:sz w:val="20"/>
          <w:szCs w:val="20"/>
        </w:rPr>
      </w:pPr>
      <w:r w:rsidRPr="00CA56ED">
        <w:rPr>
          <w:rFonts w:ascii="Arial" w:eastAsiaTheme="minorEastAsia" w:hAnsi="Arial" w:cs="Arial"/>
          <w:sz w:val="20"/>
          <w:szCs w:val="20"/>
        </w:rPr>
        <w:t>do not allow an appropriate solution to be found to the problems encountered in some cities where the amount of the DSA is too low given the real cost of hotel rooms (</w:t>
      </w:r>
      <w:proofErr w:type="gramStart"/>
      <w:r w:rsidRPr="00CA56ED">
        <w:rPr>
          <w:rFonts w:ascii="Arial" w:eastAsiaTheme="minorEastAsia" w:hAnsi="Arial" w:cs="Arial"/>
          <w:sz w:val="20"/>
          <w:szCs w:val="20"/>
        </w:rPr>
        <w:t>in particular Paris</w:t>
      </w:r>
      <w:proofErr w:type="gramEnd"/>
      <w:r w:rsidRPr="00CA56ED">
        <w:rPr>
          <w:rFonts w:ascii="Arial" w:eastAsiaTheme="minorEastAsia" w:hAnsi="Arial" w:cs="Arial"/>
          <w:sz w:val="20"/>
          <w:szCs w:val="20"/>
        </w:rPr>
        <w:t xml:space="preserve"> and Brussels).</w:t>
      </w:r>
    </w:p>
    <w:p w14:paraId="05062D87" w14:textId="77777777" w:rsidR="00CA56ED" w:rsidRPr="00CA56ED" w:rsidRDefault="00CA56ED" w:rsidP="00F846E3">
      <w:pPr>
        <w:pStyle w:val="NormalWeb"/>
        <w:jc w:val="left"/>
        <w:rPr>
          <w:rFonts w:ascii="Arial" w:eastAsiaTheme="minorEastAsia" w:hAnsi="Arial" w:cs="Arial"/>
          <w:sz w:val="20"/>
          <w:szCs w:val="20"/>
        </w:rPr>
      </w:pPr>
    </w:p>
    <w:p w14:paraId="590D3C47" w14:textId="3A3BD80A" w:rsidR="00CA56ED" w:rsidRDefault="00CA56ED" w:rsidP="00F846E3">
      <w:pPr>
        <w:pStyle w:val="NormalWeb"/>
        <w:jc w:val="left"/>
        <w:rPr>
          <w:rFonts w:ascii="Arial" w:hAnsi="Arial" w:cs="Arial"/>
          <w:sz w:val="20"/>
          <w:szCs w:val="20"/>
        </w:rPr>
      </w:pPr>
      <w:r w:rsidRPr="00CA56ED">
        <w:rPr>
          <w:rFonts w:ascii="Arial" w:hAnsi="Arial" w:cs="Arial"/>
          <w:sz w:val="20"/>
          <w:szCs w:val="20"/>
        </w:rPr>
        <w:t>Nevertheless, and solely for the sake of consensus, the CRP has decided not to delay the adoption of this report.</w:t>
      </w:r>
    </w:p>
    <w:p w14:paraId="24DBCCD4" w14:textId="77777777" w:rsidR="0048480A" w:rsidRPr="00CA56ED" w:rsidRDefault="0048480A" w:rsidP="00F846E3">
      <w:pPr>
        <w:pStyle w:val="NormalWeb"/>
        <w:jc w:val="left"/>
        <w:rPr>
          <w:rFonts w:ascii="Arial" w:hAnsi="Arial" w:cs="Arial"/>
          <w:sz w:val="20"/>
          <w:szCs w:val="20"/>
        </w:rPr>
      </w:pPr>
    </w:p>
    <w:p w14:paraId="6BCE5E63" w14:textId="77777777" w:rsidR="00CA56ED" w:rsidRPr="00CA56ED" w:rsidRDefault="00CA56ED" w:rsidP="00F846E3">
      <w:pPr>
        <w:pStyle w:val="ListParagraph"/>
        <w:numPr>
          <w:ilvl w:val="0"/>
          <w:numId w:val="3"/>
        </w:numPr>
        <w:tabs>
          <w:tab w:val="left" w:pos="851"/>
        </w:tabs>
        <w:suppressAutoHyphens/>
        <w:ind w:left="567" w:hanging="567"/>
        <w:contextualSpacing w:val="0"/>
        <w:rPr>
          <w:rFonts w:ascii="Arial" w:hAnsi="Arial" w:cs="Arial"/>
          <w:b/>
          <w:sz w:val="20"/>
          <w:szCs w:val="20"/>
        </w:rPr>
      </w:pPr>
      <w:r w:rsidRPr="00CA56ED">
        <w:rPr>
          <w:rFonts w:ascii="Arial" w:hAnsi="Arial" w:cs="Arial"/>
          <w:b/>
          <w:sz w:val="20"/>
          <w:szCs w:val="20"/>
        </w:rPr>
        <w:t>Recommendation</w:t>
      </w:r>
    </w:p>
    <w:p w14:paraId="5C79C53B" w14:textId="77777777" w:rsidR="0048480A" w:rsidRDefault="0048480A" w:rsidP="00F846E3">
      <w:pPr>
        <w:rPr>
          <w:rFonts w:cs="Arial"/>
          <w:szCs w:val="20"/>
        </w:rPr>
      </w:pPr>
    </w:p>
    <w:p w14:paraId="6707D9B3" w14:textId="12297BA9" w:rsidR="00CA56ED" w:rsidRPr="00CA56ED" w:rsidRDefault="00CA56ED" w:rsidP="00F846E3">
      <w:pPr>
        <w:rPr>
          <w:rFonts w:cs="Arial"/>
          <w:szCs w:val="20"/>
        </w:rPr>
      </w:pPr>
      <w:r w:rsidRPr="00CA56ED">
        <w:rPr>
          <w:rFonts w:cs="Arial"/>
          <w:szCs w:val="20"/>
        </w:rPr>
        <w:t>The Co-ordinated Committee on Remuneration recommends that Governing bodies approve from 1 January 2021 the attached Rules applying to the DSA for staff members of the Co-ordinated Organisations while travelling on duty. These Rules shall replace the procedure set out in the 228</w:t>
      </w:r>
      <w:r w:rsidRPr="00CA56ED">
        <w:rPr>
          <w:rFonts w:cs="Arial"/>
          <w:szCs w:val="20"/>
          <w:vertAlign w:val="superscript"/>
        </w:rPr>
        <w:t>th</w:t>
      </w:r>
      <w:r w:rsidRPr="00CA56ED">
        <w:rPr>
          <w:rFonts w:cs="Arial"/>
          <w:szCs w:val="20"/>
        </w:rPr>
        <w:t xml:space="preserve"> Report and its Addendum and shall remain in force until 31 December 2026.</w:t>
      </w:r>
    </w:p>
    <w:p w14:paraId="33378ADC" w14:textId="77777777" w:rsidR="00CA56ED" w:rsidRPr="00CA56ED" w:rsidRDefault="00CA56ED" w:rsidP="00F846E3">
      <w:pPr>
        <w:tabs>
          <w:tab w:val="center" w:pos="7655"/>
        </w:tabs>
        <w:rPr>
          <w:rFonts w:cs="Arial"/>
          <w:szCs w:val="20"/>
        </w:rPr>
      </w:pPr>
    </w:p>
    <w:p w14:paraId="74D6E3CC" w14:textId="77777777" w:rsidR="00CA56ED" w:rsidRPr="00CA56ED" w:rsidRDefault="00CA56ED" w:rsidP="00F846E3">
      <w:pPr>
        <w:tabs>
          <w:tab w:val="center" w:pos="7655"/>
        </w:tabs>
        <w:rPr>
          <w:rFonts w:cs="Arial"/>
          <w:szCs w:val="20"/>
        </w:rPr>
      </w:pPr>
    </w:p>
    <w:p w14:paraId="72EE0D0E" w14:textId="77777777" w:rsidR="00CA56ED" w:rsidRPr="00CA56ED" w:rsidRDefault="00CA56ED" w:rsidP="00F846E3">
      <w:pPr>
        <w:tabs>
          <w:tab w:val="center" w:pos="7655"/>
        </w:tabs>
        <w:rPr>
          <w:rFonts w:cs="Arial"/>
          <w:szCs w:val="20"/>
        </w:rPr>
      </w:pPr>
      <w:r w:rsidRPr="00CA56ED">
        <w:rPr>
          <w:rFonts w:cs="Arial"/>
          <w:szCs w:val="20"/>
        </w:rPr>
        <w:t xml:space="preserve">David Sydney </w:t>
      </w:r>
      <w:proofErr w:type="spellStart"/>
      <w:r w:rsidRPr="00CA56ED">
        <w:rPr>
          <w:rFonts w:cs="Arial"/>
          <w:szCs w:val="20"/>
        </w:rPr>
        <w:t>Maddicott</w:t>
      </w:r>
      <w:proofErr w:type="spellEnd"/>
      <w:r w:rsidRPr="00CA56ED">
        <w:rPr>
          <w:rFonts w:cs="Arial"/>
          <w:szCs w:val="20"/>
        </w:rPr>
        <w:t xml:space="preserve"> </w:t>
      </w:r>
    </w:p>
    <w:p w14:paraId="3177CD58" w14:textId="77777777" w:rsidR="00CA56ED" w:rsidRPr="00CA56ED" w:rsidRDefault="00CA56ED" w:rsidP="00F846E3">
      <w:pPr>
        <w:rPr>
          <w:rFonts w:cs="Arial"/>
          <w:szCs w:val="20"/>
        </w:rPr>
      </w:pPr>
      <w:r w:rsidRPr="00CA56ED">
        <w:rPr>
          <w:rFonts w:cs="Arial"/>
          <w:noProof/>
          <w:szCs w:val="20"/>
          <w:lang w:eastAsia="en-GB"/>
        </w:rPr>
        <w:drawing>
          <wp:inline distT="0" distB="0" distL="0" distR="0" wp14:anchorId="2DF6D344" wp14:editId="7113ACE5">
            <wp:extent cx="1771650" cy="485775"/>
            <wp:effectExtent l="0" t="0" r="0" b="9525"/>
            <wp:docPr id="1" name="Picture 1" descr="8DAE2359"/>
            <wp:cNvGraphicFramePr/>
            <a:graphic xmlns:a="http://schemas.openxmlformats.org/drawingml/2006/main">
              <a:graphicData uri="http://schemas.openxmlformats.org/drawingml/2006/picture">
                <pic:pic xmlns:pic="http://schemas.openxmlformats.org/drawingml/2006/picture">
                  <pic:nvPicPr>
                    <pic:cNvPr id="2" name="Picture 2" descr="8DAE2359"/>
                    <pic:cNvPicPr/>
                  </pic:nvPicPr>
                  <pic:blipFill>
                    <a:blip r:embed="rId8" cstate="print">
                      <a:extLst>
                        <a:ext uri="{28A0092B-C50C-407E-A947-70E740481C1C}">
                          <a14:useLocalDpi xmlns:a14="http://schemas.microsoft.com/office/drawing/2010/main" val="0"/>
                        </a:ext>
                      </a:extLst>
                    </a:blip>
                    <a:srcRect l="25000" t="25061" r="31250" b="63145"/>
                    <a:stretch>
                      <a:fillRect/>
                    </a:stretch>
                  </pic:blipFill>
                  <pic:spPr bwMode="auto">
                    <a:xfrm>
                      <a:off x="0" y="0"/>
                      <a:ext cx="1769028" cy="485056"/>
                    </a:xfrm>
                    <a:prstGeom prst="rect">
                      <a:avLst/>
                    </a:prstGeom>
                    <a:noFill/>
                    <a:ln>
                      <a:noFill/>
                    </a:ln>
                  </pic:spPr>
                </pic:pic>
              </a:graphicData>
            </a:graphic>
          </wp:inline>
        </w:drawing>
      </w:r>
    </w:p>
    <w:p w14:paraId="5C0D7B2A" w14:textId="77777777" w:rsidR="00CA56ED" w:rsidRPr="00CA56ED" w:rsidRDefault="00CA56ED" w:rsidP="00F846E3">
      <w:pPr>
        <w:rPr>
          <w:rFonts w:cs="Arial"/>
          <w:szCs w:val="20"/>
        </w:rPr>
      </w:pPr>
      <w:r w:rsidRPr="00CA56ED">
        <w:rPr>
          <w:rFonts w:cs="Arial"/>
          <w:szCs w:val="20"/>
        </w:rPr>
        <w:t>Chairman</w:t>
      </w:r>
    </w:p>
    <w:p w14:paraId="0C3ADE11" w14:textId="77777777" w:rsidR="00CA56ED" w:rsidRPr="00CA56ED" w:rsidRDefault="00CA56ED" w:rsidP="00CA56ED">
      <w:pPr>
        <w:pStyle w:val="Heading7"/>
        <w:numPr>
          <w:ilvl w:val="0"/>
          <w:numId w:val="0"/>
        </w:numPr>
        <w:spacing w:before="0" w:after="360"/>
        <w:rPr>
          <w:rFonts w:ascii="Arial" w:hAnsi="Arial" w:cs="Arial"/>
          <w:color w:val="auto"/>
          <w:sz w:val="20"/>
          <w:lang w:bidi="en-US"/>
        </w:rPr>
      </w:pPr>
      <w:bookmarkStart w:id="9" w:name="_Toc33012691"/>
      <w:r w:rsidRPr="00CA56ED">
        <w:rPr>
          <w:rFonts w:ascii="Arial" w:hAnsi="Arial" w:cs="Arial"/>
          <w:color w:val="auto"/>
          <w:sz w:val="20"/>
          <w:lang w:bidi="en-US"/>
        </w:rPr>
        <w:lastRenderedPageBreak/>
        <w:t>ANNEX</w:t>
      </w:r>
      <w:bookmarkEnd w:id="9"/>
    </w:p>
    <w:p w14:paraId="4965E38E" w14:textId="77777777" w:rsidR="00CA56ED" w:rsidRPr="00CA56ED" w:rsidRDefault="00CA56ED" w:rsidP="0048480A">
      <w:pPr>
        <w:jc w:val="center"/>
        <w:rPr>
          <w:rFonts w:cs="Arial"/>
          <w:b/>
          <w:szCs w:val="20"/>
        </w:rPr>
      </w:pPr>
      <w:r w:rsidRPr="00CA56ED">
        <w:rPr>
          <w:rFonts w:cs="Arial"/>
          <w:b/>
          <w:szCs w:val="20"/>
        </w:rPr>
        <w:t>RULES ON ALLOWANCES FOR STAFF</w:t>
      </w:r>
    </w:p>
    <w:p w14:paraId="64D78CF6" w14:textId="4A42C931" w:rsidR="00CA56ED" w:rsidRDefault="00CA56ED" w:rsidP="0048480A">
      <w:pPr>
        <w:jc w:val="center"/>
        <w:rPr>
          <w:rFonts w:cs="Arial"/>
          <w:b/>
          <w:szCs w:val="20"/>
        </w:rPr>
      </w:pPr>
      <w:r w:rsidRPr="00CA56ED">
        <w:rPr>
          <w:rFonts w:cs="Arial"/>
          <w:b/>
          <w:szCs w:val="20"/>
        </w:rPr>
        <w:t>OF THE CO-ORDINATED ORGANISATIONS TRAVELLING ON DUTY</w:t>
      </w:r>
    </w:p>
    <w:p w14:paraId="7F2D35BD" w14:textId="77777777" w:rsidR="0048480A" w:rsidRPr="00CA56ED" w:rsidRDefault="0048480A" w:rsidP="0048480A">
      <w:pPr>
        <w:jc w:val="center"/>
        <w:rPr>
          <w:rFonts w:cs="Arial"/>
          <w:b/>
          <w:szCs w:val="20"/>
        </w:rPr>
      </w:pPr>
    </w:p>
    <w:p w14:paraId="3C47930F" w14:textId="77777777" w:rsidR="00CA56ED" w:rsidRPr="00CA56ED" w:rsidRDefault="00CA56ED" w:rsidP="0048480A">
      <w:pPr>
        <w:jc w:val="center"/>
        <w:rPr>
          <w:rFonts w:cs="Arial"/>
          <w:b/>
          <w:szCs w:val="20"/>
        </w:rPr>
      </w:pPr>
      <w:r w:rsidRPr="00CA56ED">
        <w:rPr>
          <w:rFonts w:cs="Arial"/>
          <w:b/>
          <w:szCs w:val="20"/>
        </w:rPr>
        <w:t>Daily rates of subsistence allowance</w:t>
      </w:r>
    </w:p>
    <w:p w14:paraId="20E16A30" w14:textId="77777777" w:rsidR="00CA56ED" w:rsidRPr="00CA56ED" w:rsidRDefault="00CA56ED" w:rsidP="0048480A">
      <w:pPr>
        <w:rPr>
          <w:rFonts w:cs="Arial"/>
          <w:szCs w:val="20"/>
        </w:rPr>
      </w:pPr>
    </w:p>
    <w:p w14:paraId="02B36EB6" w14:textId="77777777" w:rsidR="00CA56ED" w:rsidRPr="00CA56ED" w:rsidRDefault="00CA56ED" w:rsidP="0048480A">
      <w:pPr>
        <w:rPr>
          <w:rFonts w:cs="Arial"/>
          <w:b/>
          <w:szCs w:val="20"/>
        </w:rPr>
      </w:pPr>
      <w:r w:rsidRPr="00CA56ED">
        <w:rPr>
          <w:rFonts w:cs="Arial"/>
          <w:b/>
          <w:szCs w:val="20"/>
        </w:rPr>
        <w:t>Article 1.</w:t>
      </w:r>
      <w:r w:rsidRPr="00CA56ED">
        <w:rPr>
          <w:rFonts w:cs="Arial"/>
          <w:b/>
          <w:szCs w:val="20"/>
        </w:rPr>
        <w:tab/>
        <w:t xml:space="preserve">Description </w:t>
      </w:r>
    </w:p>
    <w:p w14:paraId="38AAE33B" w14:textId="77777777" w:rsidR="00CA56ED" w:rsidRPr="00CA56ED" w:rsidRDefault="00CA56ED" w:rsidP="00CA56ED">
      <w:pPr>
        <w:rPr>
          <w:rFonts w:cs="Arial"/>
          <w:szCs w:val="20"/>
        </w:rPr>
      </w:pPr>
    </w:p>
    <w:p w14:paraId="0EDC213C" w14:textId="77777777" w:rsidR="00CA56ED" w:rsidRPr="00CA56ED" w:rsidRDefault="00CA56ED" w:rsidP="00CA56ED">
      <w:pPr>
        <w:rPr>
          <w:rFonts w:cs="Arial"/>
          <w:szCs w:val="20"/>
        </w:rPr>
      </w:pPr>
      <w:r w:rsidRPr="00CA56ED">
        <w:rPr>
          <w:rFonts w:cs="Arial"/>
          <w:szCs w:val="20"/>
        </w:rPr>
        <w:t>1.1</w:t>
      </w:r>
      <w:r w:rsidRPr="00CA56ED">
        <w:rPr>
          <w:rFonts w:cs="Arial"/>
          <w:szCs w:val="20"/>
        </w:rPr>
        <w:tab/>
        <w:t>The daily rate of subsistence allowance (DSA) is an amount to reimburse the cost of official or commercial accommodation</w:t>
      </w:r>
      <w:r w:rsidRPr="00CA56ED">
        <w:rPr>
          <w:rStyle w:val="FootnoteReference"/>
          <w:rFonts w:cs="Arial"/>
          <w:spacing w:val="-2"/>
          <w:szCs w:val="20"/>
        </w:rPr>
        <w:footnoteReference w:id="5"/>
      </w:r>
      <w:r w:rsidRPr="00CA56ED">
        <w:rPr>
          <w:rFonts w:cs="Arial"/>
          <w:szCs w:val="20"/>
        </w:rPr>
        <w:t xml:space="preserve">, meals and incidental expenses incurred by staff members of the </w:t>
      </w:r>
      <w:r w:rsidRPr="00CA56ED">
        <w:rPr>
          <w:rFonts w:cs="Arial"/>
          <w:szCs w:val="20"/>
        </w:rPr>
        <w:br/>
        <w:t>Co-ordinated Organisations (CO) while travelling on duty. In addition, other expenses actually and necessarily incurred in the interest of the Organisation concerned shall be reimbursed within the provisions of the Staff Rules of each Organisation.</w:t>
      </w:r>
    </w:p>
    <w:p w14:paraId="2DF3BA43" w14:textId="77777777" w:rsidR="00CA56ED" w:rsidRPr="00CA56ED" w:rsidRDefault="00CA56ED" w:rsidP="00CA56ED">
      <w:pPr>
        <w:rPr>
          <w:rFonts w:cs="Arial"/>
          <w:szCs w:val="20"/>
        </w:rPr>
      </w:pPr>
    </w:p>
    <w:p w14:paraId="7A3D7068" w14:textId="77777777" w:rsidR="00CA56ED" w:rsidRPr="00CA56ED" w:rsidRDefault="00CA56ED" w:rsidP="00CA56ED">
      <w:pPr>
        <w:rPr>
          <w:rFonts w:cs="Arial"/>
          <w:szCs w:val="20"/>
        </w:rPr>
      </w:pPr>
      <w:r w:rsidRPr="00CA56ED">
        <w:rPr>
          <w:rFonts w:cs="Arial"/>
          <w:szCs w:val="20"/>
        </w:rPr>
        <w:t>1.2</w:t>
      </w:r>
      <w:r w:rsidRPr="00CA56ED">
        <w:rPr>
          <w:rFonts w:cs="Arial"/>
          <w:szCs w:val="20"/>
        </w:rPr>
        <w:tab/>
        <w:t xml:space="preserve">Official or commercial accommodation costs shall be reimbursed </w:t>
      </w:r>
      <w:proofErr w:type="gramStart"/>
      <w:r w:rsidRPr="00CA56ED">
        <w:rPr>
          <w:rFonts w:cs="Arial"/>
          <w:szCs w:val="20"/>
        </w:rPr>
        <w:t>on the basis of</w:t>
      </w:r>
      <w:proofErr w:type="gramEnd"/>
      <w:r w:rsidRPr="00CA56ED">
        <w:rPr>
          <w:rFonts w:cs="Arial"/>
          <w:szCs w:val="20"/>
        </w:rPr>
        <w:t xml:space="preserve"> real costs within a ceiling defined in paragraph 3.2 below. However, subject to approval by the appropriate Committees</w:t>
      </w:r>
      <w:r w:rsidRPr="00CA56ED">
        <w:rPr>
          <w:rStyle w:val="FootnoteReference"/>
          <w:rFonts w:cs="Arial"/>
          <w:spacing w:val="-2"/>
          <w:szCs w:val="20"/>
        </w:rPr>
        <w:footnoteReference w:id="6"/>
      </w:r>
      <w:r w:rsidRPr="00CA56ED">
        <w:rPr>
          <w:rFonts w:cs="Arial"/>
          <w:szCs w:val="20"/>
        </w:rPr>
        <w:t>, Organisations may decide to reimburse these costs on a flat-rate basis if the cost is deemed to be less expensive than a real-costs reimbursement system. In both cases, reimbursements shall be made upon submission of invoices.</w:t>
      </w:r>
    </w:p>
    <w:p w14:paraId="220E3E58" w14:textId="77777777" w:rsidR="00CA56ED" w:rsidRPr="00CA56ED" w:rsidRDefault="00CA56ED" w:rsidP="00CA56ED">
      <w:pPr>
        <w:rPr>
          <w:rFonts w:cs="Arial"/>
          <w:szCs w:val="20"/>
        </w:rPr>
      </w:pPr>
    </w:p>
    <w:p w14:paraId="177A737D" w14:textId="77777777" w:rsidR="00CA56ED" w:rsidRPr="00CA56ED" w:rsidRDefault="00CA56ED" w:rsidP="00CA56ED">
      <w:pPr>
        <w:rPr>
          <w:rFonts w:cs="Arial"/>
          <w:szCs w:val="20"/>
        </w:rPr>
      </w:pPr>
      <w:r w:rsidRPr="00CA56ED">
        <w:rPr>
          <w:rFonts w:cs="Arial"/>
          <w:szCs w:val="20"/>
        </w:rPr>
        <w:t>1.3</w:t>
      </w:r>
      <w:r w:rsidRPr="00CA56ED">
        <w:rPr>
          <w:rFonts w:cs="Arial"/>
          <w:szCs w:val="20"/>
        </w:rPr>
        <w:tab/>
        <w:t>Meals and incidental expenses shall be reimbursed on a flat-rate basis, within the ceiling defined in paragraph 3.2.</w:t>
      </w:r>
    </w:p>
    <w:p w14:paraId="4FAD3AC1" w14:textId="77777777" w:rsidR="00CA56ED" w:rsidRPr="00CA56ED" w:rsidRDefault="00CA56ED" w:rsidP="00CA56ED">
      <w:pPr>
        <w:rPr>
          <w:rFonts w:cs="Arial"/>
          <w:szCs w:val="20"/>
        </w:rPr>
      </w:pPr>
    </w:p>
    <w:p w14:paraId="43B3EEBB" w14:textId="77777777" w:rsidR="00CA56ED" w:rsidRPr="00CA56ED" w:rsidRDefault="00CA56ED" w:rsidP="00CA56ED">
      <w:pPr>
        <w:rPr>
          <w:rFonts w:cs="Arial"/>
          <w:szCs w:val="20"/>
        </w:rPr>
      </w:pPr>
      <w:r w:rsidRPr="00CA56ED">
        <w:rPr>
          <w:rFonts w:cs="Arial"/>
          <w:szCs w:val="20"/>
        </w:rPr>
        <w:t>1.4</w:t>
      </w:r>
      <w:r w:rsidRPr="00CA56ED">
        <w:rPr>
          <w:rFonts w:cs="Arial"/>
          <w:szCs w:val="20"/>
        </w:rPr>
        <w:tab/>
        <w:t>Notwithstanding paragraph 1.1 above, Organisations may decide to allocate specific proportions of the total allowance to cover the cost of official or commercial accommodation, meals and incidental expenses under the conditions set out in the Appendix 1.</w:t>
      </w:r>
    </w:p>
    <w:p w14:paraId="68DA55FF" w14:textId="77777777" w:rsidR="00CA56ED" w:rsidRPr="00CA56ED" w:rsidRDefault="00CA56ED" w:rsidP="00CA56ED">
      <w:pPr>
        <w:rPr>
          <w:rFonts w:cs="Arial"/>
          <w:szCs w:val="20"/>
        </w:rPr>
      </w:pPr>
    </w:p>
    <w:p w14:paraId="1B21FE37" w14:textId="77777777" w:rsidR="00CA56ED" w:rsidRPr="00CA56ED" w:rsidRDefault="00CA56ED" w:rsidP="00CA56ED">
      <w:pPr>
        <w:rPr>
          <w:rFonts w:cs="Arial"/>
          <w:b/>
          <w:szCs w:val="20"/>
        </w:rPr>
      </w:pPr>
      <w:r w:rsidRPr="00CA56ED">
        <w:rPr>
          <w:rFonts w:cs="Arial"/>
          <w:b/>
          <w:szCs w:val="20"/>
        </w:rPr>
        <w:t>Article 2.</w:t>
      </w:r>
      <w:r w:rsidRPr="00CA56ED">
        <w:rPr>
          <w:rFonts w:cs="Arial"/>
          <w:b/>
          <w:szCs w:val="20"/>
        </w:rPr>
        <w:tab/>
        <w:t>Initial levels of the rates</w:t>
      </w:r>
    </w:p>
    <w:p w14:paraId="02225103" w14:textId="77777777" w:rsidR="00CA56ED" w:rsidRPr="00CA56ED" w:rsidRDefault="00CA56ED" w:rsidP="00CA56ED">
      <w:pPr>
        <w:rPr>
          <w:rFonts w:cs="Arial"/>
          <w:szCs w:val="20"/>
        </w:rPr>
      </w:pPr>
    </w:p>
    <w:p w14:paraId="798A8913" w14:textId="77777777" w:rsidR="00CA56ED" w:rsidRPr="00CA56ED" w:rsidRDefault="00CA56ED" w:rsidP="00CA56ED">
      <w:pPr>
        <w:rPr>
          <w:rFonts w:cs="Arial"/>
          <w:szCs w:val="20"/>
        </w:rPr>
      </w:pPr>
      <w:r w:rsidRPr="00CA56ED">
        <w:rPr>
          <w:rFonts w:cs="Arial"/>
          <w:szCs w:val="20"/>
        </w:rPr>
        <w:t>2.1</w:t>
      </w:r>
      <w:r w:rsidRPr="00CA56ED">
        <w:rPr>
          <w:rFonts w:cs="Arial"/>
          <w:szCs w:val="20"/>
        </w:rPr>
        <w:tab/>
        <w:t>For all countries, the initial level of the rates of the DSA shall be defined by reference to the average of the relevant rates in force at 1 April 2020 in the national civil services (NCS) of the eight reference countries defined in the salary adjustment method in force.</w:t>
      </w:r>
    </w:p>
    <w:p w14:paraId="52B98574" w14:textId="77777777" w:rsidR="00CA56ED" w:rsidRPr="00CA56ED" w:rsidRDefault="00CA56ED" w:rsidP="00CA56ED">
      <w:pPr>
        <w:rPr>
          <w:rFonts w:cs="Arial"/>
          <w:szCs w:val="20"/>
        </w:rPr>
      </w:pPr>
    </w:p>
    <w:p w14:paraId="3241A51C" w14:textId="77777777" w:rsidR="00CA56ED" w:rsidRPr="00CA56ED" w:rsidRDefault="00CA56ED" w:rsidP="00CA56ED">
      <w:pPr>
        <w:rPr>
          <w:rFonts w:cs="Arial"/>
          <w:szCs w:val="20"/>
        </w:rPr>
      </w:pPr>
      <w:r w:rsidRPr="00CA56ED">
        <w:rPr>
          <w:rFonts w:cs="Arial"/>
          <w:szCs w:val="20"/>
        </w:rPr>
        <w:t>2.2</w:t>
      </w:r>
      <w:r w:rsidRPr="00CA56ED">
        <w:rPr>
          <w:rFonts w:cs="Arial"/>
          <w:szCs w:val="20"/>
        </w:rPr>
        <w:tab/>
        <w:t>When none of the eight NCS has a daily subsistence rate for a given country, the United Nations DSA rates for the month of June shall be used.</w:t>
      </w:r>
    </w:p>
    <w:p w14:paraId="1B67E137" w14:textId="77777777" w:rsidR="00CA56ED" w:rsidRPr="00CA56ED" w:rsidRDefault="00CA56ED" w:rsidP="00CA56ED">
      <w:pPr>
        <w:rPr>
          <w:rFonts w:cs="Arial"/>
          <w:b/>
          <w:szCs w:val="20"/>
        </w:rPr>
      </w:pPr>
    </w:p>
    <w:p w14:paraId="2476F5CC" w14:textId="77777777" w:rsidR="00CA56ED" w:rsidRPr="00CA56ED" w:rsidRDefault="00CA56ED" w:rsidP="00CA56ED">
      <w:pPr>
        <w:rPr>
          <w:rFonts w:cs="Arial"/>
          <w:b/>
          <w:szCs w:val="20"/>
        </w:rPr>
      </w:pPr>
      <w:r w:rsidRPr="00CA56ED">
        <w:rPr>
          <w:rFonts w:cs="Arial"/>
          <w:b/>
          <w:szCs w:val="20"/>
        </w:rPr>
        <w:t>Article 3.</w:t>
      </w:r>
      <w:r w:rsidRPr="00CA56ED">
        <w:rPr>
          <w:rFonts w:cs="Arial"/>
          <w:b/>
          <w:szCs w:val="20"/>
        </w:rPr>
        <w:tab/>
        <w:t>Adjustment of the rates</w:t>
      </w:r>
    </w:p>
    <w:p w14:paraId="02C04996" w14:textId="77777777" w:rsidR="00CA56ED" w:rsidRPr="00CA56ED" w:rsidRDefault="00CA56ED" w:rsidP="00CA56ED">
      <w:pPr>
        <w:rPr>
          <w:rFonts w:cs="Arial"/>
          <w:szCs w:val="20"/>
        </w:rPr>
      </w:pPr>
    </w:p>
    <w:p w14:paraId="25D3B4FE" w14:textId="77777777" w:rsidR="00CA56ED" w:rsidRPr="00CA56ED" w:rsidRDefault="00CA56ED" w:rsidP="00CA56ED">
      <w:pPr>
        <w:rPr>
          <w:rFonts w:cs="Arial"/>
          <w:szCs w:val="20"/>
          <w:u w:val="single"/>
        </w:rPr>
      </w:pPr>
      <w:r w:rsidRPr="00CA56ED">
        <w:rPr>
          <w:rFonts w:cs="Arial"/>
          <w:szCs w:val="20"/>
        </w:rPr>
        <w:tab/>
      </w:r>
      <w:r w:rsidRPr="00CA56ED">
        <w:rPr>
          <w:rFonts w:cs="Arial"/>
          <w:szCs w:val="20"/>
          <w:u w:val="single"/>
        </w:rPr>
        <w:t>Adjustment</w:t>
      </w:r>
    </w:p>
    <w:p w14:paraId="45D34247" w14:textId="77777777" w:rsidR="00CA56ED" w:rsidRPr="00CA56ED" w:rsidRDefault="00CA56ED" w:rsidP="00CA56ED">
      <w:pPr>
        <w:rPr>
          <w:rFonts w:cs="Arial"/>
          <w:szCs w:val="20"/>
        </w:rPr>
      </w:pPr>
    </w:p>
    <w:p w14:paraId="54A26BA4" w14:textId="77777777" w:rsidR="00CA56ED" w:rsidRPr="00CA56ED" w:rsidRDefault="00CA56ED" w:rsidP="00CA56ED">
      <w:pPr>
        <w:rPr>
          <w:rFonts w:cs="Arial"/>
          <w:szCs w:val="20"/>
        </w:rPr>
      </w:pPr>
      <w:r w:rsidRPr="00CA56ED">
        <w:rPr>
          <w:rFonts w:cs="Arial"/>
          <w:szCs w:val="20"/>
        </w:rPr>
        <w:t>3.1</w:t>
      </w:r>
      <w:r w:rsidRPr="00CA56ED">
        <w:rPr>
          <w:rFonts w:cs="Arial"/>
          <w:szCs w:val="20"/>
        </w:rPr>
        <w:tab/>
        <w:t>The levels calculated as described in paragraphs 2.1 and 2.2 above shall be retained as the initial rates at 1 January 2021. The rates shall be adjusted every three years by reference to the average of the rates in force on 1 April of the previous year in the eight reference countries.</w:t>
      </w:r>
    </w:p>
    <w:p w14:paraId="76086836" w14:textId="77777777" w:rsidR="00CA56ED" w:rsidRPr="00CA56ED" w:rsidRDefault="00CA56ED" w:rsidP="00CA56ED">
      <w:pPr>
        <w:rPr>
          <w:rFonts w:cs="Arial"/>
          <w:szCs w:val="20"/>
        </w:rPr>
      </w:pPr>
    </w:p>
    <w:p w14:paraId="3B92E690" w14:textId="77777777" w:rsidR="00CA56ED" w:rsidRPr="00CA56ED" w:rsidRDefault="00CA56ED" w:rsidP="00CA56ED">
      <w:pPr>
        <w:rPr>
          <w:rFonts w:cs="Arial"/>
          <w:szCs w:val="20"/>
        </w:rPr>
      </w:pPr>
      <w:r w:rsidRPr="00CA56ED">
        <w:rPr>
          <w:rFonts w:cs="Arial"/>
          <w:szCs w:val="20"/>
        </w:rPr>
        <w:t xml:space="preserve">3.2 </w:t>
      </w:r>
      <w:r w:rsidRPr="00CA56ED">
        <w:rPr>
          <w:rFonts w:cs="Arial"/>
          <w:szCs w:val="20"/>
        </w:rPr>
        <w:tab/>
        <w:t>A 60% weight (including breakfast and taxes) shall be assigned for official or commercial accommodation and 40% for restaurants/cafeterias and incidental expenses.</w:t>
      </w:r>
    </w:p>
    <w:p w14:paraId="0DA40166" w14:textId="77777777" w:rsidR="00CA56ED" w:rsidRPr="00CA56ED" w:rsidRDefault="00CA56ED" w:rsidP="00CA56ED">
      <w:pPr>
        <w:rPr>
          <w:rFonts w:cs="Arial"/>
          <w:szCs w:val="20"/>
        </w:rPr>
      </w:pPr>
    </w:p>
    <w:p w14:paraId="67D66CC9" w14:textId="77777777" w:rsidR="00CA56ED" w:rsidRPr="00CA56ED" w:rsidRDefault="00CA56ED" w:rsidP="00CA56ED">
      <w:pPr>
        <w:rPr>
          <w:rFonts w:cs="Arial"/>
          <w:szCs w:val="20"/>
          <w:u w:val="single"/>
        </w:rPr>
      </w:pPr>
      <w:r w:rsidRPr="00CA56ED">
        <w:rPr>
          <w:rFonts w:cs="Arial"/>
          <w:szCs w:val="20"/>
        </w:rPr>
        <w:tab/>
      </w:r>
      <w:r w:rsidRPr="00CA56ED">
        <w:rPr>
          <w:rFonts w:cs="Arial"/>
          <w:szCs w:val="20"/>
          <w:u w:val="single"/>
        </w:rPr>
        <w:t>Application of adjusted amounts</w:t>
      </w:r>
    </w:p>
    <w:p w14:paraId="281846D8" w14:textId="77777777" w:rsidR="00CA56ED" w:rsidRPr="00CA56ED" w:rsidRDefault="00CA56ED" w:rsidP="00CA56ED">
      <w:pPr>
        <w:rPr>
          <w:rFonts w:cs="Arial"/>
          <w:szCs w:val="20"/>
        </w:rPr>
      </w:pPr>
    </w:p>
    <w:p w14:paraId="46628E8E" w14:textId="77777777" w:rsidR="00CA56ED" w:rsidRPr="00CA56ED" w:rsidRDefault="00CA56ED" w:rsidP="00CA56ED">
      <w:pPr>
        <w:rPr>
          <w:rFonts w:cs="Arial"/>
          <w:szCs w:val="20"/>
        </w:rPr>
      </w:pPr>
      <w:r w:rsidRPr="00CA56ED">
        <w:rPr>
          <w:rFonts w:cs="Arial"/>
          <w:szCs w:val="20"/>
        </w:rPr>
        <w:t>3.3</w:t>
      </w:r>
      <w:r w:rsidRPr="00CA56ED">
        <w:rPr>
          <w:rFonts w:cs="Arial"/>
          <w:szCs w:val="20"/>
        </w:rPr>
        <w:tab/>
        <w:t>The Chairperson of the CCR shall, after consulting the CCR under a silence procedure of twenty</w:t>
      </w:r>
      <w:r w:rsidRPr="00CA56ED">
        <w:rPr>
          <w:rFonts w:cs="Arial"/>
          <w:szCs w:val="20"/>
        </w:rPr>
        <w:noBreakHyphen/>
        <w:t xml:space="preserve">one working days, send to the Governing bodies of the Co-ordinated Organisations a CCR recommendation for the adjustment at 1 January of the rates of the DSA. </w:t>
      </w:r>
    </w:p>
    <w:p w14:paraId="4E03BF5E" w14:textId="77777777" w:rsidR="00CA56ED" w:rsidRPr="00CA56ED" w:rsidRDefault="00CA56ED" w:rsidP="00CA56ED">
      <w:pPr>
        <w:rPr>
          <w:rFonts w:cs="Arial"/>
          <w:szCs w:val="20"/>
        </w:rPr>
      </w:pPr>
    </w:p>
    <w:p w14:paraId="013C68E6" w14:textId="77777777" w:rsidR="00841E3D" w:rsidRDefault="00841E3D">
      <w:pPr>
        <w:rPr>
          <w:rFonts w:cs="Arial"/>
          <w:b/>
          <w:szCs w:val="20"/>
        </w:rPr>
      </w:pPr>
      <w:r>
        <w:rPr>
          <w:rFonts w:cs="Arial"/>
          <w:b/>
          <w:szCs w:val="20"/>
        </w:rPr>
        <w:br w:type="page"/>
      </w:r>
    </w:p>
    <w:p w14:paraId="00D15491" w14:textId="2235B3B8" w:rsidR="00CA56ED" w:rsidRPr="00CA56ED" w:rsidRDefault="00CA56ED" w:rsidP="00CA56ED">
      <w:pPr>
        <w:rPr>
          <w:rFonts w:cs="Arial"/>
          <w:b/>
          <w:szCs w:val="20"/>
        </w:rPr>
      </w:pPr>
      <w:r w:rsidRPr="00CA56ED">
        <w:rPr>
          <w:rFonts w:cs="Arial"/>
          <w:b/>
          <w:szCs w:val="20"/>
        </w:rPr>
        <w:lastRenderedPageBreak/>
        <w:t>Article 4.</w:t>
      </w:r>
      <w:r w:rsidRPr="00CA56ED">
        <w:rPr>
          <w:rFonts w:cs="Arial"/>
          <w:b/>
          <w:szCs w:val="20"/>
        </w:rPr>
        <w:tab/>
        <w:t>Rates and locations</w:t>
      </w:r>
    </w:p>
    <w:p w14:paraId="79A5E2DD" w14:textId="77777777" w:rsidR="00CA56ED" w:rsidRPr="00CA56ED" w:rsidRDefault="00CA56ED" w:rsidP="00CA56ED">
      <w:pPr>
        <w:rPr>
          <w:rFonts w:cs="Arial"/>
          <w:szCs w:val="20"/>
        </w:rPr>
      </w:pPr>
    </w:p>
    <w:p w14:paraId="6BFD2E39" w14:textId="77777777" w:rsidR="00CA56ED" w:rsidRPr="00CA56ED" w:rsidRDefault="00CA56ED" w:rsidP="00CA56ED">
      <w:pPr>
        <w:rPr>
          <w:rFonts w:cs="Arial"/>
          <w:szCs w:val="20"/>
        </w:rPr>
      </w:pPr>
      <w:r w:rsidRPr="00CA56ED">
        <w:rPr>
          <w:rFonts w:cs="Arial"/>
          <w:szCs w:val="20"/>
        </w:rPr>
        <w:t>4.1</w:t>
      </w:r>
      <w:r w:rsidRPr="00CA56ED">
        <w:rPr>
          <w:rFonts w:cs="Arial"/>
          <w:szCs w:val="20"/>
        </w:rPr>
        <w:tab/>
        <w:t>There shall be one rate per country and the rates of the allowance shall refer to one reference city per country, generally the capital city</w:t>
      </w:r>
      <w:r w:rsidRPr="00CA56ED">
        <w:rPr>
          <w:rStyle w:val="FootnoteReference"/>
          <w:rFonts w:cs="Arial"/>
          <w:szCs w:val="20"/>
        </w:rPr>
        <w:footnoteReference w:id="7"/>
      </w:r>
      <w:r w:rsidRPr="00CA56ED">
        <w:rPr>
          <w:rFonts w:cs="Arial"/>
          <w:szCs w:val="20"/>
        </w:rPr>
        <w:t>. However, France, the United Kingdom and the United States, shall be considered as exceptions to this rule in view of the significant number of missions taking place in cities other than the capital. Consequently, for these countries, more than one rate of the allowance shall be established</w:t>
      </w:r>
      <w:r w:rsidRPr="00CA56ED">
        <w:rPr>
          <w:rStyle w:val="FootnoteReference"/>
          <w:rFonts w:cs="Arial"/>
          <w:szCs w:val="20"/>
        </w:rPr>
        <w:footnoteReference w:id="8"/>
      </w:r>
      <w:r w:rsidRPr="00CA56ED">
        <w:rPr>
          <w:rFonts w:cs="Arial"/>
          <w:szCs w:val="20"/>
        </w:rPr>
        <w:t xml:space="preserve">. </w:t>
      </w:r>
    </w:p>
    <w:p w14:paraId="6AE32256" w14:textId="77777777" w:rsidR="00CA56ED" w:rsidRPr="00CA56ED" w:rsidRDefault="00CA56ED" w:rsidP="00CA56ED">
      <w:pPr>
        <w:rPr>
          <w:rFonts w:cs="Arial"/>
          <w:szCs w:val="20"/>
        </w:rPr>
      </w:pPr>
    </w:p>
    <w:p w14:paraId="26A93128" w14:textId="77777777" w:rsidR="00CA56ED" w:rsidRPr="00CA56ED" w:rsidRDefault="00CA56ED" w:rsidP="00CA56ED">
      <w:pPr>
        <w:rPr>
          <w:rFonts w:cs="Arial"/>
          <w:b/>
          <w:szCs w:val="20"/>
        </w:rPr>
      </w:pPr>
      <w:r w:rsidRPr="00CA56ED">
        <w:rPr>
          <w:rFonts w:cs="Arial"/>
          <w:b/>
          <w:szCs w:val="20"/>
        </w:rPr>
        <w:t>Article 5.</w:t>
      </w:r>
      <w:r w:rsidRPr="00CA56ED">
        <w:rPr>
          <w:rFonts w:cs="Arial"/>
          <w:b/>
          <w:szCs w:val="20"/>
        </w:rPr>
        <w:tab/>
        <w:t>Currency</w:t>
      </w:r>
    </w:p>
    <w:p w14:paraId="43CFA55F" w14:textId="77777777" w:rsidR="00CA56ED" w:rsidRPr="00CA56ED" w:rsidRDefault="00CA56ED" w:rsidP="00CA56ED">
      <w:pPr>
        <w:rPr>
          <w:rFonts w:cs="Arial"/>
          <w:szCs w:val="20"/>
        </w:rPr>
      </w:pPr>
    </w:p>
    <w:p w14:paraId="1007FF30" w14:textId="77777777" w:rsidR="00CA56ED" w:rsidRPr="00CA56ED" w:rsidRDefault="00CA56ED" w:rsidP="00CA56ED">
      <w:pPr>
        <w:rPr>
          <w:rFonts w:cs="Arial"/>
          <w:szCs w:val="20"/>
        </w:rPr>
      </w:pPr>
      <w:r w:rsidRPr="00CA56ED">
        <w:rPr>
          <w:rFonts w:cs="Arial"/>
          <w:szCs w:val="20"/>
        </w:rPr>
        <w:t>5.1</w:t>
      </w:r>
      <w:r w:rsidRPr="00CA56ED">
        <w:rPr>
          <w:rFonts w:cs="Arial"/>
          <w:szCs w:val="20"/>
        </w:rPr>
        <w:tab/>
        <w:t xml:space="preserve">The rates of the allowance shall be expressed either in local currency or in euros. </w:t>
      </w:r>
    </w:p>
    <w:p w14:paraId="1DD58777" w14:textId="77777777" w:rsidR="00CA56ED" w:rsidRPr="00CA56ED" w:rsidRDefault="00CA56ED" w:rsidP="00CA56ED">
      <w:pPr>
        <w:rPr>
          <w:rFonts w:cs="Arial"/>
          <w:szCs w:val="20"/>
        </w:rPr>
      </w:pPr>
    </w:p>
    <w:p w14:paraId="23BAAE75" w14:textId="77777777" w:rsidR="00CA56ED" w:rsidRPr="00CA56ED" w:rsidRDefault="00CA56ED" w:rsidP="00CA56ED">
      <w:pPr>
        <w:rPr>
          <w:rFonts w:cs="Arial"/>
          <w:szCs w:val="20"/>
        </w:rPr>
      </w:pPr>
      <w:r w:rsidRPr="00CA56ED">
        <w:rPr>
          <w:rFonts w:cs="Arial"/>
          <w:szCs w:val="20"/>
        </w:rPr>
        <w:t>5.2</w:t>
      </w:r>
      <w:r w:rsidRPr="00CA56ED">
        <w:rPr>
          <w:rFonts w:cs="Arial"/>
          <w:szCs w:val="20"/>
        </w:rPr>
        <w:tab/>
        <w:t xml:space="preserve">For those countries where the rate of the allowance is not expressed in the local currency, the exchange rate used shall be the exchange rate at 1 April. </w:t>
      </w:r>
    </w:p>
    <w:p w14:paraId="4BC38A42" w14:textId="77777777" w:rsidR="00CA56ED" w:rsidRPr="00CA56ED" w:rsidRDefault="00CA56ED" w:rsidP="00CA56ED">
      <w:pPr>
        <w:rPr>
          <w:rFonts w:cs="Arial"/>
          <w:szCs w:val="20"/>
        </w:rPr>
      </w:pPr>
    </w:p>
    <w:p w14:paraId="279BD1F5" w14:textId="77777777" w:rsidR="00CA56ED" w:rsidRPr="00CA56ED" w:rsidRDefault="00CA56ED" w:rsidP="00CA56ED">
      <w:pPr>
        <w:rPr>
          <w:rFonts w:cs="Arial"/>
          <w:b/>
          <w:szCs w:val="20"/>
        </w:rPr>
      </w:pPr>
      <w:r w:rsidRPr="00CA56ED">
        <w:rPr>
          <w:rFonts w:cs="Arial"/>
          <w:b/>
          <w:szCs w:val="20"/>
        </w:rPr>
        <w:t>Article 6.</w:t>
      </w:r>
      <w:r w:rsidRPr="00CA56ED">
        <w:rPr>
          <w:rFonts w:cs="Arial"/>
          <w:b/>
          <w:szCs w:val="20"/>
        </w:rPr>
        <w:tab/>
        <w:t>Reimbursement of exceptional expenditure</w:t>
      </w:r>
    </w:p>
    <w:p w14:paraId="1FD25E86" w14:textId="77777777" w:rsidR="00CA56ED" w:rsidRPr="00CA56ED" w:rsidRDefault="00CA56ED" w:rsidP="00CA56ED">
      <w:pPr>
        <w:rPr>
          <w:rFonts w:cs="Arial"/>
          <w:szCs w:val="20"/>
        </w:rPr>
      </w:pPr>
    </w:p>
    <w:p w14:paraId="64810F32" w14:textId="77777777" w:rsidR="00CA56ED" w:rsidRPr="00CA56ED" w:rsidRDefault="00CA56ED" w:rsidP="00CA56ED">
      <w:pPr>
        <w:rPr>
          <w:rFonts w:cs="Arial"/>
          <w:szCs w:val="20"/>
        </w:rPr>
      </w:pPr>
      <w:r w:rsidRPr="00CA56ED">
        <w:rPr>
          <w:rFonts w:cs="Arial"/>
          <w:szCs w:val="20"/>
        </w:rPr>
        <w:t>6.1</w:t>
      </w:r>
      <w:r w:rsidRPr="00CA56ED">
        <w:rPr>
          <w:rFonts w:cs="Arial"/>
          <w:szCs w:val="20"/>
        </w:rPr>
        <w:tab/>
        <w:t>If under certain circumstances the expenditure for official or commercial accommodation (bed, breakfast when included in the rate and taxes) exceeds 60% of the DSA, the administrations shall have the discretion to reimburse the excess amount partially or totally on presentation of invoices and sufficient proof that the additional expenditure was unavoidable. This reimbursement shall normally not exceed 30% of the amount of the DSA.</w:t>
      </w:r>
    </w:p>
    <w:p w14:paraId="5E077C10" w14:textId="1B42C72E" w:rsidR="00CA56ED" w:rsidRPr="00C13046" w:rsidRDefault="00CA56ED" w:rsidP="00CA56ED">
      <w:pPr>
        <w:rPr>
          <w:rFonts w:cs="Arial"/>
          <w:szCs w:val="20"/>
        </w:rPr>
      </w:pPr>
      <w:r w:rsidRPr="00CA56ED">
        <w:rPr>
          <w:rFonts w:cs="Arial"/>
          <w:szCs w:val="20"/>
        </w:rPr>
        <w:t> </w:t>
      </w:r>
    </w:p>
    <w:p w14:paraId="602F4BCD" w14:textId="77777777" w:rsidR="00CA56ED" w:rsidRPr="00CA56ED" w:rsidRDefault="00CA56ED" w:rsidP="00CA56ED">
      <w:pPr>
        <w:rPr>
          <w:rFonts w:cs="Arial"/>
          <w:b/>
          <w:szCs w:val="20"/>
        </w:rPr>
      </w:pPr>
      <w:r w:rsidRPr="00CA56ED">
        <w:rPr>
          <w:rFonts w:cs="Arial"/>
          <w:b/>
          <w:szCs w:val="20"/>
        </w:rPr>
        <w:t>Article 7.</w:t>
      </w:r>
      <w:r w:rsidRPr="00CA56ED">
        <w:rPr>
          <w:rFonts w:cs="Arial"/>
          <w:b/>
          <w:szCs w:val="20"/>
        </w:rPr>
        <w:tab/>
        <w:t>Review of the levels of the rates and of the procedure</w:t>
      </w:r>
    </w:p>
    <w:p w14:paraId="117BD716" w14:textId="77777777" w:rsidR="00CA56ED" w:rsidRPr="00CA56ED" w:rsidRDefault="00CA56ED" w:rsidP="00CA56ED">
      <w:pPr>
        <w:rPr>
          <w:rFonts w:cs="Arial"/>
          <w:szCs w:val="20"/>
        </w:rPr>
      </w:pPr>
    </w:p>
    <w:p w14:paraId="56F711C6" w14:textId="77777777" w:rsidR="00CA56ED" w:rsidRPr="00CA56ED" w:rsidRDefault="00CA56ED" w:rsidP="00CA56ED">
      <w:pPr>
        <w:rPr>
          <w:rFonts w:cs="Arial"/>
          <w:szCs w:val="20"/>
        </w:rPr>
      </w:pPr>
      <w:r w:rsidRPr="00CA56ED">
        <w:rPr>
          <w:rFonts w:cs="Arial"/>
          <w:szCs w:val="20"/>
        </w:rPr>
        <w:t>7.1</w:t>
      </w:r>
      <w:r w:rsidRPr="00CA56ED">
        <w:rPr>
          <w:rFonts w:cs="Arial"/>
          <w:szCs w:val="20"/>
        </w:rPr>
        <w:tab/>
        <w:t>An assessment of the levels of the rates shall be carried out by the CCR three years after the date of entry into force of the new Rules and, if necessary, changes shall be introduced to the levels of the rates for the 1 January 2024 adjustment.</w:t>
      </w:r>
    </w:p>
    <w:p w14:paraId="5F71CE44" w14:textId="77777777" w:rsidR="00CA56ED" w:rsidRPr="00CA56ED" w:rsidRDefault="00CA56ED" w:rsidP="00CA56ED">
      <w:pPr>
        <w:rPr>
          <w:rFonts w:cs="Arial"/>
          <w:szCs w:val="20"/>
        </w:rPr>
      </w:pPr>
    </w:p>
    <w:p w14:paraId="2C02F1C7" w14:textId="77777777" w:rsidR="00CA56ED" w:rsidRPr="00CA56ED" w:rsidRDefault="00CA56ED" w:rsidP="00CA56ED">
      <w:pPr>
        <w:rPr>
          <w:rFonts w:cs="Arial"/>
          <w:b/>
          <w:szCs w:val="20"/>
        </w:rPr>
      </w:pPr>
      <w:r w:rsidRPr="00CA56ED">
        <w:rPr>
          <w:rFonts w:cs="Arial"/>
          <w:b/>
          <w:szCs w:val="20"/>
        </w:rPr>
        <w:t>Article 8.</w:t>
      </w:r>
      <w:r w:rsidRPr="00CA56ED">
        <w:rPr>
          <w:rFonts w:cs="Arial"/>
          <w:b/>
          <w:szCs w:val="20"/>
        </w:rPr>
        <w:tab/>
        <w:t>Date of entry into force and duration of validity of the Rules</w:t>
      </w:r>
    </w:p>
    <w:p w14:paraId="0802286D" w14:textId="77777777" w:rsidR="00CA56ED" w:rsidRPr="00CA56ED" w:rsidRDefault="00CA56ED" w:rsidP="00CA56ED">
      <w:pPr>
        <w:rPr>
          <w:rFonts w:cs="Arial"/>
          <w:szCs w:val="20"/>
        </w:rPr>
      </w:pPr>
    </w:p>
    <w:p w14:paraId="55D59BDD" w14:textId="77777777" w:rsidR="00CA56ED" w:rsidRPr="00CA56ED" w:rsidRDefault="00CA56ED" w:rsidP="00CA56ED">
      <w:pPr>
        <w:rPr>
          <w:rFonts w:cs="Arial"/>
          <w:szCs w:val="20"/>
        </w:rPr>
      </w:pPr>
      <w:r w:rsidRPr="00CA56ED">
        <w:rPr>
          <w:rFonts w:cs="Arial"/>
          <w:szCs w:val="20"/>
        </w:rPr>
        <w:t>8.1</w:t>
      </w:r>
      <w:r w:rsidRPr="00CA56ED">
        <w:rPr>
          <w:rFonts w:cs="Arial"/>
          <w:szCs w:val="20"/>
        </w:rPr>
        <w:tab/>
        <w:t>These Rules shall replace those set out in the 228</w:t>
      </w:r>
      <w:r w:rsidRPr="00CA56ED">
        <w:rPr>
          <w:rFonts w:cs="Arial"/>
          <w:szCs w:val="20"/>
          <w:vertAlign w:val="superscript"/>
        </w:rPr>
        <w:t>th</w:t>
      </w:r>
      <w:r w:rsidRPr="00CA56ED">
        <w:rPr>
          <w:rFonts w:cs="Arial"/>
          <w:szCs w:val="20"/>
        </w:rPr>
        <w:t xml:space="preserve"> Report and its </w:t>
      </w:r>
      <w:proofErr w:type="gramStart"/>
      <w:r w:rsidRPr="00CA56ED">
        <w:rPr>
          <w:rFonts w:cs="Arial"/>
          <w:szCs w:val="20"/>
        </w:rPr>
        <w:t>addendum, and</w:t>
      </w:r>
      <w:proofErr w:type="gramEnd"/>
      <w:r w:rsidRPr="00CA56ED">
        <w:rPr>
          <w:rFonts w:cs="Arial"/>
          <w:szCs w:val="20"/>
        </w:rPr>
        <w:t xml:space="preserve"> shall come into force at 1 January 2021 for a period of six years, i.e. until 31 December 2026.</w:t>
      </w:r>
      <w:r w:rsidRPr="00CA56ED">
        <w:rPr>
          <w:rFonts w:cs="Arial"/>
          <w:szCs w:val="20"/>
        </w:rPr>
        <w:br w:type="page"/>
      </w:r>
    </w:p>
    <w:p w14:paraId="7EC944F3" w14:textId="77777777" w:rsidR="00CA56ED" w:rsidRPr="00CA56ED" w:rsidRDefault="00CA56ED" w:rsidP="00CA56ED">
      <w:pPr>
        <w:jc w:val="center"/>
        <w:rPr>
          <w:rFonts w:eastAsia="Times New Roman" w:cs="Arial"/>
          <w:b/>
          <w:szCs w:val="20"/>
          <w:lang w:val="en-US"/>
        </w:rPr>
      </w:pPr>
      <w:r w:rsidRPr="00CA56ED">
        <w:rPr>
          <w:rFonts w:eastAsia="Times New Roman" w:cs="Arial"/>
          <w:b/>
          <w:szCs w:val="20"/>
          <w:lang w:val="en-US"/>
        </w:rPr>
        <w:lastRenderedPageBreak/>
        <w:t>Appendix 1</w:t>
      </w:r>
    </w:p>
    <w:p w14:paraId="0A670C0D" w14:textId="77777777" w:rsidR="00CA56ED" w:rsidRPr="00CA56ED" w:rsidRDefault="00CA56ED" w:rsidP="00CA56ED">
      <w:pPr>
        <w:jc w:val="center"/>
        <w:rPr>
          <w:rFonts w:eastAsia="Times New Roman" w:cs="Arial"/>
          <w:b/>
          <w:szCs w:val="20"/>
          <w:lang w:val="en-US"/>
        </w:rPr>
      </w:pPr>
    </w:p>
    <w:p w14:paraId="2E46063F" w14:textId="008794E4" w:rsidR="00CA56ED" w:rsidRPr="00CA56ED" w:rsidRDefault="00CA56ED" w:rsidP="00CA56ED">
      <w:pPr>
        <w:jc w:val="center"/>
        <w:rPr>
          <w:rFonts w:cs="Arial"/>
          <w:b/>
          <w:szCs w:val="20"/>
        </w:rPr>
      </w:pPr>
      <w:r w:rsidRPr="00CA56ED">
        <w:rPr>
          <w:rFonts w:cs="Arial"/>
          <w:b/>
          <w:szCs w:val="20"/>
        </w:rPr>
        <w:t>RULES FOR ALL DUTY TRAVEL</w:t>
      </w:r>
    </w:p>
    <w:p w14:paraId="4F6A6937" w14:textId="77777777" w:rsidR="00CA56ED" w:rsidRPr="00CA56ED" w:rsidRDefault="00CA56ED" w:rsidP="00CA56ED">
      <w:pPr>
        <w:jc w:val="center"/>
        <w:rPr>
          <w:rFonts w:cs="Arial"/>
          <w:b/>
          <w:szCs w:val="20"/>
        </w:rPr>
      </w:pPr>
    </w:p>
    <w:p w14:paraId="40534403" w14:textId="77777777" w:rsidR="00CA56ED" w:rsidRPr="00CA56ED" w:rsidRDefault="00CA56ED" w:rsidP="00CA56ED">
      <w:pPr>
        <w:jc w:val="center"/>
        <w:rPr>
          <w:rFonts w:cs="Arial"/>
          <w:b/>
          <w:szCs w:val="20"/>
        </w:rPr>
      </w:pPr>
    </w:p>
    <w:p w14:paraId="202C0D43" w14:textId="258C2524" w:rsidR="00CA56ED" w:rsidRPr="00CA56ED" w:rsidRDefault="00CA56ED" w:rsidP="00CA56ED">
      <w:pPr>
        <w:rPr>
          <w:rFonts w:cs="Arial"/>
          <w:szCs w:val="20"/>
        </w:rPr>
      </w:pPr>
      <w:r w:rsidRPr="00CA56ED">
        <w:rPr>
          <w:rFonts w:cs="Arial"/>
          <w:szCs w:val="20"/>
        </w:rPr>
        <w:t>1.</w:t>
      </w:r>
      <w:r w:rsidRPr="00CA56ED">
        <w:rPr>
          <w:rFonts w:cs="Arial"/>
          <w:szCs w:val="20"/>
        </w:rPr>
        <w:tab/>
        <w:t>Staff members travelling on duty shall be entitled to one day's subsistence allowance for each complete 24-hour period of duty. They shall not be entitled (except as provided for in Article 6 relating to Reimbursement of exceptional expenditure) to more than the full daily allowance for each complete 24-hour period of duty.</w:t>
      </w:r>
    </w:p>
    <w:p w14:paraId="55058F2B" w14:textId="77777777" w:rsidR="00CA56ED" w:rsidRPr="00CA56ED" w:rsidRDefault="00CA56ED" w:rsidP="00CA56ED">
      <w:pPr>
        <w:rPr>
          <w:rFonts w:cs="Arial"/>
          <w:szCs w:val="20"/>
        </w:rPr>
      </w:pPr>
    </w:p>
    <w:p w14:paraId="51523791" w14:textId="77777777" w:rsidR="00CA56ED" w:rsidRPr="00CA56ED" w:rsidRDefault="00CA56ED" w:rsidP="00CA56ED">
      <w:pPr>
        <w:rPr>
          <w:rFonts w:cs="Arial"/>
          <w:szCs w:val="20"/>
        </w:rPr>
      </w:pPr>
      <w:r w:rsidRPr="00CA56ED">
        <w:rPr>
          <w:rFonts w:cs="Arial"/>
          <w:szCs w:val="20"/>
        </w:rPr>
        <w:t>2.</w:t>
      </w:r>
      <w:r w:rsidRPr="00CA56ED">
        <w:rPr>
          <w:rFonts w:cs="Arial"/>
          <w:szCs w:val="20"/>
        </w:rPr>
        <w:tab/>
        <w:t>No subsistence allowance shall be payable for periods of less than four hours.</w:t>
      </w:r>
    </w:p>
    <w:p w14:paraId="5A2A9270" w14:textId="77777777" w:rsidR="00CA56ED" w:rsidRPr="00CA56ED" w:rsidRDefault="00CA56ED" w:rsidP="00CA56ED">
      <w:pPr>
        <w:rPr>
          <w:rFonts w:cs="Arial"/>
          <w:szCs w:val="20"/>
        </w:rPr>
      </w:pPr>
    </w:p>
    <w:p w14:paraId="2E40A795" w14:textId="77777777" w:rsidR="00CA56ED" w:rsidRPr="00CA56ED" w:rsidRDefault="00CA56ED" w:rsidP="00CA56ED">
      <w:pPr>
        <w:rPr>
          <w:rFonts w:cs="Arial"/>
          <w:szCs w:val="20"/>
        </w:rPr>
      </w:pPr>
      <w:r w:rsidRPr="00CA56ED">
        <w:rPr>
          <w:rFonts w:cs="Arial"/>
          <w:szCs w:val="20"/>
        </w:rPr>
        <w:t>3.</w:t>
      </w:r>
      <w:r w:rsidRPr="00CA56ED">
        <w:rPr>
          <w:rFonts w:cs="Arial"/>
          <w:szCs w:val="20"/>
        </w:rPr>
        <w:tab/>
        <w:t>Where the period of duty is four hours or more, but less than eight hours, the staff member shall be entitled to one quarter of the daily allowance. The staff member shall likewise be entitled to one quarter of the daily allowance in respect of any period of four hours or more, but less than eight hours in excess of any complete period of 24 hours.</w:t>
      </w:r>
    </w:p>
    <w:p w14:paraId="0169D141" w14:textId="77777777" w:rsidR="00CA56ED" w:rsidRPr="00CA56ED" w:rsidRDefault="00CA56ED" w:rsidP="00CA56ED">
      <w:pPr>
        <w:rPr>
          <w:rFonts w:cs="Arial"/>
          <w:szCs w:val="20"/>
        </w:rPr>
      </w:pPr>
    </w:p>
    <w:p w14:paraId="538D6116" w14:textId="77777777" w:rsidR="00CA56ED" w:rsidRPr="00CA56ED" w:rsidRDefault="00CA56ED" w:rsidP="00CA56ED">
      <w:pPr>
        <w:rPr>
          <w:rFonts w:cs="Arial"/>
          <w:szCs w:val="20"/>
        </w:rPr>
      </w:pPr>
      <w:r w:rsidRPr="00CA56ED">
        <w:rPr>
          <w:rFonts w:cs="Arial"/>
          <w:szCs w:val="20"/>
        </w:rPr>
        <w:t>4.</w:t>
      </w:r>
      <w:r w:rsidRPr="00CA56ED">
        <w:rPr>
          <w:rFonts w:cs="Arial"/>
          <w:szCs w:val="20"/>
        </w:rPr>
        <w:tab/>
        <w:t>Where the period of duty is eight hours or more without official or commercial accommodation, the staff member shall be entitled to one half of the daily allowance. The staff member shall likewise be entitled to one half of the daily allowance in respect of any period of eight hours or more, but less than 24 hours in excess of any complete period of 24 hours.</w:t>
      </w:r>
    </w:p>
    <w:p w14:paraId="71D264DA" w14:textId="77777777" w:rsidR="00CA56ED" w:rsidRPr="00CA56ED" w:rsidRDefault="00CA56ED" w:rsidP="00CA56ED">
      <w:pPr>
        <w:rPr>
          <w:rFonts w:cs="Arial"/>
          <w:szCs w:val="20"/>
        </w:rPr>
      </w:pPr>
    </w:p>
    <w:p w14:paraId="2F73FF06" w14:textId="77777777" w:rsidR="00CA56ED" w:rsidRPr="00CA56ED" w:rsidRDefault="00CA56ED" w:rsidP="00CA56ED">
      <w:pPr>
        <w:rPr>
          <w:rFonts w:cs="Arial"/>
          <w:szCs w:val="20"/>
        </w:rPr>
      </w:pPr>
      <w:r w:rsidRPr="00CA56ED">
        <w:rPr>
          <w:rFonts w:cs="Arial"/>
          <w:szCs w:val="20"/>
        </w:rPr>
        <w:t>5.</w:t>
      </w:r>
      <w:r w:rsidRPr="00CA56ED">
        <w:rPr>
          <w:rFonts w:cs="Arial"/>
          <w:szCs w:val="20"/>
        </w:rPr>
        <w:tab/>
        <w:t>Where the period of duty is eight hours or more, but less than 24 hours, with official or commercial accommodation, the staff member shall be paid the full daily allowance.</w:t>
      </w:r>
    </w:p>
    <w:p w14:paraId="100B5E87" w14:textId="77777777" w:rsidR="00CA56ED" w:rsidRPr="00CA56ED" w:rsidRDefault="00CA56ED" w:rsidP="00CA56ED">
      <w:pPr>
        <w:rPr>
          <w:rFonts w:cs="Arial"/>
          <w:szCs w:val="20"/>
        </w:rPr>
      </w:pPr>
    </w:p>
    <w:p w14:paraId="1F361040" w14:textId="77777777" w:rsidR="00CA56ED" w:rsidRPr="00CA56ED" w:rsidRDefault="00CA56ED" w:rsidP="00CA56ED">
      <w:pPr>
        <w:rPr>
          <w:rFonts w:cs="Arial"/>
          <w:szCs w:val="20"/>
        </w:rPr>
      </w:pPr>
      <w:r w:rsidRPr="00CA56ED">
        <w:rPr>
          <w:rFonts w:cs="Arial"/>
          <w:szCs w:val="20"/>
        </w:rPr>
        <w:t>6.</w:t>
      </w:r>
      <w:r w:rsidRPr="00CA56ED">
        <w:rPr>
          <w:rFonts w:cs="Arial"/>
          <w:szCs w:val="20"/>
        </w:rPr>
        <w:tab/>
        <w:t>Notwithstanding the rules above, each Organisation may introduce special rules for duty travel performed in the vicinity of the staff member's normal place of work or habitual place of residence.</w:t>
      </w:r>
    </w:p>
    <w:p w14:paraId="781A2B5B" w14:textId="77777777" w:rsidR="00CA56ED" w:rsidRPr="00CA56ED" w:rsidRDefault="00CA56ED" w:rsidP="00CA56ED">
      <w:pPr>
        <w:rPr>
          <w:rFonts w:cs="Arial"/>
          <w:szCs w:val="20"/>
        </w:rPr>
      </w:pPr>
    </w:p>
    <w:p w14:paraId="1EFE4689" w14:textId="77777777" w:rsidR="00CA56ED" w:rsidRPr="00CA56ED" w:rsidRDefault="00CA56ED" w:rsidP="00CA56ED">
      <w:pPr>
        <w:rPr>
          <w:rFonts w:cs="Arial"/>
          <w:szCs w:val="20"/>
        </w:rPr>
      </w:pPr>
      <w:r w:rsidRPr="00CA56ED">
        <w:rPr>
          <w:rFonts w:cs="Arial"/>
          <w:szCs w:val="20"/>
        </w:rPr>
        <w:t>7.</w:t>
      </w:r>
      <w:r w:rsidRPr="00CA56ED">
        <w:rPr>
          <w:rFonts w:cs="Arial"/>
          <w:szCs w:val="20"/>
        </w:rPr>
        <w:tab/>
        <w:t>Where meals and/or accommodation are provided to the staff member, the daily subsistence allowance shall be abated according to the internal rules of the Organisation.</w:t>
      </w:r>
    </w:p>
    <w:p w14:paraId="1BE4AEA5" w14:textId="77777777" w:rsidR="00CA56ED" w:rsidRPr="00CA56ED" w:rsidRDefault="00CA56ED" w:rsidP="00CA56ED">
      <w:pPr>
        <w:rPr>
          <w:rFonts w:cs="Arial"/>
          <w:szCs w:val="20"/>
        </w:rPr>
      </w:pPr>
    </w:p>
    <w:p w14:paraId="2F0C9E40" w14:textId="77777777" w:rsidR="00CA56ED" w:rsidRPr="00CA56ED" w:rsidRDefault="00CA56ED" w:rsidP="00CA56ED">
      <w:pPr>
        <w:rPr>
          <w:rFonts w:cs="Arial"/>
          <w:szCs w:val="20"/>
        </w:rPr>
      </w:pPr>
      <w:r w:rsidRPr="00CA56ED">
        <w:rPr>
          <w:rFonts w:cs="Arial"/>
          <w:szCs w:val="20"/>
        </w:rPr>
        <w:t>8.</w:t>
      </w:r>
      <w:r w:rsidRPr="00CA56ED">
        <w:rPr>
          <w:rFonts w:cs="Arial"/>
          <w:szCs w:val="20"/>
        </w:rPr>
        <w:tab/>
        <w:t>The cost of official or commercial accommodation shall only be reimbursed upon submission of an invoice, whatever the system of reimbursement (real costs or lump sum) retained by the Organisation.</w:t>
      </w:r>
    </w:p>
    <w:p w14:paraId="121FBA78" w14:textId="77777777" w:rsidR="00CA56ED" w:rsidRPr="00CA56ED" w:rsidRDefault="00CA56ED" w:rsidP="00CA56ED">
      <w:pPr>
        <w:spacing w:after="240"/>
        <w:rPr>
          <w:rFonts w:cs="Arial"/>
          <w:b/>
          <w:szCs w:val="20"/>
        </w:rPr>
      </w:pPr>
    </w:p>
    <w:p w14:paraId="6641506E" w14:textId="77777777" w:rsidR="00CA56ED" w:rsidRPr="00CA56ED" w:rsidRDefault="00CA56ED" w:rsidP="00CA56ED">
      <w:pPr>
        <w:rPr>
          <w:rFonts w:cs="Arial"/>
          <w:b/>
          <w:szCs w:val="20"/>
        </w:rPr>
      </w:pPr>
      <w:r w:rsidRPr="00CA56ED">
        <w:rPr>
          <w:rFonts w:cs="Arial"/>
          <w:b/>
          <w:szCs w:val="20"/>
        </w:rPr>
        <w:br w:type="page"/>
      </w:r>
    </w:p>
    <w:p w14:paraId="72B766B2" w14:textId="77777777" w:rsidR="00CA56ED" w:rsidRPr="00CA56ED" w:rsidRDefault="00CA56ED" w:rsidP="00CA56ED">
      <w:pPr>
        <w:spacing w:after="240"/>
        <w:jc w:val="center"/>
        <w:rPr>
          <w:rFonts w:cs="Arial"/>
          <w:b/>
          <w:szCs w:val="20"/>
        </w:rPr>
      </w:pPr>
      <w:r w:rsidRPr="00CA56ED">
        <w:rPr>
          <w:rFonts w:cs="Arial"/>
          <w:b/>
          <w:szCs w:val="20"/>
        </w:rPr>
        <w:lastRenderedPageBreak/>
        <w:t>Appendix 2</w:t>
      </w:r>
    </w:p>
    <w:p w14:paraId="00EBB999" w14:textId="0771C254" w:rsidR="00CA56ED" w:rsidRDefault="00CA56ED" w:rsidP="0048480A">
      <w:pPr>
        <w:keepNext/>
        <w:jc w:val="center"/>
        <w:outlineLvl w:val="0"/>
        <w:rPr>
          <w:rFonts w:cs="Arial"/>
          <w:b/>
          <w:szCs w:val="20"/>
        </w:rPr>
      </w:pPr>
      <w:r w:rsidRPr="00CA56ED">
        <w:rPr>
          <w:rFonts w:cs="Arial"/>
          <w:b/>
          <w:szCs w:val="20"/>
        </w:rPr>
        <w:t>RULES FOR THE CALCULATION OF THE DSA</w:t>
      </w:r>
    </w:p>
    <w:p w14:paraId="3238D214" w14:textId="48E020A2" w:rsidR="0048480A" w:rsidRDefault="0048480A" w:rsidP="0048480A">
      <w:pPr>
        <w:keepNext/>
        <w:jc w:val="center"/>
        <w:outlineLvl w:val="0"/>
        <w:rPr>
          <w:rFonts w:cs="Arial"/>
          <w:b/>
          <w:szCs w:val="20"/>
        </w:rPr>
      </w:pPr>
    </w:p>
    <w:p w14:paraId="5950B8BF" w14:textId="77777777" w:rsidR="0048480A" w:rsidRPr="00CA56ED" w:rsidRDefault="0048480A" w:rsidP="0048480A">
      <w:pPr>
        <w:keepNext/>
        <w:jc w:val="center"/>
        <w:outlineLvl w:val="0"/>
        <w:rPr>
          <w:rFonts w:cs="Arial"/>
          <w:b/>
          <w:szCs w:val="20"/>
        </w:rPr>
      </w:pPr>
    </w:p>
    <w:p w14:paraId="6E3BCAAB" w14:textId="77777777" w:rsidR="00CA56ED" w:rsidRPr="00CA56ED" w:rsidRDefault="00CA56ED" w:rsidP="0048480A">
      <w:pPr>
        <w:keepNext/>
        <w:numPr>
          <w:ilvl w:val="0"/>
          <w:numId w:val="4"/>
        </w:numPr>
        <w:ind w:left="0" w:firstLine="0"/>
        <w:jc w:val="both"/>
        <w:outlineLvl w:val="0"/>
        <w:rPr>
          <w:rFonts w:cs="Arial"/>
          <w:b/>
          <w:szCs w:val="20"/>
        </w:rPr>
      </w:pPr>
      <w:r w:rsidRPr="00CA56ED">
        <w:rPr>
          <w:rFonts w:cs="Arial"/>
          <w:b/>
          <w:szCs w:val="20"/>
        </w:rPr>
        <w:t>NATIONAL CIVIL SERVICE DATA</w:t>
      </w:r>
    </w:p>
    <w:p w14:paraId="06DAE2C9" w14:textId="77777777" w:rsidR="00CA56ED" w:rsidRPr="00CA56ED" w:rsidRDefault="00CA56ED" w:rsidP="0048480A">
      <w:pPr>
        <w:rPr>
          <w:rFonts w:cs="Arial"/>
          <w:szCs w:val="20"/>
        </w:rPr>
      </w:pPr>
    </w:p>
    <w:p w14:paraId="163ADDD0" w14:textId="77777777" w:rsidR="00CA56ED" w:rsidRPr="00CA56ED" w:rsidRDefault="00CA56ED" w:rsidP="0048480A">
      <w:pPr>
        <w:keepNext/>
        <w:tabs>
          <w:tab w:val="left" w:pos="0"/>
        </w:tabs>
        <w:outlineLvl w:val="0"/>
        <w:rPr>
          <w:rFonts w:cs="Arial"/>
          <w:b/>
          <w:szCs w:val="20"/>
        </w:rPr>
      </w:pPr>
      <w:r w:rsidRPr="00CA56ED">
        <w:rPr>
          <w:rFonts w:cs="Arial"/>
          <w:b/>
          <w:szCs w:val="20"/>
        </w:rPr>
        <w:t>1.1</w:t>
      </w:r>
      <w:r w:rsidRPr="00CA56ED">
        <w:rPr>
          <w:rFonts w:cs="Arial"/>
          <w:b/>
          <w:szCs w:val="20"/>
        </w:rPr>
        <w:tab/>
        <w:t>Reference date</w:t>
      </w:r>
    </w:p>
    <w:p w14:paraId="6B5C2F27" w14:textId="77777777" w:rsidR="00CA56ED" w:rsidRPr="00CA56ED" w:rsidRDefault="00CA56ED" w:rsidP="0048480A">
      <w:pPr>
        <w:rPr>
          <w:rFonts w:cs="Arial"/>
          <w:szCs w:val="20"/>
        </w:rPr>
      </w:pPr>
    </w:p>
    <w:p w14:paraId="4A89ED05" w14:textId="77777777" w:rsidR="00CA56ED" w:rsidRPr="00CA56ED" w:rsidRDefault="00CA56ED" w:rsidP="00CA56ED">
      <w:pPr>
        <w:keepNext/>
        <w:outlineLvl w:val="0"/>
        <w:rPr>
          <w:rFonts w:cs="Arial"/>
          <w:szCs w:val="20"/>
        </w:rPr>
      </w:pPr>
      <w:r w:rsidRPr="00CA56ED">
        <w:rPr>
          <w:rFonts w:cs="Arial"/>
          <w:szCs w:val="20"/>
        </w:rPr>
        <w:t>In compliance with Article 2 of the 268</w:t>
      </w:r>
      <w:r w:rsidRPr="00CA56ED">
        <w:rPr>
          <w:rFonts w:cs="Arial"/>
          <w:szCs w:val="20"/>
          <w:vertAlign w:val="superscript"/>
        </w:rPr>
        <w:t>th</w:t>
      </w:r>
      <w:r w:rsidRPr="00CA56ED">
        <w:rPr>
          <w:rFonts w:cs="Arial"/>
          <w:szCs w:val="20"/>
        </w:rPr>
        <w:t xml:space="preserve"> Report, the initial DSA rates must be based on the DSA rates in force in 2020 in the eight reference countries (Belgium, France, Germany, Italy, Luxembourg, the </w:t>
      </w:r>
      <w:r w:rsidRPr="00CA56ED">
        <w:rPr>
          <w:rFonts w:cs="Arial"/>
          <w:spacing w:val="-2"/>
          <w:szCs w:val="20"/>
        </w:rPr>
        <w:t>Netherlands, Spain and the United Kingdom)</w:t>
      </w:r>
      <w:r w:rsidRPr="00CA56ED">
        <w:rPr>
          <w:rFonts w:cs="Arial"/>
          <w:szCs w:val="20"/>
        </w:rPr>
        <w:t xml:space="preserve">. The NCS data to be used for the calculation of the DSA </w:t>
      </w:r>
      <w:proofErr w:type="gramStart"/>
      <w:r w:rsidRPr="00CA56ED">
        <w:rPr>
          <w:rFonts w:cs="Arial"/>
          <w:szCs w:val="20"/>
        </w:rPr>
        <w:t>make reference</w:t>
      </w:r>
      <w:proofErr w:type="gramEnd"/>
      <w:r w:rsidRPr="00CA56ED">
        <w:rPr>
          <w:rFonts w:cs="Arial"/>
          <w:szCs w:val="20"/>
        </w:rPr>
        <w:t xml:space="preserve"> to the date of 1 April. </w:t>
      </w:r>
    </w:p>
    <w:p w14:paraId="2856AA6A" w14:textId="77777777" w:rsidR="00CA56ED" w:rsidRPr="00CA56ED" w:rsidRDefault="00CA56ED" w:rsidP="00CA56ED">
      <w:pPr>
        <w:rPr>
          <w:rFonts w:cs="Arial"/>
          <w:szCs w:val="20"/>
        </w:rPr>
      </w:pPr>
    </w:p>
    <w:p w14:paraId="1FD476EE" w14:textId="77777777" w:rsidR="00CA56ED" w:rsidRPr="00CA56ED" w:rsidRDefault="00CA56ED" w:rsidP="0048480A">
      <w:pPr>
        <w:keepNext/>
        <w:tabs>
          <w:tab w:val="left" w:pos="0"/>
        </w:tabs>
        <w:outlineLvl w:val="0"/>
        <w:rPr>
          <w:rFonts w:cs="Arial"/>
          <w:b/>
          <w:szCs w:val="20"/>
        </w:rPr>
      </w:pPr>
      <w:r w:rsidRPr="00CA56ED">
        <w:rPr>
          <w:rFonts w:cs="Arial"/>
          <w:b/>
          <w:szCs w:val="20"/>
        </w:rPr>
        <w:t>1.2</w:t>
      </w:r>
      <w:r w:rsidRPr="00CA56ED">
        <w:rPr>
          <w:rFonts w:cs="Arial"/>
          <w:b/>
          <w:szCs w:val="20"/>
        </w:rPr>
        <w:tab/>
        <w:t xml:space="preserve">Data sources </w:t>
      </w:r>
    </w:p>
    <w:p w14:paraId="34E35ACF" w14:textId="77777777" w:rsidR="00CA56ED" w:rsidRPr="00CA56ED" w:rsidRDefault="00CA56ED" w:rsidP="00CA56ED">
      <w:pPr>
        <w:rPr>
          <w:rFonts w:cs="Arial"/>
          <w:szCs w:val="20"/>
        </w:rPr>
      </w:pPr>
    </w:p>
    <w:p w14:paraId="111F8295" w14:textId="77777777" w:rsidR="00CA56ED" w:rsidRPr="00CA56ED" w:rsidRDefault="00CA56ED" w:rsidP="00CA56ED">
      <w:pPr>
        <w:keepNext/>
        <w:outlineLvl w:val="0"/>
        <w:rPr>
          <w:rFonts w:cs="Arial"/>
          <w:szCs w:val="20"/>
        </w:rPr>
      </w:pPr>
      <w:r w:rsidRPr="00CA56ED">
        <w:rPr>
          <w:rFonts w:cs="Arial"/>
          <w:szCs w:val="20"/>
        </w:rPr>
        <w:t xml:space="preserve">The data sources per reference country specifically used for the calculation of the initial levels of the DSA rates are the following: </w:t>
      </w:r>
    </w:p>
    <w:p w14:paraId="00E13745" w14:textId="77777777" w:rsidR="00CA56ED" w:rsidRPr="00CA56ED" w:rsidRDefault="00CA56ED" w:rsidP="00CA56ED">
      <w:pPr>
        <w:rPr>
          <w:rFonts w:cs="Arial"/>
          <w:szCs w:val="20"/>
        </w:rPr>
      </w:pPr>
    </w:p>
    <w:tbl>
      <w:tblPr>
        <w:tblStyle w:val="TableGrid"/>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7796"/>
      </w:tblGrid>
      <w:tr w:rsidR="00CA56ED" w:rsidRPr="00CA56ED" w14:paraId="65726B1C" w14:textId="77777777" w:rsidTr="002F0502">
        <w:tc>
          <w:tcPr>
            <w:tcW w:w="1702" w:type="dxa"/>
          </w:tcPr>
          <w:p w14:paraId="5B11FAD3" w14:textId="77777777" w:rsidR="00CA56ED" w:rsidRPr="00CA56ED" w:rsidRDefault="00CA56ED" w:rsidP="002F0502">
            <w:pPr>
              <w:keepNext/>
              <w:tabs>
                <w:tab w:val="left" w:pos="567"/>
              </w:tabs>
              <w:outlineLvl w:val="0"/>
              <w:rPr>
                <w:rFonts w:cs="Arial"/>
                <w:szCs w:val="20"/>
              </w:rPr>
            </w:pPr>
            <w:r w:rsidRPr="00CA56ED">
              <w:rPr>
                <w:rFonts w:cs="Arial"/>
                <w:szCs w:val="20"/>
              </w:rPr>
              <w:t>Belgium</w:t>
            </w:r>
          </w:p>
        </w:tc>
        <w:tc>
          <w:tcPr>
            <w:tcW w:w="7796" w:type="dxa"/>
          </w:tcPr>
          <w:p w14:paraId="5BD069A9" w14:textId="77777777" w:rsidR="00CA56ED" w:rsidRPr="00CA56ED" w:rsidRDefault="00CA56ED" w:rsidP="002F0502">
            <w:pPr>
              <w:keepNext/>
              <w:tabs>
                <w:tab w:val="left" w:pos="567"/>
              </w:tabs>
              <w:outlineLvl w:val="0"/>
              <w:rPr>
                <w:rFonts w:cs="Arial"/>
                <w:szCs w:val="20"/>
                <w:lang w:val="fr-FR"/>
              </w:rPr>
            </w:pPr>
            <w:r w:rsidRPr="00CA56ED">
              <w:rPr>
                <w:rFonts w:cs="Arial"/>
                <w:i/>
                <w:iCs/>
                <w:szCs w:val="20"/>
                <w:lang w:val="fr-FR"/>
              </w:rPr>
              <w:t>Arrêté du Régent du 29 avril 1948 : Indemnités de séjour allouées aux représentants et fonctionnaires qui dépendent du Service public fédéral des Affaires étrangères, Commerce extérieur et Coopération au Développement. Arrêté ministériel du 2 juillet 2018.</w:t>
            </w:r>
          </w:p>
        </w:tc>
      </w:tr>
      <w:tr w:rsidR="00CA56ED" w:rsidRPr="00CA56ED" w14:paraId="0013BA2B" w14:textId="77777777" w:rsidTr="002F0502">
        <w:tc>
          <w:tcPr>
            <w:tcW w:w="1702" w:type="dxa"/>
          </w:tcPr>
          <w:p w14:paraId="7183EE88" w14:textId="77777777" w:rsidR="00CA56ED" w:rsidRPr="00CA56ED" w:rsidRDefault="00CA56ED" w:rsidP="002F0502">
            <w:pPr>
              <w:keepNext/>
              <w:tabs>
                <w:tab w:val="left" w:pos="567"/>
              </w:tabs>
              <w:outlineLvl w:val="0"/>
              <w:rPr>
                <w:rFonts w:cs="Arial"/>
                <w:szCs w:val="20"/>
                <w:lang w:val="fr-FR"/>
              </w:rPr>
            </w:pPr>
          </w:p>
        </w:tc>
        <w:tc>
          <w:tcPr>
            <w:tcW w:w="7796" w:type="dxa"/>
          </w:tcPr>
          <w:p w14:paraId="6D62BDAE" w14:textId="77777777" w:rsidR="00CA56ED" w:rsidRPr="00CA56ED" w:rsidRDefault="00CA56ED" w:rsidP="002F0502">
            <w:pPr>
              <w:keepNext/>
              <w:tabs>
                <w:tab w:val="left" w:pos="567"/>
              </w:tabs>
              <w:outlineLvl w:val="0"/>
              <w:rPr>
                <w:rFonts w:cs="Arial"/>
                <w:szCs w:val="20"/>
                <w:lang w:val="fr-FR"/>
              </w:rPr>
            </w:pPr>
          </w:p>
        </w:tc>
      </w:tr>
      <w:tr w:rsidR="00CA56ED" w:rsidRPr="00C06C71" w14:paraId="1075CB23" w14:textId="77777777" w:rsidTr="002F0502">
        <w:tc>
          <w:tcPr>
            <w:tcW w:w="1702" w:type="dxa"/>
          </w:tcPr>
          <w:p w14:paraId="0FD9C423" w14:textId="77777777" w:rsidR="00CA56ED" w:rsidRPr="00CA56ED" w:rsidRDefault="00CA56ED" w:rsidP="002F0502">
            <w:pPr>
              <w:keepNext/>
              <w:tabs>
                <w:tab w:val="left" w:pos="567"/>
              </w:tabs>
              <w:outlineLvl w:val="0"/>
              <w:rPr>
                <w:rFonts w:cs="Arial"/>
                <w:szCs w:val="20"/>
              </w:rPr>
            </w:pPr>
            <w:r w:rsidRPr="00CA56ED">
              <w:rPr>
                <w:rFonts w:cs="Arial"/>
                <w:szCs w:val="20"/>
              </w:rPr>
              <w:t>France</w:t>
            </w:r>
          </w:p>
        </w:tc>
        <w:tc>
          <w:tcPr>
            <w:tcW w:w="7796" w:type="dxa"/>
          </w:tcPr>
          <w:p w14:paraId="30463541" w14:textId="72E86009" w:rsidR="00CA56ED" w:rsidRPr="00CA56ED" w:rsidRDefault="00CA56ED" w:rsidP="002F0502">
            <w:pPr>
              <w:keepNext/>
              <w:tabs>
                <w:tab w:val="left" w:pos="567"/>
              </w:tabs>
              <w:outlineLvl w:val="0"/>
              <w:rPr>
                <w:rFonts w:cs="Arial"/>
                <w:szCs w:val="20"/>
                <w:lang w:val="fr-FR"/>
              </w:rPr>
            </w:pPr>
            <w:r w:rsidRPr="00CA56ED">
              <w:rPr>
                <w:rFonts w:cs="Arial"/>
                <w:i/>
                <w:iCs/>
                <w:szCs w:val="20"/>
                <w:lang w:val="fr-FR"/>
              </w:rPr>
              <w:t>Décret n° 2006-781 du 3 juillet 2006 fixant les conditions et les modalités de règlement des frais occasionnés par les déplacements temporaires des personnels civils de l'</w:t>
            </w:r>
            <w:r w:rsidR="0048480A">
              <w:rPr>
                <w:rFonts w:cs="Arial"/>
                <w:i/>
                <w:iCs/>
                <w:szCs w:val="20"/>
                <w:lang w:val="fr-FR"/>
              </w:rPr>
              <w:t>É</w:t>
            </w:r>
            <w:r w:rsidRPr="00CA56ED">
              <w:rPr>
                <w:rFonts w:cs="Arial"/>
                <w:i/>
                <w:iCs/>
                <w:szCs w:val="20"/>
                <w:lang w:val="fr-FR"/>
              </w:rPr>
              <w:t>tat -</w:t>
            </w:r>
            <w:r w:rsidRPr="00CA56ED">
              <w:rPr>
                <w:rFonts w:cs="Arial"/>
                <w:i/>
                <w:szCs w:val="20"/>
                <w:lang w:val="fr-FR"/>
              </w:rPr>
              <w:t xml:space="preserve"> publié le 12 juillet 2018.</w:t>
            </w:r>
          </w:p>
        </w:tc>
      </w:tr>
      <w:tr w:rsidR="00CA56ED" w:rsidRPr="00C06C71" w14:paraId="4B62CB5A" w14:textId="77777777" w:rsidTr="002F0502">
        <w:tc>
          <w:tcPr>
            <w:tcW w:w="1702" w:type="dxa"/>
          </w:tcPr>
          <w:p w14:paraId="11FEBAC9" w14:textId="77777777" w:rsidR="00CA56ED" w:rsidRPr="00CA56ED" w:rsidRDefault="00CA56ED" w:rsidP="002F0502">
            <w:pPr>
              <w:keepNext/>
              <w:tabs>
                <w:tab w:val="left" w:pos="567"/>
              </w:tabs>
              <w:outlineLvl w:val="0"/>
              <w:rPr>
                <w:rFonts w:cs="Arial"/>
                <w:szCs w:val="20"/>
                <w:lang w:val="fr-FR"/>
              </w:rPr>
            </w:pPr>
          </w:p>
        </w:tc>
        <w:tc>
          <w:tcPr>
            <w:tcW w:w="7796" w:type="dxa"/>
          </w:tcPr>
          <w:p w14:paraId="745065EB" w14:textId="77777777" w:rsidR="00CA56ED" w:rsidRPr="00CA56ED" w:rsidRDefault="00CA56ED" w:rsidP="002F0502">
            <w:pPr>
              <w:keepNext/>
              <w:tabs>
                <w:tab w:val="left" w:pos="567"/>
              </w:tabs>
              <w:outlineLvl w:val="0"/>
              <w:rPr>
                <w:rFonts w:cs="Arial"/>
                <w:szCs w:val="20"/>
                <w:lang w:val="fr-FR"/>
              </w:rPr>
            </w:pPr>
          </w:p>
        </w:tc>
      </w:tr>
      <w:tr w:rsidR="00CA56ED" w:rsidRPr="00CA56ED" w14:paraId="11FBD949" w14:textId="77777777" w:rsidTr="002F0502">
        <w:tc>
          <w:tcPr>
            <w:tcW w:w="1702" w:type="dxa"/>
          </w:tcPr>
          <w:p w14:paraId="28201397" w14:textId="77777777" w:rsidR="00CA56ED" w:rsidRPr="00CA56ED" w:rsidRDefault="00CA56ED" w:rsidP="002F0502">
            <w:pPr>
              <w:keepNext/>
              <w:tabs>
                <w:tab w:val="left" w:pos="567"/>
              </w:tabs>
              <w:outlineLvl w:val="0"/>
              <w:rPr>
                <w:rFonts w:cs="Arial"/>
                <w:szCs w:val="20"/>
              </w:rPr>
            </w:pPr>
            <w:r w:rsidRPr="00CA56ED">
              <w:rPr>
                <w:rFonts w:cs="Arial"/>
                <w:szCs w:val="20"/>
              </w:rPr>
              <w:t>Germany</w:t>
            </w:r>
          </w:p>
        </w:tc>
        <w:tc>
          <w:tcPr>
            <w:tcW w:w="7796" w:type="dxa"/>
          </w:tcPr>
          <w:p w14:paraId="719C3DCD" w14:textId="77777777" w:rsidR="00CA56ED" w:rsidRPr="00CA56ED" w:rsidRDefault="00CA56ED" w:rsidP="002F0502">
            <w:pPr>
              <w:keepNext/>
              <w:tabs>
                <w:tab w:val="left" w:pos="567"/>
              </w:tabs>
              <w:outlineLvl w:val="0"/>
              <w:rPr>
                <w:rFonts w:cs="Arial"/>
                <w:szCs w:val="20"/>
              </w:rPr>
            </w:pPr>
            <w:r w:rsidRPr="00CA56ED">
              <w:rPr>
                <w:rFonts w:cs="Arial"/>
                <w:i/>
                <w:iCs/>
                <w:szCs w:val="20"/>
              </w:rPr>
              <w:t xml:space="preserve">Allgemeine </w:t>
            </w:r>
            <w:proofErr w:type="spellStart"/>
            <w:r w:rsidRPr="00CA56ED">
              <w:rPr>
                <w:rFonts w:cs="Arial"/>
                <w:i/>
                <w:iCs/>
                <w:szCs w:val="20"/>
              </w:rPr>
              <w:t>Verwaltungsvorschrift</w:t>
            </w:r>
            <w:proofErr w:type="spellEnd"/>
            <w:r w:rsidRPr="00CA56ED">
              <w:rPr>
                <w:rFonts w:cs="Arial"/>
                <w:i/>
                <w:iCs/>
                <w:szCs w:val="20"/>
              </w:rPr>
              <w:t xml:space="preserve"> </w:t>
            </w:r>
            <w:proofErr w:type="spellStart"/>
            <w:r w:rsidRPr="00CA56ED">
              <w:rPr>
                <w:rFonts w:cs="Arial"/>
                <w:i/>
                <w:iCs/>
                <w:szCs w:val="20"/>
              </w:rPr>
              <w:t>über</w:t>
            </w:r>
            <w:proofErr w:type="spellEnd"/>
            <w:r w:rsidRPr="00CA56ED">
              <w:rPr>
                <w:rFonts w:cs="Arial"/>
                <w:i/>
                <w:iCs/>
                <w:szCs w:val="20"/>
              </w:rPr>
              <w:t xml:space="preserve"> die </w:t>
            </w:r>
            <w:proofErr w:type="spellStart"/>
            <w:r w:rsidRPr="00CA56ED">
              <w:rPr>
                <w:rFonts w:cs="Arial"/>
                <w:i/>
                <w:iCs/>
                <w:szCs w:val="20"/>
              </w:rPr>
              <w:t>Neufestsetzung</w:t>
            </w:r>
            <w:proofErr w:type="spellEnd"/>
            <w:r w:rsidRPr="00CA56ED">
              <w:rPr>
                <w:rFonts w:cs="Arial"/>
                <w:i/>
                <w:iCs/>
                <w:szCs w:val="20"/>
              </w:rPr>
              <w:t xml:space="preserve"> der </w:t>
            </w:r>
            <w:proofErr w:type="spellStart"/>
            <w:r w:rsidRPr="00CA56ED">
              <w:rPr>
                <w:rFonts w:cs="Arial"/>
                <w:i/>
                <w:iCs/>
                <w:szCs w:val="20"/>
              </w:rPr>
              <w:t>Auslandstage</w:t>
            </w:r>
            <w:proofErr w:type="spellEnd"/>
            <w:r w:rsidRPr="00CA56ED">
              <w:rPr>
                <w:rFonts w:cs="Arial"/>
                <w:i/>
                <w:iCs/>
                <w:szCs w:val="20"/>
              </w:rPr>
              <w:t xml:space="preserve">- und </w:t>
            </w:r>
            <w:proofErr w:type="spellStart"/>
            <w:r w:rsidRPr="00CA56ED">
              <w:rPr>
                <w:rFonts w:cs="Arial"/>
                <w:i/>
                <w:iCs/>
                <w:szCs w:val="20"/>
              </w:rPr>
              <w:t>Auslandsübernachtungsgelder</w:t>
            </w:r>
            <w:proofErr w:type="spellEnd"/>
            <w:r w:rsidRPr="00CA56ED">
              <w:rPr>
                <w:rFonts w:cs="Arial"/>
                <w:i/>
                <w:iCs/>
                <w:szCs w:val="20"/>
              </w:rPr>
              <w:t xml:space="preserve"> </w:t>
            </w:r>
            <w:proofErr w:type="spellStart"/>
            <w:r w:rsidRPr="00CA56ED">
              <w:rPr>
                <w:rFonts w:cs="Arial"/>
                <w:i/>
                <w:iCs/>
                <w:szCs w:val="20"/>
              </w:rPr>
              <w:t>vom</w:t>
            </w:r>
            <w:proofErr w:type="spellEnd"/>
            <w:r w:rsidRPr="00CA56ED">
              <w:rPr>
                <w:rFonts w:cs="Arial"/>
                <w:i/>
                <w:iCs/>
                <w:szCs w:val="20"/>
              </w:rPr>
              <w:t xml:space="preserve"> 14.10.2019 (</w:t>
            </w:r>
            <w:proofErr w:type="spellStart"/>
            <w:r w:rsidRPr="00CA56ED">
              <w:rPr>
                <w:rFonts w:cs="Arial"/>
                <w:i/>
                <w:iCs/>
                <w:szCs w:val="20"/>
              </w:rPr>
              <w:t>ARVVwV</w:t>
            </w:r>
            <w:proofErr w:type="spellEnd"/>
            <w:r w:rsidRPr="00CA56ED">
              <w:rPr>
                <w:rFonts w:cs="Arial"/>
                <w:i/>
                <w:iCs/>
                <w:szCs w:val="20"/>
              </w:rPr>
              <w:t>).</w:t>
            </w:r>
          </w:p>
        </w:tc>
      </w:tr>
      <w:tr w:rsidR="00CA56ED" w:rsidRPr="00CA56ED" w14:paraId="12E21F2A" w14:textId="77777777" w:rsidTr="002F0502">
        <w:tc>
          <w:tcPr>
            <w:tcW w:w="1702" w:type="dxa"/>
          </w:tcPr>
          <w:p w14:paraId="05CB8A15" w14:textId="77777777" w:rsidR="00CA56ED" w:rsidRPr="00CA56ED" w:rsidRDefault="00CA56ED" w:rsidP="002F0502">
            <w:pPr>
              <w:keepNext/>
              <w:tabs>
                <w:tab w:val="left" w:pos="567"/>
              </w:tabs>
              <w:outlineLvl w:val="0"/>
              <w:rPr>
                <w:rFonts w:cs="Arial"/>
                <w:szCs w:val="20"/>
              </w:rPr>
            </w:pPr>
          </w:p>
        </w:tc>
        <w:tc>
          <w:tcPr>
            <w:tcW w:w="7796" w:type="dxa"/>
          </w:tcPr>
          <w:p w14:paraId="6C7D02D2" w14:textId="77777777" w:rsidR="00CA56ED" w:rsidRPr="00CA56ED" w:rsidRDefault="00CA56ED" w:rsidP="002F0502">
            <w:pPr>
              <w:keepNext/>
              <w:tabs>
                <w:tab w:val="left" w:pos="567"/>
              </w:tabs>
              <w:outlineLvl w:val="0"/>
              <w:rPr>
                <w:rFonts w:cs="Arial"/>
                <w:szCs w:val="20"/>
              </w:rPr>
            </w:pPr>
          </w:p>
        </w:tc>
      </w:tr>
      <w:tr w:rsidR="00CA56ED" w:rsidRPr="00CA56ED" w14:paraId="0D423DA4" w14:textId="77777777" w:rsidTr="002F0502">
        <w:tc>
          <w:tcPr>
            <w:tcW w:w="1702" w:type="dxa"/>
          </w:tcPr>
          <w:p w14:paraId="07D23EE4" w14:textId="77777777" w:rsidR="00CA56ED" w:rsidRPr="00CA56ED" w:rsidRDefault="00CA56ED" w:rsidP="002F0502">
            <w:pPr>
              <w:keepNext/>
              <w:tabs>
                <w:tab w:val="left" w:pos="567"/>
              </w:tabs>
              <w:outlineLvl w:val="0"/>
              <w:rPr>
                <w:rFonts w:cs="Arial"/>
                <w:szCs w:val="20"/>
              </w:rPr>
            </w:pPr>
            <w:r w:rsidRPr="00CA56ED">
              <w:rPr>
                <w:rFonts w:cs="Arial"/>
                <w:szCs w:val="20"/>
              </w:rPr>
              <w:t>Italy</w:t>
            </w:r>
          </w:p>
        </w:tc>
        <w:tc>
          <w:tcPr>
            <w:tcW w:w="7796" w:type="dxa"/>
          </w:tcPr>
          <w:p w14:paraId="27C35FE3" w14:textId="77777777" w:rsidR="00CA56ED" w:rsidRPr="00CA56ED" w:rsidRDefault="00CA56ED" w:rsidP="002F0502">
            <w:pPr>
              <w:keepNext/>
              <w:tabs>
                <w:tab w:val="left" w:pos="567"/>
              </w:tabs>
              <w:outlineLvl w:val="0"/>
              <w:rPr>
                <w:rFonts w:cs="Arial"/>
                <w:szCs w:val="20"/>
                <w:lang w:val="it-IT"/>
              </w:rPr>
            </w:pPr>
            <w:r w:rsidRPr="00CA56ED">
              <w:rPr>
                <w:rFonts w:cs="Arial"/>
                <w:i/>
                <w:iCs/>
                <w:szCs w:val="20"/>
                <w:lang w:val="it-IT"/>
              </w:rPr>
              <w:t>Decreto 23 marzo 2011</w:t>
            </w:r>
            <w:r w:rsidRPr="00CA56ED">
              <w:rPr>
                <w:rFonts w:cs="Arial"/>
                <w:szCs w:val="20"/>
                <w:lang w:val="it-IT"/>
              </w:rPr>
              <w:t xml:space="preserve"> </w:t>
            </w:r>
            <w:r w:rsidRPr="00CA56ED">
              <w:rPr>
                <w:rFonts w:cs="Arial"/>
                <w:i/>
                <w:iCs/>
                <w:szCs w:val="20"/>
                <w:lang w:val="it-IT"/>
              </w:rPr>
              <w:t>Misure e limiti concernenti il rimborso delle spese di vitto e alloggio per il personale inviato in missione all'estero (11A07480).</w:t>
            </w:r>
          </w:p>
        </w:tc>
      </w:tr>
      <w:tr w:rsidR="00CA56ED" w:rsidRPr="00CA56ED" w14:paraId="2DE2F19C" w14:textId="77777777" w:rsidTr="002F0502">
        <w:tc>
          <w:tcPr>
            <w:tcW w:w="1702" w:type="dxa"/>
          </w:tcPr>
          <w:p w14:paraId="41437C91" w14:textId="77777777" w:rsidR="00CA56ED" w:rsidRPr="00CA56ED" w:rsidRDefault="00CA56ED" w:rsidP="002F0502">
            <w:pPr>
              <w:keepNext/>
              <w:tabs>
                <w:tab w:val="left" w:pos="567"/>
              </w:tabs>
              <w:outlineLvl w:val="0"/>
              <w:rPr>
                <w:rFonts w:cs="Arial"/>
                <w:szCs w:val="20"/>
                <w:lang w:val="it-IT"/>
              </w:rPr>
            </w:pPr>
          </w:p>
        </w:tc>
        <w:tc>
          <w:tcPr>
            <w:tcW w:w="7796" w:type="dxa"/>
          </w:tcPr>
          <w:p w14:paraId="550EA529" w14:textId="77777777" w:rsidR="00CA56ED" w:rsidRPr="00CA56ED" w:rsidRDefault="00CA56ED" w:rsidP="002F0502">
            <w:pPr>
              <w:keepNext/>
              <w:tabs>
                <w:tab w:val="left" w:pos="567"/>
              </w:tabs>
              <w:outlineLvl w:val="0"/>
              <w:rPr>
                <w:rFonts w:cs="Arial"/>
                <w:szCs w:val="20"/>
                <w:lang w:val="it-IT"/>
              </w:rPr>
            </w:pPr>
          </w:p>
        </w:tc>
      </w:tr>
      <w:tr w:rsidR="00CA56ED" w:rsidRPr="00C06C71" w14:paraId="414E9F7E" w14:textId="77777777" w:rsidTr="002F0502">
        <w:tc>
          <w:tcPr>
            <w:tcW w:w="1702" w:type="dxa"/>
          </w:tcPr>
          <w:p w14:paraId="765BADBC" w14:textId="77777777" w:rsidR="00CA56ED" w:rsidRPr="00CA56ED" w:rsidRDefault="00CA56ED" w:rsidP="002F0502">
            <w:pPr>
              <w:keepNext/>
              <w:tabs>
                <w:tab w:val="left" w:pos="567"/>
              </w:tabs>
              <w:outlineLvl w:val="0"/>
              <w:rPr>
                <w:rFonts w:cs="Arial"/>
                <w:szCs w:val="20"/>
              </w:rPr>
            </w:pPr>
            <w:r w:rsidRPr="00CA56ED">
              <w:rPr>
                <w:rFonts w:cs="Arial"/>
                <w:szCs w:val="20"/>
              </w:rPr>
              <w:t>Luxembourg</w:t>
            </w:r>
          </w:p>
        </w:tc>
        <w:tc>
          <w:tcPr>
            <w:tcW w:w="7796" w:type="dxa"/>
          </w:tcPr>
          <w:p w14:paraId="3624EAC0" w14:textId="77777777" w:rsidR="00CA56ED" w:rsidRPr="00CA56ED" w:rsidRDefault="00CA56ED" w:rsidP="002F0502">
            <w:pPr>
              <w:keepNext/>
              <w:tabs>
                <w:tab w:val="left" w:pos="567"/>
              </w:tabs>
              <w:outlineLvl w:val="0"/>
              <w:rPr>
                <w:rFonts w:cs="Arial"/>
                <w:szCs w:val="20"/>
                <w:lang w:val="fr-FR"/>
              </w:rPr>
            </w:pPr>
            <w:r w:rsidRPr="00CA56ED">
              <w:rPr>
                <w:rFonts w:cs="Arial"/>
                <w:i/>
                <w:iCs/>
                <w:szCs w:val="20"/>
                <w:lang w:val="fr-FR"/>
              </w:rPr>
              <w:t>Règlement du Gouvernement en Conseil du 19 décembre 2018 fixant les indemnités prévues aux articles 16, alinéa 1er, 18 et 20, paragraphe 1er, du règlement grand-ducal du 14 juin 2015 sur les frais de route et de séjour ainsi que sur les indemnités de déménagement des fonctionnaires et employés de l’État.</w:t>
            </w:r>
          </w:p>
        </w:tc>
      </w:tr>
      <w:tr w:rsidR="00CA56ED" w:rsidRPr="00C06C71" w14:paraId="721095DF" w14:textId="77777777" w:rsidTr="002F0502">
        <w:tc>
          <w:tcPr>
            <w:tcW w:w="1702" w:type="dxa"/>
          </w:tcPr>
          <w:p w14:paraId="00497327" w14:textId="77777777" w:rsidR="00CA56ED" w:rsidRPr="00CA56ED" w:rsidRDefault="00CA56ED" w:rsidP="002F0502">
            <w:pPr>
              <w:rPr>
                <w:rFonts w:cs="Arial"/>
                <w:szCs w:val="20"/>
                <w:lang w:val="fr-FR"/>
              </w:rPr>
            </w:pPr>
          </w:p>
        </w:tc>
        <w:tc>
          <w:tcPr>
            <w:tcW w:w="7796" w:type="dxa"/>
          </w:tcPr>
          <w:p w14:paraId="1CD3527F" w14:textId="77777777" w:rsidR="00CA56ED" w:rsidRPr="00CA56ED" w:rsidRDefault="00CA56ED" w:rsidP="002F0502">
            <w:pPr>
              <w:keepNext/>
              <w:tabs>
                <w:tab w:val="left" w:pos="567"/>
              </w:tabs>
              <w:outlineLvl w:val="0"/>
              <w:rPr>
                <w:rFonts w:cs="Arial"/>
                <w:szCs w:val="20"/>
                <w:lang w:val="fr-FR"/>
              </w:rPr>
            </w:pPr>
          </w:p>
        </w:tc>
      </w:tr>
      <w:tr w:rsidR="00CA56ED" w:rsidRPr="00CA56ED" w14:paraId="75CBC68B" w14:textId="77777777" w:rsidTr="002F0502">
        <w:tc>
          <w:tcPr>
            <w:tcW w:w="1702" w:type="dxa"/>
          </w:tcPr>
          <w:p w14:paraId="01527C09" w14:textId="77777777" w:rsidR="00CA56ED" w:rsidRPr="00CA56ED" w:rsidRDefault="00CA56ED" w:rsidP="002F0502">
            <w:pPr>
              <w:keepNext/>
              <w:tabs>
                <w:tab w:val="left" w:pos="567"/>
              </w:tabs>
              <w:outlineLvl w:val="0"/>
              <w:rPr>
                <w:rFonts w:cs="Arial"/>
                <w:szCs w:val="20"/>
              </w:rPr>
            </w:pPr>
            <w:r w:rsidRPr="00CA56ED">
              <w:rPr>
                <w:rFonts w:cs="Arial"/>
                <w:szCs w:val="20"/>
              </w:rPr>
              <w:t>Netherlands</w:t>
            </w:r>
          </w:p>
        </w:tc>
        <w:tc>
          <w:tcPr>
            <w:tcW w:w="7796" w:type="dxa"/>
          </w:tcPr>
          <w:p w14:paraId="546D07A9" w14:textId="77777777" w:rsidR="00CA56ED" w:rsidRPr="00CA56ED" w:rsidRDefault="00CA56ED" w:rsidP="002F0502">
            <w:pPr>
              <w:keepNext/>
              <w:tabs>
                <w:tab w:val="left" w:pos="567"/>
              </w:tabs>
              <w:outlineLvl w:val="0"/>
              <w:rPr>
                <w:rFonts w:cs="Arial"/>
                <w:szCs w:val="20"/>
              </w:rPr>
            </w:pPr>
            <w:proofErr w:type="spellStart"/>
            <w:r w:rsidRPr="00CA56ED">
              <w:rPr>
                <w:rFonts w:cs="Arial"/>
                <w:i/>
                <w:szCs w:val="20"/>
              </w:rPr>
              <w:t>Bijlage</w:t>
            </w:r>
            <w:proofErr w:type="spellEnd"/>
            <w:r w:rsidRPr="00CA56ED">
              <w:rPr>
                <w:rFonts w:cs="Arial"/>
                <w:i/>
                <w:szCs w:val="20"/>
              </w:rPr>
              <w:t xml:space="preserve"> 7: </w:t>
            </w:r>
            <w:proofErr w:type="spellStart"/>
            <w:r w:rsidRPr="00CA56ED">
              <w:rPr>
                <w:rFonts w:cs="Arial"/>
                <w:i/>
                <w:szCs w:val="20"/>
              </w:rPr>
              <w:t>Tarieflijst</w:t>
            </w:r>
            <w:proofErr w:type="spellEnd"/>
            <w:r w:rsidRPr="00CA56ED">
              <w:rPr>
                <w:rFonts w:cs="Arial"/>
                <w:i/>
                <w:szCs w:val="20"/>
              </w:rPr>
              <w:t xml:space="preserve"> </w:t>
            </w:r>
            <w:proofErr w:type="spellStart"/>
            <w:r w:rsidRPr="00CA56ED">
              <w:rPr>
                <w:rFonts w:cs="Arial"/>
                <w:i/>
                <w:szCs w:val="20"/>
              </w:rPr>
              <w:t>verblijfkosten</w:t>
            </w:r>
            <w:proofErr w:type="spellEnd"/>
            <w:r w:rsidRPr="00CA56ED">
              <w:rPr>
                <w:rFonts w:cs="Arial"/>
                <w:i/>
                <w:szCs w:val="20"/>
              </w:rPr>
              <w:t xml:space="preserve"> </w:t>
            </w:r>
            <w:proofErr w:type="spellStart"/>
            <w:r w:rsidRPr="00CA56ED">
              <w:rPr>
                <w:rFonts w:cs="Arial"/>
                <w:i/>
                <w:szCs w:val="20"/>
              </w:rPr>
              <w:t>buitenlandse</w:t>
            </w:r>
            <w:proofErr w:type="spellEnd"/>
            <w:r w:rsidRPr="00CA56ED">
              <w:rPr>
                <w:rFonts w:cs="Arial"/>
                <w:i/>
                <w:szCs w:val="20"/>
              </w:rPr>
              <w:t xml:space="preserve"> </w:t>
            </w:r>
            <w:proofErr w:type="spellStart"/>
            <w:r w:rsidRPr="00CA56ED">
              <w:rPr>
                <w:rFonts w:cs="Arial"/>
                <w:i/>
                <w:szCs w:val="20"/>
              </w:rPr>
              <w:t>dienstreizen</w:t>
            </w:r>
            <w:proofErr w:type="spellEnd"/>
            <w:r w:rsidRPr="00CA56ED">
              <w:rPr>
                <w:rFonts w:cs="Arial"/>
                <w:i/>
                <w:szCs w:val="20"/>
              </w:rPr>
              <w:t xml:space="preserve"> – Appendix from the Central Government Collective </w:t>
            </w:r>
            <w:proofErr w:type="spellStart"/>
            <w:r w:rsidRPr="00CA56ED">
              <w:rPr>
                <w:rFonts w:cs="Arial"/>
                <w:i/>
                <w:szCs w:val="20"/>
              </w:rPr>
              <w:t>Labor</w:t>
            </w:r>
            <w:proofErr w:type="spellEnd"/>
            <w:r w:rsidRPr="00CA56ED">
              <w:rPr>
                <w:rFonts w:cs="Arial"/>
                <w:i/>
                <w:szCs w:val="20"/>
              </w:rPr>
              <w:t xml:space="preserve"> Agreement extracted on 1 April 2020 from the official website www.caorijk.nl.</w:t>
            </w:r>
          </w:p>
        </w:tc>
      </w:tr>
      <w:tr w:rsidR="00CA56ED" w:rsidRPr="00CA56ED" w14:paraId="52959483" w14:textId="77777777" w:rsidTr="002F0502">
        <w:tc>
          <w:tcPr>
            <w:tcW w:w="1702" w:type="dxa"/>
          </w:tcPr>
          <w:p w14:paraId="258CBA3C" w14:textId="77777777" w:rsidR="00CA56ED" w:rsidRPr="00CA56ED" w:rsidRDefault="00CA56ED" w:rsidP="002F0502">
            <w:pPr>
              <w:keepNext/>
              <w:tabs>
                <w:tab w:val="left" w:pos="567"/>
              </w:tabs>
              <w:outlineLvl w:val="0"/>
              <w:rPr>
                <w:rFonts w:cs="Arial"/>
                <w:szCs w:val="20"/>
              </w:rPr>
            </w:pPr>
          </w:p>
        </w:tc>
        <w:tc>
          <w:tcPr>
            <w:tcW w:w="7796" w:type="dxa"/>
          </w:tcPr>
          <w:p w14:paraId="22D14D77" w14:textId="77777777" w:rsidR="00CA56ED" w:rsidRPr="00CA56ED" w:rsidRDefault="00CA56ED" w:rsidP="002F0502">
            <w:pPr>
              <w:keepNext/>
              <w:tabs>
                <w:tab w:val="left" w:pos="567"/>
              </w:tabs>
              <w:outlineLvl w:val="0"/>
              <w:rPr>
                <w:rFonts w:cs="Arial"/>
                <w:szCs w:val="20"/>
              </w:rPr>
            </w:pPr>
          </w:p>
        </w:tc>
      </w:tr>
      <w:tr w:rsidR="00CA56ED" w:rsidRPr="00CA56ED" w14:paraId="606FCF07" w14:textId="77777777" w:rsidTr="002F0502">
        <w:tc>
          <w:tcPr>
            <w:tcW w:w="1702" w:type="dxa"/>
          </w:tcPr>
          <w:p w14:paraId="4F6F4DF7" w14:textId="77777777" w:rsidR="00CA56ED" w:rsidRPr="00CA56ED" w:rsidRDefault="00CA56ED" w:rsidP="002F0502">
            <w:pPr>
              <w:keepNext/>
              <w:tabs>
                <w:tab w:val="left" w:pos="567"/>
              </w:tabs>
              <w:outlineLvl w:val="0"/>
              <w:rPr>
                <w:rFonts w:cs="Arial"/>
                <w:szCs w:val="20"/>
              </w:rPr>
            </w:pPr>
            <w:r w:rsidRPr="00CA56ED">
              <w:rPr>
                <w:rFonts w:cs="Arial"/>
                <w:szCs w:val="20"/>
              </w:rPr>
              <w:t>Spain</w:t>
            </w:r>
          </w:p>
        </w:tc>
        <w:tc>
          <w:tcPr>
            <w:tcW w:w="7796" w:type="dxa"/>
          </w:tcPr>
          <w:p w14:paraId="7C0ED78A" w14:textId="77777777" w:rsidR="00CA56ED" w:rsidRPr="00CA56ED" w:rsidRDefault="00CA56ED" w:rsidP="002F0502">
            <w:pPr>
              <w:keepNext/>
              <w:tabs>
                <w:tab w:val="left" w:pos="567"/>
              </w:tabs>
              <w:outlineLvl w:val="0"/>
              <w:rPr>
                <w:rFonts w:cs="Arial"/>
                <w:szCs w:val="20"/>
                <w:lang w:val="es-ES_tradnl"/>
              </w:rPr>
            </w:pPr>
            <w:r w:rsidRPr="00CA56ED">
              <w:rPr>
                <w:rFonts w:cs="Arial"/>
                <w:i/>
                <w:iCs/>
                <w:szCs w:val="20"/>
                <w:lang w:val="es-ES_tradnl"/>
              </w:rPr>
              <w:t>Real Decreto 462/2002 del 24 de mayo sobre indemnizaciones por razón de servicio.</w:t>
            </w:r>
          </w:p>
        </w:tc>
      </w:tr>
      <w:tr w:rsidR="00CA56ED" w:rsidRPr="00CA56ED" w14:paraId="70779394" w14:textId="77777777" w:rsidTr="002F0502">
        <w:tc>
          <w:tcPr>
            <w:tcW w:w="1702" w:type="dxa"/>
          </w:tcPr>
          <w:p w14:paraId="3C663029" w14:textId="77777777" w:rsidR="00CA56ED" w:rsidRPr="00CA56ED" w:rsidRDefault="00CA56ED" w:rsidP="002F0502">
            <w:pPr>
              <w:rPr>
                <w:rFonts w:cs="Arial"/>
                <w:szCs w:val="20"/>
                <w:lang w:val="es-ES_tradnl"/>
              </w:rPr>
            </w:pPr>
          </w:p>
        </w:tc>
        <w:tc>
          <w:tcPr>
            <w:tcW w:w="7796" w:type="dxa"/>
          </w:tcPr>
          <w:p w14:paraId="37526EF6" w14:textId="77777777" w:rsidR="00CA56ED" w:rsidRPr="00CA56ED" w:rsidRDefault="00CA56ED" w:rsidP="002F0502">
            <w:pPr>
              <w:keepNext/>
              <w:tabs>
                <w:tab w:val="left" w:pos="567"/>
              </w:tabs>
              <w:outlineLvl w:val="0"/>
              <w:rPr>
                <w:rFonts w:cs="Arial"/>
                <w:szCs w:val="20"/>
                <w:lang w:val="es-ES_tradnl"/>
              </w:rPr>
            </w:pPr>
          </w:p>
        </w:tc>
      </w:tr>
      <w:tr w:rsidR="00CA56ED" w:rsidRPr="00CA56ED" w14:paraId="76F951EB" w14:textId="77777777" w:rsidTr="002F0502">
        <w:tc>
          <w:tcPr>
            <w:tcW w:w="1702" w:type="dxa"/>
          </w:tcPr>
          <w:p w14:paraId="36658828" w14:textId="77777777" w:rsidR="00CA56ED" w:rsidRPr="00CA56ED" w:rsidRDefault="00CA56ED" w:rsidP="002F0502">
            <w:pPr>
              <w:rPr>
                <w:rFonts w:cs="Arial"/>
                <w:szCs w:val="20"/>
              </w:rPr>
            </w:pPr>
            <w:r w:rsidRPr="00CA56ED">
              <w:rPr>
                <w:rFonts w:cs="Arial"/>
                <w:szCs w:val="20"/>
                <w:lang w:val="es-ES_tradnl"/>
              </w:rPr>
              <w:br w:type="page"/>
            </w:r>
            <w:r w:rsidRPr="00CA56ED">
              <w:rPr>
                <w:rFonts w:cs="Arial"/>
                <w:szCs w:val="20"/>
              </w:rPr>
              <w:t>United Kingdom</w:t>
            </w:r>
          </w:p>
        </w:tc>
        <w:tc>
          <w:tcPr>
            <w:tcW w:w="7796" w:type="dxa"/>
          </w:tcPr>
          <w:p w14:paraId="702535E1" w14:textId="77777777" w:rsidR="00CA56ED" w:rsidRPr="00CA56ED" w:rsidRDefault="00CA56ED" w:rsidP="002F0502">
            <w:pPr>
              <w:keepNext/>
              <w:tabs>
                <w:tab w:val="left" w:pos="567"/>
              </w:tabs>
              <w:outlineLvl w:val="0"/>
              <w:rPr>
                <w:rFonts w:cs="Arial"/>
                <w:i/>
                <w:szCs w:val="20"/>
              </w:rPr>
            </w:pPr>
            <w:r w:rsidRPr="00CA56ED">
              <w:rPr>
                <w:rFonts w:cs="Arial"/>
                <w:i/>
                <w:szCs w:val="20"/>
              </w:rPr>
              <w:t>NCS Global Expenditure Guide published by the Foreign and Commonwealth Office.</w:t>
            </w:r>
          </w:p>
          <w:p w14:paraId="5E90E04A" w14:textId="77777777" w:rsidR="00CA56ED" w:rsidRPr="00CA56ED" w:rsidRDefault="00CA56ED" w:rsidP="002F0502">
            <w:pPr>
              <w:keepNext/>
              <w:tabs>
                <w:tab w:val="left" w:pos="567"/>
              </w:tabs>
              <w:outlineLvl w:val="0"/>
              <w:rPr>
                <w:rFonts w:cs="Arial"/>
                <w:szCs w:val="20"/>
              </w:rPr>
            </w:pPr>
          </w:p>
        </w:tc>
      </w:tr>
    </w:tbl>
    <w:p w14:paraId="55C898CF" w14:textId="77777777" w:rsidR="00CA56ED" w:rsidRPr="00CA56ED" w:rsidRDefault="00CA56ED" w:rsidP="00CA56ED">
      <w:pPr>
        <w:keepNext/>
        <w:outlineLvl w:val="0"/>
        <w:rPr>
          <w:rFonts w:cs="Arial"/>
          <w:b/>
          <w:szCs w:val="20"/>
        </w:rPr>
      </w:pPr>
    </w:p>
    <w:p w14:paraId="0B9B2188" w14:textId="77777777" w:rsidR="00CA56ED" w:rsidRPr="00CA56ED" w:rsidRDefault="00CA56ED" w:rsidP="00CA56ED">
      <w:pPr>
        <w:rPr>
          <w:rFonts w:cs="Arial"/>
          <w:b/>
          <w:szCs w:val="20"/>
        </w:rPr>
      </w:pPr>
      <w:r w:rsidRPr="00CA56ED">
        <w:rPr>
          <w:rFonts w:cs="Arial"/>
          <w:b/>
          <w:szCs w:val="20"/>
        </w:rPr>
        <w:br w:type="page"/>
      </w:r>
    </w:p>
    <w:p w14:paraId="59621A33" w14:textId="77777777" w:rsidR="00CA56ED" w:rsidRPr="00CA56ED" w:rsidRDefault="00CA56ED" w:rsidP="0048480A">
      <w:pPr>
        <w:keepNext/>
        <w:numPr>
          <w:ilvl w:val="0"/>
          <w:numId w:val="4"/>
        </w:numPr>
        <w:ind w:left="0" w:firstLine="0"/>
        <w:jc w:val="both"/>
        <w:outlineLvl w:val="0"/>
        <w:rPr>
          <w:rFonts w:cs="Arial"/>
          <w:b/>
          <w:szCs w:val="20"/>
        </w:rPr>
      </w:pPr>
      <w:r w:rsidRPr="00CA56ED">
        <w:rPr>
          <w:rFonts w:cs="Arial"/>
          <w:b/>
          <w:szCs w:val="20"/>
        </w:rPr>
        <w:lastRenderedPageBreak/>
        <w:t>CALCULATION OF THE DSA</w:t>
      </w:r>
    </w:p>
    <w:p w14:paraId="2393EE6C" w14:textId="77777777" w:rsidR="00CA56ED" w:rsidRPr="00CA56ED" w:rsidRDefault="00CA56ED" w:rsidP="0048480A">
      <w:pPr>
        <w:rPr>
          <w:rFonts w:cs="Arial"/>
          <w:b/>
          <w:szCs w:val="20"/>
        </w:rPr>
      </w:pPr>
    </w:p>
    <w:p w14:paraId="7D2E5B2E" w14:textId="77777777" w:rsidR="00CA56ED" w:rsidRPr="00CA56ED" w:rsidRDefault="00CA56ED" w:rsidP="0048480A">
      <w:pPr>
        <w:pStyle w:val="ListParagraph"/>
        <w:keepNext/>
        <w:numPr>
          <w:ilvl w:val="0"/>
          <w:numId w:val="5"/>
        </w:numPr>
        <w:tabs>
          <w:tab w:val="left" w:pos="0"/>
        </w:tabs>
        <w:ind w:left="0" w:firstLine="0"/>
        <w:contextualSpacing w:val="0"/>
        <w:jc w:val="both"/>
        <w:outlineLvl w:val="0"/>
        <w:rPr>
          <w:rFonts w:ascii="Arial" w:hAnsi="Arial" w:cs="Arial"/>
          <w:b/>
          <w:sz w:val="20"/>
          <w:szCs w:val="20"/>
        </w:rPr>
      </w:pPr>
      <w:r w:rsidRPr="00CA56ED">
        <w:rPr>
          <w:rFonts w:ascii="Arial" w:hAnsi="Arial" w:cs="Arial"/>
          <w:b/>
          <w:sz w:val="20"/>
          <w:szCs w:val="20"/>
        </w:rPr>
        <w:t>Calculation of the DSA rates per reference country</w:t>
      </w:r>
    </w:p>
    <w:p w14:paraId="766CEB85" w14:textId="77777777" w:rsidR="00CA56ED" w:rsidRPr="00CA56ED" w:rsidRDefault="00CA56ED" w:rsidP="00CA56ED">
      <w:pPr>
        <w:rPr>
          <w:rFonts w:cs="Arial"/>
          <w:szCs w:val="20"/>
        </w:rPr>
      </w:pPr>
    </w:p>
    <w:tbl>
      <w:tblPr>
        <w:tblStyle w:val="TableGrid"/>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7796"/>
      </w:tblGrid>
      <w:tr w:rsidR="00CA56ED" w:rsidRPr="00CA56ED" w14:paraId="43A10239" w14:textId="77777777" w:rsidTr="002F0502">
        <w:tc>
          <w:tcPr>
            <w:tcW w:w="1702" w:type="dxa"/>
          </w:tcPr>
          <w:p w14:paraId="4B94383D" w14:textId="77777777" w:rsidR="00CA56ED" w:rsidRPr="00CA56ED" w:rsidRDefault="00CA56ED" w:rsidP="002F0502">
            <w:pPr>
              <w:keepNext/>
              <w:tabs>
                <w:tab w:val="left" w:pos="567"/>
              </w:tabs>
              <w:outlineLvl w:val="0"/>
              <w:rPr>
                <w:rFonts w:cs="Arial"/>
                <w:szCs w:val="20"/>
              </w:rPr>
            </w:pPr>
            <w:r w:rsidRPr="00CA56ED">
              <w:rPr>
                <w:rFonts w:cs="Arial"/>
                <w:szCs w:val="20"/>
              </w:rPr>
              <w:t>Belgium</w:t>
            </w:r>
          </w:p>
        </w:tc>
        <w:tc>
          <w:tcPr>
            <w:tcW w:w="7796" w:type="dxa"/>
          </w:tcPr>
          <w:p w14:paraId="103E5DCC" w14:textId="77777777" w:rsidR="00CA56ED" w:rsidRPr="00CA56ED" w:rsidRDefault="00CA56ED" w:rsidP="002F0502">
            <w:pPr>
              <w:keepNext/>
              <w:tabs>
                <w:tab w:val="left" w:pos="567"/>
              </w:tabs>
              <w:outlineLvl w:val="0"/>
              <w:rPr>
                <w:rFonts w:cs="Arial"/>
                <w:szCs w:val="20"/>
              </w:rPr>
            </w:pPr>
            <w:r w:rsidRPr="00CA56ED">
              <w:rPr>
                <w:rFonts w:cs="Arial"/>
                <w:iCs/>
                <w:szCs w:val="20"/>
              </w:rPr>
              <w:t>Overall</w:t>
            </w:r>
            <w:r w:rsidRPr="00CA56ED">
              <w:rPr>
                <w:rFonts w:cs="Arial"/>
                <w:szCs w:val="20"/>
              </w:rPr>
              <w:t xml:space="preserve"> DSA rate per country is calculated by adding the accommodation expenses (ceiling), which are the same for the two existing categories of staff, plus the daily lump sum granted to staff classified at Category 1 (i.e. staff from the central administration and non-expatriated staff at Foreign Services).</w:t>
            </w:r>
          </w:p>
        </w:tc>
      </w:tr>
      <w:tr w:rsidR="00CA56ED" w:rsidRPr="00CA56ED" w14:paraId="692A0312" w14:textId="77777777" w:rsidTr="002F0502">
        <w:tc>
          <w:tcPr>
            <w:tcW w:w="1702" w:type="dxa"/>
          </w:tcPr>
          <w:p w14:paraId="12DF1782" w14:textId="77777777" w:rsidR="00CA56ED" w:rsidRPr="00CA56ED" w:rsidRDefault="00CA56ED" w:rsidP="002F0502">
            <w:pPr>
              <w:keepNext/>
              <w:tabs>
                <w:tab w:val="left" w:pos="567"/>
              </w:tabs>
              <w:outlineLvl w:val="0"/>
              <w:rPr>
                <w:rFonts w:cs="Arial"/>
                <w:szCs w:val="20"/>
              </w:rPr>
            </w:pPr>
          </w:p>
        </w:tc>
        <w:tc>
          <w:tcPr>
            <w:tcW w:w="7796" w:type="dxa"/>
          </w:tcPr>
          <w:p w14:paraId="13957EB1" w14:textId="77777777" w:rsidR="00CA56ED" w:rsidRPr="00CA56ED" w:rsidRDefault="00CA56ED" w:rsidP="002F0502">
            <w:pPr>
              <w:keepNext/>
              <w:tabs>
                <w:tab w:val="left" w:pos="567"/>
              </w:tabs>
              <w:outlineLvl w:val="0"/>
              <w:rPr>
                <w:rFonts w:cs="Arial"/>
                <w:szCs w:val="20"/>
              </w:rPr>
            </w:pPr>
          </w:p>
        </w:tc>
      </w:tr>
      <w:tr w:rsidR="00CA56ED" w:rsidRPr="00CA56ED" w14:paraId="69F57B68" w14:textId="77777777" w:rsidTr="002F0502">
        <w:tc>
          <w:tcPr>
            <w:tcW w:w="1702" w:type="dxa"/>
          </w:tcPr>
          <w:p w14:paraId="0BC4C147" w14:textId="77777777" w:rsidR="00CA56ED" w:rsidRPr="00CA56ED" w:rsidRDefault="00CA56ED" w:rsidP="002F0502">
            <w:pPr>
              <w:keepNext/>
              <w:tabs>
                <w:tab w:val="left" w:pos="567"/>
              </w:tabs>
              <w:outlineLvl w:val="0"/>
              <w:rPr>
                <w:rFonts w:cs="Arial"/>
                <w:szCs w:val="20"/>
              </w:rPr>
            </w:pPr>
            <w:r w:rsidRPr="00CA56ED">
              <w:rPr>
                <w:rFonts w:cs="Arial"/>
                <w:szCs w:val="20"/>
              </w:rPr>
              <w:t>France</w:t>
            </w:r>
          </w:p>
        </w:tc>
        <w:tc>
          <w:tcPr>
            <w:tcW w:w="7796" w:type="dxa"/>
          </w:tcPr>
          <w:p w14:paraId="16377E50" w14:textId="77777777" w:rsidR="00CA56ED" w:rsidRPr="00CA56ED" w:rsidRDefault="00CA56ED" w:rsidP="002F0502">
            <w:pPr>
              <w:keepNext/>
              <w:tabs>
                <w:tab w:val="left" w:pos="567"/>
              </w:tabs>
              <w:outlineLvl w:val="0"/>
              <w:rPr>
                <w:rFonts w:cs="Arial"/>
                <w:szCs w:val="20"/>
              </w:rPr>
            </w:pPr>
            <w:r w:rsidRPr="00CA56ED">
              <w:rPr>
                <w:rFonts w:cs="Arial"/>
                <w:szCs w:val="20"/>
              </w:rPr>
              <w:t>All-inclusive DSA rate per country as published in the Decree.</w:t>
            </w:r>
          </w:p>
        </w:tc>
      </w:tr>
      <w:tr w:rsidR="00CA56ED" w:rsidRPr="00CA56ED" w14:paraId="2EB2B97A" w14:textId="77777777" w:rsidTr="002F0502">
        <w:tc>
          <w:tcPr>
            <w:tcW w:w="1702" w:type="dxa"/>
          </w:tcPr>
          <w:p w14:paraId="098C3567" w14:textId="77777777" w:rsidR="00CA56ED" w:rsidRPr="00CA56ED" w:rsidRDefault="00CA56ED" w:rsidP="002F0502">
            <w:pPr>
              <w:keepNext/>
              <w:tabs>
                <w:tab w:val="left" w:pos="567"/>
              </w:tabs>
              <w:outlineLvl w:val="0"/>
              <w:rPr>
                <w:rFonts w:cs="Arial"/>
                <w:szCs w:val="20"/>
              </w:rPr>
            </w:pPr>
          </w:p>
        </w:tc>
        <w:tc>
          <w:tcPr>
            <w:tcW w:w="7796" w:type="dxa"/>
          </w:tcPr>
          <w:p w14:paraId="62E9641E" w14:textId="77777777" w:rsidR="00CA56ED" w:rsidRPr="00CA56ED" w:rsidRDefault="00CA56ED" w:rsidP="002F0502">
            <w:pPr>
              <w:keepNext/>
              <w:tabs>
                <w:tab w:val="left" w:pos="567"/>
              </w:tabs>
              <w:outlineLvl w:val="0"/>
              <w:rPr>
                <w:rFonts w:cs="Arial"/>
                <w:szCs w:val="20"/>
              </w:rPr>
            </w:pPr>
          </w:p>
        </w:tc>
      </w:tr>
      <w:tr w:rsidR="00CA56ED" w:rsidRPr="00CA56ED" w14:paraId="431285C3" w14:textId="77777777" w:rsidTr="002F0502">
        <w:tc>
          <w:tcPr>
            <w:tcW w:w="1702" w:type="dxa"/>
          </w:tcPr>
          <w:p w14:paraId="19824A59" w14:textId="77777777" w:rsidR="00CA56ED" w:rsidRPr="00CA56ED" w:rsidRDefault="00CA56ED" w:rsidP="002F0502">
            <w:pPr>
              <w:keepNext/>
              <w:tabs>
                <w:tab w:val="left" w:pos="567"/>
              </w:tabs>
              <w:outlineLvl w:val="0"/>
              <w:rPr>
                <w:rFonts w:cs="Arial"/>
                <w:szCs w:val="20"/>
              </w:rPr>
            </w:pPr>
            <w:r w:rsidRPr="00CA56ED">
              <w:rPr>
                <w:rFonts w:cs="Arial"/>
                <w:szCs w:val="20"/>
              </w:rPr>
              <w:t>Germany</w:t>
            </w:r>
          </w:p>
        </w:tc>
        <w:tc>
          <w:tcPr>
            <w:tcW w:w="7796" w:type="dxa"/>
          </w:tcPr>
          <w:p w14:paraId="366B07AF" w14:textId="77777777" w:rsidR="00CA56ED" w:rsidRPr="00CA56ED" w:rsidRDefault="00CA56ED" w:rsidP="002F0502">
            <w:pPr>
              <w:keepNext/>
              <w:tabs>
                <w:tab w:val="left" w:pos="567"/>
              </w:tabs>
              <w:outlineLvl w:val="0"/>
              <w:rPr>
                <w:rFonts w:cs="Arial"/>
                <w:szCs w:val="20"/>
              </w:rPr>
            </w:pPr>
            <w:r w:rsidRPr="00CA56ED">
              <w:rPr>
                <w:rFonts w:cs="Arial"/>
                <w:szCs w:val="20"/>
              </w:rPr>
              <w:t>Overall DSA rate per country is calculated by adding the accommodation expenses (ceiling) to the daily lump sum granted to staff on mission.</w:t>
            </w:r>
          </w:p>
        </w:tc>
      </w:tr>
      <w:tr w:rsidR="00CA56ED" w:rsidRPr="00CA56ED" w14:paraId="7D9810F5" w14:textId="77777777" w:rsidTr="002F0502">
        <w:tc>
          <w:tcPr>
            <w:tcW w:w="1702" w:type="dxa"/>
          </w:tcPr>
          <w:p w14:paraId="38A264BB" w14:textId="77777777" w:rsidR="00CA56ED" w:rsidRPr="00CA56ED" w:rsidRDefault="00CA56ED" w:rsidP="002F0502">
            <w:pPr>
              <w:keepNext/>
              <w:tabs>
                <w:tab w:val="left" w:pos="567"/>
              </w:tabs>
              <w:outlineLvl w:val="0"/>
              <w:rPr>
                <w:rFonts w:cs="Arial"/>
                <w:szCs w:val="20"/>
              </w:rPr>
            </w:pPr>
          </w:p>
        </w:tc>
        <w:tc>
          <w:tcPr>
            <w:tcW w:w="7796" w:type="dxa"/>
          </w:tcPr>
          <w:p w14:paraId="48FF1A12" w14:textId="77777777" w:rsidR="00CA56ED" w:rsidRPr="00CA56ED" w:rsidRDefault="00CA56ED" w:rsidP="002F0502">
            <w:pPr>
              <w:keepNext/>
              <w:tabs>
                <w:tab w:val="left" w:pos="567"/>
              </w:tabs>
              <w:outlineLvl w:val="0"/>
              <w:rPr>
                <w:rFonts w:cs="Arial"/>
                <w:szCs w:val="20"/>
              </w:rPr>
            </w:pPr>
          </w:p>
        </w:tc>
      </w:tr>
      <w:tr w:rsidR="00CA56ED" w:rsidRPr="00CA56ED" w14:paraId="70C76D85" w14:textId="77777777" w:rsidTr="002F0502">
        <w:tc>
          <w:tcPr>
            <w:tcW w:w="1702" w:type="dxa"/>
          </w:tcPr>
          <w:p w14:paraId="4DCF80D6" w14:textId="77777777" w:rsidR="00CA56ED" w:rsidRPr="00CA56ED" w:rsidRDefault="00CA56ED" w:rsidP="002F0502">
            <w:pPr>
              <w:keepNext/>
              <w:tabs>
                <w:tab w:val="left" w:pos="567"/>
              </w:tabs>
              <w:outlineLvl w:val="0"/>
              <w:rPr>
                <w:rFonts w:cs="Arial"/>
                <w:szCs w:val="20"/>
              </w:rPr>
            </w:pPr>
            <w:r w:rsidRPr="00CA56ED">
              <w:rPr>
                <w:rFonts w:cs="Arial"/>
                <w:szCs w:val="20"/>
              </w:rPr>
              <w:t>Italy</w:t>
            </w:r>
          </w:p>
        </w:tc>
        <w:tc>
          <w:tcPr>
            <w:tcW w:w="7796" w:type="dxa"/>
          </w:tcPr>
          <w:p w14:paraId="2C8E7912" w14:textId="77777777" w:rsidR="00CA56ED" w:rsidRPr="00CA56ED" w:rsidRDefault="00CA56ED" w:rsidP="002F0502">
            <w:pPr>
              <w:keepNext/>
              <w:tabs>
                <w:tab w:val="left" w:pos="567"/>
              </w:tabs>
              <w:outlineLvl w:val="0"/>
              <w:rPr>
                <w:rFonts w:cs="Arial"/>
                <w:szCs w:val="20"/>
              </w:rPr>
            </w:pPr>
            <w:r w:rsidRPr="00CA56ED">
              <w:rPr>
                <w:rFonts w:cs="Arial"/>
                <w:szCs w:val="20"/>
              </w:rPr>
              <w:t>Considering that hotel ceilings for staff on mission in Italy are calculated on the basis of hotel stars with a reimbursement of 4-star hotels for senior civil servants (Category 1 staff) and 3</w:t>
            </w:r>
            <w:r w:rsidRPr="00CA56ED">
              <w:rPr>
                <w:rFonts w:cs="Arial"/>
                <w:szCs w:val="20"/>
              </w:rPr>
              <w:noBreakHyphen/>
              <w:t>star hotels for other officials (Category 2 staff), the overall DSA per country is calculated by using United Nations (UN) hotel rates published by the International Civil Service Commission (ICSC) on 1 April of the year of the calculations, as best proxy of accommodation costs, plus the corresponding 2-meals lump sum with reference to the appropriate reference city per country as the average from the two existing categories of staff, to be derived from the seven geographic worldwide zones comprised in the Italian DSA system.</w:t>
            </w:r>
          </w:p>
        </w:tc>
      </w:tr>
      <w:tr w:rsidR="00CA56ED" w:rsidRPr="00CA56ED" w14:paraId="2C1D64A2" w14:textId="77777777" w:rsidTr="002F0502">
        <w:tc>
          <w:tcPr>
            <w:tcW w:w="1702" w:type="dxa"/>
          </w:tcPr>
          <w:p w14:paraId="2DC17A2F" w14:textId="77777777" w:rsidR="00CA56ED" w:rsidRPr="00CA56ED" w:rsidRDefault="00CA56ED" w:rsidP="002F0502">
            <w:pPr>
              <w:keepNext/>
              <w:tabs>
                <w:tab w:val="left" w:pos="567"/>
              </w:tabs>
              <w:outlineLvl w:val="0"/>
              <w:rPr>
                <w:rFonts w:cs="Arial"/>
                <w:szCs w:val="20"/>
              </w:rPr>
            </w:pPr>
          </w:p>
        </w:tc>
        <w:tc>
          <w:tcPr>
            <w:tcW w:w="7796" w:type="dxa"/>
          </w:tcPr>
          <w:p w14:paraId="72792215" w14:textId="77777777" w:rsidR="00CA56ED" w:rsidRPr="00CA56ED" w:rsidRDefault="00CA56ED" w:rsidP="002F0502">
            <w:pPr>
              <w:keepNext/>
              <w:tabs>
                <w:tab w:val="left" w:pos="567"/>
              </w:tabs>
              <w:outlineLvl w:val="0"/>
              <w:rPr>
                <w:rFonts w:cs="Arial"/>
                <w:szCs w:val="20"/>
              </w:rPr>
            </w:pPr>
          </w:p>
        </w:tc>
      </w:tr>
      <w:tr w:rsidR="00CA56ED" w:rsidRPr="00CA56ED" w14:paraId="69F8694E" w14:textId="77777777" w:rsidTr="002F0502">
        <w:tc>
          <w:tcPr>
            <w:tcW w:w="1702" w:type="dxa"/>
          </w:tcPr>
          <w:p w14:paraId="7EAA6EFE" w14:textId="77777777" w:rsidR="00CA56ED" w:rsidRPr="00CA56ED" w:rsidRDefault="00CA56ED" w:rsidP="002F0502">
            <w:pPr>
              <w:keepNext/>
              <w:tabs>
                <w:tab w:val="left" w:pos="567"/>
              </w:tabs>
              <w:outlineLvl w:val="0"/>
              <w:rPr>
                <w:rFonts w:cs="Arial"/>
                <w:szCs w:val="20"/>
              </w:rPr>
            </w:pPr>
            <w:r w:rsidRPr="00CA56ED">
              <w:rPr>
                <w:rFonts w:cs="Arial"/>
                <w:szCs w:val="20"/>
              </w:rPr>
              <w:t>Luxembourg</w:t>
            </w:r>
          </w:p>
        </w:tc>
        <w:tc>
          <w:tcPr>
            <w:tcW w:w="7796" w:type="dxa"/>
          </w:tcPr>
          <w:p w14:paraId="6B7105CD" w14:textId="77777777" w:rsidR="00CA56ED" w:rsidRPr="00CA56ED" w:rsidRDefault="00CA56ED" w:rsidP="002F0502">
            <w:pPr>
              <w:keepNext/>
              <w:tabs>
                <w:tab w:val="left" w:pos="567"/>
              </w:tabs>
              <w:outlineLvl w:val="0"/>
              <w:rPr>
                <w:rFonts w:cs="Arial"/>
                <w:szCs w:val="20"/>
              </w:rPr>
            </w:pPr>
            <w:r w:rsidRPr="00CA56ED">
              <w:rPr>
                <w:rFonts w:cs="Arial"/>
                <w:szCs w:val="20"/>
              </w:rPr>
              <w:t>Overall DSA rate per country is calculated by adding the lump sums for meals and incidental expenses (</w:t>
            </w:r>
            <w:proofErr w:type="spellStart"/>
            <w:r w:rsidRPr="00CA56ED">
              <w:rPr>
                <w:rFonts w:cs="Arial"/>
                <w:i/>
                <w:szCs w:val="20"/>
              </w:rPr>
              <w:t>indemnité</w:t>
            </w:r>
            <w:proofErr w:type="spellEnd"/>
            <w:r w:rsidRPr="00CA56ED">
              <w:rPr>
                <w:rFonts w:cs="Arial"/>
                <w:i/>
                <w:szCs w:val="20"/>
              </w:rPr>
              <w:t xml:space="preserve"> de jour</w:t>
            </w:r>
            <w:r w:rsidRPr="00CA56ED">
              <w:rPr>
                <w:rFonts w:cs="Arial"/>
                <w:szCs w:val="20"/>
              </w:rPr>
              <w:t>) to the amount (ceiling) for overnight accommodation expenses (</w:t>
            </w:r>
            <w:proofErr w:type="spellStart"/>
            <w:r w:rsidRPr="00CA56ED">
              <w:rPr>
                <w:rFonts w:cs="Arial"/>
                <w:i/>
                <w:szCs w:val="20"/>
              </w:rPr>
              <w:t>indemnité</w:t>
            </w:r>
            <w:proofErr w:type="spellEnd"/>
            <w:r w:rsidRPr="00CA56ED">
              <w:rPr>
                <w:rFonts w:cs="Arial"/>
                <w:i/>
                <w:szCs w:val="20"/>
              </w:rPr>
              <w:t xml:space="preserve"> de </w:t>
            </w:r>
            <w:proofErr w:type="spellStart"/>
            <w:r w:rsidRPr="00CA56ED">
              <w:rPr>
                <w:rFonts w:cs="Arial"/>
                <w:i/>
                <w:szCs w:val="20"/>
              </w:rPr>
              <w:t>nuit</w:t>
            </w:r>
            <w:proofErr w:type="spellEnd"/>
            <w:r w:rsidRPr="00CA56ED">
              <w:rPr>
                <w:rFonts w:cs="Arial"/>
                <w:szCs w:val="20"/>
              </w:rPr>
              <w:t xml:space="preserve">).  </w:t>
            </w:r>
          </w:p>
        </w:tc>
      </w:tr>
      <w:tr w:rsidR="00CA56ED" w:rsidRPr="00CA56ED" w14:paraId="06AD266E" w14:textId="77777777" w:rsidTr="002F0502">
        <w:tc>
          <w:tcPr>
            <w:tcW w:w="1702" w:type="dxa"/>
          </w:tcPr>
          <w:p w14:paraId="79ECBB76" w14:textId="77777777" w:rsidR="00CA56ED" w:rsidRPr="00CA56ED" w:rsidRDefault="00CA56ED" w:rsidP="002F0502">
            <w:pPr>
              <w:keepNext/>
              <w:tabs>
                <w:tab w:val="left" w:pos="567"/>
              </w:tabs>
              <w:outlineLvl w:val="0"/>
              <w:rPr>
                <w:rFonts w:cs="Arial"/>
                <w:szCs w:val="20"/>
              </w:rPr>
            </w:pPr>
          </w:p>
        </w:tc>
        <w:tc>
          <w:tcPr>
            <w:tcW w:w="7796" w:type="dxa"/>
          </w:tcPr>
          <w:p w14:paraId="09E08DD0" w14:textId="77777777" w:rsidR="00CA56ED" w:rsidRPr="00CA56ED" w:rsidRDefault="00CA56ED" w:rsidP="002F0502">
            <w:pPr>
              <w:keepNext/>
              <w:tabs>
                <w:tab w:val="left" w:pos="567"/>
              </w:tabs>
              <w:outlineLvl w:val="0"/>
              <w:rPr>
                <w:rFonts w:cs="Arial"/>
                <w:szCs w:val="20"/>
              </w:rPr>
            </w:pPr>
          </w:p>
        </w:tc>
      </w:tr>
      <w:tr w:rsidR="00CA56ED" w:rsidRPr="00CA56ED" w14:paraId="73D0AAB9" w14:textId="77777777" w:rsidTr="002F0502">
        <w:tc>
          <w:tcPr>
            <w:tcW w:w="1702" w:type="dxa"/>
          </w:tcPr>
          <w:p w14:paraId="3BA7F07A" w14:textId="77777777" w:rsidR="00CA56ED" w:rsidRPr="00CA56ED" w:rsidRDefault="00CA56ED" w:rsidP="002F0502">
            <w:pPr>
              <w:keepNext/>
              <w:tabs>
                <w:tab w:val="left" w:pos="567"/>
              </w:tabs>
              <w:outlineLvl w:val="0"/>
              <w:rPr>
                <w:rFonts w:cs="Arial"/>
                <w:szCs w:val="20"/>
              </w:rPr>
            </w:pPr>
            <w:r w:rsidRPr="00CA56ED">
              <w:rPr>
                <w:rFonts w:cs="Arial"/>
                <w:szCs w:val="20"/>
              </w:rPr>
              <w:t>Netherlands</w:t>
            </w:r>
          </w:p>
        </w:tc>
        <w:tc>
          <w:tcPr>
            <w:tcW w:w="7796" w:type="dxa"/>
          </w:tcPr>
          <w:p w14:paraId="34C139BC" w14:textId="77777777" w:rsidR="00CA56ED" w:rsidRPr="00CA56ED" w:rsidRDefault="00CA56ED" w:rsidP="002F0502">
            <w:pPr>
              <w:keepNext/>
              <w:tabs>
                <w:tab w:val="left" w:pos="567"/>
              </w:tabs>
              <w:outlineLvl w:val="0"/>
              <w:rPr>
                <w:rFonts w:cs="Arial"/>
                <w:szCs w:val="20"/>
              </w:rPr>
            </w:pPr>
            <w:r w:rsidRPr="00CA56ED">
              <w:rPr>
                <w:rFonts w:cs="Arial"/>
                <w:szCs w:val="20"/>
              </w:rPr>
              <w:t>Overall DSA rate per country is calculated by adding the allowance for accommodation costs to the lump sum for meals and incidentals (other costs) foreseen for 24-hour missions.</w:t>
            </w:r>
          </w:p>
        </w:tc>
      </w:tr>
      <w:tr w:rsidR="00CA56ED" w:rsidRPr="00CA56ED" w14:paraId="3B077EC0" w14:textId="77777777" w:rsidTr="002F0502">
        <w:tc>
          <w:tcPr>
            <w:tcW w:w="1702" w:type="dxa"/>
          </w:tcPr>
          <w:p w14:paraId="27327BB6" w14:textId="77777777" w:rsidR="00CA56ED" w:rsidRPr="00CA56ED" w:rsidRDefault="00CA56ED" w:rsidP="002F0502">
            <w:pPr>
              <w:keepNext/>
              <w:tabs>
                <w:tab w:val="left" w:pos="567"/>
              </w:tabs>
              <w:outlineLvl w:val="0"/>
              <w:rPr>
                <w:rFonts w:cs="Arial"/>
                <w:szCs w:val="20"/>
              </w:rPr>
            </w:pPr>
          </w:p>
        </w:tc>
        <w:tc>
          <w:tcPr>
            <w:tcW w:w="7796" w:type="dxa"/>
          </w:tcPr>
          <w:p w14:paraId="56C0BC5F" w14:textId="77777777" w:rsidR="00CA56ED" w:rsidRPr="00CA56ED" w:rsidRDefault="00CA56ED" w:rsidP="002F0502">
            <w:pPr>
              <w:keepNext/>
              <w:tabs>
                <w:tab w:val="left" w:pos="567"/>
              </w:tabs>
              <w:outlineLvl w:val="0"/>
              <w:rPr>
                <w:rFonts w:cs="Arial"/>
                <w:szCs w:val="20"/>
              </w:rPr>
            </w:pPr>
          </w:p>
        </w:tc>
      </w:tr>
      <w:tr w:rsidR="00CA56ED" w:rsidRPr="00CA56ED" w14:paraId="6C513434" w14:textId="77777777" w:rsidTr="002F0502">
        <w:tc>
          <w:tcPr>
            <w:tcW w:w="1702" w:type="dxa"/>
          </w:tcPr>
          <w:p w14:paraId="2996575B" w14:textId="77777777" w:rsidR="00CA56ED" w:rsidRPr="00CA56ED" w:rsidRDefault="00CA56ED" w:rsidP="002F0502">
            <w:pPr>
              <w:keepNext/>
              <w:tabs>
                <w:tab w:val="left" w:pos="567"/>
              </w:tabs>
              <w:outlineLvl w:val="0"/>
              <w:rPr>
                <w:rFonts w:cs="Arial"/>
                <w:szCs w:val="20"/>
              </w:rPr>
            </w:pPr>
            <w:r w:rsidRPr="00CA56ED">
              <w:rPr>
                <w:rFonts w:cs="Arial"/>
                <w:szCs w:val="20"/>
              </w:rPr>
              <w:t>Spain</w:t>
            </w:r>
          </w:p>
        </w:tc>
        <w:tc>
          <w:tcPr>
            <w:tcW w:w="7796" w:type="dxa"/>
          </w:tcPr>
          <w:p w14:paraId="07A1FC1A" w14:textId="77777777" w:rsidR="00CA56ED" w:rsidRPr="00CA56ED" w:rsidRDefault="00CA56ED" w:rsidP="002F0502">
            <w:pPr>
              <w:keepNext/>
              <w:tabs>
                <w:tab w:val="left" w:pos="567"/>
              </w:tabs>
              <w:outlineLvl w:val="0"/>
              <w:rPr>
                <w:rFonts w:cs="Arial"/>
                <w:szCs w:val="20"/>
              </w:rPr>
            </w:pPr>
            <w:r w:rsidRPr="00CA56ED">
              <w:rPr>
                <w:rFonts w:cs="Arial"/>
                <w:szCs w:val="20"/>
              </w:rPr>
              <w:t>Overall DSA rate per country is calculated by adding the average of the lump sum for accommodation expenses granted to group 1 and group 2 staff to the average of the daily lump sum granted to group 1 and group 2 staff.</w:t>
            </w:r>
          </w:p>
        </w:tc>
      </w:tr>
      <w:tr w:rsidR="00CA56ED" w:rsidRPr="00CA56ED" w14:paraId="77F4FD51" w14:textId="77777777" w:rsidTr="002F0502">
        <w:tc>
          <w:tcPr>
            <w:tcW w:w="1702" w:type="dxa"/>
          </w:tcPr>
          <w:p w14:paraId="024CA907" w14:textId="77777777" w:rsidR="00CA56ED" w:rsidRPr="00CA56ED" w:rsidRDefault="00CA56ED" w:rsidP="002F0502">
            <w:pPr>
              <w:rPr>
                <w:rFonts w:cs="Arial"/>
                <w:szCs w:val="20"/>
              </w:rPr>
            </w:pPr>
          </w:p>
        </w:tc>
        <w:tc>
          <w:tcPr>
            <w:tcW w:w="7796" w:type="dxa"/>
          </w:tcPr>
          <w:p w14:paraId="51FD2804" w14:textId="77777777" w:rsidR="00CA56ED" w:rsidRPr="00CA56ED" w:rsidRDefault="00CA56ED" w:rsidP="002F0502">
            <w:pPr>
              <w:keepNext/>
              <w:tabs>
                <w:tab w:val="left" w:pos="567"/>
              </w:tabs>
              <w:outlineLvl w:val="0"/>
              <w:rPr>
                <w:rFonts w:cs="Arial"/>
                <w:szCs w:val="20"/>
              </w:rPr>
            </w:pPr>
          </w:p>
        </w:tc>
      </w:tr>
      <w:tr w:rsidR="00CA56ED" w:rsidRPr="00CA56ED" w14:paraId="4C972DF9" w14:textId="77777777" w:rsidTr="002F0502">
        <w:tc>
          <w:tcPr>
            <w:tcW w:w="1702" w:type="dxa"/>
          </w:tcPr>
          <w:p w14:paraId="0CA6F16F" w14:textId="77777777" w:rsidR="00CA56ED" w:rsidRPr="00CA56ED" w:rsidRDefault="00CA56ED" w:rsidP="002F0502">
            <w:pPr>
              <w:rPr>
                <w:rFonts w:cs="Arial"/>
                <w:szCs w:val="20"/>
              </w:rPr>
            </w:pPr>
            <w:r w:rsidRPr="00CA56ED">
              <w:rPr>
                <w:rFonts w:cs="Arial"/>
                <w:szCs w:val="20"/>
              </w:rPr>
              <w:t>United Kingdom</w:t>
            </w:r>
          </w:p>
        </w:tc>
        <w:tc>
          <w:tcPr>
            <w:tcW w:w="7796" w:type="dxa"/>
          </w:tcPr>
          <w:p w14:paraId="7B88DD1A" w14:textId="77777777" w:rsidR="00CA56ED" w:rsidRPr="00CA56ED" w:rsidRDefault="00CA56ED" w:rsidP="002F0502">
            <w:pPr>
              <w:keepNext/>
              <w:tabs>
                <w:tab w:val="left" w:pos="567"/>
              </w:tabs>
              <w:outlineLvl w:val="0"/>
              <w:rPr>
                <w:rFonts w:cs="Arial"/>
                <w:szCs w:val="20"/>
              </w:rPr>
            </w:pPr>
            <w:r w:rsidRPr="00CA56ED">
              <w:rPr>
                <w:rFonts w:cs="Arial"/>
                <w:szCs w:val="20"/>
              </w:rPr>
              <w:t xml:space="preserve">Overall DSA rate for the CO Member countries is calculated by adding the average of the price ranges on accommodation costs to be computed by National Authorities (based on the information presented in the Global Expenditure Guide, complemented by additional information provided by different United Kingdom delegations abroad) to the sum of recommended costs for the three main meals to be derived from the Global Expenditure Guide. </w:t>
            </w:r>
          </w:p>
        </w:tc>
      </w:tr>
    </w:tbl>
    <w:p w14:paraId="5ECB894A" w14:textId="77777777" w:rsidR="00CA56ED" w:rsidRPr="00CA56ED" w:rsidRDefault="00CA56ED" w:rsidP="0048480A">
      <w:pPr>
        <w:pStyle w:val="ListParagraph"/>
        <w:keepNext/>
        <w:numPr>
          <w:ilvl w:val="0"/>
          <w:numId w:val="5"/>
        </w:numPr>
        <w:tabs>
          <w:tab w:val="left" w:pos="0"/>
        </w:tabs>
        <w:ind w:hanging="720"/>
        <w:contextualSpacing w:val="0"/>
        <w:jc w:val="both"/>
        <w:outlineLvl w:val="0"/>
        <w:rPr>
          <w:rFonts w:ascii="Arial" w:hAnsi="Arial" w:cs="Arial"/>
          <w:b/>
          <w:sz w:val="20"/>
          <w:szCs w:val="20"/>
        </w:rPr>
      </w:pPr>
      <w:r w:rsidRPr="00CA56ED">
        <w:rPr>
          <w:rFonts w:ascii="Arial" w:hAnsi="Arial" w:cs="Arial"/>
          <w:b/>
          <w:sz w:val="20"/>
          <w:szCs w:val="20"/>
        </w:rPr>
        <w:lastRenderedPageBreak/>
        <w:t>Calculation of the overall DSA rates</w:t>
      </w:r>
    </w:p>
    <w:p w14:paraId="415EC1EF" w14:textId="77777777" w:rsidR="00CA56ED" w:rsidRPr="00CA56ED" w:rsidRDefault="00CA56ED" w:rsidP="0048480A">
      <w:pPr>
        <w:pStyle w:val="ListParagraph"/>
        <w:keepNext/>
        <w:tabs>
          <w:tab w:val="left" w:pos="720"/>
        </w:tabs>
        <w:outlineLvl w:val="0"/>
        <w:rPr>
          <w:rFonts w:ascii="Arial" w:hAnsi="Arial" w:cs="Arial"/>
          <w:b/>
          <w:sz w:val="20"/>
          <w:szCs w:val="20"/>
        </w:rPr>
      </w:pPr>
    </w:p>
    <w:p w14:paraId="6B42D6CC" w14:textId="77777777" w:rsidR="00CA56ED" w:rsidRPr="00CA56ED" w:rsidRDefault="00CA56ED" w:rsidP="00CA56ED">
      <w:pPr>
        <w:keepNext/>
        <w:tabs>
          <w:tab w:val="left" w:pos="567"/>
        </w:tabs>
        <w:outlineLvl w:val="0"/>
        <w:rPr>
          <w:rFonts w:cs="Arial"/>
          <w:szCs w:val="20"/>
        </w:rPr>
      </w:pPr>
      <w:r w:rsidRPr="00CA56ED">
        <w:rPr>
          <w:rFonts w:cs="Arial"/>
          <w:szCs w:val="20"/>
        </w:rPr>
        <w:t>The initial level of the rates of the DSA for all countries is calculated as the arithmetic average of the relevant NCS rates of the reference countries.</w:t>
      </w:r>
    </w:p>
    <w:p w14:paraId="7E373C4D" w14:textId="77777777" w:rsidR="00CA56ED" w:rsidRPr="00CA56ED" w:rsidRDefault="00CA56ED" w:rsidP="00CA56ED">
      <w:pPr>
        <w:keepNext/>
        <w:tabs>
          <w:tab w:val="left" w:pos="567"/>
        </w:tabs>
        <w:ind w:firstLine="567"/>
        <w:outlineLvl w:val="0"/>
        <w:rPr>
          <w:rFonts w:cs="Arial"/>
          <w:szCs w:val="20"/>
        </w:rPr>
      </w:pPr>
    </w:p>
    <w:p w14:paraId="28116144" w14:textId="77777777" w:rsidR="00CA56ED" w:rsidRPr="00CA56ED" w:rsidRDefault="00CA56ED" w:rsidP="00CA56ED">
      <w:pPr>
        <w:keepNext/>
        <w:tabs>
          <w:tab w:val="left" w:pos="567"/>
        </w:tabs>
        <w:outlineLvl w:val="0"/>
        <w:rPr>
          <w:rFonts w:cs="Arial"/>
          <w:szCs w:val="20"/>
        </w:rPr>
      </w:pPr>
      <w:r w:rsidRPr="00CA56ED">
        <w:rPr>
          <w:rFonts w:cs="Arial"/>
          <w:szCs w:val="20"/>
        </w:rPr>
        <w:t>In following years, the rates are adjusted every three years by reference to the average of the rates in force on 1 April of the previous year in the eight reference countries.</w:t>
      </w:r>
    </w:p>
    <w:p w14:paraId="3DCD3AF4" w14:textId="77777777" w:rsidR="00CA56ED" w:rsidRPr="00CA56ED" w:rsidRDefault="00CA56ED" w:rsidP="00CA56ED">
      <w:pPr>
        <w:keepNext/>
        <w:tabs>
          <w:tab w:val="left" w:pos="567"/>
        </w:tabs>
        <w:ind w:firstLine="567"/>
        <w:outlineLvl w:val="0"/>
        <w:rPr>
          <w:rFonts w:cs="Arial"/>
          <w:szCs w:val="20"/>
        </w:rPr>
      </w:pPr>
    </w:p>
    <w:p w14:paraId="055B86E6" w14:textId="4BF213E4" w:rsidR="00CA56ED" w:rsidRPr="00CA56ED" w:rsidRDefault="00CA56ED" w:rsidP="0048480A">
      <w:pPr>
        <w:keepNext/>
        <w:numPr>
          <w:ilvl w:val="0"/>
          <w:numId w:val="4"/>
        </w:numPr>
        <w:ind w:left="-851" w:firstLine="851"/>
        <w:jc w:val="both"/>
        <w:outlineLvl w:val="0"/>
        <w:rPr>
          <w:rFonts w:cs="Arial"/>
          <w:b/>
          <w:szCs w:val="20"/>
        </w:rPr>
      </w:pPr>
      <w:r w:rsidRPr="00CA56ED">
        <w:rPr>
          <w:rFonts w:cs="Arial"/>
          <w:b/>
          <w:szCs w:val="20"/>
        </w:rPr>
        <w:t>OTHER ELEMENTS IN THE CALCULATION OF THE DSA</w:t>
      </w:r>
    </w:p>
    <w:p w14:paraId="2352DA62" w14:textId="77777777" w:rsidR="00CA56ED" w:rsidRPr="00CA56ED" w:rsidRDefault="00CA56ED" w:rsidP="00CA56ED">
      <w:pPr>
        <w:keepNext/>
        <w:tabs>
          <w:tab w:val="left" w:pos="567"/>
        </w:tabs>
        <w:outlineLvl w:val="0"/>
        <w:rPr>
          <w:rFonts w:cs="Arial"/>
          <w:szCs w:val="20"/>
        </w:rPr>
      </w:pPr>
    </w:p>
    <w:p w14:paraId="3C909740" w14:textId="77777777" w:rsidR="00CA56ED" w:rsidRPr="00CA56ED" w:rsidRDefault="00CA56ED" w:rsidP="0048480A">
      <w:pPr>
        <w:keepNext/>
        <w:tabs>
          <w:tab w:val="left" w:pos="0"/>
        </w:tabs>
        <w:outlineLvl w:val="0"/>
        <w:rPr>
          <w:rFonts w:cs="Arial"/>
          <w:b/>
          <w:szCs w:val="20"/>
        </w:rPr>
      </w:pPr>
      <w:r w:rsidRPr="00CA56ED">
        <w:rPr>
          <w:rFonts w:cs="Arial"/>
          <w:b/>
          <w:szCs w:val="20"/>
        </w:rPr>
        <w:t>3.1</w:t>
      </w:r>
      <w:r w:rsidRPr="00CA56ED">
        <w:rPr>
          <w:rFonts w:cs="Arial"/>
          <w:b/>
          <w:szCs w:val="20"/>
        </w:rPr>
        <w:tab/>
        <w:t>Exchange rates</w:t>
      </w:r>
    </w:p>
    <w:p w14:paraId="12074E31" w14:textId="77777777" w:rsidR="00CA56ED" w:rsidRPr="00CA56ED" w:rsidRDefault="00CA56ED" w:rsidP="00CA56ED">
      <w:pPr>
        <w:keepNext/>
        <w:tabs>
          <w:tab w:val="left" w:pos="567"/>
        </w:tabs>
        <w:ind w:left="1134"/>
        <w:outlineLvl w:val="0"/>
        <w:rPr>
          <w:rFonts w:cs="Arial"/>
          <w:b/>
          <w:szCs w:val="20"/>
        </w:rPr>
      </w:pPr>
    </w:p>
    <w:p w14:paraId="3D4F5C68" w14:textId="20F1E141" w:rsidR="00CA56ED" w:rsidRPr="00CA56ED" w:rsidRDefault="00CA56ED" w:rsidP="00CA56ED">
      <w:pPr>
        <w:keepNext/>
        <w:tabs>
          <w:tab w:val="left" w:pos="567"/>
        </w:tabs>
        <w:outlineLvl w:val="0"/>
        <w:rPr>
          <w:rFonts w:cs="Arial"/>
          <w:szCs w:val="20"/>
        </w:rPr>
      </w:pPr>
      <w:r w:rsidRPr="00CA56ED">
        <w:rPr>
          <w:rFonts w:cs="Arial"/>
          <w:szCs w:val="20"/>
        </w:rPr>
        <w:t>It is a single official and published data set of exchange rates which needs to be retained to the needs of operational efficiency and the objectives of the system adopted by the CCR.</w:t>
      </w:r>
    </w:p>
    <w:p w14:paraId="2898DADF" w14:textId="77777777" w:rsidR="00CA56ED" w:rsidRPr="00CA56ED" w:rsidRDefault="00CA56ED" w:rsidP="00CA56ED">
      <w:pPr>
        <w:keepNext/>
        <w:tabs>
          <w:tab w:val="left" w:pos="567"/>
        </w:tabs>
        <w:outlineLvl w:val="0"/>
        <w:rPr>
          <w:rFonts w:cs="Arial"/>
          <w:szCs w:val="20"/>
        </w:rPr>
      </w:pPr>
    </w:p>
    <w:p w14:paraId="0B1175BB" w14:textId="77777777" w:rsidR="00CA56ED" w:rsidRPr="00CA56ED" w:rsidRDefault="00CA56ED" w:rsidP="00CA56ED">
      <w:pPr>
        <w:keepNext/>
        <w:tabs>
          <w:tab w:val="left" w:pos="567"/>
        </w:tabs>
        <w:outlineLvl w:val="0"/>
        <w:rPr>
          <w:rFonts w:cs="Arial"/>
          <w:szCs w:val="20"/>
        </w:rPr>
      </w:pPr>
      <w:r w:rsidRPr="00CA56ED">
        <w:rPr>
          <w:rFonts w:cs="Arial"/>
          <w:szCs w:val="20"/>
        </w:rPr>
        <w:t xml:space="preserve">The European Commission data set </w:t>
      </w:r>
      <w:proofErr w:type="spellStart"/>
      <w:r w:rsidRPr="00CA56ED">
        <w:rPr>
          <w:rFonts w:cs="Arial"/>
          <w:szCs w:val="20"/>
        </w:rPr>
        <w:t>InforEuro</w:t>
      </w:r>
      <w:proofErr w:type="spellEnd"/>
      <w:r w:rsidRPr="00CA56ED">
        <w:rPr>
          <w:rFonts w:cs="Arial"/>
          <w:szCs w:val="20"/>
        </w:rPr>
        <w:t xml:space="preserve"> published for the month of April, which indicates the market rates for the penultimate day of March quoted by the European Central Bank (ECB), is used when needed for the conversion of NCS rates into the overall DSA rates in Euros or in hard currency.</w:t>
      </w:r>
    </w:p>
    <w:p w14:paraId="37DE3CCF" w14:textId="77777777" w:rsidR="00CA56ED" w:rsidRPr="00CA56ED" w:rsidRDefault="00CA56ED" w:rsidP="00CA56ED">
      <w:pPr>
        <w:keepNext/>
        <w:tabs>
          <w:tab w:val="left" w:pos="567"/>
        </w:tabs>
        <w:ind w:firstLine="567"/>
        <w:outlineLvl w:val="0"/>
        <w:rPr>
          <w:rFonts w:cs="Arial"/>
          <w:szCs w:val="20"/>
        </w:rPr>
      </w:pPr>
    </w:p>
    <w:p w14:paraId="63CF9BAD" w14:textId="77777777" w:rsidR="00CA56ED" w:rsidRPr="00CA56ED" w:rsidRDefault="00CA56ED" w:rsidP="00CA56ED">
      <w:pPr>
        <w:keepNext/>
        <w:tabs>
          <w:tab w:val="left" w:pos="567"/>
        </w:tabs>
        <w:outlineLvl w:val="0"/>
        <w:rPr>
          <w:rFonts w:cs="Arial"/>
          <w:szCs w:val="20"/>
        </w:rPr>
      </w:pPr>
      <w:r w:rsidRPr="00CA56ED">
        <w:rPr>
          <w:rFonts w:cs="Arial"/>
          <w:szCs w:val="20"/>
        </w:rPr>
        <w:t>DSA rates in hard currency correspond to those set out for Australia, Canada, Denmark, Japan, South Korea, Liechtenstein, New Zealand, Norway, Sweden, Switzerland, the United Kingdom and the United States.</w:t>
      </w:r>
    </w:p>
    <w:p w14:paraId="2E942AD1" w14:textId="77777777" w:rsidR="00CA56ED" w:rsidRPr="00CA56ED" w:rsidRDefault="00CA56ED" w:rsidP="00CA56ED">
      <w:pPr>
        <w:keepNext/>
        <w:tabs>
          <w:tab w:val="left" w:pos="567"/>
        </w:tabs>
        <w:ind w:firstLine="567"/>
        <w:outlineLvl w:val="0"/>
        <w:rPr>
          <w:rFonts w:cs="Arial"/>
          <w:szCs w:val="20"/>
        </w:rPr>
      </w:pPr>
    </w:p>
    <w:p w14:paraId="053B6E25" w14:textId="77777777" w:rsidR="00CA56ED" w:rsidRPr="00CA56ED" w:rsidRDefault="00CA56ED" w:rsidP="0048480A">
      <w:pPr>
        <w:keepNext/>
        <w:tabs>
          <w:tab w:val="left" w:pos="0"/>
        </w:tabs>
        <w:outlineLvl w:val="0"/>
        <w:rPr>
          <w:rFonts w:cs="Arial"/>
          <w:b/>
          <w:szCs w:val="20"/>
        </w:rPr>
      </w:pPr>
      <w:r w:rsidRPr="00CA56ED">
        <w:rPr>
          <w:rFonts w:cs="Arial"/>
          <w:b/>
          <w:szCs w:val="20"/>
        </w:rPr>
        <w:t>3.2</w:t>
      </w:r>
      <w:r w:rsidRPr="00CA56ED">
        <w:rPr>
          <w:rFonts w:cs="Arial"/>
          <w:b/>
          <w:szCs w:val="20"/>
        </w:rPr>
        <w:tab/>
        <w:t>DSA rates for “other” locations in France, the United Kingdom and the United States</w:t>
      </w:r>
    </w:p>
    <w:p w14:paraId="53FD293A" w14:textId="77777777" w:rsidR="00CA56ED" w:rsidRPr="00CA56ED" w:rsidRDefault="00CA56ED" w:rsidP="00CA56ED">
      <w:pPr>
        <w:keepNext/>
        <w:tabs>
          <w:tab w:val="left" w:pos="567"/>
        </w:tabs>
        <w:ind w:firstLine="567"/>
        <w:outlineLvl w:val="0"/>
        <w:rPr>
          <w:rFonts w:cs="Arial"/>
          <w:szCs w:val="20"/>
        </w:rPr>
      </w:pPr>
    </w:p>
    <w:p w14:paraId="32238138" w14:textId="77777777" w:rsidR="00CA56ED" w:rsidRPr="00CA56ED" w:rsidRDefault="00CA56ED" w:rsidP="00CA56ED">
      <w:pPr>
        <w:keepNext/>
        <w:tabs>
          <w:tab w:val="left" w:pos="567"/>
        </w:tabs>
        <w:outlineLvl w:val="0"/>
        <w:rPr>
          <w:rFonts w:cs="Arial"/>
          <w:szCs w:val="20"/>
        </w:rPr>
      </w:pPr>
      <w:r w:rsidRPr="00CA56ED">
        <w:rPr>
          <w:rFonts w:cs="Arial"/>
          <w:szCs w:val="20"/>
        </w:rPr>
        <w:t xml:space="preserve">NCS data from some reference countries have several rates for France, the United Kingdom and the United States, at times not </w:t>
      </w:r>
      <w:proofErr w:type="gramStart"/>
      <w:r w:rsidRPr="00CA56ED">
        <w:rPr>
          <w:rFonts w:cs="Arial"/>
          <w:szCs w:val="20"/>
        </w:rPr>
        <w:t>making reference</w:t>
      </w:r>
      <w:proofErr w:type="gramEnd"/>
      <w:r w:rsidRPr="00CA56ED">
        <w:rPr>
          <w:rFonts w:cs="Arial"/>
          <w:szCs w:val="20"/>
        </w:rPr>
        <w:t xml:space="preserve"> to the same cities.</w:t>
      </w:r>
    </w:p>
    <w:p w14:paraId="17211172" w14:textId="77777777" w:rsidR="00CA56ED" w:rsidRPr="00CA56ED" w:rsidRDefault="00CA56ED" w:rsidP="00CA56ED">
      <w:pPr>
        <w:keepNext/>
        <w:tabs>
          <w:tab w:val="left" w:pos="567"/>
        </w:tabs>
        <w:ind w:firstLine="567"/>
        <w:outlineLvl w:val="0"/>
        <w:rPr>
          <w:rFonts w:cs="Arial"/>
          <w:szCs w:val="20"/>
        </w:rPr>
      </w:pPr>
    </w:p>
    <w:p w14:paraId="6AA6FC8E" w14:textId="77777777" w:rsidR="00CA56ED" w:rsidRPr="00CA56ED" w:rsidRDefault="00CA56ED" w:rsidP="00CA56ED">
      <w:pPr>
        <w:keepNext/>
        <w:tabs>
          <w:tab w:val="left" w:pos="567"/>
        </w:tabs>
        <w:outlineLvl w:val="0"/>
        <w:rPr>
          <w:rFonts w:cs="Arial"/>
          <w:szCs w:val="20"/>
        </w:rPr>
      </w:pPr>
      <w:r w:rsidRPr="00CA56ED">
        <w:rPr>
          <w:rFonts w:cs="Arial"/>
          <w:szCs w:val="20"/>
        </w:rPr>
        <w:t>NCS rates to be used to calculate the CO DSA for “other” mission locations in these three countries must reflect in the best way possible the locations of interest to the CO when sending staff on mission other than to their respective capital cities.</w:t>
      </w:r>
    </w:p>
    <w:p w14:paraId="2333D1FE" w14:textId="77777777" w:rsidR="00CA56ED" w:rsidRPr="00CA56ED" w:rsidRDefault="00CA56ED" w:rsidP="00CA56ED">
      <w:pPr>
        <w:keepNext/>
        <w:tabs>
          <w:tab w:val="left" w:pos="567"/>
        </w:tabs>
        <w:ind w:firstLine="567"/>
        <w:outlineLvl w:val="0"/>
        <w:rPr>
          <w:rFonts w:cs="Arial"/>
          <w:szCs w:val="20"/>
        </w:rPr>
      </w:pPr>
    </w:p>
    <w:p w14:paraId="160BC129" w14:textId="77777777" w:rsidR="00CA56ED" w:rsidRPr="00CA56ED" w:rsidRDefault="00CA56ED" w:rsidP="00CA56ED">
      <w:pPr>
        <w:keepNext/>
        <w:tabs>
          <w:tab w:val="left" w:pos="567"/>
        </w:tabs>
        <w:outlineLvl w:val="0"/>
        <w:rPr>
          <w:rFonts w:cs="Arial"/>
          <w:szCs w:val="20"/>
        </w:rPr>
      </w:pPr>
      <w:r w:rsidRPr="00CA56ED">
        <w:rPr>
          <w:rFonts w:cs="Arial"/>
          <w:szCs w:val="20"/>
        </w:rPr>
        <w:t>In line with that principle, which was also followed in previous methods relating to the calculation of the DSA, DSA data from NCS for Strasbourg in France as the reference city for “other locations” of interest to the CO are used when available. Likewise, when available, DSA data from NCS sources for Reading are used as the reference city for “other locations” of interest to the CO in the United Kingdom.</w:t>
      </w:r>
    </w:p>
    <w:p w14:paraId="5BFE0B19" w14:textId="77777777" w:rsidR="00CA56ED" w:rsidRPr="00CA56ED" w:rsidRDefault="00CA56ED" w:rsidP="00CA56ED">
      <w:pPr>
        <w:keepNext/>
        <w:tabs>
          <w:tab w:val="left" w:pos="567"/>
        </w:tabs>
        <w:ind w:firstLine="567"/>
        <w:outlineLvl w:val="0"/>
        <w:rPr>
          <w:rFonts w:cs="Arial"/>
          <w:szCs w:val="20"/>
        </w:rPr>
      </w:pPr>
    </w:p>
    <w:p w14:paraId="3BFCA9AE" w14:textId="77777777" w:rsidR="00CA56ED" w:rsidRPr="00CA56ED" w:rsidRDefault="00CA56ED" w:rsidP="00CA56ED">
      <w:pPr>
        <w:keepNext/>
        <w:tabs>
          <w:tab w:val="left" w:pos="567"/>
        </w:tabs>
        <w:outlineLvl w:val="0"/>
        <w:rPr>
          <w:rFonts w:cs="Arial"/>
          <w:szCs w:val="20"/>
        </w:rPr>
      </w:pPr>
      <w:r w:rsidRPr="00CA56ED">
        <w:rPr>
          <w:rFonts w:cs="Arial"/>
          <w:szCs w:val="20"/>
        </w:rPr>
        <w:t>When there is no DSA data from NCS sources specific to the above-mentioned locations for France and the United Kingdom, the arithmetic average of all cities for which there is a rate is used instead.</w:t>
      </w:r>
    </w:p>
    <w:p w14:paraId="67064BC1" w14:textId="77777777" w:rsidR="00CA56ED" w:rsidRPr="00CA56ED" w:rsidRDefault="00CA56ED" w:rsidP="00CA56ED">
      <w:pPr>
        <w:keepNext/>
        <w:tabs>
          <w:tab w:val="left" w:pos="567"/>
        </w:tabs>
        <w:ind w:firstLine="567"/>
        <w:outlineLvl w:val="0"/>
        <w:rPr>
          <w:rFonts w:cs="Arial"/>
          <w:szCs w:val="20"/>
        </w:rPr>
      </w:pPr>
    </w:p>
    <w:p w14:paraId="77951941" w14:textId="77777777" w:rsidR="00CA56ED" w:rsidRPr="00CA56ED" w:rsidRDefault="00CA56ED" w:rsidP="00CA56ED">
      <w:pPr>
        <w:keepNext/>
        <w:tabs>
          <w:tab w:val="left" w:pos="567"/>
        </w:tabs>
        <w:outlineLvl w:val="0"/>
        <w:rPr>
          <w:rFonts w:cs="Arial"/>
          <w:szCs w:val="20"/>
        </w:rPr>
      </w:pPr>
      <w:r w:rsidRPr="00CA56ED">
        <w:rPr>
          <w:rFonts w:cs="Arial"/>
          <w:szCs w:val="20"/>
        </w:rPr>
        <w:t>The same principle is followed as well for the United States. However, because there is not a specific common location to be targeted as a CO reference city for that purpose other than Washington D.C. and New York City where most CO missions take place, the DSA rate “others” in the United States is calculated as the arithmetic average of the rates from NCS sources for all major cities specifically identified, as well as the generic category of “other” cities available in the respective national systems.</w:t>
      </w:r>
    </w:p>
    <w:p w14:paraId="41D3A072" w14:textId="77777777" w:rsidR="00CA56ED" w:rsidRPr="00CA56ED" w:rsidRDefault="00CA56ED" w:rsidP="00CA56ED">
      <w:pPr>
        <w:tabs>
          <w:tab w:val="left" w:pos="1985"/>
          <w:tab w:val="left" w:pos="2127"/>
          <w:tab w:val="left" w:pos="4820"/>
        </w:tabs>
        <w:ind w:left="4820" w:hanging="4820"/>
        <w:jc w:val="center"/>
        <w:rPr>
          <w:rFonts w:eastAsia="Times New Roman" w:cs="Arial"/>
          <w:szCs w:val="20"/>
        </w:rPr>
      </w:pPr>
    </w:p>
    <w:sectPr w:rsidR="00CA56ED" w:rsidRPr="00CA56ED" w:rsidSect="00A37E36">
      <w:headerReference w:type="even" r:id="rId9"/>
      <w:headerReference w:type="default" r:id="rId10"/>
      <w:footerReference w:type="default" r:id="rId11"/>
      <w:headerReference w:type="first" r:id="rId12"/>
      <w:footerReference w:type="first" r:id="rId13"/>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CEB6F" w14:textId="77777777" w:rsidR="00DD0D6A" w:rsidRDefault="00DD0D6A" w:rsidP="00FD6043">
      <w:r>
        <w:separator/>
      </w:r>
    </w:p>
  </w:endnote>
  <w:endnote w:type="continuationSeparator" w:id="0">
    <w:p w14:paraId="727F89AC" w14:textId="77777777" w:rsidR="00DD0D6A" w:rsidRDefault="00DD0D6A"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charset w:val="00"/>
    <w:family w:val="roman"/>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6CB0"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6DB3"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3966C" w14:textId="77777777" w:rsidR="00DD0D6A" w:rsidRDefault="00DD0D6A" w:rsidP="00FD6043">
      <w:r>
        <w:separator/>
      </w:r>
    </w:p>
  </w:footnote>
  <w:footnote w:type="continuationSeparator" w:id="0">
    <w:p w14:paraId="5D6C13F3" w14:textId="77777777" w:rsidR="00DD0D6A" w:rsidRDefault="00DD0D6A" w:rsidP="00FD6043">
      <w:r>
        <w:continuationSeparator/>
      </w:r>
    </w:p>
  </w:footnote>
  <w:footnote w:id="1">
    <w:p w14:paraId="3311B95F" w14:textId="7A523D89" w:rsidR="003D6AC2" w:rsidRPr="00416EA2" w:rsidRDefault="00853C90" w:rsidP="003D6AC2">
      <w:pPr>
        <w:pStyle w:val="FootnoteText"/>
        <w:rPr>
          <w:szCs w:val="16"/>
        </w:rPr>
      </w:pPr>
      <w:r>
        <w:rPr>
          <w:rStyle w:val="FootnoteReference"/>
        </w:rPr>
        <w:footnoteRef/>
      </w:r>
      <w:r w:rsidRPr="00A12DEC">
        <w:t xml:space="preserve"> </w:t>
      </w:r>
      <w:r w:rsidR="003D6AC2" w:rsidRPr="00416EA2">
        <w:rPr>
          <w:szCs w:val="16"/>
        </w:rPr>
        <w:t>This document has been classified restricted until examination by the Committee of Ministers.</w:t>
      </w:r>
    </w:p>
  </w:footnote>
  <w:footnote w:id="2">
    <w:p w14:paraId="6A9DFED6" w14:textId="637065BF" w:rsidR="00841E3D" w:rsidRPr="00841E3D" w:rsidRDefault="00841E3D">
      <w:pPr>
        <w:pStyle w:val="FootnoteText"/>
      </w:pPr>
      <w:r>
        <w:rPr>
          <w:rStyle w:val="FootnoteReference"/>
        </w:rPr>
        <w:footnoteRef/>
      </w:r>
      <w:r>
        <w:t xml:space="preserve"> </w:t>
      </w:r>
      <w:bookmarkStart w:id="1" w:name="_Hlk45015173"/>
      <w:r w:rsidRPr="00841E3D">
        <w:t xml:space="preserve">Cf. </w:t>
      </w:r>
      <w:bookmarkStart w:id="2" w:name="_ML_000000000001_VALID"/>
      <w:r w:rsidR="00C06C71" w:rsidRPr="00C06C71">
        <w:fldChar w:fldCharType="begin"/>
      </w:r>
      <w:r w:rsidR="00C06C71" w:rsidRPr="00C06C71">
        <w:instrText xml:space="preserve"> HYPERLINK "https://search.coe.int/cm/Pages/result_details.aspx?Reference=CM(2014)105" \o "Co-ordinating Committee on Remuneration (CCR) ‒ b. Review of the system of the daily subsistence allowance – 228th Report [1213 meeting]" </w:instrText>
      </w:r>
      <w:r w:rsidR="00C06C71" w:rsidRPr="00C06C71">
        <w:fldChar w:fldCharType="separate"/>
      </w:r>
      <w:bookmarkEnd w:id="2"/>
      <w:r w:rsidR="00C06C71" w:rsidRPr="00C06C71">
        <w:rPr>
          <w:rStyle w:val="Hyperlink"/>
        </w:rPr>
        <w:t>CM(2014)105</w:t>
      </w:r>
      <w:r w:rsidR="00C06C71" w:rsidRPr="00C06C71">
        <w:fldChar w:fldCharType="end"/>
      </w:r>
      <w:r w:rsidRPr="00841E3D">
        <w:t xml:space="preserve"> and </w:t>
      </w:r>
      <w:bookmarkStart w:id="3" w:name="_ML_000000000002_VALID"/>
      <w:r w:rsidR="00C06C71" w:rsidRPr="00C06C71">
        <w:fldChar w:fldCharType="begin"/>
      </w:r>
      <w:r w:rsidR="00C06C71" w:rsidRPr="00C06C71">
        <w:instrText xml:space="preserve"> HYPERLINK "https://search.coe.int/cm/Pages/result_details.aspx?Reference=CM/Del/Dec(2014)1213/11.1b" \o "Co-ordinating Committee on Remuneration (CCR) - b. Review of the system of the daily subsistence allowance – 228th report and 232nd report" </w:instrText>
      </w:r>
      <w:r w:rsidR="00C06C71" w:rsidRPr="00C06C71">
        <w:fldChar w:fldCharType="separate"/>
      </w:r>
      <w:bookmarkEnd w:id="3"/>
      <w:r w:rsidR="00C06C71" w:rsidRPr="00C06C71">
        <w:rPr>
          <w:rStyle w:val="Hyperlink"/>
        </w:rPr>
        <w:t>CM/Del/Dec(2014)1213/11.1b</w:t>
      </w:r>
      <w:r w:rsidR="00C06C71" w:rsidRPr="00C06C71">
        <w:fldChar w:fldCharType="end"/>
      </w:r>
      <w:r w:rsidRPr="00841E3D">
        <w:t>.</w:t>
      </w:r>
      <w:bookmarkEnd w:id="1"/>
    </w:p>
  </w:footnote>
  <w:footnote w:id="3">
    <w:p w14:paraId="6BB5472C" w14:textId="0258EB0C" w:rsidR="00841E3D" w:rsidRPr="00841E3D" w:rsidRDefault="00841E3D">
      <w:pPr>
        <w:pStyle w:val="FootnoteText"/>
      </w:pPr>
      <w:r>
        <w:rPr>
          <w:rStyle w:val="FootnoteReference"/>
        </w:rPr>
        <w:footnoteRef/>
      </w:r>
      <w:r>
        <w:t xml:space="preserve"> </w:t>
      </w:r>
      <w:r w:rsidRPr="00841E3D">
        <w:t xml:space="preserve">cf. </w:t>
      </w:r>
      <w:bookmarkStart w:id="4" w:name="_ML_000000000003_VALID"/>
      <w:r w:rsidR="00C06C71" w:rsidRPr="00C06C71">
        <w:fldChar w:fldCharType="begin"/>
      </w:r>
      <w:r w:rsidR="00C06C71" w:rsidRPr="00C06C71">
        <w:instrText xml:space="preserve"> HYPERLINK "https://search.coe.int/cm/Pages/result_details.aspx?Reference=CM(2008)149" \o "Co-ordinating Committee on Remuneration (CCR) – System of daily subsistence allowance - 189th Report [1042 meeting]" </w:instrText>
      </w:r>
      <w:r w:rsidR="00C06C71" w:rsidRPr="00C06C71">
        <w:fldChar w:fldCharType="separate"/>
      </w:r>
      <w:bookmarkEnd w:id="4"/>
      <w:r w:rsidR="00C06C71" w:rsidRPr="00C06C71">
        <w:rPr>
          <w:rStyle w:val="Hyperlink"/>
        </w:rPr>
        <w:t>CM(2008)149</w:t>
      </w:r>
      <w:r w:rsidR="00C06C71" w:rsidRPr="00C06C71">
        <w:fldChar w:fldCharType="end"/>
      </w:r>
      <w:r w:rsidRPr="00841E3D">
        <w:t xml:space="preserve"> and </w:t>
      </w:r>
      <w:bookmarkStart w:id="5" w:name="_ML_000000000004_VALID"/>
      <w:r w:rsidR="00C06C71" w:rsidRPr="00C06C71">
        <w:fldChar w:fldCharType="begin"/>
      </w:r>
      <w:r w:rsidR="00C06C71" w:rsidRPr="00C06C71">
        <w:instrText xml:space="preserve"> HYPERLINK "https://search.coe.int/cm/Pages/result_details.aspx?Reference=CM/Del/Dec(2009)1045/11.4a" \o "Co-ordinating Committee on Remuneration (CCR) - a. System of daily subsistence allowance – 189th report" </w:instrText>
      </w:r>
      <w:r w:rsidR="00C06C71" w:rsidRPr="00C06C71">
        <w:fldChar w:fldCharType="separate"/>
      </w:r>
      <w:bookmarkEnd w:id="5"/>
      <w:r w:rsidR="00C06C71" w:rsidRPr="00C06C71">
        <w:rPr>
          <w:rStyle w:val="Hyperlink"/>
        </w:rPr>
        <w:t>CM/Del/Dec(2009)1045/11.4a</w:t>
      </w:r>
      <w:r w:rsidR="00C06C71" w:rsidRPr="00C06C71">
        <w:fldChar w:fldCharType="end"/>
      </w:r>
      <w:r w:rsidRPr="00841E3D">
        <w:t>.</w:t>
      </w:r>
    </w:p>
  </w:footnote>
  <w:footnote w:id="4">
    <w:p w14:paraId="3D26DCA1" w14:textId="0D401555" w:rsidR="004E655F" w:rsidRPr="004E655F" w:rsidRDefault="004E655F">
      <w:pPr>
        <w:pStyle w:val="FootnoteText"/>
      </w:pPr>
      <w:r>
        <w:rPr>
          <w:rStyle w:val="FootnoteReference"/>
        </w:rPr>
        <w:footnoteRef/>
      </w:r>
      <w:r>
        <w:t xml:space="preserve"> </w:t>
      </w:r>
      <w:bookmarkStart w:id="6" w:name="_Hlk45015068"/>
      <w:r>
        <w:t xml:space="preserve">Cf. </w:t>
      </w:r>
      <w:bookmarkStart w:id="7" w:name="_ML_000000000005_VALID"/>
      <w:r w:rsidR="00C06C71" w:rsidRPr="00C06C71">
        <w:fldChar w:fldCharType="begin"/>
      </w:r>
      <w:r w:rsidR="00C06C71" w:rsidRPr="00C06C71">
        <w:instrText xml:space="preserve"> HYPERLINK "https://search.coe.int/cm/Pages/result_details.aspx?Reference=CM(2015)56" \o "Addendum to the 228th Report of the Co-ordinating Committee on Remuneration (CCR) on the system of the daily subsistence allowance - Explanatory note [1227 meeting]" </w:instrText>
      </w:r>
      <w:r w:rsidR="00C06C71" w:rsidRPr="00C06C71">
        <w:fldChar w:fldCharType="separate"/>
      </w:r>
      <w:bookmarkEnd w:id="7"/>
      <w:r w:rsidR="00C06C71" w:rsidRPr="00C06C71">
        <w:rPr>
          <w:rStyle w:val="Hyperlink"/>
        </w:rPr>
        <w:t>CM(2015)56</w:t>
      </w:r>
      <w:r w:rsidR="00C06C71" w:rsidRPr="00C06C71">
        <w:fldChar w:fldCharType="end"/>
      </w:r>
      <w:r w:rsidR="00841E3D">
        <w:t xml:space="preserve"> and </w:t>
      </w:r>
      <w:bookmarkStart w:id="8" w:name="_ML_000000000006_VALID"/>
      <w:r w:rsidR="00C06C71" w:rsidRPr="00C06C71">
        <w:fldChar w:fldCharType="begin"/>
      </w:r>
      <w:r w:rsidR="00C06C71" w:rsidRPr="00C06C71">
        <w:instrText xml:space="preserve"> HYPERLINK "https://search.coe.int/cm/Pages/result_details.aspx?Reference=CM/Del/Dec(2015)1227/11.3" \o "Addendum to the 228th report of the Co-ordinating Committee on Remuneration (CCR) on the system of the daily subsistence allowance – Explanatory Note" </w:instrText>
      </w:r>
      <w:r w:rsidR="00C06C71" w:rsidRPr="00C06C71">
        <w:fldChar w:fldCharType="separate"/>
      </w:r>
      <w:bookmarkEnd w:id="8"/>
      <w:r w:rsidR="00C06C71" w:rsidRPr="00C06C71">
        <w:rPr>
          <w:rStyle w:val="Hyperlink"/>
        </w:rPr>
        <w:t>CM/Del/Dec(2015)1227/11.3</w:t>
      </w:r>
      <w:r w:rsidR="00C06C71" w:rsidRPr="00C06C71">
        <w:fldChar w:fldCharType="end"/>
      </w:r>
      <w:r>
        <w:t>.</w:t>
      </w:r>
      <w:bookmarkEnd w:id="6"/>
    </w:p>
  </w:footnote>
  <w:footnote w:id="5">
    <w:p w14:paraId="1ADCBB30" w14:textId="77777777" w:rsidR="00CA56ED" w:rsidRPr="0048480A" w:rsidRDefault="00CA56ED" w:rsidP="00CA56ED">
      <w:pPr>
        <w:rPr>
          <w:rFonts w:cs="Arial"/>
          <w:sz w:val="16"/>
          <w:szCs w:val="16"/>
        </w:rPr>
      </w:pPr>
      <w:r w:rsidRPr="0048480A">
        <w:rPr>
          <w:rStyle w:val="FootnoteReference"/>
          <w:rFonts w:cs="Arial"/>
          <w:sz w:val="16"/>
          <w:szCs w:val="16"/>
        </w:rPr>
        <w:footnoteRef/>
      </w:r>
      <w:r w:rsidRPr="0048480A">
        <w:rPr>
          <w:rFonts w:cs="Arial"/>
          <w:sz w:val="16"/>
          <w:szCs w:val="16"/>
        </w:rPr>
        <w:t xml:space="preserve"> Official or commercial accommodation includes </w:t>
      </w:r>
      <w:proofErr w:type="gramStart"/>
      <w:r w:rsidRPr="0048480A">
        <w:rPr>
          <w:rFonts w:cs="Arial"/>
          <w:sz w:val="16"/>
          <w:szCs w:val="16"/>
        </w:rPr>
        <w:t>in particular accommodation</w:t>
      </w:r>
      <w:proofErr w:type="gramEnd"/>
      <w:r w:rsidRPr="0048480A">
        <w:rPr>
          <w:rFonts w:cs="Arial"/>
          <w:sz w:val="16"/>
          <w:szCs w:val="16"/>
        </w:rPr>
        <w:t xml:space="preserve"> provided by the Organisation or by governmental institutions for which the related fees must be paid by the staff members.</w:t>
      </w:r>
    </w:p>
  </w:footnote>
  <w:footnote w:id="6">
    <w:p w14:paraId="2105ECCB" w14:textId="77777777" w:rsidR="00CA56ED" w:rsidRPr="000001AC" w:rsidRDefault="00CA56ED" w:rsidP="00CA56ED">
      <w:pPr>
        <w:rPr>
          <w:rFonts w:ascii="Calibri" w:hAnsi="Calibri"/>
        </w:rPr>
      </w:pPr>
      <w:r w:rsidRPr="0048480A">
        <w:rPr>
          <w:rFonts w:cs="Arial"/>
          <w:sz w:val="16"/>
          <w:szCs w:val="16"/>
          <w:vertAlign w:val="superscript"/>
        </w:rPr>
        <w:footnoteRef/>
      </w:r>
      <w:r w:rsidRPr="0048480A">
        <w:rPr>
          <w:rFonts w:cs="Arial"/>
          <w:sz w:val="16"/>
          <w:szCs w:val="16"/>
        </w:rPr>
        <w:t xml:space="preserve"> Management committees composed of Member States.</w:t>
      </w:r>
    </w:p>
  </w:footnote>
  <w:footnote w:id="7">
    <w:p w14:paraId="7B59DEBD" w14:textId="77777777" w:rsidR="00CA56ED" w:rsidRPr="0048480A" w:rsidRDefault="00CA56ED" w:rsidP="0048480A">
      <w:pPr>
        <w:pStyle w:val="FootnoteText"/>
        <w:rPr>
          <w:rFonts w:cs="Arial"/>
        </w:rPr>
      </w:pPr>
      <w:r w:rsidRPr="0048480A">
        <w:rPr>
          <w:rStyle w:val="FootnoteReference"/>
          <w:rFonts w:cs="Arial"/>
        </w:rPr>
        <w:footnoteRef/>
      </w:r>
      <w:r w:rsidRPr="0048480A">
        <w:rPr>
          <w:rFonts w:cs="Arial"/>
        </w:rPr>
        <w:t xml:space="preserve"> Except for the Netherlands (The Hague) and Switzerland (Geneva)</w:t>
      </w:r>
    </w:p>
  </w:footnote>
  <w:footnote w:id="8">
    <w:p w14:paraId="41C3054D" w14:textId="77777777" w:rsidR="00CA56ED" w:rsidRPr="006853BC" w:rsidRDefault="00CA56ED" w:rsidP="0048480A">
      <w:pPr>
        <w:pStyle w:val="FootnoteText"/>
        <w:rPr>
          <w:rFonts w:asciiTheme="minorHAnsi" w:hAnsiTheme="minorHAnsi" w:cstheme="minorHAnsi"/>
        </w:rPr>
      </w:pPr>
      <w:r w:rsidRPr="0048480A">
        <w:rPr>
          <w:rStyle w:val="FootnoteReference"/>
          <w:rFonts w:cs="Arial"/>
        </w:rPr>
        <w:footnoteRef/>
      </w:r>
      <w:r w:rsidRPr="0048480A">
        <w:rPr>
          <w:rFonts w:cs="Arial"/>
        </w:rPr>
        <w:t xml:space="preserve"> France (Paris and other cities), United Kingdom (London and other cities), United States (New York City, Washington D.C., and other cities)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844DB" w14:textId="4AEB9E9A" w:rsidR="00E24C57" w:rsidRPr="00E54322" w:rsidRDefault="002660DB" w:rsidP="00E54322">
    <w:pPr>
      <w:pStyle w:val="Header"/>
    </w:pPr>
    <w:proofErr w:type="gramStart"/>
    <w:r w:rsidRPr="00E54322">
      <w:t>CM(</w:t>
    </w:r>
    <w:proofErr w:type="gramEnd"/>
    <w:r w:rsidR="006E6FA7">
      <w:t>2020</w:t>
    </w:r>
    <w:r w:rsidRPr="00E54322">
      <w:t>)</w:t>
    </w:r>
    <w:r w:rsidR="0048480A">
      <w:t>140</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0073" w14:textId="3D36A487"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proofErr w:type="gramStart"/>
    <w:r w:rsidR="002660DB" w:rsidRPr="00E54322">
      <w:t>CM(</w:t>
    </w:r>
    <w:proofErr w:type="gramEnd"/>
    <w:r w:rsidR="006E6FA7">
      <w:t>2020</w:t>
    </w:r>
    <w:r w:rsidR="002660DB" w:rsidRPr="00E54322">
      <w:t>)</w:t>
    </w:r>
    <w:r w:rsidR="0048480A">
      <w:t>140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7A1B" w14:textId="77777777" w:rsidR="00135BDB" w:rsidRDefault="006E6FA7" w:rsidP="00123CDD">
    <w:pPr>
      <w:pStyle w:val="Header"/>
      <w:spacing w:after="2280"/>
    </w:pPr>
    <w:r>
      <w:rPr>
        <w:noProof/>
      </w:rPr>
      <w:drawing>
        <wp:anchor distT="0" distB="0" distL="114300" distR="114300" simplePos="0" relativeHeight="251658240" behindDoc="1" locked="0" layoutInCell="0" allowOverlap="0" wp14:anchorId="4884AEDD" wp14:editId="2535425B">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8321D"/>
    <w:multiLevelType w:val="multilevel"/>
    <w:tmpl w:val="D398F86C"/>
    <w:lvl w:ilvl="0">
      <w:start w:val="1"/>
      <w:numFmt w:val="decimal"/>
      <w:lvlText w:val="2.%1."/>
      <w:lvlJc w:val="left"/>
      <w:pPr>
        <w:tabs>
          <w:tab w:val="num" w:pos="720"/>
        </w:tabs>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E375817"/>
    <w:multiLevelType w:val="hybridMultilevel"/>
    <w:tmpl w:val="ACA845CE"/>
    <w:lvl w:ilvl="0" w:tplc="3F32BEB4">
      <w:start w:val="1"/>
      <w:numFmt w:val="decimal"/>
      <w:lvlText w:val="1.%1."/>
      <w:lvlJc w:val="left"/>
      <w:pPr>
        <w:tabs>
          <w:tab w:val="num" w:pos="786"/>
        </w:tabs>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31715"/>
    <w:multiLevelType w:val="hybridMultilevel"/>
    <w:tmpl w:val="2E4A22F4"/>
    <w:lvl w:ilvl="0" w:tplc="C9F41A66">
      <w:start w:val="1"/>
      <w:numFmt w:val="decimal"/>
      <w:lvlText w:val="%1."/>
      <w:lvlJc w:val="left"/>
      <w:pPr>
        <w:ind w:left="360" w:hanging="360"/>
      </w:pPr>
      <w:rPr>
        <w:rFonts w:ascii="Arial Bold" w:hAnsi="Arial Bold" w:hint="default"/>
        <w:b/>
        <w:i w:val="0"/>
        <w:caps w:val="0"/>
        <w:strike w:val="0"/>
        <w:dstrike w:val="0"/>
        <w:vanish w:val="0"/>
        <w:sz w:val="20"/>
        <w:vertAlign w:val="baseline"/>
      </w:rPr>
    </w:lvl>
    <w:lvl w:ilvl="1" w:tplc="910A8FE8">
      <w:start w:val="1"/>
      <w:numFmt w:val="decimal"/>
      <w:lvlText w:val="2.%2."/>
      <w:lvlJc w:val="left"/>
      <w:pPr>
        <w:ind w:left="502" w:hanging="360"/>
      </w:pPr>
      <w:rPr>
        <w:rFonts w:hint="default"/>
        <w:b/>
        <w:i w:val="0"/>
        <w:color w:val="auto"/>
        <w:sz w:val="22"/>
        <w:lang w:val="fr-FR"/>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7631A2"/>
    <w:multiLevelType w:val="hybridMultilevel"/>
    <w:tmpl w:val="1AFC9558"/>
    <w:lvl w:ilvl="0" w:tplc="0E065108">
      <w:start w:val="1"/>
      <w:numFmt w:val="decimal"/>
      <w:lvlText w:val="%1."/>
      <w:lvlJc w:val="left"/>
      <w:pPr>
        <w:ind w:left="570" w:hanging="570"/>
      </w:pPr>
      <w:rPr>
        <w:rFonts w:hint="default"/>
        <w:b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B1AC5"/>
    <w:multiLevelType w:val="hybridMultilevel"/>
    <w:tmpl w:val="34783140"/>
    <w:lvl w:ilvl="0" w:tplc="B5F635AA">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C3E6E"/>
    <w:multiLevelType w:val="multilevel"/>
    <w:tmpl w:val="3EA47778"/>
    <w:lvl w:ilvl="0">
      <w:start w:val="1"/>
      <w:numFmt w:val="decimal"/>
      <w:lvlText w:val="%1"/>
      <w:lvlJc w:val="left"/>
      <w:pPr>
        <w:tabs>
          <w:tab w:val="num" w:pos="670"/>
        </w:tabs>
        <w:ind w:left="670" w:hanging="432"/>
      </w:pPr>
      <w:rPr>
        <w:rFonts w:hint="default"/>
      </w:rPr>
    </w:lvl>
    <w:lvl w:ilvl="1">
      <w:start w:val="1"/>
      <w:numFmt w:val="decimal"/>
      <w:lvlText w:val="3.%2"/>
      <w:lvlJc w:val="left"/>
      <w:pPr>
        <w:tabs>
          <w:tab w:val="num" w:pos="756"/>
        </w:tabs>
        <w:ind w:left="756" w:hanging="576"/>
      </w:pPr>
      <w:rPr>
        <w:rFonts w:ascii="Arial" w:hAnsi="Arial" w:cs="Times New Roman" w:hint="default"/>
        <w:b w:val="0"/>
        <w:i w:val="0"/>
        <w:color w:val="auto"/>
        <w:sz w:val="20"/>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02"/>
        </w:tabs>
        <w:ind w:left="1102" w:hanging="864"/>
      </w:pPr>
      <w:rPr>
        <w:rFonts w:hint="default"/>
      </w:rPr>
    </w:lvl>
    <w:lvl w:ilvl="4">
      <w:start w:val="1"/>
      <w:numFmt w:val="decimal"/>
      <w:lvlText w:val="%1.%2.%3.%4.%5"/>
      <w:lvlJc w:val="left"/>
      <w:pPr>
        <w:tabs>
          <w:tab w:val="num" w:pos="1246"/>
        </w:tabs>
        <w:ind w:left="1246" w:hanging="1008"/>
      </w:pPr>
      <w:rPr>
        <w:rFonts w:hint="default"/>
      </w:rPr>
    </w:lvl>
    <w:lvl w:ilvl="5">
      <w:start w:val="1"/>
      <w:numFmt w:val="decimal"/>
      <w:lvlText w:val="%1.%2.%3.%4.%5.%6"/>
      <w:lvlJc w:val="left"/>
      <w:pPr>
        <w:tabs>
          <w:tab w:val="num" w:pos="1390"/>
        </w:tabs>
        <w:ind w:left="1390" w:hanging="1152"/>
      </w:pPr>
      <w:rPr>
        <w:rFonts w:hint="default"/>
      </w:rPr>
    </w:lvl>
    <w:lvl w:ilvl="6">
      <w:start w:val="1"/>
      <w:numFmt w:val="decimal"/>
      <w:lvlText w:val="%1.%2.%3.%4.%5.%6.%7"/>
      <w:lvlJc w:val="left"/>
      <w:pPr>
        <w:tabs>
          <w:tab w:val="num" w:pos="1534"/>
        </w:tabs>
        <w:ind w:left="1534" w:hanging="1296"/>
      </w:pPr>
      <w:rPr>
        <w:rFonts w:hint="default"/>
      </w:rPr>
    </w:lvl>
    <w:lvl w:ilvl="7">
      <w:start w:val="1"/>
      <w:numFmt w:val="decimal"/>
      <w:lvlText w:val="%1.%2.%3.%4.%5.%6.%7.%8"/>
      <w:lvlJc w:val="left"/>
      <w:pPr>
        <w:tabs>
          <w:tab w:val="num" w:pos="1678"/>
        </w:tabs>
        <w:ind w:left="1678" w:hanging="1440"/>
      </w:pPr>
      <w:rPr>
        <w:rFonts w:hint="default"/>
      </w:rPr>
    </w:lvl>
    <w:lvl w:ilvl="8">
      <w:start w:val="1"/>
      <w:numFmt w:val="decimal"/>
      <w:lvlText w:val="%1.%2.%3.%4.%5.%6.%7.%8.%9"/>
      <w:lvlJc w:val="left"/>
      <w:pPr>
        <w:tabs>
          <w:tab w:val="num" w:pos="1822"/>
        </w:tabs>
        <w:ind w:left="1822" w:hanging="1584"/>
      </w:pPr>
      <w:rPr>
        <w:rFonts w:hint="default"/>
      </w:rPr>
    </w:lvl>
  </w:abstractNum>
  <w:abstractNum w:abstractNumId="6" w15:restartNumberingAfterBreak="0">
    <w:nsid w:val="390D740B"/>
    <w:multiLevelType w:val="multilevel"/>
    <w:tmpl w:val="6246A8F2"/>
    <w:lvl w:ilvl="0">
      <w:start w:val="1"/>
      <w:numFmt w:val="decimal"/>
      <w:lvlText w:val="%1"/>
      <w:lvlJc w:val="left"/>
      <w:pPr>
        <w:tabs>
          <w:tab w:val="num" w:pos="670"/>
        </w:tabs>
        <w:ind w:left="670" w:hanging="432"/>
      </w:pPr>
      <w:rPr>
        <w:rFonts w:hint="default"/>
      </w:rPr>
    </w:lvl>
    <w:lvl w:ilvl="1">
      <w:start w:val="1"/>
      <w:numFmt w:val="decimal"/>
      <w:lvlText w:val="4.%2"/>
      <w:lvlJc w:val="left"/>
      <w:pPr>
        <w:tabs>
          <w:tab w:val="num" w:pos="756"/>
        </w:tabs>
        <w:ind w:left="756" w:hanging="576"/>
      </w:pPr>
      <w:rPr>
        <w:rFonts w:ascii="Tahoma" w:hAnsi="Tahoma" w:cs="Times New Roman" w:hint="default"/>
        <w:b/>
        <w:i w:val="0"/>
        <w:color w:val="000080"/>
        <w:sz w:val="22"/>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02"/>
        </w:tabs>
        <w:ind w:left="1102" w:hanging="864"/>
      </w:pPr>
      <w:rPr>
        <w:rFonts w:hint="default"/>
      </w:rPr>
    </w:lvl>
    <w:lvl w:ilvl="4">
      <w:start w:val="1"/>
      <w:numFmt w:val="decimal"/>
      <w:lvlText w:val="%1.%2.%3.%4.%5"/>
      <w:lvlJc w:val="left"/>
      <w:pPr>
        <w:tabs>
          <w:tab w:val="num" w:pos="1246"/>
        </w:tabs>
        <w:ind w:left="1246" w:hanging="1008"/>
      </w:pPr>
      <w:rPr>
        <w:rFonts w:hint="default"/>
      </w:rPr>
    </w:lvl>
    <w:lvl w:ilvl="5">
      <w:start w:val="1"/>
      <w:numFmt w:val="decimal"/>
      <w:lvlText w:val="%1.%2.%3.%4.%5.%6"/>
      <w:lvlJc w:val="left"/>
      <w:pPr>
        <w:tabs>
          <w:tab w:val="num" w:pos="1390"/>
        </w:tabs>
        <w:ind w:left="1390" w:hanging="1152"/>
      </w:pPr>
      <w:rPr>
        <w:rFonts w:hint="default"/>
      </w:rPr>
    </w:lvl>
    <w:lvl w:ilvl="6">
      <w:start w:val="1"/>
      <w:numFmt w:val="decimal"/>
      <w:lvlText w:val="%1.%2.%3.%4.%5.%6.%7"/>
      <w:lvlJc w:val="left"/>
      <w:pPr>
        <w:tabs>
          <w:tab w:val="num" w:pos="1534"/>
        </w:tabs>
        <w:ind w:left="1534" w:hanging="1296"/>
      </w:pPr>
      <w:rPr>
        <w:rFonts w:hint="default"/>
      </w:rPr>
    </w:lvl>
    <w:lvl w:ilvl="7">
      <w:start w:val="1"/>
      <w:numFmt w:val="decimal"/>
      <w:lvlText w:val="%1.%2.%3.%4.%5.%6.%7.%8"/>
      <w:lvlJc w:val="left"/>
      <w:pPr>
        <w:tabs>
          <w:tab w:val="num" w:pos="1678"/>
        </w:tabs>
        <w:ind w:left="1678" w:hanging="1440"/>
      </w:pPr>
      <w:rPr>
        <w:rFonts w:hint="default"/>
      </w:rPr>
    </w:lvl>
    <w:lvl w:ilvl="8">
      <w:start w:val="1"/>
      <w:numFmt w:val="decimal"/>
      <w:lvlText w:val="%1.%2.%3.%4.%5.%6.%7.%8.%9"/>
      <w:lvlJc w:val="left"/>
      <w:pPr>
        <w:tabs>
          <w:tab w:val="num" w:pos="1822"/>
        </w:tabs>
        <w:ind w:left="1822" w:hanging="1584"/>
      </w:pPr>
      <w:rPr>
        <w:rFonts w:hint="default"/>
      </w:rPr>
    </w:lvl>
  </w:abstractNum>
  <w:abstractNum w:abstractNumId="7" w15:restartNumberingAfterBreak="0">
    <w:nsid w:val="4C220B75"/>
    <w:multiLevelType w:val="multilevel"/>
    <w:tmpl w:val="1F10ED86"/>
    <w:lvl w:ilvl="0">
      <w:start w:val="1"/>
      <w:numFmt w:val="decimal"/>
      <w:suff w:val="space"/>
      <w:lvlText w:val="%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851" w:firstLine="0"/>
      </w:pPr>
      <w:rPr>
        <w:rFonts w:hint="default"/>
      </w:rPr>
    </w:lvl>
    <w:lvl w:ilvl="5">
      <w:start w:val="1"/>
      <w:numFmt w:val="upperRoman"/>
      <w:lvlRestart w:val="0"/>
      <w:pStyle w:val="Heading6"/>
      <w:suff w:val="space"/>
      <w:lvlText w:val="Part %6."/>
      <w:lvlJc w:val="left"/>
      <w:pPr>
        <w:ind w:left="0" w:firstLine="0"/>
      </w:pPr>
      <w:rPr>
        <w:rFonts w:hint="default"/>
      </w:rPr>
    </w:lvl>
    <w:lvl w:ilvl="6">
      <w:start w:val="1"/>
      <w:numFmt w:val="upperLetter"/>
      <w:lvlRestart w:val="0"/>
      <w:pStyle w:val="Heading7"/>
      <w:suff w:val="space"/>
      <w:lvlText w:val="Annex %7."/>
      <w:lvlJc w:val="left"/>
      <w:pPr>
        <w:ind w:left="0" w:firstLine="0"/>
      </w:pPr>
      <w:rPr>
        <w:rFonts w:hint="default"/>
      </w:rPr>
    </w:lvl>
    <w:lvl w:ilvl="7">
      <w:start w:val="1"/>
      <w:numFmt w:val="upperLetter"/>
      <w:lvlRestart w:val="6"/>
      <w:pStyle w:val="Heading8"/>
      <w:suff w:val="space"/>
      <w:lvlText w:val="Annex %6.%8."/>
      <w:lvlJc w:val="left"/>
      <w:pPr>
        <w:ind w:left="0" w:firstLine="0"/>
      </w:pPr>
      <w:rPr>
        <w:rFonts w:hint="default"/>
      </w:rPr>
    </w:lvl>
    <w:lvl w:ilvl="8">
      <w:start w:val="1"/>
      <w:numFmt w:val="upperLetter"/>
      <w:lvlRestart w:val="1"/>
      <w:pStyle w:val="Heading9"/>
      <w:suff w:val="space"/>
      <w:lvlText w:val="Annex %1.%9."/>
      <w:lvlJc w:val="left"/>
      <w:pPr>
        <w:ind w:left="0" w:firstLine="0"/>
      </w:pPr>
      <w:rPr>
        <w:rFonts w:hint="default"/>
      </w:rPr>
    </w:lvl>
  </w:abstractNum>
  <w:abstractNum w:abstractNumId="8" w15:restartNumberingAfterBreak="0">
    <w:nsid w:val="5AB34A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140AE5"/>
    <w:multiLevelType w:val="hybridMultilevel"/>
    <w:tmpl w:val="DA348E3E"/>
    <w:lvl w:ilvl="0" w:tplc="68D2E0EC">
      <w:start w:val="1"/>
      <w:numFmt w:val="decimal"/>
      <w:lvlText w:val="2.%1"/>
      <w:lvlJc w:val="left"/>
      <w:pPr>
        <w:ind w:left="720" w:hanging="360"/>
      </w:pPr>
      <w:rPr>
        <w:rFonts w:hint="default"/>
        <w:b/>
        <w:i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8"/>
  </w:num>
  <w:num w:numId="5">
    <w:abstractNumId w:val="9"/>
  </w:num>
  <w:num w:numId="6">
    <w:abstractNumId w:val="1"/>
  </w:num>
  <w:num w:numId="7">
    <w:abstractNumId w:val="0"/>
  </w:num>
  <w:num w:numId="8">
    <w:abstractNumId w:val="5"/>
  </w:num>
  <w:num w:numId="9">
    <w:abstractNumId w:val="6"/>
    <w:lvlOverride w:ilvl="0">
      <w:lvl w:ilvl="0">
        <w:start w:val="1"/>
        <w:numFmt w:val="decimal"/>
        <w:lvlText w:val="%1"/>
        <w:lvlJc w:val="left"/>
        <w:pPr>
          <w:tabs>
            <w:tab w:val="num" w:pos="670"/>
          </w:tabs>
          <w:ind w:left="670" w:hanging="432"/>
        </w:pPr>
        <w:rPr>
          <w:rFonts w:hint="default"/>
        </w:rPr>
      </w:lvl>
    </w:lvlOverride>
    <w:lvlOverride w:ilvl="1">
      <w:lvl w:ilvl="1">
        <w:start w:val="1"/>
        <w:numFmt w:val="decimal"/>
        <w:lvlText w:val="4.%2"/>
        <w:lvlJc w:val="left"/>
        <w:pPr>
          <w:tabs>
            <w:tab w:val="num" w:pos="756"/>
          </w:tabs>
          <w:ind w:left="756" w:hanging="576"/>
        </w:pPr>
        <w:rPr>
          <w:rFonts w:ascii="Arial Bold" w:hAnsi="Arial Bold" w:cs="Times New Roman" w:hint="default"/>
          <w:b/>
          <w:i w:val="0"/>
          <w:color w:val="auto"/>
          <w:sz w:val="20"/>
        </w:rPr>
      </w:lvl>
    </w:lvlOverride>
    <w:lvlOverride w:ilvl="2">
      <w:lvl w:ilvl="2">
        <w:start w:val="1"/>
        <w:numFmt w:val="decimal"/>
        <w:lvlText w:val="%1.%2.%3"/>
        <w:lvlJc w:val="left"/>
        <w:pPr>
          <w:tabs>
            <w:tab w:val="num" w:pos="900"/>
          </w:tabs>
          <w:ind w:left="900" w:hanging="720"/>
        </w:pPr>
        <w:rPr>
          <w:rFonts w:hint="default"/>
        </w:rPr>
      </w:lvl>
    </w:lvlOverride>
    <w:lvlOverride w:ilvl="3">
      <w:lvl w:ilvl="3">
        <w:start w:val="1"/>
        <w:numFmt w:val="decimal"/>
        <w:lvlText w:val="%1.%2.%3.%4"/>
        <w:lvlJc w:val="left"/>
        <w:pPr>
          <w:tabs>
            <w:tab w:val="num" w:pos="1102"/>
          </w:tabs>
          <w:ind w:left="1102" w:hanging="864"/>
        </w:pPr>
        <w:rPr>
          <w:rFonts w:hint="default"/>
        </w:rPr>
      </w:lvl>
    </w:lvlOverride>
    <w:lvlOverride w:ilvl="4">
      <w:lvl w:ilvl="4">
        <w:start w:val="1"/>
        <w:numFmt w:val="decimal"/>
        <w:lvlText w:val="%1.%2.%3.%4.%5"/>
        <w:lvlJc w:val="left"/>
        <w:pPr>
          <w:tabs>
            <w:tab w:val="num" w:pos="1246"/>
          </w:tabs>
          <w:ind w:left="1246" w:hanging="1008"/>
        </w:pPr>
        <w:rPr>
          <w:rFonts w:hint="default"/>
        </w:rPr>
      </w:lvl>
    </w:lvlOverride>
    <w:lvlOverride w:ilvl="5">
      <w:lvl w:ilvl="5">
        <w:start w:val="1"/>
        <w:numFmt w:val="decimal"/>
        <w:lvlText w:val="%1.%2.%3.%4.%5.%6"/>
        <w:lvlJc w:val="left"/>
        <w:pPr>
          <w:tabs>
            <w:tab w:val="num" w:pos="1390"/>
          </w:tabs>
          <w:ind w:left="1390" w:hanging="1152"/>
        </w:pPr>
        <w:rPr>
          <w:rFonts w:hint="default"/>
        </w:rPr>
      </w:lvl>
    </w:lvlOverride>
    <w:lvlOverride w:ilvl="6">
      <w:lvl w:ilvl="6">
        <w:start w:val="1"/>
        <w:numFmt w:val="decimal"/>
        <w:lvlText w:val="%1.%2.%3.%4.%5.%6.%7"/>
        <w:lvlJc w:val="left"/>
        <w:pPr>
          <w:tabs>
            <w:tab w:val="num" w:pos="1534"/>
          </w:tabs>
          <w:ind w:left="1534" w:hanging="1296"/>
        </w:pPr>
        <w:rPr>
          <w:rFonts w:hint="default"/>
        </w:rPr>
      </w:lvl>
    </w:lvlOverride>
    <w:lvlOverride w:ilvl="7">
      <w:lvl w:ilvl="7">
        <w:start w:val="1"/>
        <w:numFmt w:val="decimal"/>
        <w:lvlText w:val="%1.%2.%3.%4.%5.%6.%7.%8"/>
        <w:lvlJc w:val="left"/>
        <w:pPr>
          <w:tabs>
            <w:tab w:val="num" w:pos="1678"/>
          </w:tabs>
          <w:ind w:left="1678" w:hanging="1440"/>
        </w:pPr>
        <w:rPr>
          <w:rFonts w:hint="default"/>
        </w:rPr>
      </w:lvl>
    </w:lvlOverride>
    <w:lvlOverride w:ilvl="8">
      <w:lvl w:ilvl="8">
        <w:start w:val="1"/>
        <w:numFmt w:val="decimal"/>
        <w:lvlText w:val="%1.%2.%3.%4.%5.%6.%7.%8.%9"/>
        <w:lvlJc w:val="left"/>
        <w:pPr>
          <w:tabs>
            <w:tab w:val="num" w:pos="1822"/>
          </w:tabs>
          <w:ind w:left="1822" w:hanging="1584"/>
        </w:pPr>
        <w:rPr>
          <w:rFonts w:hint="default"/>
        </w:rPr>
      </w:lvl>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6A"/>
    <w:rsid w:val="0001238D"/>
    <w:rsid w:val="00035FDF"/>
    <w:rsid w:val="00071EA7"/>
    <w:rsid w:val="00072CBD"/>
    <w:rsid w:val="00082CEE"/>
    <w:rsid w:val="00086FBA"/>
    <w:rsid w:val="000A307B"/>
    <w:rsid w:val="000C52A6"/>
    <w:rsid w:val="000E50A4"/>
    <w:rsid w:val="000F0031"/>
    <w:rsid w:val="000F2201"/>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746C8"/>
    <w:rsid w:val="002861FB"/>
    <w:rsid w:val="00293EE6"/>
    <w:rsid w:val="002A0674"/>
    <w:rsid w:val="002C039F"/>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16EA2"/>
    <w:rsid w:val="004256CB"/>
    <w:rsid w:val="004329B7"/>
    <w:rsid w:val="00443709"/>
    <w:rsid w:val="00447D22"/>
    <w:rsid w:val="004553F6"/>
    <w:rsid w:val="00476476"/>
    <w:rsid w:val="00480D8B"/>
    <w:rsid w:val="0048480A"/>
    <w:rsid w:val="004A37E1"/>
    <w:rsid w:val="004C0C2F"/>
    <w:rsid w:val="004C0F76"/>
    <w:rsid w:val="004C11B3"/>
    <w:rsid w:val="004E655F"/>
    <w:rsid w:val="0050115D"/>
    <w:rsid w:val="00532B2A"/>
    <w:rsid w:val="0054041B"/>
    <w:rsid w:val="00550B6C"/>
    <w:rsid w:val="00574663"/>
    <w:rsid w:val="005B1FA1"/>
    <w:rsid w:val="005B3604"/>
    <w:rsid w:val="005C73BB"/>
    <w:rsid w:val="005D7CDF"/>
    <w:rsid w:val="005F093B"/>
    <w:rsid w:val="005F3DC6"/>
    <w:rsid w:val="00614982"/>
    <w:rsid w:val="00631491"/>
    <w:rsid w:val="00643231"/>
    <w:rsid w:val="00643C3F"/>
    <w:rsid w:val="00644AD3"/>
    <w:rsid w:val="006455FA"/>
    <w:rsid w:val="00660638"/>
    <w:rsid w:val="00671684"/>
    <w:rsid w:val="00671EA2"/>
    <w:rsid w:val="00676AFC"/>
    <w:rsid w:val="006827E4"/>
    <w:rsid w:val="006908C5"/>
    <w:rsid w:val="006E6FA7"/>
    <w:rsid w:val="006F0318"/>
    <w:rsid w:val="006F6B48"/>
    <w:rsid w:val="00712E65"/>
    <w:rsid w:val="007150DE"/>
    <w:rsid w:val="00721866"/>
    <w:rsid w:val="00735569"/>
    <w:rsid w:val="007541C7"/>
    <w:rsid w:val="00761627"/>
    <w:rsid w:val="00773CFE"/>
    <w:rsid w:val="00780B1B"/>
    <w:rsid w:val="007A543D"/>
    <w:rsid w:val="007B3DD0"/>
    <w:rsid w:val="007C0AD1"/>
    <w:rsid w:val="007D7B20"/>
    <w:rsid w:val="007E168C"/>
    <w:rsid w:val="00800A19"/>
    <w:rsid w:val="008042E6"/>
    <w:rsid w:val="00805F04"/>
    <w:rsid w:val="00810D5A"/>
    <w:rsid w:val="00814AA2"/>
    <w:rsid w:val="00817F21"/>
    <w:rsid w:val="0082394F"/>
    <w:rsid w:val="00841E3D"/>
    <w:rsid w:val="00853C90"/>
    <w:rsid w:val="008575F2"/>
    <w:rsid w:val="00857F73"/>
    <w:rsid w:val="0087380A"/>
    <w:rsid w:val="00877E5C"/>
    <w:rsid w:val="008B07D4"/>
    <w:rsid w:val="008C12CC"/>
    <w:rsid w:val="00916BF5"/>
    <w:rsid w:val="009215B8"/>
    <w:rsid w:val="00923554"/>
    <w:rsid w:val="009270C4"/>
    <w:rsid w:val="00940F14"/>
    <w:rsid w:val="009432D0"/>
    <w:rsid w:val="00950D67"/>
    <w:rsid w:val="009527D7"/>
    <w:rsid w:val="00955512"/>
    <w:rsid w:val="00963962"/>
    <w:rsid w:val="00974C41"/>
    <w:rsid w:val="0099120C"/>
    <w:rsid w:val="009B3AB7"/>
    <w:rsid w:val="009B6A2D"/>
    <w:rsid w:val="009C5258"/>
    <w:rsid w:val="009D28F3"/>
    <w:rsid w:val="00A01ABD"/>
    <w:rsid w:val="00A12DEC"/>
    <w:rsid w:val="00A22D53"/>
    <w:rsid w:val="00A37E36"/>
    <w:rsid w:val="00A474E5"/>
    <w:rsid w:val="00A842D4"/>
    <w:rsid w:val="00A93CA3"/>
    <w:rsid w:val="00AA4BFF"/>
    <w:rsid w:val="00AB6552"/>
    <w:rsid w:val="00AB67F8"/>
    <w:rsid w:val="00AB7727"/>
    <w:rsid w:val="00AC30A2"/>
    <w:rsid w:val="00AC73AA"/>
    <w:rsid w:val="00AE76B8"/>
    <w:rsid w:val="00B06133"/>
    <w:rsid w:val="00B129D8"/>
    <w:rsid w:val="00B227AE"/>
    <w:rsid w:val="00B41B03"/>
    <w:rsid w:val="00B41EC3"/>
    <w:rsid w:val="00B63F08"/>
    <w:rsid w:val="00B812C5"/>
    <w:rsid w:val="00B81BAC"/>
    <w:rsid w:val="00B849E0"/>
    <w:rsid w:val="00B90246"/>
    <w:rsid w:val="00B920E4"/>
    <w:rsid w:val="00B94F57"/>
    <w:rsid w:val="00BA79A3"/>
    <w:rsid w:val="00BB7DCE"/>
    <w:rsid w:val="00BD25C0"/>
    <w:rsid w:val="00BF78B3"/>
    <w:rsid w:val="00C049EE"/>
    <w:rsid w:val="00C06C71"/>
    <w:rsid w:val="00C109FD"/>
    <w:rsid w:val="00C13046"/>
    <w:rsid w:val="00C14C2C"/>
    <w:rsid w:val="00C409C2"/>
    <w:rsid w:val="00C74E6F"/>
    <w:rsid w:val="00C8348A"/>
    <w:rsid w:val="00C92F89"/>
    <w:rsid w:val="00CA56ED"/>
    <w:rsid w:val="00CC39DC"/>
    <w:rsid w:val="00CE1FF8"/>
    <w:rsid w:val="00CE4890"/>
    <w:rsid w:val="00CE6FD2"/>
    <w:rsid w:val="00D0182E"/>
    <w:rsid w:val="00D0265B"/>
    <w:rsid w:val="00D24A57"/>
    <w:rsid w:val="00D53526"/>
    <w:rsid w:val="00D554E6"/>
    <w:rsid w:val="00D70628"/>
    <w:rsid w:val="00D943A9"/>
    <w:rsid w:val="00DA7643"/>
    <w:rsid w:val="00DB029C"/>
    <w:rsid w:val="00DC162E"/>
    <w:rsid w:val="00DC4A39"/>
    <w:rsid w:val="00DD0D6A"/>
    <w:rsid w:val="00DE0A21"/>
    <w:rsid w:val="00DF6796"/>
    <w:rsid w:val="00E125C6"/>
    <w:rsid w:val="00E15639"/>
    <w:rsid w:val="00E173B5"/>
    <w:rsid w:val="00E24C57"/>
    <w:rsid w:val="00E457C3"/>
    <w:rsid w:val="00E475F9"/>
    <w:rsid w:val="00E50974"/>
    <w:rsid w:val="00E54322"/>
    <w:rsid w:val="00E86611"/>
    <w:rsid w:val="00E940BF"/>
    <w:rsid w:val="00EA643A"/>
    <w:rsid w:val="00EE34E3"/>
    <w:rsid w:val="00F01885"/>
    <w:rsid w:val="00F168A4"/>
    <w:rsid w:val="00F2380B"/>
    <w:rsid w:val="00F24713"/>
    <w:rsid w:val="00F40699"/>
    <w:rsid w:val="00F433D6"/>
    <w:rsid w:val="00F600FC"/>
    <w:rsid w:val="00F61D34"/>
    <w:rsid w:val="00F76BBD"/>
    <w:rsid w:val="00F846E3"/>
    <w:rsid w:val="00F96689"/>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8223F6"/>
  <w15:docId w15:val="{1EECBD42-EF77-447B-B901-423DBAFA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2" w:unhideWhenUsed="1" w:qFormat="1"/>
    <w:lsdException w:name="heading 8" w:semiHidden="1" w:uiPriority="13"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paragraph" w:styleId="Heading1">
    <w:name w:val="heading 1"/>
    <w:basedOn w:val="Normal"/>
    <w:next w:val="Normal"/>
    <w:link w:val="Heading1Char"/>
    <w:uiPriority w:val="9"/>
    <w:qFormat/>
    <w:rsid w:val="00CA56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1"/>
    <w:qFormat/>
    <w:rsid w:val="00CA56ED"/>
    <w:pPr>
      <w:keepNext/>
      <w:keepLines/>
      <w:numPr>
        <w:ilvl w:val="2"/>
        <w:numId w:val="2"/>
      </w:numPr>
      <w:tabs>
        <w:tab w:val="left" w:pos="850"/>
        <w:tab w:val="left" w:pos="1191"/>
        <w:tab w:val="left" w:pos="1531"/>
      </w:tabs>
      <w:spacing w:before="240" w:after="120"/>
      <w:ind w:right="680"/>
      <w:outlineLvl w:val="2"/>
    </w:pPr>
    <w:rPr>
      <w:rFonts w:ascii="Times New Roman" w:eastAsiaTheme="minorHAnsi" w:hAnsi="Times New Roman"/>
      <w:b/>
      <w:bCs/>
      <w:i/>
      <w:iCs/>
      <w:color w:val="262626"/>
      <w:sz w:val="24"/>
      <w:szCs w:val="20"/>
    </w:rPr>
  </w:style>
  <w:style w:type="paragraph" w:styleId="Heading4">
    <w:name w:val="heading 4"/>
    <w:basedOn w:val="Normal"/>
    <w:next w:val="Normal"/>
    <w:link w:val="Heading4Char"/>
    <w:uiPriority w:val="1"/>
    <w:qFormat/>
    <w:rsid w:val="00CA56ED"/>
    <w:pPr>
      <w:keepNext/>
      <w:keepLines/>
      <w:numPr>
        <w:ilvl w:val="3"/>
        <w:numId w:val="2"/>
      </w:numPr>
      <w:tabs>
        <w:tab w:val="left" w:pos="850"/>
        <w:tab w:val="left" w:pos="1191"/>
        <w:tab w:val="left" w:pos="1531"/>
      </w:tabs>
      <w:spacing w:before="240" w:after="120"/>
      <w:ind w:right="680"/>
      <w:outlineLvl w:val="3"/>
    </w:pPr>
    <w:rPr>
      <w:rFonts w:ascii="Times New Roman" w:eastAsiaTheme="minorHAnsi" w:hAnsi="Times New Roman"/>
      <w:i/>
      <w:iCs/>
      <w:color w:val="000000" w:themeColor="text1"/>
      <w:sz w:val="24"/>
      <w:szCs w:val="20"/>
    </w:rPr>
  </w:style>
  <w:style w:type="paragraph" w:styleId="Heading5">
    <w:name w:val="heading 5"/>
    <w:basedOn w:val="Normal"/>
    <w:next w:val="Normal"/>
    <w:link w:val="Heading5Char"/>
    <w:uiPriority w:val="1"/>
    <w:qFormat/>
    <w:rsid w:val="00CA56ED"/>
    <w:pPr>
      <w:keepNext/>
      <w:keepLines/>
      <w:numPr>
        <w:ilvl w:val="4"/>
        <w:numId w:val="2"/>
      </w:numPr>
      <w:tabs>
        <w:tab w:val="left" w:pos="850"/>
        <w:tab w:val="left" w:pos="1191"/>
        <w:tab w:val="left" w:pos="1531"/>
      </w:tabs>
      <w:spacing w:before="240" w:after="120"/>
      <w:ind w:right="680"/>
      <w:outlineLvl w:val="4"/>
    </w:pPr>
    <w:rPr>
      <w:rFonts w:ascii="Times New Roman" w:eastAsiaTheme="minorHAnsi" w:hAnsi="Times New Roman"/>
      <w:color w:val="000000" w:themeColor="text1"/>
      <w:sz w:val="24"/>
      <w:szCs w:val="20"/>
    </w:rPr>
  </w:style>
  <w:style w:type="paragraph" w:styleId="Heading6">
    <w:name w:val="heading 6"/>
    <w:aliases w:val="Part"/>
    <w:basedOn w:val="Normal"/>
    <w:next w:val="Heading1"/>
    <w:link w:val="Heading6Char"/>
    <w:uiPriority w:val="1"/>
    <w:qFormat/>
    <w:rsid w:val="00CA56ED"/>
    <w:pPr>
      <w:keepNext/>
      <w:pageBreakBefore/>
      <w:numPr>
        <w:ilvl w:val="5"/>
        <w:numId w:val="2"/>
      </w:numPr>
      <w:tabs>
        <w:tab w:val="left" w:pos="850"/>
        <w:tab w:val="left" w:pos="1191"/>
        <w:tab w:val="left" w:pos="1531"/>
      </w:tabs>
      <w:spacing w:before="1200" w:after="720"/>
      <w:jc w:val="center"/>
      <w:outlineLvl w:val="5"/>
    </w:pPr>
    <w:rPr>
      <w:rFonts w:ascii="Times New Roman" w:eastAsiaTheme="minorHAnsi" w:hAnsi="Times New Roman"/>
      <w:b/>
      <w:color w:val="4E81BD"/>
      <w:sz w:val="28"/>
      <w:szCs w:val="20"/>
    </w:rPr>
  </w:style>
  <w:style w:type="paragraph" w:styleId="Heading7">
    <w:name w:val="heading 7"/>
    <w:aliases w:val="Doc AnnX"/>
    <w:basedOn w:val="Normal"/>
    <w:next w:val="Normal"/>
    <w:link w:val="Heading7Char"/>
    <w:uiPriority w:val="12"/>
    <w:qFormat/>
    <w:rsid w:val="00CA56ED"/>
    <w:pPr>
      <w:keepNext/>
      <w:pageBreakBefore/>
      <w:numPr>
        <w:ilvl w:val="6"/>
        <w:numId w:val="2"/>
      </w:numPr>
      <w:tabs>
        <w:tab w:val="left" w:pos="850"/>
        <w:tab w:val="left" w:pos="1191"/>
        <w:tab w:val="left" w:pos="1531"/>
      </w:tabs>
      <w:spacing w:before="1200" w:after="720"/>
      <w:jc w:val="center"/>
      <w:outlineLvl w:val="6"/>
    </w:pPr>
    <w:rPr>
      <w:rFonts w:ascii="Times New Roman" w:eastAsiaTheme="minorHAnsi" w:hAnsi="Times New Roman"/>
      <w:b/>
      <w:color w:val="4E81BD"/>
      <w:sz w:val="28"/>
      <w:szCs w:val="20"/>
    </w:rPr>
  </w:style>
  <w:style w:type="paragraph" w:styleId="Heading8">
    <w:name w:val="heading 8"/>
    <w:aliases w:val="Part AnnX"/>
    <w:basedOn w:val="Heading7"/>
    <w:next w:val="Normal"/>
    <w:link w:val="Heading8Char"/>
    <w:uiPriority w:val="13"/>
    <w:rsid w:val="00CA56ED"/>
    <w:pPr>
      <w:numPr>
        <w:ilvl w:val="7"/>
      </w:numPr>
      <w:outlineLvl w:val="7"/>
    </w:pPr>
  </w:style>
  <w:style w:type="paragraph" w:styleId="Heading9">
    <w:name w:val="heading 9"/>
    <w:aliases w:val="Chap AnnX"/>
    <w:basedOn w:val="Heading8"/>
    <w:next w:val="Normal"/>
    <w:link w:val="Heading9Char"/>
    <w:uiPriority w:val="14"/>
    <w:qFormat/>
    <w:rsid w:val="00CA56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styleId="ListParagraph">
    <w:name w:val="List Paragraph"/>
    <w:basedOn w:val="Normal"/>
    <w:uiPriority w:val="34"/>
    <w:qFormat/>
    <w:rsid w:val="00416EA2"/>
    <w:pPr>
      <w:ind w:left="720" w:firstLine="360"/>
      <w:contextualSpacing/>
    </w:pPr>
    <w:rPr>
      <w:rFonts w:ascii="Calibri" w:eastAsia="Times New Roman" w:hAnsi="Calibri"/>
      <w:sz w:val="22"/>
      <w:lang w:bidi="en-US"/>
    </w:rPr>
  </w:style>
  <w:style w:type="character" w:customStyle="1" w:styleId="Heading3Char">
    <w:name w:val="Heading 3 Char"/>
    <w:basedOn w:val="DefaultParagraphFont"/>
    <w:link w:val="Heading3"/>
    <w:uiPriority w:val="1"/>
    <w:rsid w:val="00CA56ED"/>
    <w:rPr>
      <w:rFonts w:ascii="Times New Roman" w:eastAsiaTheme="minorHAnsi" w:hAnsi="Times New Roman"/>
      <w:b/>
      <w:bCs/>
      <w:i/>
      <w:iCs/>
      <w:color w:val="262626"/>
      <w:sz w:val="24"/>
      <w:lang w:eastAsia="en-US"/>
    </w:rPr>
  </w:style>
  <w:style w:type="character" w:customStyle="1" w:styleId="Heading4Char">
    <w:name w:val="Heading 4 Char"/>
    <w:basedOn w:val="DefaultParagraphFont"/>
    <w:link w:val="Heading4"/>
    <w:uiPriority w:val="1"/>
    <w:rsid w:val="00CA56ED"/>
    <w:rPr>
      <w:rFonts w:ascii="Times New Roman" w:eastAsiaTheme="minorHAnsi" w:hAnsi="Times New Roman"/>
      <w:i/>
      <w:iCs/>
      <w:color w:val="000000" w:themeColor="text1"/>
      <w:sz w:val="24"/>
      <w:lang w:eastAsia="en-US"/>
    </w:rPr>
  </w:style>
  <w:style w:type="character" w:customStyle="1" w:styleId="Heading5Char">
    <w:name w:val="Heading 5 Char"/>
    <w:basedOn w:val="DefaultParagraphFont"/>
    <w:link w:val="Heading5"/>
    <w:uiPriority w:val="1"/>
    <w:rsid w:val="00CA56ED"/>
    <w:rPr>
      <w:rFonts w:ascii="Times New Roman" w:eastAsiaTheme="minorHAnsi" w:hAnsi="Times New Roman"/>
      <w:color w:val="000000" w:themeColor="text1"/>
      <w:sz w:val="24"/>
      <w:lang w:eastAsia="en-US"/>
    </w:rPr>
  </w:style>
  <w:style w:type="character" w:customStyle="1" w:styleId="Heading6Char">
    <w:name w:val="Heading 6 Char"/>
    <w:aliases w:val="Part Char"/>
    <w:basedOn w:val="DefaultParagraphFont"/>
    <w:link w:val="Heading6"/>
    <w:uiPriority w:val="1"/>
    <w:rsid w:val="00CA56ED"/>
    <w:rPr>
      <w:rFonts w:ascii="Times New Roman" w:eastAsiaTheme="minorHAnsi" w:hAnsi="Times New Roman"/>
      <w:b/>
      <w:color w:val="4E81BD"/>
      <w:sz w:val="28"/>
      <w:lang w:eastAsia="en-US"/>
    </w:rPr>
  </w:style>
  <w:style w:type="character" w:customStyle="1" w:styleId="Heading7Char">
    <w:name w:val="Heading 7 Char"/>
    <w:aliases w:val="Doc AnnX Char"/>
    <w:basedOn w:val="DefaultParagraphFont"/>
    <w:link w:val="Heading7"/>
    <w:uiPriority w:val="12"/>
    <w:rsid w:val="00CA56ED"/>
    <w:rPr>
      <w:rFonts w:ascii="Times New Roman" w:eastAsiaTheme="minorHAnsi" w:hAnsi="Times New Roman"/>
      <w:b/>
      <w:color w:val="4E81BD"/>
      <w:sz w:val="28"/>
      <w:lang w:eastAsia="en-US"/>
    </w:rPr>
  </w:style>
  <w:style w:type="character" w:customStyle="1" w:styleId="Heading8Char">
    <w:name w:val="Heading 8 Char"/>
    <w:aliases w:val="Part AnnX Char"/>
    <w:basedOn w:val="DefaultParagraphFont"/>
    <w:link w:val="Heading8"/>
    <w:uiPriority w:val="13"/>
    <w:rsid w:val="00CA56ED"/>
    <w:rPr>
      <w:rFonts w:ascii="Times New Roman" w:eastAsiaTheme="minorHAnsi" w:hAnsi="Times New Roman"/>
      <w:b/>
      <w:color w:val="4E81BD"/>
      <w:sz w:val="28"/>
      <w:lang w:eastAsia="en-US"/>
    </w:rPr>
  </w:style>
  <w:style w:type="character" w:customStyle="1" w:styleId="Heading9Char">
    <w:name w:val="Heading 9 Char"/>
    <w:aliases w:val="Chap AnnX Char"/>
    <w:basedOn w:val="DefaultParagraphFont"/>
    <w:link w:val="Heading9"/>
    <w:uiPriority w:val="14"/>
    <w:rsid w:val="00CA56ED"/>
    <w:rPr>
      <w:rFonts w:ascii="Times New Roman" w:eastAsiaTheme="minorHAnsi" w:hAnsi="Times New Roman"/>
      <w:b/>
      <w:color w:val="4E81BD"/>
      <w:sz w:val="28"/>
      <w:lang w:eastAsia="en-US"/>
    </w:rPr>
  </w:style>
  <w:style w:type="paragraph" w:styleId="NormalWeb">
    <w:name w:val="Normal (Web)"/>
    <w:basedOn w:val="Normal"/>
    <w:uiPriority w:val="99"/>
    <w:rsid w:val="00CA56ED"/>
    <w:pPr>
      <w:jc w:val="both"/>
    </w:pPr>
    <w:rPr>
      <w:rFonts w:ascii="Times New Roman" w:eastAsia="SimSun" w:hAnsi="Times New Roman"/>
      <w:sz w:val="24"/>
      <w:szCs w:val="24"/>
    </w:rPr>
  </w:style>
  <w:style w:type="character" w:customStyle="1" w:styleId="Heading1Char">
    <w:name w:val="Heading 1 Char"/>
    <w:basedOn w:val="DefaultParagraphFont"/>
    <w:link w:val="Heading1"/>
    <w:uiPriority w:val="9"/>
    <w:rsid w:val="00CA56ED"/>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C06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C107AEC-EFAC-48F9-ABF0-20D3282A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2952</Words>
  <Characters>16239</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19153</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VARINOT Catherine</dc:creator>
  <cp:lastModifiedBy>Natacha FREYD</cp:lastModifiedBy>
  <cp:revision>3</cp:revision>
  <cp:lastPrinted>2016-03-16T18:37:00Z</cp:lastPrinted>
  <dcterms:created xsi:type="dcterms:W3CDTF">2020-10-28T09:26:00Z</dcterms:created>
  <dcterms:modified xsi:type="dcterms:W3CDTF">2020-10-28T10:30:00Z</dcterms:modified>
</cp:coreProperties>
</file>