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71A51975" w14:textId="77777777" w:rsidTr="00E54322">
        <w:trPr>
          <w:trHeight w:val="737"/>
        </w:trPr>
        <w:tc>
          <w:tcPr>
            <w:tcW w:w="1250" w:type="pct"/>
            <w:shd w:val="clear" w:color="auto" w:fill="auto"/>
            <w:vAlign w:val="center"/>
          </w:tcPr>
          <w:p w14:paraId="5601EDF5" w14:textId="77777777" w:rsidR="002D11B8" w:rsidRPr="00797938" w:rsidRDefault="003D6AC2" w:rsidP="00E54322">
            <w:pPr>
              <w:widowControl w:val="0"/>
              <w:autoSpaceDE w:val="0"/>
              <w:autoSpaceDN w:val="0"/>
              <w:adjustRightInd w:val="0"/>
              <w:rPr>
                <w:rFonts w:ascii="Arial Narrow" w:hAnsi="Arial Narrow" w:cs="Calibri"/>
                <w:b/>
                <w:bCs/>
                <w:szCs w:val="20"/>
                <w:lang w:val="fr-FR"/>
              </w:rPr>
            </w:pPr>
            <w:r w:rsidRPr="00797938">
              <w:rPr>
                <w:rFonts w:ascii="Arial Narrow" w:hAnsi="Arial Narrow" w:cs="Calibri"/>
                <w:b/>
                <w:bCs/>
                <w:szCs w:val="20"/>
                <w:lang w:val="fr-FR"/>
              </w:rPr>
              <w:t>MINISTERS’ DEPUTIES</w:t>
            </w:r>
          </w:p>
          <w:p w14:paraId="2024495B" w14:textId="2312A75F" w:rsidR="00B2745E" w:rsidRPr="00797938" w:rsidRDefault="00B2745E" w:rsidP="00E54322">
            <w:pPr>
              <w:widowControl w:val="0"/>
              <w:autoSpaceDE w:val="0"/>
              <w:autoSpaceDN w:val="0"/>
              <w:adjustRightInd w:val="0"/>
              <w:rPr>
                <w:rFonts w:ascii="Arial Narrow" w:hAnsi="Arial Narrow" w:cs="Calibri"/>
                <w:szCs w:val="20"/>
                <w:lang w:val="fr-FR"/>
              </w:rPr>
            </w:pPr>
            <w:r w:rsidRPr="004F4BD3">
              <w:rPr>
                <w:rFonts w:ascii="Arial Narrow" w:hAnsi="Arial Narrow" w:cs="Calibri"/>
                <w:b/>
                <w:bCs/>
                <w:szCs w:val="20"/>
                <w:lang w:val="fr-FR"/>
              </w:rPr>
              <w:t>DÉLÉGUÉS DES MINISTRES</w:t>
            </w:r>
          </w:p>
        </w:tc>
        <w:tc>
          <w:tcPr>
            <w:tcW w:w="1250" w:type="pct"/>
            <w:shd w:val="clear" w:color="auto" w:fill="auto"/>
            <w:vAlign w:val="center"/>
          </w:tcPr>
          <w:p w14:paraId="4230593E" w14:textId="77777777" w:rsidR="002D11B8" w:rsidRDefault="003D6AC2" w:rsidP="00E54322">
            <w:pPr>
              <w:ind w:left="-108"/>
              <w:jc w:val="center"/>
              <w:rPr>
                <w:rFonts w:ascii="Arial Narrow" w:hAnsi="Arial Narrow" w:cs="Calibri"/>
                <w:szCs w:val="20"/>
              </w:rPr>
            </w:pPr>
            <w:r w:rsidRPr="003D6AC2">
              <w:rPr>
                <w:rFonts w:ascii="Arial Narrow" w:hAnsi="Arial Narrow" w:cs="Calibri"/>
                <w:szCs w:val="20"/>
              </w:rPr>
              <w:t>CM Documents</w:t>
            </w:r>
          </w:p>
          <w:p w14:paraId="2B1EE5F3" w14:textId="53DC79A9" w:rsidR="00B2745E" w:rsidRPr="009C5258" w:rsidRDefault="00B2745E" w:rsidP="00E54322">
            <w:pPr>
              <w:ind w:left="-108"/>
              <w:jc w:val="center"/>
              <w:rPr>
                <w:rFonts w:ascii="Arial Narrow" w:hAnsi="Arial Narrow" w:cs="Arial"/>
                <w:szCs w:val="20"/>
              </w:rPr>
            </w:pPr>
            <w:r>
              <w:rPr>
                <w:rFonts w:ascii="Arial Narrow" w:hAnsi="Arial Narrow" w:cs="Arial"/>
                <w:szCs w:val="20"/>
              </w:rPr>
              <w:t>Documents CM</w:t>
            </w:r>
          </w:p>
        </w:tc>
        <w:tc>
          <w:tcPr>
            <w:tcW w:w="1250" w:type="pct"/>
            <w:shd w:val="clear" w:color="auto" w:fill="auto"/>
            <w:vAlign w:val="center"/>
          </w:tcPr>
          <w:p w14:paraId="149A7319" w14:textId="1C3D3EA3" w:rsidR="002D11B8" w:rsidRPr="00970665" w:rsidRDefault="00970665" w:rsidP="00FE16E3">
            <w:pPr>
              <w:ind w:left="-40"/>
              <w:jc w:val="center"/>
              <w:rPr>
                <w:rFonts w:ascii="Arial Narrow" w:hAnsi="Arial Narrow" w:cs="Calibri"/>
                <w:b/>
                <w:sz w:val="24"/>
                <w:szCs w:val="24"/>
              </w:rPr>
            </w:pPr>
            <w:proofErr w:type="gramStart"/>
            <w:r w:rsidRPr="00970665">
              <w:rPr>
                <w:rFonts w:ascii="Arial Narrow" w:hAnsi="Arial Narrow" w:cs="Calibri"/>
                <w:b/>
                <w:sz w:val="24"/>
                <w:szCs w:val="24"/>
              </w:rPr>
              <w:t>CM(</w:t>
            </w:r>
            <w:proofErr w:type="gramEnd"/>
            <w:r w:rsidRPr="00970665">
              <w:rPr>
                <w:rFonts w:ascii="Arial Narrow" w:hAnsi="Arial Narrow" w:cs="Calibri"/>
                <w:b/>
                <w:sz w:val="24"/>
                <w:szCs w:val="24"/>
              </w:rPr>
              <w:t>20</w:t>
            </w:r>
            <w:bookmarkStart w:id="0" w:name="_GoBack"/>
            <w:bookmarkEnd w:id="0"/>
            <w:r w:rsidRPr="00970665">
              <w:rPr>
                <w:rFonts w:ascii="Arial Narrow" w:hAnsi="Arial Narrow" w:cs="Calibri"/>
                <w:b/>
                <w:sz w:val="24"/>
                <w:szCs w:val="24"/>
              </w:rPr>
              <w:t>20)143</w:t>
            </w:r>
          </w:p>
          <w:p w14:paraId="5B687677" w14:textId="043E4879" w:rsidR="00B2745E" w:rsidRPr="00F96689" w:rsidRDefault="00B2745E" w:rsidP="00FE16E3">
            <w:pPr>
              <w:ind w:left="-40"/>
              <w:jc w:val="center"/>
              <w:rPr>
                <w:rFonts w:ascii="Arial Narrow" w:hAnsi="Arial Narrow" w:cs="Arial"/>
                <w:b/>
                <w:sz w:val="24"/>
                <w:szCs w:val="24"/>
              </w:rPr>
            </w:pPr>
            <w:r>
              <w:rPr>
                <w:rFonts w:ascii="Arial Narrow" w:hAnsi="Arial Narrow" w:cs="Calibri"/>
                <w:b/>
                <w:sz w:val="24"/>
              </w:rPr>
              <w:t>(Bilingual / Bilingue)</w:t>
            </w:r>
          </w:p>
        </w:tc>
        <w:tc>
          <w:tcPr>
            <w:tcW w:w="1250" w:type="pct"/>
            <w:shd w:val="clear" w:color="auto" w:fill="auto"/>
            <w:vAlign w:val="center"/>
          </w:tcPr>
          <w:p w14:paraId="51958F3E" w14:textId="2AE08049" w:rsidR="002D11B8" w:rsidRPr="00F96689" w:rsidRDefault="00E71695" w:rsidP="00FE16E3">
            <w:pPr>
              <w:jc w:val="right"/>
              <w:rPr>
                <w:rFonts w:ascii="Arial Narrow" w:hAnsi="Arial Narrow" w:cs="Arial"/>
                <w:sz w:val="16"/>
                <w:szCs w:val="16"/>
              </w:rPr>
            </w:pPr>
            <w:r>
              <w:rPr>
                <w:rFonts w:ascii="Arial Narrow" w:hAnsi="Arial Narrow" w:cs="Calibri"/>
                <w:sz w:val="16"/>
                <w:szCs w:val="16"/>
              </w:rPr>
              <w:t>28</w:t>
            </w:r>
            <w:r w:rsidR="00CA1D84">
              <w:rPr>
                <w:rFonts w:ascii="Arial Narrow" w:hAnsi="Arial Narrow" w:cs="Calibri"/>
                <w:sz w:val="16"/>
                <w:szCs w:val="16"/>
              </w:rPr>
              <w:t xml:space="preserve"> October/octobre </w:t>
            </w:r>
            <w:r w:rsidR="006E6FA7">
              <w:rPr>
                <w:rFonts w:ascii="Arial Narrow" w:hAnsi="Arial Narrow" w:cs="Calibri"/>
                <w:sz w:val="16"/>
                <w:szCs w:val="16"/>
              </w:rPr>
              <w:t>2020</w:t>
            </w:r>
            <w:r w:rsidR="00853C90" w:rsidRPr="00B920E4">
              <w:rPr>
                <w:rStyle w:val="FootnoteReference"/>
                <w:rFonts w:ascii="Arial Narrow" w:hAnsi="Arial Narrow" w:cs="Calibri"/>
                <w:sz w:val="16"/>
                <w:szCs w:val="16"/>
              </w:rPr>
              <w:footnoteReference w:id="1"/>
            </w:r>
          </w:p>
        </w:tc>
      </w:tr>
    </w:tbl>
    <w:p w14:paraId="65CE98D5"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970665" w14:paraId="6406DA7E" w14:textId="77777777" w:rsidTr="00E54322">
        <w:tc>
          <w:tcPr>
            <w:tcW w:w="9399" w:type="dxa"/>
            <w:shd w:val="clear" w:color="auto" w:fill="auto"/>
            <w:tcMar>
              <w:top w:w="227" w:type="dxa"/>
              <w:bottom w:w="227" w:type="dxa"/>
            </w:tcMar>
            <w:vAlign w:val="center"/>
          </w:tcPr>
          <w:p w14:paraId="50A43701" w14:textId="77777777" w:rsidR="00CA1D84" w:rsidRPr="00A12DEC" w:rsidRDefault="00CA1D84" w:rsidP="00CA1D84">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Pr>
                <w:rFonts w:ascii="Arial Narrow" w:hAnsi="Arial Narrow" w:cs="Calibri"/>
                <w:b/>
                <w:bCs/>
                <w:sz w:val="32"/>
                <w:szCs w:val="32"/>
              </w:rPr>
              <w:t>391</w:t>
            </w:r>
            <w:r w:rsidRPr="00CA56ED">
              <w:rPr>
                <w:rFonts w:ascii="Arial Narrow" w:hAnsi="Arial Narrow" w:cs="Calibri"/>
                <w:b/>
                <w:bCs/>
                <w:sz w:val="32"/>
                <w:szCs w:val="32"/>
                <w:vertAlign w:val="superscript"/>
              </w:rPr>
              <w:t>st</w:t>
            </w:r>
            <w:r>
              <w:rPr>
                <w:rFonts w:ascii="Arial Narrow" w:hAnsi="Arial Narrow" w:cs="Calibri"/>
                <w:b/>
                <w:bCs/>
                <w:sz w:val="32"/>
                <w:szCs w:val="32"/>
              </w:rPr>
              <w:t> m</w:t>
            </w:r>
            <w:r w:rsidRPr="003D6AC2">
              <w:rPr>
                <w:rFonts w:ascii="Arial Narrow" w:hAnsi="Arial Narrow" w:cs="Calibri"/>
                <w:b/>
                <w:bCs/>
                <w:sz w:val="32"/>
                <w:szCs w:val="32"/>
              </w:rPr>
              <w:t xml:space="preserve">eeting, </w:t>
            </w:r>
            <w:r>
              <w:rPr>
                <w:rFonts w:ascii="Arial Narrow" w:hAnsi="Arial Narrow" w:cs="Calibri"/>
                <w:b/>
                <w:bCs/>
                <w:sz w:val="32"/>
                <w:szCs w:val="32"/>
              </w:rPr>
              <w:t>9 December</w:t>
            </w:r>
            <w:r w:rsidRPr="003D6AC2">
              <w:rPr>
                <w:rFonts w:ascii="Arial Narrow" w:hAnsi="Arial Narrow" w:cs="Calibri"/>
                <w:b/>
                <w:bCs/>
                <w:sz w:val="32"/>
                <w:szCs w:val="32"/>
              </w:rPr>
              <w:t xml:space="preserve"> </w:t>
            </w:r>
            <w:r>
              <w:rPr>
                <w:rFonts w:ascii="Arial Narrow" w:hAnsi="Arial Narrow" w:cs="Calibri"/>
                <w:b/>
                <w:bCs/>
                <w:sz w:val="32"/>
                <w:szCs w:val="32"/>
              </w:rPr>
              <w:t>2020</w:t>
            </w:r>
          </w:p>
          <w:p w14:paraId="46DF0EC2" w14:textId="77777777" w:rsidR="00CA1D84" w:rsidRPr="003D6AC2" w:rsidRDefault="00CA1D84" w:rsidP="00CA1D84">
            <w:pPr>
              <w:rPr>
                <w:rFonts w:ascii="Arial Narrow" w:hAnsi="Arial Narrow" w:cs="Calibri"/>
                <w:sz w:val="22"/>
              </w:rPr>
            </w:pPr>
            <w:r w:rsidRPr="003D6AC2">
              <w:rPr>
                <w:rFonts w:ascii="Arial Narrow" w:hAnsi="Arial Narrow" w:cs="Calibri"/>
                <w:sz w:val="22"/>
              </w:rPr>
              <w:t>1</w:t>
            </w:r>
            <w:r>
              <w:rPr>
                <w:rFonts w:ascii="Arial Narrow" w:hAnsi="Arial Narrow" w:cs="Calibri"/>
                <w:sz w:val="22"/>
              </w:rPr>
              <w:t>1</w:t>
            </w:r>
            <w:r w:rsidRPr="003D6AC2">
              <w:rPr>
                <w:rFonts w:ascii="Arial Narrow" w:hAnsi="Arial Narrow" w:cs="Calibri"/>
                <w:sz w:val="22"/>
              </w:rPr>
              <w:t xml:space="preserve"> </w:t>
            </w:r>
            <w:r>
              <w:rPr>
                <w:rFonts w:ascii="Arial Narrow" w:hAnsi="Arial Narrow" w:cs="Calibri"/>
                <w:sz w:val="22"/>
              </w:rPr>
              <w:t>Programme, Budget and Administration</w:t>
            </w:r>
          </w:p>
          <w:p w14:paraId="764609CE" w14:textId="77777777" w:rsidR="00CA1D84" w:rsidRPr="00A12DEC" w:rsidRDefault="00CA1D84" w:rsidP="00CA1D84">
            <w:pPr>
              <w:rPr>
                <w:rFonts w:ascii="Arial Narrow" w:hAnsi="Arial Narrow" w:cs="Calibri"/>
                <w:i/>
                <w:szCs w:val="20"/>
              </w:rPr>
            </w:pPr>
            <w:r w:rsidRPr="00A12DEC">
              <w:rPr>
                <w:rFonts w:ascii="Arial Narrow" w:hAnsi="Arial Narrow" w:cs="Calibri"/>
                <w:i/>
                <w:szCs w:val="20"/>
              </w:rPr>
              <w:t xml:space="preserve"> </w:t>
            </w:r>
          </w:p>
          <w:p w14:paraId="77F32229" w14:textId="73EE5340" w:rsidR="00CA1D84" w:rsidRPr="00385587" w:rsidRDefault="00CA1D84" w:rsidP="00CA1D84">
            <w:pPr>
              <w:rPr>
                <w:rFonts w:ascii="Arial Narrow" w:hAnsi="Arial Narrow" w:cs="Calibri"/>
                <w:b/>
                <w:sz w:val="28"/>
                <w:szCs w:val="28"/>
              </w:rPr>
            </w:pPr>
            <w:r>
              <w:rPr>
                <w:rFonts w:ascii="Arial Narrow" w:hAnsi="Arial Narrow" w:cs="Calibri"/>
                <w:b/>
                <w:sz w:val="28"/>
                <w:szCs w:val="28"/>
              </w:rPr>
              <w:t>1</w:t>
            </w:r>
            <w:r w:rsidRPr="00385587">
              <w:rPr>
                <w:rFonts w:ascii="Arial Narrow" w:hAnsi="Arial Narrow" w:cs="Calibri"/>
                <w:b/>
                <w:sz w:val="28"/>
                <w:szCs w:val="28"/>
              </w:rPr>
              <w:t>1.</w:t>
            </w:r>
            <w:r w:rsidR="00E71695">
              <w:rPr>
                <w:rFonts w:ascii="Arial Narrow" w:hAnsi="Arial Narrow" w:cs="Calibri"/>
                <w:b/>
                <w:sz w:val="28"/>
                <w:szCs w:val="28"/>
              </w:rPr>
              <w:t>2</w:t>
            </w:r>
            <w:r w:rsidRPr="00385587">
              <w:rPr>
                <w:rFonts w:ascii="Arial Narrow" w:hAnsi="Arial Narrow" w:cs="Calibri"/>
                <w:b/>
                <w:sz w:val="28"/>
                <w:szCs w:val="28"/>
              </w:rPr>
              <w:t xml:space="preserve"> </w:t>
            </w:r>
            <w:r w:rsidRPr="00416EA2">
              <w:rPr>
                <w:rFonts w:ascii="Arial Narrow" w:hAnsi="Arial Narrow" w:cs="Calibri"/>
                <w:b/>
                <w:sz w:val="28"/>
                <w:szCs w:val="28"/>
              </w:rPr>
              <w:t>Co-ordinating Committee on Remuneration (CCR) –</w:t>
            </w:r>
          </w:p>
          <w:p w14:paraId="457288B0" w14:textId="0F822677" w:rsidR="00CA1D84" w:rsidRDefault="003F27DC" w:rsidP="00CA1D84">
            <w:pPr>
              <w:rPr>
                <w:rFonts w:ascii="Arial Narrow" w:hAnsi="Arial Narrow" w:cs="Calibri"/>
                <w:sz w:val="22"/>
              </w:rPr>
            </w:pPr>
            <w:r>
              <w:rPr>
                <w:rFonts w:ascii="Arial Narrow" w:hAnsi="Arial Narrow" w:cs="Calibri"/>
                <w:sz w:val="22"/>
              </w:rPr>
              <w:t>e</w:t>
            </w:r>
            <w:r w:rsidR="00CA1D84">
              <w:rPr>
                <w:rFonts w:ascii="Arial Narrow" w:hAnsi="Arial Narrow" w:cs="Calibri"/>
                <w:sz w:val="22"/>
              </w:rPr>
              <w:t>. R</w:t>
            </w:r>
            <w:r w:rsidR="00CA1D84" w:rsidRPr="00D81400">
              <w:rPr>
                <w:rFonts w:ascii="Arial Narrow" w:hAnsi="Arial Narrow" w:cs="Calibri"/>
                <w:sz w:val="22"/>
              </w:rPr>
              <w:t xml:space="preserve">eview of the rates of the daily subsistence allowance at 1 January 2021 for staff of the </w:t>
            </w:r>
            <w:r w:rsidR="00CA1D84">
              <w:rPr>
                <w:rFonts w:ascii="Arial Narrow" w:hAnsi="Arial Narrow" w:cs="Calibri"/>
                <w:sz w:val="22"/>
              </w:rPr>
              <w:t>c</w:t>
            </w:r>
            <w:r w:rsidR="00CA1D84" w:rsidRPr="00D81400">
              <w:rPr>
                <w:rFonts w:ascii="Arial Narrow" w:hAnsi="Arial Narrow" w:cs="Calibri"/>
                <w:sz w:val="22"/>
              </w:rPr>
              <w:t>o-ordinated organisations</w:t>
            </w:r>
          </w:p>
          <w:p w14:paraId="55F2A346" w14:textId="77777777" w:rsidR="00CA1D84" w:rsidRDefault="00CA1D84" w:rsidP="00CA1D84">
            <w:pPr>
              <w:rPr>
                <w:rFonts w:ascii="Arial Narrow" w:hAnsi="Arial Narrow" w:cs="Calibri"/>
                <w:sz w:val="22"/>
              </w:rPr>
            </w:pPr>
            <w:r w:rsidRPr="00086FBA">
              <w:rPr>
                <w:rFonts w:ascii="Arial Narrow" w:hAnsi="Arial Narrow" w:cs="Calibri"/>
                <w:sz w:val="22"/>
              </w:rPr>
              <w:t>2</w:t>
            </w:r>
            <w:r>
              <w:rPr>
                <w:rFonts w:ascii="Arial Narrow" w:hAnsi="Arial Narrow" w:cs="Calibri"/>
                <w:sz w:val="22"/>
              </w:rPr>
              <w:t>74</w:t>
            </w:r>
            <w:r w:rsidRPr="00D81400">
              <w:rPr>
                <w:rFonts w:ascii="Arial Narrow" w:hAnsi="Arial Narrow" w:cs="Calibri"/>
                <w:sz w:val="22"/>
                <w:vertAlign w:val="superscript"/>
              </w:rPr>
              <w:t>th</w:t>
            </w:r>
            <w:r>
              <w:rPr>
                <w:rFonts w:ascii="Arial Narrow" w:hAnsi="Arial Narrow" w:cs="Calibri"/>
                <w:sz w:val="22"/>
              </w:rPr>
              <w:t> r</w:t>
            </w:r>
            <w:r w:rsidRPr="00086FBA">
              <w:rPr>
                <w:rFonts w:ascii="Arial Narrow" w:hAnsi="Arial Narrow" w:cs="Calibri"/>
                <w:sz w:val="22"/>
              </w:rPr>
              <w:t>eport</w:t>
            </w:r>
          </w:p>
          <w:p w14:paraId="586E9E61" w14:textId="77777777" w:rsidR="00CA1D84" w:rsidRDefault="00CA1D84" w:rsidP="00CA1D84">
            <w:pPr>
              <w:rPr>
                <w:rFonts w:ascii="Arial Narrow" w:hAnsi="Arial Narrow" w:cs="Calibri"/>
                <w:sz w:val="22"/>
              </w:rPr>
            </w:pPr>
          </w:p>
          <w:p w14:paraId="3E383F4A" w14:textId="26BEC2EF" w:rsidR="00B2745E" w:rsidRDefault="00CA1D84" w:rsidP="00CA1D84">
            <w:pPr>
              <w:rPr>
                <w:rFonts w:ascii="Arial Narrow" w:hAnsi="Arial Narrow" w:cs="Calibri"/>
                <w:b/>
                <w:szCs w:val="20"/>
              </w:rPr>
            </w:pPr>
            <w:r w:rsidRPr="000A307B">
              <w:rPr>
                <w:rFonts w:ascii="Arial Narrow" w:hAnsi="Arial Narrow" w:cs="Calibri"/>
                <w:b/>
                <w:szCs w:val="20"/>
              </w:rPr>
              <w:t>Item to be considered by the GR-</w:t>
            </w:r>
            <w:r>
              <w:rPr>
                <w:rFonts w:ascii="Arial Narrow" w:hAnsi="Arial Narrow" w:cs="Calibri"/>
                <w:b/>
                <w:szCs w:val="20"/>
              </w:rPr>
              <w:t>PBA</w:t>
            </w:r>
            <w:r w:rsidRPr="000A307B">
              <w:rPr>
                <w:rFonts w:ascii="Arial Narrow" w:hAnsi="Arial Narrow" w:cs="Calibri"/>
                <w:b/>
                <w:szCs w:val="20"/>
              </w:rPr>
              <w:t xml:space="preserve"> at its meeting on </w:t>
            </w:r>
            <w:r>
              <w:rPr>
                <w:rFonts w:ascii="Arial Narrow" w:hAnsi="Arial Narrow" w:cs="Calibri"/>
                <w:b/>
                <w:szCs w:val="20"/>
              </w:rPr>
              <w:t>24 November</w:t>
            </w:r>
            <w:r w:rsidRPr="000A307B">
              <w:rPr>
                <w:rFonts w:ascii="Arial Narrow" w:hAnsi="Arial Narrow" w:cs="Calibri"/>
                <w:b/>
                <w:szCs w:val="20"/>
              </w:rPr>
              <w:t xml:space="preserve"> </w:t>
            </w:r>
            <w:r>
              <w:rPr>
                <w:rFonts w:ascii="Arial Narrow" w:hAnsi="Arial Narrow" w:cs="Calibri"/>
                <w:b/>
                <w:szCs w:val="20"/>
              </w:rPr>
              <w:t>2020</w:t>
            </w:r>
          </w:p>
          <w:p w14:paraId="0EE0D96B" w14:textId="77777777" w:rsidR="00B2745E" w:rsidRDefault="00B2745E" w:rsidP="00B2745E">
            <w:pPr>
              <w:rPr>
                <w:rFonts w:ascii="Arial Narrow" w:hAnsi="Arial Narrow" w:cs="Calibri"/>
                <w:b/>
                <w:szCs w:val="20"/>
              </w:rPr>
            </w:pPr>
          </w:p>
          <w:p w14:paraId="6301A80C" w14:textId="5A5B4FD6" w:rsidR="00B2745E" w:rsidRPr="00D463ED" w:rsidRDefault="00B2745E" w:rsidP="00B2745E">
            <w:pPr>
              <w:widowControl w:val="0"/>
              <w:autoSpaceDE w:val="0"/>
              <w:autoSpaceDN w:val="0"/>
              <w:adjustRightInd w:val="0"/>
              <w:rPr>
                <w:rFonts w:ascii="Arial Narrow" w:hAnsi="Arial Narrow" w:cs="Calibri"/>
                <w:b/>
                <w:bCs/>
                <w:sz w:val="32"/>
                <w:szCs w:val="32"/>
                <w:lang w:val="fr-FR"/>
              </w:rPr>
            </w:pPr>
            <w:r w:rsidRPr="00D463ED">
              <w:rPr>
                <w:rFonts w:ascii="Arial Narrow" w:hAnsi="Arial Narrow" w:cs="Calibri"/>
                <w:b/>
                <w:bCs/>
                <w:sz w:val="32"/>
                <w:szCs w:val="32"/>
                <w:lang w:val="fr-FR"/>
              </w:rPr>
              <w:t>13</w:t>
            </w:r>
            <w:r w:rsidR="00CA1D84">
              <w:rPr>
                <w:rFonts w:ascii="Arial Narrow" w:hAnsi="Arial Narrow" w:cs="Calibri"/>
                <w:b/>
                <w:bCs/>
                <w:sz w:val="32"/>
                <w:szCs w:val="32"/>
                <w:lang w:val="fr-FR"/>
              </w:rPr>
              <w:t>91</w:t>
            </w:r>
            <w:r w:rsidRPr="00D463ED">
              <w:rPr>
                <w:rFonts w:ascii="Arial Narrow" w:hAnsi="Arial Narrow" w:cs="Calibri"/>
                <w:b/>
                <w:bCs/>
                <w:sz w:val="32"/>
                <w:szCs w:val="32"/>
                <w:vertAlign w:val="superscript"/>
                <w:lang w:val="fr-FR"/>
              </w:rPr>
              <w:t>e</w:t>
            </w:r>
            <w:r w:rsidRPr="00D463ED">
              <w:rPr>
                <w:rFonts w:ascii="Arial Narrow" w:hAnsi="Arial Narrow" w:cs="Calibri"/>
                <w:b/>
                <w:bCs/>
                <w:sz w:val="32"/>
                <w:szCs w:val="32"/>
                <w:lang w:val="fr-FR"/>
              </w:rPr>
              <w:t xml:space="preserve"> réunion, </w:t>
            </w:r>
            <w:r w:rsidR="00CA1D84">
              <w:rPr>
                <w:rFonts w:ascii="Arial Narrow" w:hAnsi="Arial Narrow" w:cs="Calibri"/>
                <w:b/>
                <w:bCs/>
                <w:sz w:val="32"/>
                <w:szCs w:val="32"/>
                <w:lang w:val="fr-FR"/>
              </w:rPr>
              <w:t>9 décembre</w:t>
            </w:r>
            <w:r>
              <w:rPr>
                <w:rFonts w:ascii="Arial Narrow" w:hAnsi="Arial Narrow" w:cs="Calibri"/>
                <w:b/>
                <w:bCs/>
                <w:sz w:val="32"/>
                <w:szCs w:val="32"/>
                <w:lang w:val="fr-FR"/>
              </w:rPr>
              <w:t xml:space="preserve"> 2020</w:t>
            </w:r>
          </w:p>
          <w:p w14:paraId="5198CDD1" w14:textId="77777777" w:rsidR="00B2745E" w:rsidRPr="00D463ED" w:rsidRDefault="00B2745E" w:rsidP="00B2745E">
            <w:pPr>
              <w:rPr>
                <w:rFonts w:ascii="Arial Narrow" w:hAnsi="Arial Narrow" w:cs="Calibri"/>
                <w:sz w:val="22"/>
                <w:lang w:val="fr-FR"/>
              </w:rPr>
            </w:pPr>
            <w:r w:rsidRPr="00D463ED">
              <w:rPr>
                <w:rFonts w:ascii="Arial Narrow" w:hAnsi="Arial Narrow" w:cs="Calibri"/>
                <w:sz w:val="22"/>
                <w:lang w:val="fr-FR"/>
              </w:rPr>
              <w:t>11 Programme, Budget et Administration</w:t>
            </w:r>
          </w:p>
          <w:p w14:paraId="6E1CB59F" w14:textId="77777777" w:rsidR="00B2745E" w:rsidRPr="00D463ED" w:rsidRDefault="00B2745E" w:rsidP="00B2745E">
            <w:pPr>
              <w:rPr>
                <w:rFonts w:ascii="Arial Narrow" w:hAnsi="Arial Narrow" w:cs="Calibri"/>
                <w:i/>
                <w:szCs w:val="20"/>
                <w:lang w:val="fr-FR"/>
              </w:rPr>
            </w:pPr>
            <w:r w:rsidRPr="00D463ED">
              <w:rPr>
                <w:rFonts w:ascii="Arial Narrow" w:hAnsi="Arial Narrow" w:cs="Calibri"/>
                <w:i/>
                <w:szCs w:val="20"/>
                <w:lang w:val="fr-FR"/>
              </w:rPr>
              <w:t xml:space="preserve"> </w:t>
            </w:r>
          </w:p>
          <w:p w14:paraId="5E7087C6" w14:textId="5F0D304E" w:rsidR="00B2745E" w:rsidRPr="00D463ED" w:rsidRDefault="00B2745E" w:rsidP="00B2745E">
            <w:pPr>
              <w:rPr>
                <w:rFonts w:ascii="Arial Narrow" w:hAnsi="Arial Narrow" w:cs="Calibri"/>
                <w:b/>
                <w:sz w:val="28"/>
                <w:szCs w:val="28"/>
                <w:lang w:val="fr-FR"/>
              </w:rPr>
            </w:pPr>
            <w:r w:rsidRPr="00E71695">
              <w:rPr>
                <w:rFonts w:ascii="Arial Narrow" w:hAnsi="Arial Narrow" w:cs="Calibri"/>
                <w:b/>
                <w:sz w:val="28"/>
                <w:szCs w:val="28"/>
                <w:lang w:val="fr-FR"/>
              </w:rPr>
              <w:t>11.</w:t>
            </w:r>
            <w:r w:rsidR="00E71695">
              <w:rPr>
                <w:rFonts w:ascii="Arial Narrow" w:hAnsi="Arial Narrow" w:cs="Calibri"/>
                <w:b/>
                <w:sz w:val="28"/>
                <w:szCs w:val="28"/>
                <w:lang w:val="fr-FR"/>
              </w:rPr>
              <w:t>2</w:t>
            </w:r>
            <w:r w:rsidRPr="00D463ED">
              <w:rPr>
                <w:rFonts w:ascii="Arial Narrow" w:hAnsi="Arial Narrow" w:cs="Calibri"/>
                <w:b/>
                <w:sz w:val="28"/>
                <w:szCs w:val="28"/>
                <w:lang w:val="fr-FR"/>
              </w:rPr>
              <w:t xml:space="preserve"> Comité de coordination sur les rémunérations (CCR)</w:t>
            </w:r>
          </w:p>
          <w:p w14:paraId="4B898EAA" w14:textId="19E9B839" w:rsidR="00CA1D84" w:rsidRDefault="003F27DC" w:rsidP="00CA1D84">
            <w:pPr>
              <w:rPr>
                <w:rFonts w:ascii="Arial Narrow" w:hAnsi="Arial Narrow" w:cs="Calibri"/>
                <w:sz w:val="22"/>
                <w:lang w:val="fr-FR"/>
              </w:rPr>
            </w:pPr>
            <w:r>
              <w:rPr>
                <w:rFonts w:ascii="Arial Narrow" w:hAnsi="Arial Narrow" w:cs="Calibri"/>
                <w:sz w:val="22"/>
                <w:lang w:val="fr-FR"/>
              </w:rPr>
              <w:t>e</w:t>
            </w:r>
            <w:r w:rsidR="000A0545" w:rsidRPr="00310F04">
              <w:rPr>
                <w:rFonts w:ascii="Arial Narrow" w:hAnsi="Arial Narrow" w:cs="Calibri"/>
                <w:sz w:val="22"/>
                <w:lang w:val="fr-FR"/>
              </w:rPr>
              <w:t xml:space="preserve">. </w:t>
            </w:r>
            <w:r w:rsidR="00CA1D84">
              <w:rPr>
                <w:rFonts w:ascii="Arial Narrow" w:hAnsi="Arial Narrow" w:cs="Calibri"/>
                <w:sz w:val="22"/>
                <w:lang w:val="fr-FR"/>
              </w:rPr>
              <w:t>R</w:t>
            </w:r>
            <w:r w:rsidR="00CA1D84" w:rsidRPr="00CA1D84">
              <w:rPr>
                <w:rFonts w:ascii="Arial Narrow" w:hAnsi="Arial Narrow" w:cs="Calibri"/>
                <w:sz w:val="22"/>
                <w:lang w:val="fr-FR"/>
              </w:rPr>
              <w:t>évision des taux des indemnités journalières de subsistance au 1</w:t>
            </w:r>
            <w:r w:rsidR="00CA1D84" w:rsidRPr="00CA1D84">
              <w:rPr>
                <w:rFonts w:ascii="Arial Narrow" w:hAnsi="Arial Narrow" w:cs="Calibri"/>
                <w:sz w:val="22"/>
                <w:vertAlign w:val="superscript"/>
                <w:lang w:val="fr-FR"/>
              </w:rPr>
              <w:t>er</w:t>
            </w:r>
            <w:r w:rsidR="00CA1D84">
              <w:rPr>
                <w:rFonts w:ascii="Arial Narrow" w:hAnsi="Arial Narrow" w:cs="Calibri"/>
                <w:sz w:val="22"/>
                <w:lang w:val="fr-FR"/>
              </w:rPr>
              <w:t> </w:t>
            </w:r>
            <w:r w:rsidR="00CA1D84" w:rsidRPr="00CA1D84">
              <w:rPr>
                <w:rFonts w:ascii="Arial Narrow" w:hAnsi="Arial Narrow" w:cs="Calibri"/>
                <w:sz w:val="22"/>
                <w:lang w:val="fr-FR"/>
              </w:rPr>
              <w:t>janvier 2021</w:t>
            </w:r>
            <w:r w:rsidR="00CA1D84">
              <w:rPr>
                <w:rFonts w:ascii="Arial Narrow" w:hAnsi="Arial Narrow" w:cs="Calibri"/>
                <w:sz w:val="22"/>
                <w:lang w:val="fr-FR"/>
              </w:rPr>
              <w:t xml:space="preserve"> </w:t>
            </w:r>
            <w:r w:rsidR="00CA1D84" w:rsidRPr="00CA1D84">
              <w:rPr>
                <w:rFonts w:ascii="Arial Narrow" w:hAnsi="Arial Narrow" w:cs="Calibri"/>
                <w:sz w:val="22"/>
                <w:lang w:val="fr-FR"/>
              </w:rPr>
              <w:t>pour le personnel des organisations coordonnées</w:t>
            </w:r>
          </w:p>
          <w:p w14:paraId="3E0B7DFD" w14:textId="304B15A1" w:rsidR="000A0545" w:rsidRDefault="000A0545" w:rsidP="00CA1D84">
            <w:pPr>
              <w:rPr>
                <w:rFonts w:ascii="Arial Narrow" w:hAnsi="Arial Narrow" w:cs="Calibri"/>
                <w:sz w:val="22"/>
                <w:lang w:val="fr-FR"/>
              </w:rPr>
            </w:pPr>
            <w:r>
              <w:rPr>
                <w:rFonts w:ascii="Arial Narrow" w:hAnsi="Arial Narrow" w:cs="Calibri"/>
                <w:sz w:val="22"/>
                <w:lang w:val="fr-FR"/>
              </w:rPr>
              <w:t>27</w:t>
            </w:r>
            <w:r w:rsidR="00CA1D84">
              <w:rPr>
                <w:rFonts w:ascii="Arial Narrow" w:hAnsi="Arial Narrow" w:cs="Calibri"/>
                <w:sz w:val="22"/>
                <w:lang w:val="fr-FR"/>
              </w:rPr>
              <w:t>4</w:t>
            </w:r>
            <w:r w:rsidRPr="00310F04">
              <w:rPr>
                <w:rFonts w:ascii="Arial Narrow" w:hAnsi="Arial Narrow" w:cs="Calibri"/>
                <w:sz w:val="22"/>
                <w:vertAlign w:val="superscript"/>
                <w:lang w:val="fr-FR"/>
              </w:rPr>
              <w:t>e</w:t>
            </w:r>
            <w:r>
              <w:rPr>
                <w:rFonts w:ascii="Arial Narrow" w:hAnsi="Arial Narrow" w:cs="Calibri"/>
                <w:sz w:val="22"/>
                <w:lang w:val="fr-FR"/>
              </w:rPr>
              <w:t> </w:t>
            </w:r>
            <w:r w:rsidR="00CA1D84">
              <w:rPr>
                <w:rFonts w:ascii="Arial Narrow" w:hAnsi="Arial Narrow" w:cs="Calibri"/>
                <w:sz w:val="22"/>
                <w:lang w:val="fr-FR"/>
              </w:rPr>
              <w:t>r</w:t>
            </w:r>
            <w:r w:rsidRPr="00310F04">
              <w:rPr>
                <w:rFonts w:ascii="Arial Narrow" w:hAnsi="Arial Narrow" w:cs="Calibri"/>
                <w:sz w:val="22"/>
                <w:lang w:val="fr-FR"/>
              </w:rPr>
              <w:t>apport</w:t>
            </w:r>
          </w:p>
          <w:p w14:paraId="4116F0EC" w14:textId="77777777" w:rsidR="00B2745E" w:rsidRDefault="00B2745E" w:rsidP="00B2745E">
            <w:pPr>
              <w:rPr>
                <w:rFonts w:ascii="Arial Narrow" w:hAnsi="Arial Narrow" w:cs="Calibri"/>
                <w:sz w:val="22"/>
                <w:lang w:val="fr-FR"/>
              </w:rPr>
            </w:pPr>
          </w:p>
          <w:p w14:paraId="73AD8CFE" w14:textId="4588A6C3" w:rsidR="00E457C3" w:rsidRPr="00797938" w:rsidRDefault="00B2745E" w:rsidP="00B2745E">
            <w:pPr>
              <w:rPr>
                <w:rFonts w:ascii="Arial Narrow" w:hAnsi="Arial Narrow" w:cs="Calibri"/>
                <w:b/>
                <w:szCs w:val="20"/>
                <w:lang w:val="fr-FR"/>
              </w:rPr>
            </w:pPr>
            <w:r w:rsidRPr="00D716B1">
              <w:rPr>
                <w:rFonts w:ascii="Arial Narrow" w:hAnsi="Arial Narrow" w:cs="Calibri"/>
                <w:b/>
                <w:szCs w:val="20"/>
                <w:lang w:val="fr-FR"/>
              </w:rPr>
              <w:t xml:space="preserve">Point pour examen par le GR-PBA lors de sa réunion du </w:t>
            </w:r>
            <w:r w:rsidR="00CA1D84">
              <w:rPr>
                <w:rFonts w:ascii="Arial Narrow" w:hAnsi="Arial Narrow" w:cs="Calibri"/>
                <w:b/>
                <w:szCs w:val="20"/>
                <w:lang w:val="fr-FR"/>
              </w:rPr>
              <w:t>24 novembre</w:t>
            </w:r>
            <w:r w:rsidR="000F11B8">
              <w:rPr>
                <w:rFonts w:ascii="Arial Narrow" w:hAnsi="Arial Narrow" w:cs="Calibri"/>
                <w:b/>
                <w:szCs w:val="20"/>
                <w:lang w:val="fr-FR"/>
              </w:rPr>
              <w:t xml:space="preserve"> 2020</w:t>
            </w:r>
          </w:p>
        </w:tc>
      </w:tr>
    </w:tbl>
    <w:p w14:paraId="75F8F51A" w14:textId="77777777" w:rsidR="00E54322" w:rsidRPr="00797938" w:rsidRDefault="00E54322" w:rsidP="0037200F">
      <w:pPr>
        <w:rPr>
          <w:rFonts w:eastAsia="Times New Roman"/>
          <w:szCs w:val="24"/>
          <w:lang w:val="fr-FR"/>
        </w:rPr>
      </w:pPr>
      <w:r w:rsidRPr="00797938">
        <w:rPr>
          <w:rFonts w:eastAsia="Times New Roman"/>
          <w:szCs w:val="24"/>
          <w:lang w:val="fr-FR"/>
        </w:rPr>
        <w:t xml:space="preserve"> </w:t>
      </w:r>
    </w:p>
    <w:p w14:paraId="10A816F6" w14:textId="77777777" w:rsidR="00B2745E" w:rsidRPr="00797938" w:rsidRDefault="00B2745E" w:rsidP="0037200F">
      <w:pPr>
        <w:rPr>
          <w:rFonts w:eastAsia="Times New Roman"/>
          <w:szCs w:val="24"/>
          <w:lang w:val="fr-FR"/>
        </w:rPr>
      </w:pPr>
    </w:p>
    <w:p w14:paraId="6EDB4C17" w14:textId="77777777" w:rsidR="00CA1D84" w:rsidRPr="00D81400" w:rsidRDefault="00B2745E" w:rsidP="00CA1D84">
      <w:pPr>
        <w:tabs>
          <w:tab w:val="left" w:pos="7371"/>
        </w:tabs>
        <w:jc w:val="center"/>
        <w:rPr>
          <w:rFonts w:cs="Arial"/>
          <w:b/>
          <w:szCs w:val="20"/>
          <w:lang w:val="en-US"/>
        </w:rPr>
      </w:pPr>
      <w:r w:rsidRPr="00970665">
        <w:rPr>
          <w:rFonts w:eastAsia="Times New Roman"/>
          <w:szCs w:val="24"/>
        </w:rPr>
        <w:br w:type="page"/>
      </w:r>
      <w:r w:rsidR="00CA1D84" w:rsidRPr="00D81400">
        <w:rPr>
          <w:rFonts w:cs="Arial"/>
          <w:b/>
          <w:szCs w:val="20"/>
          <w:lang w:val="en-US"/>
        </w:rPr>
        <w:lastRenderedPageBreak/>
        <w:t>REVIEW OF THE RATES OF THE DAILY SUBSISTENCE ALLOWANCE AT 1 JANUARY 2021</w:t>
      </w:r>
    </w:p>
    <w:p w14:paraId="026A02B5" w14:textId="77777777" w:rsidR="00CA1D84" w:rsidRPr="00D81400" w:rsidRDefault="00CA1D84" w:rsidP="00CA1D84">
      <w:pPr>
        <w:tabs>
          <w:tab w:val="left" w:pos="7371"/>
        </w:tabs>
        <w:jc w:val="center"/>
        <w:rPr>
          <w:rFonts w:cs="Arial"/>
          <w:b/>
          <w:szCs w:val="20"/>
          <w:lang w:val="en-US"/>
        </w:rPr>
      </w:pPr>
      <w:r w:rsidRPr="00D81400">
        <w:rPr>
          <w:rFonts w:cs="Arial"/>
          <w:b/>
          <w:szCs w:val="20"/>
          <w:lang w:val="en-US"/>
        </w:rPr>
        <w:t>FOR STAFF OF THE CO-ORDINATED ORGANISATIONS</w:t>
      </w:r>
    </w:p>
    <w:p w14:paraId="37F67C26" w14:textId="77777777" w:rsidR="00CA1D84" w:rsidRPr="00D81400" w:rsidRDefault="00CA1D84" w:rsidP="00CA1D84">
      <w:pPr>
        <w:pStyle w:val="Para"/>
        <w:spacing w:before="0" w:after="0"/>
        <w:ind w:right="227"/>
        <w:jc w:val="center"/>
        <w:rPr>
          <w:rFonts w:ascii="Arial" w:hAnsi="Arial" w:cs="Arial"/>
          <w:b/>
          <w:sz w:val="20"/>
          <w:lang w:val="en-US"/>
        </w:rPr>
      </w:pPr>
    </w:p>
    <w:p w14:paraId="06057F99" w14:textId="77777777" w:rsidR="00CA1D84" w:rsidRDefault="00CA1D84" w:rsidP="00CA1D84">
      <w:pPr>
        <w:pStyle w:val="Para"/>
        <w:spacing w:before="0" w:after="0"/>
        <w:jc w:val="center"/>
        <w:rPr>
          <w:rFonts w:ascii="Arial" w:hAnsi="Arial" w:cs="Arial"/>
          <w:b/>
          <w:sz w:val="20"/>
        </w:rPr>
      </w:pPr>
      <w:r w:rsidRPr="00D81400">
        <w:rPr>
          <w:rFonts w:ascii="Arial" w:hAnsi="Arial" w:cs="Arial"/>
          <w:b/>
          <w:sz w:val="20"/>
        </w:rPr>
        <w:t>CCR Report (274</w:t>
      </w:r>
      <w:r w:rsidRPr="00D81400">
        <w:rPr>
          <w:rFonts w:ascii="Arial" w:hAnsi="Arial" w:cs="Arial"/>
          <w:b/>
          <w:sz w:val="20"/>
          <w:vertAlign w:val="superscript"/>
        </w:rPr>
        <w:t xml:space="preserve">th </w:t>
      </w:r>
      <w:r w:rsidRPr="00D81400">
        <w:rPr>
          <w:rFonts w:ascii="Arial" w:hAnsi="Arial" w:cs="Arial"/>
          <w:b/>
          <w:sz w:val="20"/>
        </w:rPr>
        <w:t>Report)</w:t>
      </w:r>
    </w:p>
    <w:p w14:paraId="1BFCC722" w14:textId="77777777" w:rsidR="00CA1D84" w:rsidRDefault="00CA1D84" w:rsidP="00CA1D84">
      <w:pPr>
        <w:pStyle w:val="Para"/>
        <w:spacing w:before="0" w:after="0"/>
        <w:jc w:val="center"/>
        <w:rPr>
          <w:rFonts w:ascii="Arial" w:hAnsi="Arial" w:cs="Arial"/>
          <w:b/>
          <w:sz w:val="20"/>
        </w:rPr>
      </w:pPr>
    </w:p>
    <w:p w14:paraId="4B701FD1" w14:textId="77777777" w:rsidR="00CA1D84" w:rsidRPr="00D81400" w:rsidRDefault="00CA1D84" w:rsidP="00CA1D84">
      <w:pPr>
        <w:pStyle w:val="Para"/>
        <w:spacing w:before="0" w:after="0"/>
        <w:jc w:val="center"/>
        <w:rPr>
          <w:rFonts w:ascii="Arial" w:hAnsi="Arial" w:cs="Arial"/>
          <w:b/>
          <w:sz w:val="20"/>
        </w:rPr>
      </w:pPr>
    </w:p>
    <w:p w14:paraId="2781852C" w14:textId="77777777" w:rsidR="00CA1D84" w:rsidRDefault="00CA1D84" w:rsidP="00CA1D84">
      <w:pPr>
        <w:rPr>
          <w:rFonts w:cs="Arial"/>
          <w:b/>
          <w:szCs w:val="20"/>
        </w:rPr>
      </w:pPr>
      <w:r w:rsidRPr="00D81400">
        <w:rPr>
          <w:rFonts w:cs="Arial"/>
          <w:b/>
          <w:szCs w:val="20"/>
        </w:rPr>
        <w:t xml:space="preserve">1. </w:t>
      </w:r>
      <w:r w:rsidRPr="00D81400">
        <w:rPr>
          <w:rFonts w:cs="Arial"/>
          <w:b/>
          <w:szCs w:val="20"/>
        </w:rPr>
        <w:tab/>
        <w:t>Introduction</w:t>
      </w:r>
    </w:p>
    <w:p w14:paraId="2EDEA035" w14:textId="77777777" w:rsidR="00CA1D84" w:rsidRPr="00D81400" w:rsidRDefault="00CA1D84" w:rsidP="00CA1D84">
      <w:pPr>
        <w:rPr>
          <w:rFonts w:cs="Arial"/>
          <w:b/>
          <w:szCs w:val="20"/>
        </w:rPr>
      </w:pPr>
    </w:p>
    <w:p w14:paraId="2DB4E613" w14:textId="74836027" w:rsidR="00CA1D84" w:rsidRPr="00D81400" w:rsidRDefault="00CA1D84" w:rsidP="000204DB">
      <w:pPr>
        <w:rPr>
          <w:rFonts w:cs="Arial"/>
          <w:szCs w:val="20"/>
        </w:rPr>
      </w:pPr>
      <w:r w:rsidRPr="00D81400">
        <w:rPr>
          <w:rFonts w:cs="Arial"/>
          <w:szCs w:val="20"/>
        </w:rPr>
        <w:t>1.1</w:t>
      </w:r>
      <w:r w:rsidRPr="00D81400">
        <w:rPr>
          <w:rFonts w:cs="Arial"/>
          <w:szCs w:val="20"/>
        </w:rPr>
        <w:tab/>
        <w:t>The rules for calculating the rates of the Daily Subsistence Allowance (DSA) for staff of the Co</w:t>
      </w:r>
      <w:r w:rsidRPr="00D81400">
        <w:rPr>
          <w:rFonts w:cs="Arial"/>
          <w:szCs w:val="20"/>
        </w:rPr>
        <w:noBreakHyphen/>
        <w:t>ordinated Organisations travelling on duty are laid out in the 268</w:t>
      </w:r>
      <w:r w:rsidRPr="00D81400">
        <w:rPr>
          <w:rFonts w:cs="Arial"/>
          <w:szCs w:val="20"/>
          <w:vertAlign w:val="superscript"/>
        </w:rPr>
        <w:t>th </w:t>
      </w:r>
      <w:r w:rsidRPr="00D81400">
        <w:rPr>
          <w:rFonts w:cs="Arial"/>
          <w:szCs w:val="20"/>
        </w:rPr>
        <w:t>Report by the CCR [CCR/R(2020)2].</w:t>
      </w:r>
      <w:r w:rsidR="000D0A77">
        <w:rPr>
          <w:rStyle w:val="FootnoteReference"/>
          <w:rFonts w:cs="Arial"/>
          <w:szCs w:val="20"/>
        </w:rPr>
        <w:footnoteReference w:id="2"/>
      </w:r>
      <w:r w:rsidRPr="00D81400">
        <w:rPr>
          <w:rFonts w:cs="Arial"/>
          <w:szCs w:val="20"/>
        </w:rPr>
        <w:t xml:space="preserve"> Appendix 2 of the said report describes in detail the data and variables used by the International Service for Remunerations and Pensions (ISRP) for the calculation of the DSA.</w:t>
      </w:r>
    </w:p>
    <w:p w14:paraId="0FEB320F" w14:textId="77777777" w:rsidR="00CA1D84" w:rsidRDefault="00CA1D84" w:rsidP="000204DB">
      <w:pPr>
        <w:rPr>
          <w:rFonts w:cs="Arial"/>
          <w:szCs w:val="20"/>
        </w:rPr>
      </w:pPr>
    </w:p>
    <w:p w14:paraId="4CEC240B" w14:textId="77777777" w:rsidR="00CA1D84" w:rsidRPr="00D81400" w:rsidRDefault="00CA1D84" w:rsidP="000204DB">
      <w:pPr>
        <w:rPr>
          <w:rFonts w:cs="Arial"/>
          <w:szCs w:val="20"/>
        </w:rPr>
      </w:pPr>
      <w:r w:rsidRPr="00D81400">
        <w:rPr>
          <w:rFonts w:cs="Arial"/>
          <w:szCs w:val="20"/>
        </w:rPr>
        <w:t>1.2.</w:t>
      </w:r>
      <w:r w:rsidRPr="00D81400">
        <w:rPr>
          <w:rFonts w:cs="Arial"/>
          <w:szCs w:val="20"/>
        </w:rPr>
        <w:tab/>
        <w:t>Accordingly, the rates proposed as from 1 January 2021 in Annexes</w:t>
      </w:r>
      <w:r w:rsidRPr="00D81400">
        <w:rPr>
          <w:rStyle w:val="FootnoteReference"/>
          <w:rFonts w:cs="Arial"/>
          <w:szCs w:val="20"/>
        </w:rPr>
        <w:footnoteReference w:id="3"/>
      </w:r>
      <w:r w:rsidRPr="00D81400">
        <w:rPr>
          <w:rFonts w:cs="Arial"/>
          <w:szCs w:val="20"/>
        </w:rPr>
        <w:t xml:space="preserve"> 1 and 2 of the present report have been defined in accordance with the provisions of the 268</w:t>
      </w:r>
      <w:r w:rsidRPr="00D81400">
        <w:rPr>
          <w:rFonts w:cs="Arial"/>
          <w:szCs w:val="20"/>
          <w:vertAlign w:val="superscript"/>
        </w:rPr>
        <w:t>th </w:t>
      </w:r>
      <w:r w:rsidRPr="00D81400">
        <w:rPr>
          <w:rFonts w:cs="Arial"/>
          <w:szCs w:val="20"/>
        </w:rPr>
        <w:t>Report by the CCR, as the average of the relevant rates in the National Civil Services of the eight reference countries.</w:t>
      </w:r>
    </w:p>
    <w:p w14:paraId="1A2F957C" w14:textId="77777777" w:rsidR="00CA1D84" w:rsidRDefault="00CA1D84" w:rsidP="00CA1D84">
      <w:pPr>
        <w:rPr>
          <w:rFonts w:cs="Arial"/>
          <w:b/>
          <w:szCs w:val="20"/>
        </w:rPr>
      </w:pPr>
    </w:p>
    <w:p w14:paraId="2E868792" w14:textId="77777777" w:rsidR="00CA1D84" w:rsidRPr="00D81400" w:rsidRDefault="00CA1D84" w:rsidP="00CA1D84">
      <w:pPr>
        <w:rPr>
          <w:rFonts w:cs="Arial"/>
          <w:b/>
          <w:szCs w:val="20"/>
        </w:rPr>
      </w:pPr>
      <w:r w:rsidRPr="00D81400">
        <w:rPr>
          <w:rFonts w:cs="Arial"/>
          <w:b/>
          <w:szCs w:val="20"/>
        </w:rPr>
        <w:t>2.</w:t>
      </w:r>
      <w:r w:rsidRPr="00D81400">
        <w:rPr>
          <w:rFonts w:cs="Arial"/>
          <w:b/>
          <w:szCs w:val="20"/>
        </w:rPr>
        <w:tab/>
        <w:t>Conclusions</w:t>
      </w:r>
    </w:p>
    <w:p w14:paraId="7A0BB77D" w14:textId="77777777" w:rsidR="00CA1D84" w:rsidRDefault="00CA1D84" w:rsidP="00CA1D84">
      <w:pPr>
        <w:rPr>
          <w:rFonts w:cs="Arial"/>
          <w:b/>
          <w:szCs w:val="20"/>
        </w:rPr>
      </w:pPr>
    </w:p>
    <w:p w14:paraId="2E8B333E" w14:textId="77777777" w:rsidR="00CA1D84" w:rsidRPr="00D81400" w:rsidRDefault="00CA1D84" w:rsidP="00CA1D84">
      <w:pPr>
        <w:rPr>
          <w:rFonts w:cs="Arial"/>
          <w:b/>
          <w:szCs w:val="20"/>
        </w:rPr>
      </w:pPr>
      <w:r w:rsidRPr="00D81400">
        <w:rPr>
          <w:rFonts w:cs="Arial"/>
          <w:b/>
          <w:szCs w:val="20"/>
        </w:rPr>
        <w:t>2.2</w:t>
      </w:r>
      <w:r w:rsidRPr="00D81400">
        <w:rPr>
          <w:rFonts w:cs="Arial"/>
          <w:b/>
          <w:szCs w:val="20"/>
        </w:rPr>
        <w:tab/>
        <w:t>Position of the CRSG</w:t>
      </w:r>
    </w:p>
    <w:p w14:paraId="2D399CAE" w14:textId="77777777" w:rsidR="00CA1D84" w:rsidRDefault="00CA1D84" w:rsidP="00CA1D84">
      <w:pPr>
        <w:rPr>
          <w:rFonts w:eastAsia="Times New Roman" w:cs="Arial"/>
          <w:color w:val="0D0D0D"/>
          <w:szCs w:val="20"/>
          <w:lang w:val="en-US" w:eastAsia="en-GB"/>
        </w:rPr>
      </w:pPr>
    </w:p>
    <w:p w14:paraId="163C79CF" w14:textId="77777777" w:rsidR="00CA1D84" w:rsidRPr="00D81400" w:rsidRDefault="00CA1D84" w:rsidP="00CA1D84">
      <w:pPr>
        <w:rPr>
          <w:rFonts w:eastAsia="Times New Roman" w:cs="Arial"/>
          <w:color w:val="0D0D0D"/>
          <w:szCs w:val="20"/>
          <w:lang w:val="en-US" w:eastAsia="en-GB"/>
        </w:rPr>
      </w:pPr>
      <w:r w:rsidRPr="00D81400">
        <w:rPr>
          <w:rFonts w:eastAsia="Times New Roman" w:cs="Arial"/>
          <w:color w:val="0D0D0D"/>
          <w:szCs w:val="20"/>
          <w:lang w:val="en-US" w:eastAsia="en-GB"/>
        </w:rPr>
        <w:t>The CRSG notes the CCR recommendation that reflects the strict application of the current method for the review of the rates of the Daily Subsistence Allowance.</w:t>
      </w:r>
    </w:p>
    <w:p w14:paraId="2919AF53" w14:textId="77777777" w:rsidR="00CA1D84" w:rsidRDefault="00CA1D84" w:rsidP="00CA1D84">
      <w:pPr>
        <w:rPr>
          <w:rFonts w:cs="Arial"/>
          <w:b/>
          <w:szCs w:val="20"/>
        </w:rPr>
      </w:pPr>
    </w:p>
    <w:p w14:paraId="5967D4AC" w14:textId="77777777" w:rsidR="00CA1D84" w:rsidRPr="00D81400" w:rsidRDefault="00CA1D84" w:rsidP="00CA1D84">
      <w:pPr>
        <w:rPr>
          <w:rFonts w:cs="Arial"/>
          <w:b/>
          <w:szCs w:val="20"/>
        </w:rPr>
      </w:pPr>
      <w:r w:rsidRPr="00D81400">
        <w:rPr>
          <w:rFonts w:cs="Arial"/>
          <w:b/>
          <w:szCs w:val="20"/>
        </w:rPr>
        <w:t>2.3</w:t>
      </w:r>
      <w:r w:rsidRPr="00D81400">
        <w:rPr>
          <w:rFonts w:cs="Arial"/>
          <w:b/>
          <w:szCs w:val="20"/>
        </w:rPr>
        <w:tab/>
        <w:t>Position of the CRP</w:t>
      </w:r>
    </w:p>
    <w:p w14:paraId="7F56BC4C" w14:textId="77777777" w:rsidR="00CA1D84" w:rsidRDefault="00CA1D84" w:rsidP="00CA1D84">
      <w:pPr>
        <w:rPr>
          <w:rFonts w:cs="Arial"/>
          <w:iCs/>
          <w:szCs w:val="20"/>
        </w:rPr>
      </w:pPr>
    </w:p>
    <w:p w14:paraId="3D82AC71" w14:textId="77777777" w:rsidR="00CA1D84" w:rsidRPr="00D81400" w:rsidRDefault="00CA1D84" w:rsidP="00CA1D84">
      <w:pPr>
        <w:rPr>
          <w:rFonts w:cs="Arial"/>
          <w:iCs/>
          <w:szCs w:val="20"/>
        </w:rPr>
      </w:pPr>
      <w:r w:rsidRPr="00D81400">
        <w:rPr>
          <w:rFonts w:cs="Arial"/>
          <w:iCs/>
          <w:szCs w:val="20"/>
        </w:rPr>
        <w:t>The CRP takes note of the result of the review of the rates of the Daily Subsistence Allowance applicable at 1 January 2021.</w:t>
      </w:r>
    </w:p>
    <w:p w14:paraId="591E3634" w14:textId="77777777" w:rsidR="00CA1D84" w:rsidRDefault="00CA1D84" w:rsidP="00CA1D84">
      <w:pPr>
        <w:pStyle w:val="Default"/>
        <w:rPr>
          <w:rFonts w:ascii="Arial" w:hAnsi="Arial" w:cs="Arial"/>
          <w:b/>
          <w:bCs/>
          <w:sz w:val="20"/>
          <w:szCs w:val="20"/>
        </w:rPr>
      </w:pPr>
    </w:p>
    <w:p w14:paraId="771249D8" w14:textId="77777777" w:rsidR="00CA1D84" w:rsidRPr="00D81400" w:rsidRDefault="00CA1D84" w:rsidP="00CA1D84">
      <w:pPr>
        <w:pStyle w:val="Default"/>
        <w:rPr>
          <w:rFonts w:ascii="Arial" w:hAnsi="Arial" w:cs="Arial"/>
          <w:sz w:val="20"/>
          <w:szCs w:val="20"/>
        </w:rPr>
      </w:pPr>
      <w:r w:rsidRPr="00D81400">
        <w:rPr>
          <w:rFonts w:ascii="Arial" w:hAnsi="Arial" w:cs="Arial"/>
          <w:b/>
          <w:bCs/>
          <w:sz w:val="20"/>
          <w:szCs w:val="20"/>
        </w:rPr>
        <w:t>3.</w:t>
      </w:r>
      <w:r w:rsidRPr="00D81400">
        <w:rPr>
          <w:rFonts w:ascii="Arial" w:hAnsi="Arial" w:cs="Arial"/>
          <w:b/>
          <w:bCs/>
          <w:sz w:val="20"/>
          <w:szCs w:val="20"/>
        </w:rPr>
        <w:tab/>
        <w:t xml:space="preserve">Recommendation </w:t>
      </w:r>
    </w:p>
    <w:p w14:paraId="13A7E553" w14:textId="77777777" w:rsidR="00CA1D84" w:rsidRDefault="00CA1D84" w:rsidP="00CA1D84">
      <w:pPr>
        <w:tabs>
          <w:tab w:val="left" w:pos="567"/>
        </w:tabs>
        <w:rPr>
          <w:rFonts w:cs="Arial"/>
          <w:szCs w:val="20"/>
        </w:rPr>
      </w:pPr>
    </w:p>
    <w:p w14:paraId="2B154C63" w14:textId="77777777" w:rsidR="00CA1D84" w:rsidRPr="00D81400" w:rsidRDefault="00CA1D84" w:rsidP="00CA1D84">
      <w:pPr>
        <w:tabs>
          <w:tab w:val="left" w:pos="567"/>
        </w:tabs>
        <w:rPr>
          <w:rFonts w:cs="Arial"/>
          <w:szCs w:val="20"/>
        </w:rPr>
      </w:pPr>
      <w:r w:rsidRPr="00D81400">
        <w:rPr>
          <w:rFonts w:cs="Arial"/>
          <w:szCs w:val="20"/>
        </w:rPr>
        <w:t>The CCR invites the Governing bodies of the Co</w:t>
      </w:r>
      <w:r w:rsidRPr="00D81400">
        <w:rPr>
          <w:rFonts w:cs="Arial"/>
          <w:szCs w:val="20"/>
        </w:rPr>
        <w:noBreakHyphen/>
        <w:t>ordinated Organisations to approve, with effect from 1 January 2021, the rates of the Daily Subsistence Allowance set out in the tables annexed hereto.</w:t>
      </w:r>
    </w:p>
    <w:p w14:paraId="6B204462" w14:textId="77777777" w:rsidR="00CA1D84" w:rsidRPr="00D81400" w:rsidRDefault="00CA1D84" w:rsidP="00CA1D84">
      <w:pPr>
        <w:pStyle w:val="Default"/>
        <w:jc w:val="both"/>
        <w:rPr>
          <w:rFonts w:ascii="Arial" w:hAnsi="Arial" w:cs="Arial"/>
          <w:sz w:val="20"/>
          <w:szCs w:val="20"/>
        </w:rPr>
      </w:pPr>
    </w:p>
    <w:p w14:paraId="4FEC5C4F" w14:textId="77777777" w:rsidR="00CA1D84" w:rsidRPr="00D81400" w:rsidRDefault="00CA1D84" w:rsidP="00CA1D84">
      <w:pPr>
        <w:tabs>
          <w:tab w:val="right" w:pos="8505"/>
        </w:tabs>
        <w:rPr>
          <w:rFonts w:cs="Arial"/>
          <w:szCs w:val="20"/>
        </w:rPr>
      </w:pPr>
    </w:p>
    <w:p w14:paraId="399E3484" w14:textId="77777777" w:rsidR="00CA1D84" w:rsidRPr="00D81400" w:rsidRDefault="00CA1D84" w:rsidP="00CA1D84">
      <w:pPr>
        <w:tabs>
          <w:tab w:val="right" w:pos="8505"/>
        </w:tabs>
        <w:rPr>
          <w:rFonts w:cs="Arial"/>
          <w:szCs w:val="20"/>
        </w:rPr>
      </w:pPr>
    </w:p>
    <w:p w14:paraId="0551826D" w14:textId="77777777" w:rsidR="00CA1D84" w:rsidRPr="00D81400" w:rsidRDefault="00CA1D84" w:rsidP="00CA1D84">
      <w:pPr>
        <w:tabs>
          <w:tab w:val="right" w:pos="8505"/>
        </w:tabs>
        <w:jc w:val="right"/>
        <w:rPr>
          <w:rFonts w:cs="Arial"/>
          <w:szCs w:val="20"/>
        </w:rPr>
      </w:pPr>
      <w:r w:rsidRPr="00D81400">
        <w:rPr>
          <w:rFonts w:cs="Arial"/>
          <w:szCs w:val="20"/>
        </w:rPr>
        <w:t>David Sydney Maddicott</w:t>
      </w:r>
    </w:p>
    <w:p w14:paraId="2305343D" w14:textId="77777777" w:rsidR="00CA1D84" w:rsidRPr="00D81400" w:rsidRDefault="00CA1D84" w:rsidP="00CA1D84">
      <w:pPr>
        <w:tabs>
          <w:tab w:val="right" w:pos="8505"/>
        </w:tabs>
        <w:jc w:val="right"/>
        <w:rPr>
          <w:rFonts w:cs="Arial"/>
          <w:szCs w:val="20"/>
        </w:rPr>
      </w:pPr>
      <w:r w:rsidRPr="00D81400">
        <w:rPr>
          <w:rFonts w:cs="Arial"/>
          <w:noProof/>
          <w:szCs w:val="20"/>
          <w:lang w:eastAsia="en-GB"/>
        </w:rPr>
        <w:drawing>
          <wp:inline distT="0" distB="0" distL="0" distR="0" wp14:anchorId="28A86685" wp14:editId="5F71CC30">
            <wp:extent cx="1821180" cy="396240"/>
            <wp:effectExtent l="0" t="0" r="0" b="0"/>
            <wp:docPr id="7" name="Picture 7" descr="8DAE2359"/>
            <wp:cNvGraphicFramePr/>
            <a:graphic xmlns:a="http://schemas.openxmlformats.org/drawingml/2006/main">
              <a:graphicData uri="http://schemas.openxmlformats.org/drawingml/2006/picture">
                <pic:pic xmlns:pic="http://schemas.openxmlformats.org/drawingml/2006/picture">
                  <pic:nvPicPr>
                    <pic:cNvPr id="2" name="Picture 2" descr="8DAE2359"/>
                    <pic:cNvPicPr/>
                  </pic:nvPicPr>
                  <pic:blipFill rotWithShape="1">
                    <a:blip r:embed="rId8" cstate="print">
                      <a:extLst>
                        <a:ext uri="{28A0092B-C50C-407E-A947-70E740481C1C}">
                          <a14:useLocalDpi xmlns:a14="http://schemas.microsoft.com/office/drawing/2010/main" val="0"/>
                        </a:ext>
                      </a:extLst>
                    </a:blip>
                    <a:srcRect l="25000" t="26423" r="31250" b="65712"/>
                    <a:stretch/>
                  </pic:blipFill>
                  <pic:spPr bwMode="auto">
                    <a:xfrm>
                      <a:off x="0" y="0"/>
                      <a:ext cx="1817201" cy="395374"/>
                    </a:xfrm>
                    <a:prstGeom prst="rect">
                      <a:avLst/>
                    </a:prstGeom>
                    <a:noFill/>
                    <a:ln>
                      <a:noFill/>
                    </a:ln>
                    <a:extLst>
                      <a:ext uri="{53640926-AAD7-44D8-BBD7-CCE9431645EC}">
                        <a14:shadowObscured xmlns:a14="http://schemas.microsoft.com/office/drawing/2010/main"/>
                      </a:ext>
                    </a:extLst>
                  </pic:spPr>
                </pic:pic>
              </a:graphicData>
            </a:graphic>
          </wp:inline>
        </w:drawing>
      </w:r>
    </w:p>
    <w:p w14:paraId="19B1DB2F" w14:textId="77777777" w:rsidR="00CA1D84" w:rsidRPr="00D81400" w:rsidRDefault="00CA1D84" w:rsidP="00CA1D84">
      <w:pPr>
        <w:tabs>
          <w:tab w:val="right" w:pos="8505"/>
        </w:tabs>
        <w:jc w:val="right"/>
        <w:rPr>
          <w:rFonts w:cs="Arial"/>
          <w:szCs w:val="20"/>
          <w:lang w:val="fr-FR"/>
        </w:rPr>
      </w:pPr>
      <w:r w:rsidRPr="00D81400">
        <w:rPr>
          <w:rFonts w:cs="Arial"/>
          <w:szCs w:val="20"/>
          <w:lang w:val="fr-FR"/>
        </w:rPr>
        <w:t>Chairman</w:t>
      </w:r>
    </w:p>
    <w:p w14:paraId="57325770" w14:textId="77777777" w:rsidR="00CA1D84" w:rsidRPr="00D81400" w:rsidRDefault="00CA1D84" w:rsidP="00CA1D84">
      <w:pPr>
        <w:tabs>
          <w:tab w:val="center" w:pos="4734"/>
        </w:tabs>
        <w:suppressAutoHyphens/>
        <w:jc w:val="right"/>
        <w:rPr>
          <w:rFonts w:cs="Arial"/>
          <w:b/>
          <w:szCs w:val="20"/>
          <w:lang w:val="fr-FR"/>
        </w:rPr>
      </w:pPr>
      <w:r w:rsidRPr="00D81400">
        <w:rPr>
          <w:rFonts w:cs="Arial"/>
          <w:szCs w:val="20"/>
          <w:lang w:val="fr-FR"/>
        </w:rPr>
        <w:t>(Paris, September 30, 2020)</w:t>
      </w:r>
    </w:p>
    <w:p w14:paraId="41515AD3" w14:textId="77777777" w:rsidR="00CA1D84" w:rsidRPr="00CA1D84" w:rsidRDefault="00CA1D84" w:rsidP="00CA1D84">
      <w:pPr>
        <w:rPr>
          <w:rFonts w:cs="Arial"/>
          <w:b/>
          <w:color w:val="000000" w:themeColor="text1"/>
          <w:szCs w:val="20"/>
          <w:lang w:val="fr-FR"/>
        </w:rPr>
      </w:pPr>
      <w:r w:rsidRPr="00CA1D84">
        <w:rPr>
          <w:rFonts w:cs="Arial"/>
          <w:b/>
          <w:color w:val="000000" w:themeColor="text1"/>
          <w:szCs w:val="20"/>
          <w:lang w:val="fr-FR"/>
        </w:rPr>
        <w:br w:type="page"/>
      </w:r>
    </w:p>
    <w:p w14:paraId="354FD261" w14:textId="77777777" w:rsidR="00CA1D84" w:rsidRPr="00CA1D84" w:rsidRDefault="00CA1D84" w:rsidP="00CA1D84">
      <w:pPr>
        <w:tabs>
          <w:tab w:val="left" w:pos="851"/>
        </w:tabs>
        <w:jc w:val="center"/>
        <w:rPr>
          <w:rFonts w:cs="Arial"/>
          <w:b/>
          <w:szCs w:val="20"/>
          <w:lang w:val="fr-FR"/>
        </w:rPr>
      </w:pPr>
      <w:r w:rsidRPr="00CA1D84">
        <w:rPr>
          <w:rFonts w:cs="Arial"/>
          <w:b/>
          <w:szCs w:val="20"/>
          <w:lang w:val="fr-FR"/>
        </w:rPr>
        <w:lastRenderedPageBreak/>
        <w:t>RÉVISION DES TAUX DES INDEMNITÉS JOURNALIÈRES DE SUBSISTANCE AU 1</w:t>
      </w:r>
      <w:r w:rsidRPr="00CA1D84">
        <w:rPr>
          <w:rFonts w:cs="Arial"/>
          <w:b/>
          <w:szCs w:val="20"/>
          <w:vertAlign w:val="superscript"/>
          <w:lang w:val="fr-FR"/>
        </w:rPr>
        <w:t>er</w:t>
      </w:r>
      <w:r w:rsidRPr="00CA1D84">
        <w:rPr>
          <w:rFonts w:cs="Arial"/>
          <w:b/>
          <w:szCs w:val="20"/>
          <w:lang w:val="fr-FR"/>
        </w:rPr>
        <w:t xml:space="preserve"> JANVIER 2021</w:t>
      </w:r>
    </w:p>
    <w:p w14:paraId="7A2BC3CD" w14:textId="77777777" w:rsidR="00CA1D84" w:rsidRPr="00CA1D84" w:rsidRDefault="00CA1D84" w:rsidP="00CA1D84">
      <w:pPr>
        <w:tabs>
          <w:tab w:val="left" w:pos="851"/>
        </w:tabs>
        <w:jc w:val="center"/>
        <w:rPr>
          <w:rFonts w:cs="Arial"/>
          <w:b/>
          <w:szCs w:val="20"/>
          <w:lang w:val="fr-FR"/>
        </w:rPr>
      </w:pPr>
      <w:r w:rsidRPr="00CA1D84">
        <w:rPr>
          <w:rFonts w:cs="Arial"/>
          <w:b/>
          <w:szCs w:val="20"/>
          <w:lang w:val="fr-FR"/>
        </w:rPr>
        <w:t>POUR LE PERSONNEL DES ORGANISATIONS COORDONNÉES</w:t>
      </w:r>
    </w:p>
    <w:p w14:paraId="7C037B71" w14:textId="77777777" w:rsidR="00CA1D84" w:rsidRPr="00CA1D84" w:rsidRDefault="00CA1D84" w:rsidP="00CA1D84">
      <w:pPr>
        <w:pStyle w:val="Para"/>
        <w:spacing w:before="0" w:after="0"/>
        <w:ind w:right="227"/>
        <w:jc w:val="center"/>
        <w:rPr>
          <w:rFonts w:ascii="Arial" w:hAnsi="Arial" w:cs="Arial"/>
          <w:b/>
          <w:sz w:val="20"/>
          <w:lang w:val="fr-FR"/>
        </w:rPr>
      </w:pPr>
    </w:p>
    <w:p w14:paraId="2CA39484" w14:textId="77777777" w:rsidR="00CA1D84" w:rsidRPr="00CA1D84" w:rsidRDefault="00CA1D84" w:rsidP="00CA1D84">
      <w:pPr>
        <w:pStyle w:val="Para"/>
        <w:spacing w:before="0" w:after="0"/>
        <w:jc w:val="center"/>
        <w:rPr>
          <w:rStyle w:val="CoverSubTitleChar"/>
          <w:rFonts w:ascii="Arial" w:hAnsi="Arial" w:cs="Arial"/>
          <w:sz w:val="20"/>
          <w:lang w:val="fr-FR"/>
        </w:rPr>
      </w:pPr>
      <w:r w:rsidRPr="00CA1D84">
        <w:rPr>
          <w:rFonts w:ascii="Arial" w:hAnsi="Arial" w:cs="Arial"/>
          <w:b/>
          <w:sz w:val="20"/>
          <w:lang w:val="fr-FR"/>
        </w:rPr>
        <w:t>Rapport du CCR (</w:t>
      </w:r>
      <w:r w:rsidRPr="00CA1D84">
        <w:rPr>
          <w:rStyle w:val="CoverSubTitleChar"/>
          <w:rFonts w:ascii="Arial" w:hAnsi="Arial" w:cs="Arial"/>
          <w:sz w:val="20"/>
          <w:lang w:val="fr-FR"/>
        </w:rPr>
        <w:t>274</w:t>
      </w:r>
      <w:r w:rsidRPr="00CA1D84">
        <w:rPr>
          <w:rStyle w:val="CoverSubTitleChar"/>
          <w:rFonts w:ascii="Arial" w:hAnsi="Arial" w:cs="Arial"/>
          <w:sz w:val="20"/>
          <w:vertAlign w:val="superscript"/>
          <w:lang w:val="fr-FR"/>
        </w:rPr>
        <w:t>e</w:t>
      </w:r>
      <w:r w:rsidRPr="00CA1D84">
        <w:rPr>
          <w:rStyle w:val="CoverSubTitleChar"/>
          <w:rFonts w:ascii="Arial" w:hAnsi="Arial" w:cs="Arial"/>
          <w:sz w:val="20"/>
          <w:lang w:val="fr-FR"/>
        </w:rPr>
        <w:t xml:space="preserve"> Rapport)</w:t>
      </w:r>
    </w:p>
    <w:p w14:paraId="0D060AA0" w14:textId="77777777" w:rsidR="00CA1D84" w:rsidRDefault="00CA1D84" w:rsidP="00CA1D84">
      <w:pPr>
        <w:rPr>
          <w:rFonts w:cs="Arial"/>
          <w:b/>
          <w:szCs w:val="20"/>
          <w:lang w:val="fr-FR"/>
        </w:rPr>
      </w:pPr>
    </w:p>
    <w:p w14:paraId="0E0B1B35" w14:textId="77777777" w:rsidR="00CA1D84" w:rsidRDefault="00CA1D84" w:rsidP="00CA1D84">
      <w:pPr>
        <w:rPr>
          <w:rFonts w:cs="Arial"/>
          <w:b/>
          <w:szCs w:val="20"/>
          <w:lang w:val="fr-FR"/>
        </w:rPr>
      </w:pPr>
    </w:p>
    <w:p w14:paraId="1A85462D" w14:textId="3BD24E1A" w:rsidR="00CA1D84" w:rsidRPr="00CA1D84" w:rsidRDefault="00CA1D84" w:rsidP="00CA1D84">
      <w:pPr>
        <w:rPr>
          <w:rFonts w:cs="Arial"/>
          <w:b/>
          <w:szCs w:val="20"/>
          <w:lang w:val="fr-FR"/>
        </w:rPr>
      </w:pPr>
      <w:r w:rsidRPr="00CA1D84">
        <w:rPr>
          <w:rFonts w:cs="Arial"/>
          <w:b/>
          <w:szCs w:val="20"/>
          <w:lang w:val="fr-FR"/>
        </w:rPr>
        <w:t xml:space="preserve">1. </w:t>
      </w:r>
      <w:r w:rsidRPr="00CA1D84">
        <w:rPr>
          <w:rFonts w:cs="Arial"/>
          <w:b/>
          <w:szCs w:val="20"/>
          <w:lang w:val="fr-FR"/>
        </w:rPr>
        <w:tab/>
        <w:t>Introduction</w:t>
      </w:r>
    </w:p>
    <w:p w14:paraId="6170D58D" w14:textId="77777777" w:rsidR="00CA1D84" w:rsidRDefault="00CA1D84" w:rsidP="00CA1D84">
      <w:pPr>
        <w:tabs>
          <w:tab w:val="left" w:pos="567"/>
        </w:tabs>
        <w:rPr>
          <w:rFonts w:cs="Arial"/>
          <w:szCs w:val="20"/>
          <w:lang w:val="fr-FR"/>
        </w:rPr>
      </w:pPr>
    </w:p>
    <w:p w14:paraId="05E1E4FF" w14:textId="4B3BA14D" w:rsidR="00CA1D84" w:rsidRPr="00CA1D84" w:rsidRDefault="00CA1D84" w:rsidP="00CA1D84">
      <w:pPr>
        <w:rPr>
          <w:rFonts w:cs="Arial"/>
          <w:szCs w:val="20"/>
          <w:lang w:val="fr-FR"/>
        </w:rPr>
      </w:pPr>
      <w:r w:rsidRPr="00CA1D84">
        <w:rPr>
          <w:rFonts w:cs="Arial"/>
          <w:szCs w:val="20"/>
          <w:lang w:val="fr-FR"/>
        </w:rPr>
        <w:t>1.1</w:t>
      </w:r>
      <w:r w:rsidRPr="00CA1D84">
        <w:rPr>
          <w:rFonts w:cs="Arial"/>
          <w:szCs w:val="20"/>
          <w:lang w:val="fr-FR"/>
        </w:rPr>
        <w:tab/>
        <w:t>Les dispositions relatives au calcul des taux des indemnités journalières de subsistance (IJS) pour le personnel des Organisations coordonnées se rendant en mission figurent dans le 268</w:t>
      </w:r>
      <w:r w:rsidRPr="00CA1D84">
        <w:rPr>
          <w:rFonts w:cs="Arial"/>
          <w:szCs w:val="20"/>
          <w:vertAlign w:val="superscript"/>
          <w:lang w:val="fr-FR"/>
        </w:rPr>
        <w:t>e</w:t>
      </w:r>
      <w:r w:rsidRPr="00CA1D84">
        <w:rPr>
          <w:rFonts w:cs="Arial"/>
          <w:szCs w:val="20"/>
          <w:lang w:val="fr-FR"/>
        </w:rPr>
        <w:t> Rapport du CCR [CCR/</w:t>
      </w:r>
      <w:proofErr w:type="gramStart"/>
      <w:r w:rsidRPr="00CA1D84">
        <w:rPr>
          <w:rFonts w:cs="Arial"/>
          <w:szCs w:val="20"/>
          <w:lang w:val="fr-FR"/>
        </w:rPr>
        <w:t>R(</w:t>
      </w:r>
      <w:proofErr w:type="gramEnd"/>
      <w:r w:rsidRPr="00CA1D84">
        <w:rPr>
          <w:rFonts w:cs="Arial"/>
          <w:szCs w:val="20"/>
          <w:lang w:val="fr-FR"/>
        </w:rPr>
        <w:t>2020)2]</w:t>
      </w:r>
      <w:r w:rsidR="000D0A77">
        <w:rPr>
          <w:rStyle w:val="FootnoteReference"/>
          <w:rFonts w:cs="Arial"/>
          <w:szCs w:val="20"/>
        </w:rPr>
        <w:footnoteReference w:id="4"/>
      </w:r>
      <w:r w:rsidRPr="00CA1D84">
        <w:rPr>
          <w:rFonts w:cs="Arial"/>
          <w:szCs w:val="20"/>
          <w:lang w:val="fr-FR"/>
        </w:rPr>
        <w:t xml:space="preserve">. L’Appendice 2 dudit rapport décrit en détail les données et variables utilisées par le Service International des Rémunérations et des Pension (SIRP) pour le calcul des IJS. </w:t>
      </w:r>
    </w:p>
    <w:p w14:paraId="158AB5F0" w14:textId="77777777" w:rsidR="00CA1D84" w:rsidRDefault="00CA1D84" w:rsidP="00CA1D84">
      <w:pPr>
        <w:rPr>
          <w:rFonts w:cs="Arial"/>
          <w:szCs w:val="20"/>
          <w:lang w:val="fr-FR"/>
        </w:rPr>
      </w:pPr>
    </w:p>
    <w:p w14:paraId="461ACA67" w14:textId="52976857" w:rsidR="00CA1D84" w:rsidRPr="00CA1D84" w:rsidRDefault="00CA1D84" w:rsidP="00CA1D84">
      <w:pPr>
        <w:rPr>
          <w:rFonts w:cs="Arial"/>
          <w:szCs w:val="20"/>
          <w:lang w:val="fr-FR"/>
        </w:rPr>
      </w:pPr>
      <w:r w:rsidRPr="00CA1D84">
        <w:rPr>
          <w:rFonts w:cs="Arial"/>
          <w:szCs w:val="20"/>
          <w:lang w:val="fr-FR"/>
        </w:rPr>
        <w:t>1.2.</w:t>
      </w:r>
      <w:r w:rsidRPr="00CA1D84">
        <w:rPr>
          <w:rFonts w:cs="Arial"/>
          <w:szCs w:val="20"/>
          <w:lang w:val="fr-FR"/>
        </w:rPr>
        <w:tab/>
        <w:t>En conséquence, les taux au 1</w:t>
      </w:r>
      <w:r w:rsidRPr="00CA1D84">
        <w:rPr>
          <w:rFonts w:cs="Arial"/>
          <w:szCs w:val="20"/>
          <w:vertAlign w:val="superscript"/>
          <w:lang w:val="fr-FR"/>
        </w:rPr>
        <w:t>er</w:t>
      </w:r>
      <w:r w:rsidRPr="00CA1D84">
        <w:rPr>
          <w:rFonts w:cs="Arial"/>
          <w:szCs w:val="20"/>
          <w:lang w:val="fr-FR"/>
        </w:rPr>
        <w:t> janvier 2021, proposés aux annexes</w:t>
      </w:r>
      <w:r w:rsidRPr="00CA1D84">
        <w:rPr>
          <w:rStyle w:val="FootnoteReference"/>
          <w:rFonts w:cs="Arial"/>
          <w:szCs w:val="20"/>
          <w:lang w:val="fr-FR"/>
        </w:rPr>
        <w:footnoteReference w:id="5"/>
      </w:r>
      <w:r w:rsidRPr="00CA1D84">
        <w:rPr>
          <w:rFonts w:cs="Arial"/>
          <w:szCs w:val="20"/>
          <w:lang w:val="fr-FR"/>
        </w:rPr>
        <w:t xml:space="preserve"> 1 et 2 du présent rapport, ont été déterminés conformément aux dispositions du 268</w:t>
      </w:r>
      <w:r w:rsidRPr="00CA1D84">
        <w:rPr>
          <w:rFonts w:cs="Arial"/>
          <w:szCs w:val="20"/>
          <w:vertAlign w:val="superscript"/>
          <w:lang w:val="fr-FR"/>
        </w:rPr>
        <w:t>e</w:t>
      </w:r>
      <w:r w:rsidRPr="00CA1D84">
        <w:rPr>
          <w:rFonts w:cs="Arial"/>
          <w:szCs w:val="20"/>
          <w:lang w:val="fr-FR"/>
        </w:rPr>
        <w:t> Rapport du CRR comme la moyenne des taux applicables dans les fonctions publiques nationales des huit pays de référence.</w:t>
      </w:r>
    </w:p>
    <w:p w14:paraId="12D83C14" w14:textId="77777777" w:rsidR="00CA1D84" w:rsidRDefault="00CA1D84" w:rsidP="00CA1D84">
      <w:pPr>
        <w:rPr>
          <w:rFonts w:cs="Arial"/>
          <w:b/>
          <w:szCs w:val="20"/>
          <w:lang w:val="fr-FR"/>
        </w:rPr>
      </w:pPr>
    </w:p>
    <w:p w14:paraId="0CD39B00" w14:textId="057273FC" w:rsidR="00CA1D84" w:rsidRPr="00CA1D84" w:rsidRDefault="00CA1D84" w:rsidP="00CA1D84">
      <w:pPr>
        <w:rPr>
          <w:rFonts w:cs="Arial"/>
          <w:b/>
          <w:szCs w:val="20"/>
          <w:lang w:val="fr-FR"/>
        </w:rPr>
      </w:pPr>
      <w:r w:rsidRPr="00CA1D84">
        <w:rPr>
          <w:rFonts w:cs="Arial"/>
          <w:b/>
          <w:szCs w:val="20"/>
          <w:lang w:val="fr-FR"/>
        </w:rPr>
        <w:t>2.</w:t>
      </w:r>
      <w:r w:rsidRPr="00CA1D84">
        <w:rPr>
          <w:rFonts w:cs="Arial"/>
          <w:b/>
          <w:szCs w:val="20"/>
          <w:lang w:val="fr-FR"/>
        </w:rPr>
        <w:tab/>
        <w:t>Conclusions</w:t>
      </w:r>
    </w:p>
    <w:p w14:paraId="78BAEC6D" w14:textId="77777777" w:rsidR="00CA1D84" w:rsidRDefault="00CA1D84" w:rsidP="00CA1D84">
      <w:pPr>
        <w:rPr>
          <w:rFonts w:cs="Arial"/>
          <w:b/>
          <w:szCs w:val="20"/>
          <w:lang w:val="fr-FR"/>
        </w:rPr>
      </w:pPr>
    </w:p>
    <w:p w14:paraId="2CEE10B7" w14:textId="0C858138" w:rsidR="00CA1D84" w:rsidRPr="00CA1D84" w:rsidRDefault="00CA1D84" w:rsidP="00CA1D84">
      <w:pPr>
        <w:rPr>
          <w:rFonts w:cs="Arial"/>
          <w:b/>
          <w:szCs w:val="20"/>
          <w:lang w:val="fr-FR"/>
        </w:rPr>
      </w:pPr>
      <w:r w:rsidRPr="00CA1D84">
        <w:rPr>
          <w:rFonts w:cs="Arial"/>
          <w:b/>
          <w:szCs w:val="20"/>
          <w:lang w:val="fr-FR"/>
        </w:rPr>
        <w:t>2.2</w:t>
      </w:r>
      <w:r w:rsidRPr="00CA1D84">
        <w:rPr>
          <w:rFonts w:cs="Arial"/>
          <w:b/>
          <w:szCs w:val="20"/>
          <w:lang w:val="fr-FR"/>
        </w:rPr>
        <w:tab/>
        <w:t>Position du CRSG</w:t>
      </w:r>
    </w:p>
    <w:p w14:paraId="2B3D7C27" w14:textId="77777777" w:rsidR="00CA1D84" w:rsidRDefault="00CA1D84" w:rsidP="00CA1D84">
      <w:pPr>
        <w:pStyle w:val="Default"/>
        <w:rPr>
          <w:rFonts w:ascii="Arial" w:hAnsi="Arial" w:cs="Arial"/>
          <w:color w:val="0D0D0D"/>
          <w:sz w:val="20"/>
          <w:szCs w:val="20"/>
          <w:lang w:val="fr-FR"/>
        </w:rPr>
      </w:pPr>
    </w:p>
    <w:p w14:paraId="4403FB6C" w14:textId="360CFC72" w:rsidR="00CA1D84" w:rsidRPr="00CA1D84" w:rsidRDefault="00CA1D84" w:rsidP="00CA1D84">
      <w:pPr>
        <w:pStyle w:val="Default"/>
        <w:rPr>
          <w:rFonts w:ascii="Arial" w:hAnsi="Arial" w:cs="Arial"/>
          <w:color w:val="0D0D0D"/>
          <w:sz w:val="20"/>
          <w:szCs w:val="20"/>
          <w:lang w:val="fr-FR"/>
        </w:rPr>
      </w:pPr>
      <w:r w:rsidRPr="00CA1D84">
        <w:rPr>
          <w:rFonts w:ascii="Arial" w:hAnsi="Arial" w:cs="Arial"/>
          <w:color w:val="0D0D0D"/>
          <w:sz w:val="20"/>
          <w:szCs w:val="20"/>
          <w:lang w:val="fr-FR"/>
        </w:rPr>
        <w:t>Le CRSG prend acte de la recommandation du CCR, qui reflète la stricte application de la méthode de révision des taux de l’indemnité journalière de subsistance actuellement en vigueur.</w:t>
      </w:r>
    </w:p>
    <w:p w14:paraId="12E5469A" w14:textId="77777777" w:rsidR="00CA1D84" w:rsidRDefault="00CA1D84" w:rsidP="00CA1D84">
      <w:pPr>
        <w:rPr>
          <w:rFonts w:cs="Arial"/>
          <w:b/>
          <w:szCs w:val="20"/>
          <w:lang w:val="fr-FR"/>
        </w:rPr>
      </w:pPr>
    </w:p>
    <w:p w14:paraId="67D127E3" w14:textId="70D0BCBB" w:rsidR="00CA1D84" w:rsidRPr="00CA1D84" w:rsidRDefault="00CA1D84" w:rsidP="00CA1D84">
      <w:pPr>
        <w:rPr>
          <w:rFonts w:cs="Arial"/>
          <w:b/>
          <w:szCs w:val="20"/>
          <w:lang w:val="fr-FR"/>
        </w:rPr>
      </w:pPr>
      <w:r w:rsidRPr="00CA1D84">
        <w:rPr>
          <w:rFonts w:cs="Arial"/>
          <w:b/>
          <w:szCs w:val="20"/>
          <w:lang w:val="fr-FR"/>
        </w:rPr>
        <w:t>2.3</w:t>
      </w:r>
      <w:r w:rsidRPr="00CA1D84">
        <w:rPr>
          <w:rFonts w:cs="Arial"/>
          <w:b/>
          <w:szCs w:val="20"/>
          <w:lang w:val="fr-FR"/>
        </w:rPr>
        <w:tab/>
        <w:t>Position du CRP</w:t>
      </w:r>
    </w:p>
    <w:p w14:paraId="1A4A0E11" w14:textId="77777777" w:rsidR="00CA1D84" w:rsidRDefault="00CA1D84" w:rsidP="00CA1D84">
      <w:pPr>
        <w:pStyle w:val="Default"/>
        <w:rPr>
          <w:rFonts w:ascii="Arial" w:hAnsi="Arial" w:cs="Arial"/>
          <w:sz w:val="20"/>
          <w:szCs w:val="20"/>
          <w:lang w:val="fr-FR"/>
        </w:rPr>
      </w:pPr>
    </w:p>
    <w:p w14:paraId="5DF41E82" w14:textId="00D22E62" w:rsidR="00CA1D84" w:rsidRPr="00CA1D84" w:rsidRDefault="00CA1D84" w:rsidP="00CA1D84">
      <w:pPr>
        <w:pStyle w:val="Default"/>
        <w:rPr>
          <w:rFonts w:ascii="Arial" w:hAnsi="Arial" w:cs="Arial"/>
          <w:sz w:val="20"/>
          <w:szCs w:val="20"/>
          <w:lang w:val="fr-FR"/>
        </w:rPr>
      </w:pPr>
      <w:r w:rsidRPr="00CA1D84">
        <w:rPr>
          <w:rFonts w:ascii="Arial" w:hAnsi="Arial" w:cs="Arial"/>
          <w:sz w:val="20"/>
          <w:szCs w:val="20"/>
          <w:lang w:val="fr-FR"/>
        </w:rPr>
        <w:t>Le CRP prend note du résultat de la révision des taux des indemnités journalières de subsistance applicables au 1</w:t>
      </w:r>
      <w:r w:rsidRPr="00CA1D84">
        <w:rPr>
          <w:rFonts w:ascii="Arial" w:hAnsi="Arial" w:cs="Arial"/>
          <w:sz w:val="20"/>
          <w:szCs w:val="20"/>
          <w:vertAlign w:val="superscript"/>
          <w:lang w:val="fr-FR"/>
        </w:rPr>
        <w:t>er</w:t>
      </w:r>
      <w:r w:rsidRPr="00CA1D84">
        <w:rPr>
          <w:rFonts w:ascii="Arial" w:hAnsi="Arial" w:cs="Arial"/>
          <w:sz w:val="20"/>
          <w:szCs w:val="20"/>
          <w:lang w:val="fr-FR"/>
        </w:rPr>
        <w:t xml:space="preserve"> janvier 2021.</w:t>
      </w:r>
    </w:p>
    <w:p w14:paraId="76033F26" w14:textId="77777777" w:rsidR="00CA1D84" w:rsidRDefault="00CA1D84" w:rsidP="00CA1D84">
      <w:pPr>
        <w:pStyle w:val="Default"/>
        <w:rPr>
          <w:rFonts w:ascii="Arial" w:hAnsi="Arial" w:cs="Arial"/>
          <w:b/>
          <w:bCs/>
          <w:sz w:val="20"/>
          <w:szCs w:val="20"/>
          <w:lang w:val="fr-FR"/>
        </w:rPr>
      </w:pPr>
    </w:p>
    <w:p w14:paraId="79434268" w14:textId="260A58F4" w:rsidR="00CA1D84" w:rsidRPr="00CA1D84" w:rsidRDefault="00CA1D84" w:rsidP="00CA1D84">
      <w:pPr>
        <w:pStyle w:val="Default"/>
        <w:rPr>
          <w:rFonts w:ascii="Arial" w:hAnsi="Arial" w:cs="Arial"/>
          <w:sz w:val="20"/>
          <w:szCs w:val="20"/>
          <w:lang w:val="fr-FR"/>
        </w:rPr>
      </w:pPr>
      <w:r w:rsidRPr="00CA1D84">
        <w:rPr>
          <w:rFonts w:ascii="Arial" w:hAnsi="Arial" w:cs="Arial"/>
          <w:b/>
          <w:bCs/>
          <w:sz w:val="20"/>
          <w:szCs w:val="20"/>
          <w:lang w:val="fr-FR"/>
        </w:rPr>
        <w:t>3.</w:t>
      </w:r>
      <w:r w:rsidRPr="00CA1D84">
        <w:rPr>
          <w:rFonts w:ascii="Arial" w:hAnsi="Arial" w:cs="Arial"/>
          <w:b/>
          <w:bCs/>
          <w:sz w:val="20"/>
          <w:szCs w:val="20"/>
          <w:lang w:val="fr-FR"/>
        </w:rPr>
        <w:tab/>
        <w:t xml:space="preserve">Recommandation </w:t>
      </w:r>
    </w:p>
    <w:p w14:paraId="4446A71D" w14:textId="77777777" w:rsidR="00CA1D84" w:rsidRDefault="00CA1D84" w:rsidP="00CA1D84">
      <w:pPr>
        <w:pStyle w:val="Default"/>
        <w:rPr>
          <w:rFonts w:ascii="Arial" w:hAnsi="Arial" w:cs="Arial"/>
          <w:sz w:val="20"/>
          <w:szCs w:val="20"/>
          <w:lang w:val="fr-FR"/>
        </w:rPr>
      </w:pPr>
    </w:p>
    <w:p w14:paraId="2457802D" w14:textId="759A8754" w:rsidR="00CA1D84" w:rsidRPr="00CA1D84" w:rsidRDefault="00CA1D84" w:rsidP="00CA1D84">
      <w:pPr>
        <w:pStyle w:val="Default"/>
        <w:rPr>
          <w:rFonts w:ascii="Arial" w:hAnsi="Arial" w:cs="Arial"/>
          <w:sz w:val="20"/>
          <w:szCs w:val="20"/>
          <w:lang w:val="fr-FR"/>
        </w:rPr>
      </w:pPr>
      <w:r w:rsidRPr="00CA1D84">
        <w:rPr>
          <w:rFonts w:ascii="Arial" w:hAnsi="Arial" w:cs="Arial"/>
          <w:sz w:val="20"/>
          <w:szCs w:val="20"/>
          <w:lang w:val="fr-FR"/>
        </w:rPr>
        <w:t>Le CCR invite les Organes directeurs des Organisations coordonnées à approuver, avec effet au 1</w:t>
      </w:r>
      <w:r w:rsidRPr="00CA1D84">
        <w:rPr>
          <w:rFonts w:ascii="Arial" w:hAnsi="Arial" w:cs="Arial"/>
          <w:sz w:val="20"/>
          <w:szCs w:val="20"/>
          <w:vertAlign w:val="superscript"/>
          <w:lang w:val="fr-FR"/>
        </w:rPr>
        <w:t>er</w:t>
      </w:r>
      <w:r w:rsidRPr="00CA1D84">
        <w:rPr>
          <w:rFonts w:ascii="Arial" w:hAnsi="Arial" w:cs="Arial"/>
          <w:sz w:val="20"/>
          <w:szCs w:val="20"/>
          <w:lang w:val="fr-FR"/>
        </w:rPr>
        <w:t> janvier 2021, les taux des indemnités journalières de subsistance présentés dans les tableaux figurant en annexe.</w:t>
      </w:r>
    </w:p>
    <w:p w14:paraId="4BDD0382" w14:textId="77777777" w:rsidR="00CA1D84" w:rsidRPr="00CA1D84" w:rsidRDefault="00CA1D84" w:rsidP="00CA1D84">
      <w:pPr>
        <w:keepNext/>
        <w:tabs>
          <w:tab w:val="right" w:pos="8505"/>
        </w:tabs>
        <w:rPr>
          <w:rFonts w:cs="Arial"/>
          <w:szCs w:val="20"/>
          <w:lang w:val="fr-FR"/>
        </w:rPr>
      </w:pPr>
    </w:p>
    <w:p w14:paraId="78DC5ECD" w14:textId="77777777" w:rsidR="00CA1D84" w:rsidRPr="00CA1D84" w:rsidRDefault="00CA1D84" w:rsidP="00CA1D84">
      <w:pPr>
        <w:keepNext/>
        <w:tabs>
          <w:tab w:val="right" w:pos="8505"/>
        </w:tabs>
        <w:rPr>
          <w:rFonts w:cs="Arial"/>
          <w:szCs w:val="20"/>
          <w:lang w:val="fr-FR"/>
        </w:rPr>
      </w:pPr>
    </w:p>
    <w:p w14:paraId="392DD0BD" w14:textId="77777777" w:rsidR="00CA1D84" w:rsidRPr="00CA1D84" w:rsidRDefault="00CA1D84" w:rsidP="00CA1D84">
      <w:pPr>
        <w:keepNext/>
        <w:tabs>
          <w:tab w:val="right" w:pos="8505"/>
        </w:tabs>
        <w:rPr>
          <w:rFonts w:cs="Arial"/>
          <w:szCs w:val="20"/>
          <w:lang w:val="fr-FR"/>
        </w:rPr>
      </w:pPr>
    </w:p>
    <w:p w14:paraId="2DADBCA7" w14:textId="77777777" w:rsidR="00CA1D84" w:rsidRPr="00CA1D84" w:rsidRDefault="00CA1D84" w:rsidP="00CA1D84">
      <w:pPr>
        <w:keepNext/>
        <w:tabs>
          <w:tab w:val="right" w:pos="8505"/>
        </w:tabs>
        <w:jc w:val="right"/>
        <w:rPr>
          <w:rFonts w:cs="Arial"/>
          <w:szCs w:val="20"/>
        </w:rPr>
      </w:pPr>
      <w:r w:rsidRPr="00CA1D84">
        <w:rPr>
          <w:rFonts w:cs="Arial"/>
          <w:szCs w:val="20"/>
        </w:rPr>
        <w:t>David Sydney Maddicott</w:t>
      </w:r>
    </w:p>
    <w:p w14:paraId="7D2B0BE9" w14:textId="77777777" w:rsidR="00CA1D84" w:rsidRPr="00CA1D84" w:rsidRDefault="00CA1D84" w:rsidP="00CA1D84">
      <w:pPr>
        <w:keepNext/>
        <w:tabs>
          <w:tab w:val="right" w:pos="8505"/>
        </w:tabs>
        <w:jc w:val="right"/>
        <w:rPr>
          <w:rFonts w:cs="Arial"/>
          <w:szCs w:val="20"/>
        </w:rPr>
      </w:pPr>
    </w:p>
    <w:p w14:paraId="7774E127" w14:textId="77777777" w:rsidR="00CA1D84" w:rsidRPr="00CA1D84" w:rsidRDefault="00CA1D84" w:rsidP="00CA1D84">
      <w:pPr>
        <w:keepNext/>
        <w:tabs>
          <w:tab w:val="right" w:pos="8505"/>
        </w:tabs>
        <w:jc w:val="right"/>
        <w:rPr>
          <w:rFonts w:cs="Arial"/>
          <w:szCs w:val="20"/>
          <w:lang w:val="fr-FR"/>
        </w:rPr>
      </w:pPr>
      <w:r w:rsidRPr="00CA1D84">
        <w:rPr>
          <w:rFonts w:cs="Arial"/>
          <w:noProof/>
          <w:szCs w:val="20"/>
          <w:lang w:eastAsia="en-GB"/>
        </w:rPr>
        <w:drawing>
          <wp:inline distT="0" distB="0" distL="0" distR="0" wp14:anchorId="021A23C1" wp14:editId="3FDA58C3">
            <wp:extent cx="1821180" cy="396240"/>
            <wp:effectExtent l="0" t="0" r="0" b="0"/>
            <wp:docPr id="3" name="Picture 3" descr="8DAE2359"/>
            <wp:cNvGraphicFramePr/>
            <a:graphic xmlns:a="http://schemas.openxmlformats.org/drawingml/2006/main">
              <a:graphicData uri="http://schemas.openxmlformats.org/drawingml/2006/picture">
                <pic:pic xmlns:pic="http://schemas.openxmlformats.org/drawingml/2006/picture">
                  <pic:nvPicPr>
                    <pic:cNvPr id="2" name="Picture 2" descr="8DAE2359"/>
                    <pic:cNvPicPr/>
                  </pic:nvPicPr>
                  <pic:blipFill rotWithShape="1">
                    <a:blip r:embed="rId8" cstate="print">
                      <a:extLst>
                        <a:ext uri="{28A0092B-C50C-407E-A947-70E740481C1C}">
                          <a14:useLocalDpi xmlns:a14="http://schemas.microsoft.com/office/drawing/2010/main" val="0"/>
                        </a:ext>
                      </a:extLst>
                    </a:blip>
                    <a:srcRect l="25000" t="26423" r="31250" b="65712"/>
                    <a:stretch/>
                  </pic:blipFill>
                  <pic:spPr bwMode="auto">
                    <a:xfrm>
                      <a:off x="0" y="0"/>
                      <a:ext cx="1817201" cy="395374"/>
                    </a:xfrm>
                    <a:prstGeom prst="rect">
                      <a:avLst/>
                    </a:prstGeom>
                    <a:noFill/>
                    <a:ln>
                      <a:noFill/>
                    </a:ln>
                    <a:extLst>
                      <a:ext uri="{53640926-AAD7-44D8-BBD7-CCE9431645EC}">
                        <a14:shadowObscured xmlns:a14="http://schemas.microsoft.com/office/drawing/2010/main"/>
                      </a:ext>
                    </a:extLst>
                  </pic:spPr>
                </pic:pic>
              </a:graphicData>
            </a:graphic>
          </wp:inline>
        </w:drawing>
      </w:r>
    </w:p>
    <w:p w14:paraId="59EE8A94" w14:textId="77777777" w:rsidR="00CA1D84" w:rsidRPr="00CA1D84" w:rsidRDefault="00CA1D84" w:rsidP="00CA1D84">
      <w:pPr>
        <w:keepNext/>
        <w:tabs>
          <w:tab w:val="right" w:pos="8505"/>
        </w:tabs>
        <w:jc w:val="right"/>
        <w:rPr>
          <w:rFonts w:cs="Arial"/>
          <w:szCs w:val="20"/>
          <w:lang w:val="fr-FR"/>
        </w:rPr>
      </w:pPr>
      <w:r w:rsidRPr="00CA1D84">
        <w:rPr>
          <w:rFonts w:cs="Arial"/>
          <w:szCs w:val="20"/>
          <w:lang w:val="fr-FR"/>
        </w:rPr>
        <w:t>Président</w:t>
      </w:r>
    </w:p>
    <w:p w14:paraId="2F4741E2" w14:textId="77777777" w:rsidR="00CA1D84" w:rsidRPr="00CA1D84" w:rsidRDefault="00CA1D84" w:rsidP="00CA1D84">
      <w:pPr>
        <w:keepNext/>
        <w:jc w:val="right"/>
        <w:rPr>
          <w:rFonts w:cs="Arial"/>
          <w:szCs w:val="20"/>
          <w:lang w:val="fr-FR"/>
        </w:rPr>
      </w:pPr>
      <w:r w:rsidRPr="00CA1D84">
        <w:rPr>
          <w:rFonts w:cs="Arial"/>
          <w:szCs w:val="20"/>
          <w:lang w:val="fr-FR"/>
        </w:rPr>
        <w:t>(Paris, le 30 septembre 2020)</w:t>
      </w:r>
    </w:p>
    <w:p w14:paraId="5BB74714" w14:textId="77777777" w:rsidR="00CA1D84" w:rsidRPr="00CA1D84" w:rsidRDefault="00CA1D84" w:rsidP="00CA1D84">
      <w:pPr>
        <w:keepNext/>
        <w:rPr>
          <w:rFonts w:cs="Arial"/>
          <w:szCs w:val="20"/>
          <w:lang w:val="fr-FR"/>
        </w:rPr>
      </w:pPr>
    </w:p>
    <w:p w14:paraId="212EAB26" w14:textId="77777777" w:rsidR="00CA1D84" w:rsidRPr="00CA1D84" w:rsidRDefault="00CA1D84" w:rsidP="00CA1D84">
      <w:pPr>
        <w:jc w:val="center"/>
        <w:rPr>
          <w:rFonts w:cs="Arial"/>
          <w:b/>
          <w:szCs w:val="20"/>
          <w:u w:val="single"/>
          <w:lang w:val="fr-FR"/>
        </w:rPr>
      </w:pPr>
      <w:r w:rsidRPr="00CA1D84">
        <w:rPr>
          <w:rFonts w:cs="Arial"/>
          <w:szCs w:val="20"/>
          <w:lang w:val="fr-FR"/>
        </w:rPr>
        <w:br w:type="page"/>
      </w:r>
      <w:r w:rsidRPr="00CA1D84">
        <w:rPr>
          <w:rFonts w:cs="Arial"/>
          <w:b/>
          <w:szCs w:val="20"/>
          <w:u w:val="single"/>
          <w:lang w:val="fr-FR"/>
        </w:rPr>
        <w:lastRenderedPageBreak/>
        <w:t>ANNEX/ANNEXE 1</w:t>
      </w:r>
    </w:p>
    <w:p w14:paraId="1668A554" w14:textId="77777777" w:rsidR="00CA1D84" w:rsidRPr="00CA1D84" w:rsidRDefault="00CA1D84" w:rsidP="00CA1D84">
      <w:pPr>
        <w:jc w:val="center"/>
        <w:rPr>
          <w:rFonts w:cs="Arial"/>
          <w:b/>
          <w:szCs w:val="20"/>
          <w:lang w:val="fr-FR"/>
        </w:rPr>
      </w:pPr>
    </w:p>
    <w:p w14:paraId="479B36CC" w14:textId="77777777" w:rsidR="00CA1D84" w:rsidRPr="00CA1D84" w:rsidRDefault="00CA1D84" w:rsidP="00CA1D84">
      <w:pPr>
        <w:jc w:val="center"/>
        <w:rPr>
          <w:rFonts w:cs="Arial"/>
          <w:b/>
          <w:szCs w:val="20"/>
          <w:lang w:val="fr-FR"/>
        </w:rPr>
      </w:pPr>
      <w:r w:rsidRPr="00CA1D84">
        <w:rPr>
          <w:rFonts w:cs="Arial"/>
          <w:b/>
          <w:szCs w:val="20"/>
          <w:lang w:val="fr-FR"/>
        </w:rPr>
        <w:t>DAILY RATES OF SUBSISTENCE ALLOWANCE</w:t>
      </w:r>
    </w:p>
    <w:p w14:paraId="2891FB30" w14:textId="77777777" w:rsidR="00CA1D84" w:rsidRPr="00CA1D84" w:rsidRDefault="00CA1D84" w:rsidP="00CA1D84">
      <w:pPr>
        <w:jc w:val="center"/>
        <w:rPr>
          <w:rFonts w:cs="Arial"/>
          <w:b/>
          <w:szCs w:val="20"/>
          <w:lang w:val="fr-FR"/>
        </w:rPr>
      </w:pPr>
      <w:r w:rsidRPr="00CA1D84">
        <w:rPr>
          <w:rFonts w:cs="Arial"/>
          <w:b/>
          <w:szCs w:val="20"/>
          <w:lang w:val="fr-FR"/>
        </w:rPr>
        <w:t>TAUX DES INDEMNITÉS JOURNALIÈRES DE SUBSISTANCE</w:t>
      </w:r>
    </w:p>
    <w:p w14:paraId="660C6724" w14:textId="77777777" w:rsidR="00CA1D84" w:rsidRDefault="00CA1D84" w:rsidP="00CA1D84">
      <w:pPr>
        <w:jc w:val="center"/>
        <w:rPr>
          <w:rFonts w:cs="Arial"/>
          <w:lang w:val="fr-FR"/>
        </w:rPr>
      </w:pPr>
    </w:p>
    <w:p w14:paraId="035E3A6E" w14:textId="74E73C97" w:rsidR="00CA1D84" w:rsidRPr="00CA1D84" w:rsidRDefault="00CA1D84" w:rsidP="00CA1D84">
      <w:pPr>
        <w:jc w:val="center"/>
        <w:rPr>
          <w:rFonts w:cs="Arial"/>
          <w:lang w:val="fr-FR"/>
        </w:rPr>
      </w:pPr>
      <w:r w:rsidRPr="00CA1D84">
        <w:rPr>
          <w:rFonts w:cs="Arial"/>
          <w:lang w:val="fr-FR"/>
        </w:rPr>
        <w:t>(Member countries of the Co-ordinated Organisations / Pays membres des Organisations coordonnées)</w:t>
      </w:r>
    </w:p>
    <w:p w14:paraId="4926BB33" w14:textId="77777777" w:rsidR="00CA1D84" w:rsidRDefault="00CA1D84" w:rsidP="00CA1D84">
      <w:pPr>
        <w:jc w:val="center"/>
        <w:rPr>
          <w:rFonts w:cs="Arial"/>
          <w:b/>
          <w:lang w:val="fr-FR"/>
        </w:rPr>
      </w:pPr>
    </w:p>
    <w:p w14:paraId="50F44735" w14:textId="6DE8693E" w:rsidR="00CA1D84" w:rsidRDefault="00CA1D84" w:rsidP="00CA1D84">
      <w:pPr>
        <w:jc w:val="center"/>
        <w:rPr>
          <w:rFonts w:cs="Arial"/>
          <w:b/>
          <w:lang w:val="fr-FR"/>
        </w:rPr>
      </w:pPr>
      <w:r w:rsidRPr="00CA1D84">
        <w:rPr>
          <w:rFonts w:cs="Arial"/>
          <w:b/>
          <w:lang w:val="fr-FR"/>
        </w:rPr>
        <w:t>01.01.2021</w:t>
      </w:r>
    </w:p>
    <w:p w14:paraId="081A67F0" w14:textId="77777777" w:rsidR="00CA1D84" w:rsidRPr="00CA1D84" w:rsidRDefault="00CA1D84" w:rsidP="00CA1D84">
      <w:pPr>
        <w:jc w:val="center"/>
        <w:rPr>
          <w:rFonts w:cs="Arial"/>
          <w:b/>
          <w:lang w:val="fr-FR"/>
        </w:rPr>
      </w:pPr>
    </w:p>
    <w:p w14:paraId="465C8D67" w14:textId="77777777" w:rsidR="00CA1D84" w:rsidRDefault="00CA1D84" w:rsidP="00CA1D84">
      <w:pPr>
        <w:jc w:val="center"/>
        <w:rPr>
          <w:rFonts w:ascii="Calibri" w:hAnsi="Calibri" w:cs="Arial"/>
          <w:b/>
          <w:lang w:val="fr-FR"/>
        </w:rPr>
      </w:pPr>
      <w:r w:rsidRPr="006415F9">
        <w:rPr>
          <w:noProof/>
          <w:lang w:eastAsia="en-GB"/>
        </w:rPr>
        <w:drawing>
          <wp:inline distT="0" distB="0" distL="0" distR="0" wp14:anchorId="368C0CC8" wp14:editId="35D31A44">
            <wp:extent cx="5724279" cy="72865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8283" cy="7291663"/>
                    </a:xfrm>
                    <a:prstGeom prst="rect">
                      <a:avLst/>
                    </a:prstGeom>
                    <a:noFill/>
                    <a:ln>
                      <a:noFill/>
                    </a:ln>
                  </pic:spPr>
                </pic:pic>
              </a:graphicData>
            </a:graphic>
          </wp:inline>
        </w:drawing>
      </w:r>
      <w:r>
        <w:rPr>
          <w:rFonts w:ascii="Calibri" w:hAnsi="Calibri" w:cs="Arial"/>
          <w:b/>
          <w:lang w:val="fr-FR"/>
        </w:rPr>
        <w:br w:type="page"/>
      </w:r>
    </w:p>
    <w:p w14:paraId="67A97764" w14:textId="77777777" w:rsidR="00CA1D84" w:rsidRPr="00CA1D84" w:rsidRDefault="00CA1D84" w:rsidP="00CA1D84">
      <w:pPr>
        <w:ind w:left="567"/>
        <w:jc w:val="center"/>
        <w:rPr>
          <w:rFonts w:cs="Arial"/>
          <w:b/>
          <w:szCs w:val="20"/>
        </w:rPr>
      </w:pPr>
      <w:r w:rsidRPr="00CA1D84">
        <w:rPr>
          <w:rFonts w:cs="Arial"/>
          <w:b/>
          <w:szCs w:val="20"/>
          <w:u w:val="single"/>
        </w:rPr>
        <w:lastRenderedPageBreak/>
        <w:t>ANNEX/ANNEXE 1</w:t>
      </w:r>
      <w:r w:rsidRPr="00CA1D84">
        <w:rPr>
          <w:rFonts w:cs="Arial"/>
          <w:b/>
          <w:szCs w:val="20"/>
        </w:rPr>
        <w:t xml:space="preserve"> (cont'd.)</w:t>
      </w:r>
    </w:p>
    <w:p w14:paraId="6B562266" w14:textId="77777777" w:rsidR="00CA1D84" w:rsidRPr="00CA1D84" w:rsidRDefault="00CA1D84" w:rsidP="00CA1D84">
      <w:pPr>
        <w:jc w:val="center"/>
        <w:rPr>
          <w:rFonts w:cs="Arial"/>
          <w:b/>
          <w:szCs w:val="20"/>
        </w:rPr>
      </w:pPr>
    </w:p>
    <w:p w14:paraId="6272928C" w14:textId="77777777" w:rsidR="00CA1D84" w:rsidRPr="00CA1D84" w:rsidRDefault="00CA1D84" w:rsidP="00CA1D84">
      <w:pPr>
        <w:jc w:val="center"/>
        <w:rPr>
          <w:rFonts w:cs="Arial"/>
          <w:b/>
          <w:szCs w:val="20"/>
        </w:rPr>
      </w:pPr>
      <w:r w:rsidRPr="00CA1D84">
        <w:rPr>
          <w:rFonts w:cs="Arial"/>
          <w:b/>
          <w:szCs w:val="20"/>
        </w:rPr>
        <w:t>DAILY RATES OF SUBSISTENCE ALLOWANCE</w:t>
      </w:r>
    </w:p>
    <w:p w14:paraId="606CE97D" w14:textId="4B7EF065" w:rsidR="00CA1D84" w:rsidRDefault="00CA1D84" w:rsidP="00CA1D84">
      <w:pPr>
        <w:jc w:val="center"/>
        <w:rPr>
          <w:rFonts w:cs="Arial"/>
          <w:b/>
          <w:szCs w:val="20"/>
          <w:lang w:val="fr-FR"/>
        </w:rPr>
      </w:pPr>
      <w:r w:rsidRPr="00CA1D84">
        <w:rPr>
          <w:rFonts w:cs="Arial"/>
          <w:b/>
          <w:szCs w:val="20"/>
          <w:lang w:val="fr-FR"/>
        </w:rPr>
        <w:t>TAUX DES INDEMNITÉS JOURNALIÈRES DE SUBSISTANCE</w:t>
      </w:r>
    </w:p>
    <w:p w14:paraId="5FD940C2" w14:textId="77777777" w:rsidR="00CA1D84" w:rsidRPr="00CA1D84" w:rsidRDefault="00CA1D84" w:rsidP="00CA1D84">
      <w:pPr>
        <w:jc w:val="center"/>
        <w:rPr>
          <w:rFonts w:cs="Arial"/>
          <w:b/>
          <w:szCs w:val="20"/>
          <w:lang w:val="fr-FR"/>
        </w:rPr>
      </w:pPr>
    </w:p>
    <w:p w14:paraId="4D463813" w14:textId="2C964C29" w:rsidR="00CA1D84" w:rsidRDefault="00CA1D84" w:rsidP="00CA1D84">
      <w:pPr>
        <w:jc w:val="center"/>
        <w:rPr>
          <w:rFonts w:cs="Arial"/>
          <w:szCs w:val="20"/>
          <w:lang w:val="fr-FR"/>
        </w:rPr>
      </w:pPr>
      <w:r w:rsidRPr="00CA1D84">
        <w:rPr>
          <w:rFonts w:cs="Arial"/>
          <w:szCs w:val="20"/>
          <w:lang w:val="fr-FR"/>
        </w:rPr>
        <w:t>(Member countries of the Co-ordinated Organisations / Pays membres des Organisations coordonnées)</w:t>
      </w:r>
    </w:p>
    <w:p w14:paraId="1CF49A23" w14:textId="77777777" w:rsidR="00CA1D84" w:rsidRPr="00CA1D84" w:rsidRDefault="00CA1D84" w:rsidP="00CA1D84">
      <w:pPr>
        <w:jc w:val="center"/>
        <w:rPr>
          <w:rFonts w:cs="Arial"/>
          <w:szCs w:val="20"/>
          <w:lang w:val="fr-FR"/>
        </w:rPr>
      </w:pPr>
    </w:p>
    <w:p w14:paraId="19E21EAD" w14:textId="6EC9F100" w:rsidR="00CA1D84" w:rsidRDefault="00CA1D84" w:rsidP="00CA1D84">
      <w:pPr>
        <w:jc w:val="center"/>
        <w:rPr>
          <w:rFonts w:cs="Arial"/>
          <w:b/>
          <w:szCs w:val="20"/>
          <w:lang w:val="fr-FR"/>
        </w:rPr>
      </w:pPr>
      <w:r w:rsidRPr="00CA1D84">
        <w:rPr>
          <w:rFonts w:cs="Arial"/>
          <w:b/>
          <w:szCs w:val="20"/>
          <w:lang w:val="fr-FR"/>
        </w:rPr>
        <w:t>01.01.2021</w:t>
      </w:r>
    </w:p>
    <w:p w14:paraId="542F875B" w14:textId="77777777" w:rsidR="00CA1D84" w:rsidRPr="00CA1D84" w:rsidRDefault="00CA1D84" w:rsidP="00CA1D84">
      <w:pPr>
        <w:jc w:val="center"/>
        <w:rPr>
          <w:rFonts w:cs="Arial"/>
          <w:b/>
          <w:szCs w:val="20"/>
          <w:lang w:val="fr-FR"/>
        </w:rPr>
      </w:pPr>
    </w:p>
    <w:p w14:paraId="12BF8A4C" w14:textId="77777777" w:rsidR="00CA1D84" w:rsidRPr="006415F9" w:rsidRDefault="00CA1D84" w:rsidP="00CA1D84">
      <w:pPr>
        <w:tabs>
          <w:tab w:val="left" w:pos="567"/>
        </w:tabs>
        <w:jc w:val="center"/>
        <w:rPr>
          <w:rFonts w:cs="Arial"/>
          <w:lang w:val="fr-FR"/>
        </w:rPr>
      </w:pPr>
      <w:r w:rsidRPr="007618F2">
        <w:rPr>
          <w:rFonts w:cs="Arial"/>
          <w:lang w:val="fr-FR"/>
        </w:rPr>
        <w:t xml:space="preserve"> </w:t>
      </w:r>
      <w:r w:rsidRPr="001C048D">
        <w:rPr>
          <w:noProof/>
          <w:lang w:eastAsia="en-GB"/>
        </w:rPr>
        <w:drawing>
          <wp:inline distT="0" distB="0" distL="0" distR="0" wp14:anchorId="7EA372B9" wp14:editId="5F75231C">
            <wp:extent cx="5573615" cy="708774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3615" cy="7087741"/>
                    </a:xfrm>
                    <a:prstGeom prst="rect">
                      <a:avLst/>
                    </a:prstGeom>
                    <a:noFill/>
                    <a:ln>
                      <a:noFill/>
                    </a:ln>
                  </pic:spPr>
                </pic:pic>
              </a:graphicData>
            </a:graphic>
          </wp:inline>
        </w:drawing>
      </w:r>
    </w:p>
    <w:p w14:paraId="592948F8" w14:textId="77777777" w:rsidR="00CA1D84" w:rsidRPr="00CA1D84" w:rsidRDefault="00CA1D84" w:rsidP="00CA1D84">
      <w:pPr>
        <w:tabs>
          <w:tab w:val="left" w:pos="567"/>
        </w:tabs>
        <w:jc w:val="center"/>
        <w:rPr>
          <w:rFonts w:cs="Arial"/>
          <w:szCs w:val="20"/>
        </w:rPr>
      </w:pPr>
      <w:r w:rsidRPr="006415F9">
        <w:rPr>
          <w:rFonts w:cs="Arial"/>
        </w:rPr>
        <w:br w:type="page"/>
      </w:r>
      <w:r w:rsidRPr="00CA1D84">
        <w:rPr>
          <w:rFonts w:cs="Arial"/>
          <w:b/>
          <w:szCs w:val="20"/>
          <w:u w:val="single"/>
        </w:rPr>
        <w:lastRenderedPageBreak/>
        <w:t>ANNEX/ANNEXE 2</w:t>
      </w:r>
    </w:p>
    <w:p w14:paraId="1FE13740" w14:textId="77777777" w:rsidR="00CA1D84" w:rsidRPr="00CA1D84" w:rsidRDefault="00CA1D84" w:rsidP="00CA1D84">
      <w:pPr>
        <w:jc w:val="center"/>
        <w:rPr>
          <w:rFonts w:cs="Arial"/>
          <w:szCs w:val="20"/>
        </w:rPr>
      </w:pPr>
    </w:p>
    <w:p w14:paraId="1E114DF8" w14:textId="77777777" w:rsidR="00CA1D84" w:rsidRPr="00CA1D84" w:rsidRDefault="00CA1D84" w:rsidP="00CA1D84">
      <w:pPr>
        <w:jc w:val="center"/>
        <w:rPr>
          <w:rFonts w:cs="Arial"/>
          <w:b/>
          <w:szCs w:val="20"/>
        </w:rPr>
      </w:pPr>
      <w:r w:rsidRPr="00CA1D84">
        <w:rPr>
          <w:rFonts w:cs="Arial"/>
          <w:b/>
          <w:szCs w:val="20"/>
        </w:rPr>
        <w:t>DAILY RATES OF SUBSISTENCE ALLOWANCE</w:t>
      </w:r>
    </w:p>
    <w:p w14:paraId="18E8F405" w14:textId="77777777" w:rsidR="00CA1D84" w:rsidRPr="00CA1D84" w:rsidRDefault="00CA1D84" w:rsidP="00CA1D84">
      <w:pPr>
        <w:jc w:val="center"/>
        <w:rPr>
          <w:rFonts w:cs="Arial"/>
          <w:b/>
          <w:szCs w:val="20"/>
          <w:lang w:val="fr-FR"/>
        </w:rPr>
      </w:pPr>
      <w:r w:rsidRPr="00CA1D84">
        <w:rPr>
          <w:rFonts w:cs="Arial"/>
          <w:b/>
          <w:szCs w:val="20"/>
          <w:lang w:val="fr-FR"/>
        </w:rPr>
        <w:t>TAUX DES INDEMNITÉS JOURNALIÈRES DE SUBSISTANCE</w:t>
      </w:r>
    </w:p>
    <w:p w14:paraId="1220F62B" w14:textId="77777777" w:rsidR="00CA1D84" w:rsidRDefault="00CA1D84" w:rsidP="00CA1D84">
      <w:pPr>
        <w:jc w:val="center"/>
        <w:rPr>
          <w:rFonts w:cs="Arial"/>
          <w:szCs w:val="20"/>
          <w:lang w:val="fr-FR"/>
        </w:rPr>
      </w:pPr>
    </w:p>
    <w:p w14:paraId="3BE61DE3" w14:textId="56E5F76B" w:rsidR="00CA1D84" w:rsidRDefault="00CA1D84" w:rsidP="00CA1D84">
      <w:pPr>
        <w:jc w:val="center"/>
        <w:rPr>
          <w:rFonts w:cs="Arial"/>
          <w:szCs w:val="20"/>
          <w:lang w:val="fr-FR"/>
        </w:rPr>
      </w:pPr>
      <w:r w:rsidRPr="00CA1D84">
        <w:rPr>
          <w:rFonts w:cs="Arial"/>
          <w:szCs w:val="20"/>
          <w:lang w:val="fr-FR"/>
        </w:rPr>
        <w:t>(Other mission destinations / Autres destinations de missions)</w:t>
      </w:r>
    </w:p>
    <w:p w14:paraId="4F51A906" w14:textId="77777777" w:rsidR="00CA1D84" w:rsidRPr="00CA1D84" w:rsidRDefault="00CA1D84" w:rsidP="00CA1D84">
      <w:pPr>
        <w:jc w:val="center"/>
        <w:rPr>
          <w:rFonts w:cs="Arial"/>
          <w:szCs w:val="20"/>
          <w:lang w:val="fr-FR"/>
        </w:rPr>
      </w:pPr>
    </w:p>
    <w:p w14:paraId="06155E8B" w14:textId="15909708" w:rsidR="00CA1D84" w:rsidRDefault="00CA1D84" w:rsidP="00CA1D84">
      <w:pPr>
        <w:jc w:val="center"/>
        <w:rPr>
          <w:rFonts w:cs="Arial"/>
          <w:b/>
          <w:szCs w:val="20"/>
        </w:rPr>
      </w:pPr>
      <w:r w:rsidRPr="00CA1D84">
        <w:rPr>
          <w:rFonts w:cs="Arial"/>
          <w:b/>
          <w:szCs w:val="20"/>
        </w:rPr>
        <w:t>01.01.2021</w:t>
      </w:r>
    </w:p>
    <w:p w14:paraId="66FEC55A" w14:textId="77777777" w:rsidR="00CA1D84" w:rsidRPr="00CA1D84" w:rsidRDefault="00CA1D84" w:rsidP="00CA1D84">
      <w:pPr>
        <w:jc w:val="center"/>
        <w:rPr>
          <w:rFonts w:cs="Arial"/>
          <w:b/>
          <w:szCs w:val="20"/>
        </w:rPr>
      </w:pPr>
    </w:p>
    <w:p w14:paraId="7CD89C23" w14:textId="77777777" w:rsidR="00CA1D84" w:rsidRPr="006415F9" w:rsidRDefault="00CA1D84" w:rsidP="00CA1D84">
      <w:pPr>
        <w:spacing w:before="120" w:after="120"/>
        <w:ind w:left="-567"/>
        <w:jc w:val="center"/>
        <w:rPr>
          <w:rFonts w:ascii="Calibri" w:hAnsi="Calibri" w:cs="Arial"/>
          <w:b/>
        </w:rPr>
      </w:pPr>
      <w:r w:rsidRPr="006415F9">
        <w:rPr>
          <w:noProof/>
          <w:lang w:eastAsia="en-GB"/>
        </w:rPr>
        <w:drawing>
          <wp:inline distT="0" distB="0" distL="0" distR="0" wp14:anchorId="2BD0C569" wp14:editId="2E7E6B57">
            <wp:extent cx="7104270" cy="7016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9070" cy="7040928"/>
                    </a:xfrm>
                    <a:prstGeom prst="rect">
                      <a:avLst/>
                    </a:prstGeom>
                    <a:noFill/>
                    <a:ln>
                      <a:noFill/>
                    </a:ln>
                  </pic:spPr>
                </pic:pic>
              </a:graphicData>
            </a:graphic>
          </wp:inline>
        </w:drawing>
      </w:r>
    </w:p>
    <w:p w14:paraId="1CEAD9E9" w14:textId="77777777" w:rsidR="00CA1D84" w:rsidRDefault="00CA1D84" w:rsidP="00CA1D84">
      <w:pPr>
        <w:ind w:left="-851" w:right="-737"/>
        <w:jc w:val="center"/>
      </w:pPr>
    </w:p>
    <w:p w14:paraId="78B68866" w14:textId="77777777" w:rsidR="00CA1D84" w:rsidRPr="00D641DD" w:rsidRDefault="00CA1D84" w:rsidP="00CA1D84">
      <w:pPr>
        <w:jc w:val="center"/>
      </w:pPr>
      <w:r w:rsidRPr="00D641DD">
        <w:br w:type="page"/>
      </w:r>
    </w:p>
    <w:p w14:paraId="0D9B9935" w14:textId="77777777" w:rsidR="00CA1D84" w:rsidRPr="00CA1D84" w:rsidRDefault="00CA1D84" w:rsidP="00CA1D84">
      <w:pPr>
        <w:ind w:left="567"/>
        <w:jc w:val="center"/>
        <w:rPr>
          <w:rFonts w:cs="Arial"/>
          <w:b/>
        </w:rPr>
      </w:pPr>
      <w:r w:rsidRPr="00CA1D84">
        <w:rPr>
          <w:rFonts w:cs="Arial"/>
          <w:b/>
          <w:u w:val="single"/>
        </w:rPr>
        <w:lastRenderedPageBreak/>
        <w:t>ANNEX/ANNEXE 2</w:t>
      </w:r>
      <w:r w:rsidRPr="00CA1D84">
        <w:rPr>
          <w:rFonts w:cs="Arial"/>
          <w:b/>
        </w:rPr>
        <w:t xml:space="preserve"> (cont'd.)</w:t>
      </w:r>
    </w:p>
    <w:p w14:paraId="25514C50" w14:textId="77777777" w:rsidR="00CA1D84" w:rsidRPr="00CA1D84" w:rsidRDefault="00CA1D84" w:rsidP="00CA1D84">
      <w:pPr>
        <w:jc w:val="center"/>
        <w:rPr>
          <w:rFonts w:cs="Arial"/>
          <w:b/>
        </w:rPr>
      </w:pPr>
    </w:p>
    <w:p w14:paraId="3AE96C89" w14:textId="77777777" w:rsidR="00CA1D84" w:rsidRPr="00CA1D84" w:rsidRDefault="00CA1D84" w:rsidP="00CA1D84">
      <w:pPr>
        <w:jc w:val="center"/>
        <w:rPr>
          <w:rFonts w:cs="Arial"/>
          <w:b/>
        </w:rPr>
      </w:pPr>
      <w:r w:rsidRPr="00CA1D84">
        <w:rPr>
          <w:rFonts w:cs="Arial"/>
          <w:b/>
        </w:rPr>
        <w:t>DAILY RATES OF SUBSISTENCE ALLOWANCE</w:t>
      </w:r>
    </w:p>
    <w:p w14:paraId="27F58496" w14:textId="77777777" w:rsidR="00CA1D84" w:rsidRPr="00CA1D84" w:rsidRDefault="00CA1D84" w:rsidP="00CA1D84">
      <w:pPr>
        <w:jc w:val="center"/>
        <w:rPr>
          <w:rFonts w:cs="Arial"/>
          <w:b/>
          <w:lang w:val="fr-FR"/>
        </w:rPr>
      </w:pPr>
      <w:r w:rsidRPr="00CA1D84">
        <w:rPr>
          <w:rFonts w:cs="Arial"/>
          <w:b/>
          <w:lang w:val="fr-FR"/>
        </w:rPr>
        <w:t>TAUX DES INDEMNITÉS JOURNALIÈRES DE SUBSISTANCE</w:t>
      </w:r>
    </w:p>
    <w:p w14:paraId="192B005C" w14:textId="77777777" w:rsidR="00CA1D84" w:rsidRDefault="00CA1D84" w:rsidP="00CA1D84">
      <w:pPr>
        <w:jc w:val="center"/>
        <w:rPr>
          <w:rFonts w:cs="Arial"/>
          <w:lang w:val="fr-FR"/>
        </w:rPr>
      </w:pPr>
    </w:p>
    <w:p w14:paraId="10EC268B" w14:textId="21B98657" w:rsidR="00CA1D84" w:rsidRDefault="00CA1D84" w:rsidP="00CA1D84">
      <w:pPr>
        <w:jc w:val="center"/>
        <w:rPr>
          <w:rFonts w:cs="Arial"/>
          <w:lang w:val="fr-FR"/>
        </w:rPr>
      </w:pPr>
      <w:r w:rsidRPr="00CA1D84">
        <w:rPr>
          <w:rFonts w:cs="Arial"/>
          <w:lang w:val="fr-FR"/>
        </w:rPr>
        <w:t>(Other mission destinations / Autres destinations de missions)</w:t>
      </w:r>
    </w:p>
    <w:p w14:paraId="656384EE" w14:textId="77777777" w:rsidR="00CA1D84" w:rsidRPr="00CA1D84" w:rsidRDefault="00CA1D84" w:rsidP="00CA1D84">
      <w:pPr>
        <w:jc w:val="center"/>
        <w:rPr>
          <w:rFonts w:cs="Arial"/>
          <w:lang w:val="fr-FR"/>
        </w:rPr>
      </w:pPr>
    </w:p>
    <w:p w14:paraId="4E8F50E0" w14:textId="35EF89AF" w:rsidR="00CA1D84" w:rsidRDefault="00CA1D84" w:rsidP="00CA1D84">
      <w:pPr>
        <w:jc w:val="center"/>
        <w:rPr>
          <w:rFonts w:cs="Arial"/>
          <w:b/>
          <w:lang w:val="fr-FR"/>
        </w:rPr>
      </w:pPr>
      <w:r w:rsidRPr="00CA1D84">
        <w:rPr>
          <w:rFonts w:cs="Arial"/>
          <w:b/>
          <w:lang w:val="fr-FR"/>
        </w:rPr>
        <w:t>01.01.2021</w:t>
      </w:r>
    </w:p>
    <w:p w14:paraId="4181D5A4" w14:textId="77777777" w:rsidR="00CA1D84" w:rsidRPr="00CA1D84" w:rsidRDefault="00CA1D84" w:rsidP="00CA1D84">
      <w:pPr>
        <w:jc w:val="center"/>
        <w:rPr>
          <w:rFonts w:cs="Arial"/>
          <w:b/>
          <w:lang w:val="fr-FR"/>
        </w:rPr>
      </w:pPr>
    </w:p>
    <w:p w14:paraId="6C4A5736" w14:textId="7DA879B9" w:rsidR="00B2745E" w:rsidRPr="00CA1D84" w:rsidRDefault="00CA1D84" w:rsidP="00CA1D84">
      <w:pPr>
        <w:ind w:left="-851" w:right="-737"/>
        <w:jc w:val="center"/>
        <w:rPr>
          <w:lang w:val="fr-FR"/>
        </w:rPr>
      </w:pPr>
      <w:r w:rsidRPr="001C048D">
        <w:rPr>
          <w:noProof/>
          <w:lang w:eastAsia="en-GB"/>
        </w:rPr>
        <w:drawing>
          <wp:inline distT="0" distB="0" distL="0" distR="0" wp14:anchorId="33C11DBB" wp14:editId="1259E976">
            <wp:extent cx="7206370" cy="70169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0261" cy="7040170"/>
                    </a:xfrm>
                    <a:prstGeom prst="rect">
                      <a:avLst/>
                    </a:prstGeom>
                    <a:noFill/>
                    <a:ln>
                      <a:noFill/>
                    </a:ln>
                  </pic:spPr>
                </pic:pic>
              </a:graphicData>
            </a:graphic>
          </wp:inline>
        </w:drawing>
      </w:r>
    </w:p>
    <w:sectPr w:rsidR="00B2745E" w:rsidRPr="00CA1D84" w:rsidSect="00A37E36">
      <w:headerReference w:type="even" r:id="rId13"/>
      <w:headerReference w:type="default" r:id="rId14"/>
      <w:footerReference w:type="default" r:id="rId15"/>
      <w:headerReference w:type="first" r:id="rId16"/>
      <w:footerReference w:type="first" r:id="rId17"/>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31D71" w14:textId="77777777" w:rsidR="00FE2675" w:rsidRDefault="00FE2675" w:rsidP="00FD6043">
      <w:r>
        <w:separator/>
      </w:r>
    </w:p>
  </w:endnote>
  <w:endnote w:type="continuationSeparator" w:id="0">
    <w:p w14:paraId="187B4425" w14:textId="77777777" w:rsidR="00FE2675" w:rsidRDefault="00FE2675"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1AF4"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6605"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E8BE2" w14:textId="77777777" w:rsidR="00FE2675" w:rsidRDefault="00FE2675" w:rsidP="00FD6043">
      <w:r>
        <w:separator/>
      </w:r>
    </w:p>
  </w:footnote>
  <w:footnote w:type="continuationSeparator" w:id="0">
    <w:p w14:paraId="63094484" w14:textId="77777777" w:rsidR="00FE2675" w:rsidRDefault="00FE2675" w:rsidP="00FD6043">
      <w:r>
        <w:continuationSeparator/>
      </w:r>
    </w:p>
  </w:footnote>
  <w:footnote w:id="1">
    <w:p w14:paraId="12CC2A23" w14:textId="75469D15" w:rsidR="003D6AC2" w:rsidRPr="00797938" w:rsidRDefault="00853C90" w:rsidP="00B2745E">
      <w:pPr>
        <w:pStyle w:val="FootnoteText"/>
        <w:rPr>
          <w:lang w:val="fr-FR"/>
        </w:rPr>
      </w:pPr>
      <w:r>
        <w:rPr>
          <w:rStyle w:val="FootnoteReference"/>
        </w:rPr>
        <w:footnoteRef/>
      </w:r>
      <w:r w:rsidRPr="00797938">
        <w:rPr>
          <w:lang w:val="fr-FR"/>
        </w:rPr>
        <w:t xml:space="preserve"> </w:t>
      </w:r>
      <w:r w:rsidR="00B2745E" w:rsidRPr="008535DB">
        <w:rPr>
          <w:szCs w:val="16"/>
          <w:lang w:val="fr-FR"/>
        </w:rPr>
        <w:t>This document has been classified restricted until examination by the Committee of Ministers. / Ce document a été classé en diffusion restreinte jusqu'à la date de son examen par le Comité des Ministres.</w:t>
      </w:r>
    </w:p>
  </w:footnote>
  <w:footnote w:id="2">
    <w:p w14:paraId="6EFD3C70" w14:textId="57A442C6" w:rsidR="000D0A77" w:rsidRPr="000D0A77" w:rsidRDefault="000D0A77" w:rsidP="000D0A77">
      <w:pPr>
        <w:pStyle w:val="FootnoteText"/>
        <w:rPr>
          <w:rFonts w:cs="Arial"/>
          <w:szCs w:val="16"/>
        </w:rPr>
      </w:pPr>
      <w:r w:rsidRPr="000D0A77">
        <w:rPr>
          <w:rStyle w:val="FootnoteReference"/>
          <w:rFonts w:cs="Arial"/>
          <w:szCs w:val="16"/>
        </w:rPr>
        <w:footnoteRef/>
      </w:r>
      <w:r w:rsidRPr="000D0A77">
        <w:rPr>
          <w:rFonts w:cs="Arial"/>
          <w:szCs w:val="16"/>
        </w:rPr>
        <w:t xml:space="preserve"> Cf. document </w:t>
      </w:r>
      <w:bookmarkStart w:id="1" w:name="_ML_000000000001_INVALID"/>
      <w:r w:rsidR="00970665" w:rsidRPr="00970665">
        <w:rPr>
          <w:rFonts w:cs="Arial"/>
          <w:szCs w:val="16"/>
        </w:rPr>
        <w:fldChar w:fldCharType="begin"/>
      </w:r>
      <w:r w:rsidR="00970665" w:rsidRPr="00970665">
        <w:rPr>
          <w:rFonts w:cs="Arial"/>
          <w:szCs w:val="16"/>
        </w:rPr>
        <w:instrText xml:space="preserve"> HYPERLINK "https://search.coe.int/cm/Pages/result_details.aspx?Reference=CM(2020)140" </w:instrText>
      </w:r>
      <w:r w:rsidR="00970665" w:rsidRPr="00970665">
        <w:rPr>
          <w:rFonts w:cs="Arial"/>
          <w:szCs w:val="16"/>
        </w:rPr>
      </w:r>
      <w:r w:rsidR="00970665" w:rsidRPr="00970665">
        <w:rPr>
          <w:rFonts w:cs="Arial"/>
          <w:szCs w:val="16"/>
        </w:rPr>
        <w:fldChar w:fldCharType="separate"/>
      </w:r>
      <w:bookmarkEnd w:id="1"/>
      <w:r w:rsidR="00970665" w:rsidRPr="00970665">
        <w:rPr>
          <w:rStyle w:val="Hyperlink"/>
          <w:rFonts w:cs="Arial"/>
          <w:szCs w:val="16"/>
        </w:rPr>
        <w:t>CM(2020)140</w:t>
      </w:r>
      <w:r w:rsidR="00970665" w:rsidRPr="00970665">
        <w:rPr>
          <w:rFonts w:cs="Arial"/>
          <w:szCs w:val="16"/>
        </w:rPr>
        <w:fldChar w:fldCharType="end"/>
      </w:r>
      <w:r w:rsidRPr="000D0A77">
        <w:rPr>
          <w:rFonts w:cs="Arial"/>
          <w:szCs w:val="16"/>
        </w:rPr>
        <w:t>.</w:t>
      </w:r>
    </w:p>
  </w:footnote>
  <w:footnote w:id="3">
    <w:p w14:paraId="2BB33F68" w14:textId="77777777" w:rsidR="00CA1D84" w:rsidRPr="00D81400" w:rsidRDefault="00CA1D84" w:rsidP="00CA1D84">
      <w:pPr>
        <w:pStyle w:val="FootnoteText"/>
        <w:rPr>
          <w:rFonts w:cs="Arial"/>
          <w:szCs w:val="16"/>
        </w:rPr>
      </w:pPr>
      <w:r w:rsidRPr="000D0A77">
        <w:rPr>
          <w:rStyle w:val="FootnoteReference"/>
          <w:rFonts w:cs="Arial"/>
          <w:szCs w:val="16"/>
        </w:rPr>
        <w:footnoteRef/>
      </w:r>
      <w:r w:rsidRPr="000D0A77">
        <w:rPr>
          <w:rFonts w:cs="Arial"/>
          <w:szCs w:val="16"/>
        </w:rPr>
        <w:t xml:space="preserve"> The names of countries and territories included in the table of member countries of the Co-ordinated Organisations and other mission destinations follow the practice of the OECD.</w:t>
      </w:r>
    </w:p>
  </w:footnote>
  <w:footnote w:id="4">
    <w:p w14:paraId="40C9A2D8" w14:textId="4C65DA1E" w:rsidR="000D0A77" w:rsidRPr="000D0A77" w:rsidRDefault="000D0A77" w:rsidP="000D0A77">
      <w:pPr>
        <w:pStyle w:val="FootnoteText"/>
        <w:rPr>
          <w:rFonts w:cs="Arial"/>
          <w:szCs w:val="16"/>
          <w:lang w:val="fr-FR"/>
        </w:rPr>
      </w:pPr>
      <w:r w:rsidRPr="000D0A77">
        <w:rPr>
          <w:rStyle w:val="FootnoteReference"/>
          <w:rFonts w:cs="Arial"/>
          <w:szCs w:val="16"/>
        </w:rPr>
        <w:footnoteRef/>
      </w:r>
      <w:r w:rsidRPr="000D0A77">
        <w:rPr>
          <w:rFonts w:cs="Arial"/>
          <w:szCs w:val="16"/>
          <w:lang w:val="fr-FR"/>
        </w:rPr>
        <w:t xml:space="preserve"> Cf. document </w:t>
      </w:r>
      <w:bookmarkStart w:id="2" w:name="_ML_000000000002_INVALID"/>
      <w:r w:rsidR="00970665" w:rsidRPr="00970665">
        <w:rPr>
          <w:rFonts w:cs="Arial"/>
          <w:szCs w:val="16"/>
          <w:lang w:val="fr-FR"/>
        </w:rPr>
        <w:fldChar w:fldCharType="begin"/>
      </w:r>
      <w:r w:rsidR="00970665" w:rsidRPr="00970665">
        <w:rPr>
          <w:rFonts w:cs="Arial"/>
          <w:szCs w:val="16"/>
          <w:lang w:val="fr-FR"/>
        </w:rPr>
        <w:instrText xml:space="preserve"> HYPERLINK "https://search.coe.int/cm/Pages/result_details.aspx?Reference=CM(2020)140" </w:instrText>
      </w:r>
      <w:r w:rsidR="00970665" w:rsidRPr="00970665">
        <w:rPr>
          <w:rFonts w:cs="Arial"/>
          <w:szCs w:val="16"/>
          <w:lang w:val="fr-FR"/>
        </w:rPr>
      </w:r>
      <w:r w:rsidR="00970665" w:rsidRPr="00970665">
        <w:rPr>
          <w:rFonts w:cs="Arial"/>
          <w:szCs w:val="16"/>
          <w:lang w:val="fr-FR"/>
        </w:rPr>
        <w:fldChar w:fldCharType="separate"/>
      </w:r>
      <w:bookmarkEnd w:id="2"/>
      <w:proofErr w:type="gramStart"/>
      <w:r w:rsidR="00970665" w:rsidRPr="00970665">
        <w:rPr>
          <w:rStyle w:val="Hyperlink"/>
          <w:rFonts w:cs="Arial"/>
          <w:szCs w:val="16"/>
          <w:lang w:val="fr-FR"/>
        </w:rPr>
        <w:t>CM(</w:t>
      </w:r>
      <w:proofErr w:type="gramEnd"/>
      <w:r w:rsidR="00970665" w:rsidRPr="00970665">
        <w:rPr>
          <w:rStyle w:val="Hyperlink"/>
          <w:rFonts w:cs="Arial"/>
          <w:szCs w:val="16"/>
          <w:lang w:val="fr-FR"/>
        </w:rPr>
        <w:t>2020)140</w:t>
      </w:r>
      <w:r w:rsidR="00970665" w:rsidRPr="00970665">
        <w:rPr>
          <w:rFonts w:cs="Arial"/>
          <w:szCs w:val="16"/>
          <w:lang w:val="fr-FR"/>
        </w:rPr>
        <w:fldChar w:fldCharType="end"/>
      </w:r>
      <w:r w:rsidRPr="000D0A77">
        <w:rPr>
          <w:rFonts w:cs="Arial"/>
          <w:szCs w:val="16"/>
          <w:lang w:val="fr-FR"/>
        </w:rPr>
        <w:t>.</w:t>
      </w:r>
    </w:p>
  </w:footnote>
  <w:footnote w:id="5">
    <w:p w14:paraId="6234BBF5" w14:textId="77777777" w:rsidR="00CA1D84" w:rsidRPr="0083550A" w:rsidRDefault="00CA1D84" w:rsidP="000D0A77">
      <w:pPr>
        <w:pStyle w:val="FootnoteText"/>
        <w:rPr>
          <w:rFonts w:ascii="Calibri" w:hAnsi="Calibri"/>
          <w:lang w:val="fr-FR"/>
        </w:rPr>
      </w:pPr>
      <w:r w:rsidRPr="000D0A77">
        <w:rPr>
          <w:rStyle w:val="FootnoteReference"/>
          <w:rFonts w:cs="Arial"/>
          <w:szCs w:val="16"/>
        </w:rPr>
        <w:footnoteRef/>
      </w:r>
      <w:r w:rsidRPr="000D0A77">
        <w:rPr>
          <w:rFonts w:cs="Arial"/>
          <w:szCs w:val="16"/>
          <w:lang w:val="fr-FR"/>
        </w:rPr>
        <w:t xml:space="preserve"> Les noms des pays et territoires figurant dans le tableau des pays membres des Organisations coordonnées et des autres destinations de missions suivent la pratique de l'OCDE.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6B49" w14:textId="7EDE682F" w:rsidR="00E24C57" w:rsidRPr="00E54322" w:rsidRDefault="002660DB" w:rsidP="00E54322">
    <w:pPr>
      <w:pStyle w:val="Header"/>
    </w:pPr>
    <w:proofErr w:type="gramStart"/>
    <w:r w:rsidRPr="00E54322">
      <w:t>CM(</w:t>
    </w:r>
    <w:proofErr w:type="gramEnd"/>
    <w:r w:rsidR="006E6FA7">
      <w:t>2020</w:t>
    </w:r>
    <w:r w:rsidRPr="00E54322">
      <w:t>)</w:t>
    </w:r>
    <w:r w:rsidR="00CA1D84">
      <w:t>143</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5E5B" w14:textId="2E6F44A0"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2660DB" w:rsidRPr="00E54322">
      <w:t>CM(</w:t>
    </w:r>
    <w:proofErr w:type="gramEnd"/>
    <w:r w:rsidR="006E6FA7">
      <w:t>2020</w:t>
    </w:r>
    <w:r w:rsidR="002660DB" w:rsidRPr="00E54322">
      <w:t>)</w:t>
    </w:r>
    <w:r w:rsidR="00CA1D84">
      <w:t>143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2711"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290F743B" wp14:editId="50EAB4FA">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42ADA"/>
    <w:multiLevelType w:val="multilevel"/>
    <w:tmpl w:val="7B32BBD2"/>
    <w:lvl w:ilvl="0">
      <w:start w:val="1"/>
      <w:numFmt w:val="decimal"/>
      <w:lvlText w:val="%1."/>
      <w:lvlJc w:val="left"/>
      <w:pPr>
        <w:tabs>
          <w:tab w:val="num" w:pos="2062"/>
        </w:tabs>
        <w:ind w:left="2062" w:hanging="360"/>
      </w:pPr>
      <w:rPr>
        <w:rFonts w:hint="default"/>
        <w:b/>
      </w:rPr>
    </w:lvl>
    <w:lvl w:ilvl="1">
      <w:start w:val="1"/>
      <w:numFmt w:val="decimal"/>
      <w:lvlText w:val="%1.%2"/>
      <w:lvlJc w:val="left"/>
      <w:pPr>
        <w:tabs>
          <w:tab w:val="num" w:pos="716"/>
        </w:tabs>
        <w:ind w:left="716"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50A78EE"/>
    <w:multiLevelType w:val="multilevel"/>
    <w:tmpl w:val="7B32BBD2"/>
    <w:lvl w:ilvl="0">
      <w:start w:val="1"/>
      <w:numFmt w:val="decimal"/>
      <w:lvlText w:val="%1."/>
      <w:lvlJc w:val="left"/>
      <w:pPr>
        <w:tabs>
          <w:tab w:val="num" w:pos="2062"/>
        </w:tabs>
        <w:ind w:left="2062" w:hanging="360"/>
      </w:pPr>
      <w:rPr>
        <w:rFonts w:hint="default"/>
        <w:b/>
      </w:rPr>
    </w:lvl>
    <w:lvl w:ilvl="1">
      <w:start w:val="1"/>
      <w:numFmt w:val="decimal"/>
      <w:lvlText w:val="%1.%2"/>
      <w:lvlJc w:val="left"/>
      <w:pPr>
        <w:tabs>
          <w:tab w:val="num" w:pos="716"/>
        </w:tabs>
        <w:ind w:left="716"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652B7FBB"/>
    <w:multiLevelType w:val="multilevel"/>
    <w:tmpl w:val="7B32BBD2"/>
    <w:lvl w:ilvl="0">
      <w:start w:val="1"/>
      <w:numFmt w:val="decimal"/>
      <w:lvlText w:val="%1."/>
      <w:lvlJc w:val="left"/>
      <w:pPr>
        <w:tabs>
          <w:tab w:val="num" w:pos="2062"/>
        </w:tabs>
        <w:ind w:left="2062" w:hanging="360"/>
      </w:pPr>
      <w:rPr>
        <w:rFonts w:hint="default"/>
        <w:b/>
      </w:rPr>
    </w:lvl>
    <w:lvl w:ilvl="1">
      <w:start w:val="1"/>
      <w:numFmt w:val="decimal"/>
      <w:lvlText w:val="%1.%2"/>
      <w:lvlJc w:val="left"/>
      <w:pPr>
        <w:tabs>
          <w:tab w:val="num" w:pos="716"/>
        </w:tabs>
        <w:ind w:left="716"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75"/>
    <w:rsid w:val="000003F9"/>
    <w:rsid w:val="0001238D"/>
    <w:rsid w:val="000204DB"/>
    <w:rsid w:val="00035FDF"/>
    <w:rsid w:val="00071EA7"/>
    <w:rsid w:val="00072CBD"/>
    <w:rsid w:val="00082CEE"/>
    <w:rsid w:val="000A0545"/>
    <w:rsid w:val="000A307B"/>
    <w:rsid w:val="000C52A6"/>
    <w:rsid w:val="000D0A77"/>
    <w:rsid w:val="000E50A4"/>
    <w:rsid w:val="000F0031"/>
    <w:rsid w:val="000F11B8"/>
    <w:rsid w:val="000F4CF2"/>
    <w:rsid w:val="000F58C3"/>
    <w:rsid w:val="000F5ADA"/>
    <w:rsid w:val="00106141"/>
    <w:rsid w:val="00110729"/>
    <w:rsid w:val="00113EB0"/>
    <w:rsid w:val="00123CDD"/>
    <w:rsid w:val="00134D9A"/>
    <w:rsid w:val="00135BDB"/>
    <w:rsid w:val="00140FC8"/>
    <w:rsid w:val="0014266D"/>
    <w:rsid w:val="00145F3A"/>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746C8"/>
    <w:rsid w:val="002861FB"/>
    <w:rsid w:val="00293EE6"/>
    <w:rsid w:val="002B0202"/>
    <w:rsid w:val="002C0872"/>
    <w:rsid w:val="002C20BA"/>
    <w:rsid w:val="002C43B5"/>
    <w:rsid w:val="002C4704"/>
    <w:rsid w:val="002D0655"/>
    <w:rsid w:val="002D11B8"/>
    <w:rsid w:val="002E4089"/>
    <w:rsid w:val="002F3006"/>
    <w:rsid w:val="002F405C"/>
    <w:rsid w:val="002F6BB7"/>
    <w:rsid w:val="00303712"/>
    <w:rsid w:val="00323CBC"/>
    <w:rsid w:val="003354C4"/>
    <w:rsid w:val="00335CAF"/>
    <w:rsid w:val="003364D1"/>
    <w:rsid w:val="003521BF"/>
    <w:rsid w:val="0037200F"/>
    <w:rsid w:val="00373957"/>
    <w:rsid w:val="00381C50"/>
    <w:rsid w:val="00385587"/>
    <w:rsid w:val="00392D1D"/>
    <w:rsid w:val="00395779"/>
    <w:rsid w:val="003A5509"/>
    <w:rsid w:val="003B2C8C"/>
    <w:rsid w:val="003B345B"/>
    <w:rsid w:val="003D3B17"/>
    <w:rsid w:val="003D48AE"/>
    <w:rsid w:val="003D6AC2"/>
    <w:rsid w:val="003F27DC"/>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E6FA7"/>
    <w:rsid w:val="006F0318"/>
    <w:rsid w:val="006F6B48"/>
    <w:rsid w:val="00712E65"/>
    <w:rsid w:val="007150DE"/>
    <w:rsid w:val="00721866"/>
    <w:rsid w:val="00735569"/>
    <w:rsid w:val="007541C7"/>
    <w:rsid w:val="00761627"/>
    <w:rsid w:val="00773CFE"/>
    <w:rsid w:val="00780B1B"/>
    <w:rsid w:val="00797938"/>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8D5D24"/>
    <w:rsid w:val="00916BF5"/>
    <w:rsid w:val="009215B8"/>
    <w:rsid w:val="00923554"/>
    <w:rsid w:val="009270C4"/>
    <w:rsid w:val="00940F14"/>
    <w:rsid w:val="009432D0"/>
    <w:rsid w:val="00950D67"/>
    <w:rsid w:val="009527D7"/>
    <w:rsid w:val="00955512"/>
    <w:rsid w:val="00963962"/>
    <w:rsid w:val="00970665"/>
    <w:rsid w:val="00974C41"/>
    <w:rsid w:val="009B3AB7"/>
    <w:rsid w:val="009C5258"/>
    <w:rsid w:val="009D28F3"/>
    <w:rsid w:val="00A12DEC"/>
    <w:rsid w:val="00A22D53"/>
    <w:rsid w:val="00A37E36"/>
    <w:rsid w:val="00A474E5"/>
    <w:rsid w:val="00A842D4"/>
    <w:rsid w:val="00A93CA3"/>
    <w:rsid w:val="00AB6552"/>
    <w:rsid w:val="00AB67F8"/>
    <w:rsid w:val="00AB7727"/>
    <w:rsid w:val="00AC30A2"/>
    <w:rsid w:val="00AC73AA"/>
    <w:rsid w:val="00AE76B8"/>
    <w:rsid w:val="00B06133"/>
    <w:rsid w:val="00B129D8"/>
    <w:rsid w:val="00B227AE"/>
    <w:rsid w:val="00B2745E"/>
    <w:rsid w:val="00B41B03"/>
    <w:rsid w:val="00B41EC3"/>
    <w:rsid w:val="00B63F08"/>
    <w:rsid w:val="00B81BAC"/>
    <w:rsid w:val="00B849E0"/>
    <w:rsid w:val="00B90246"/>
    <w:rsid w:val="00B920E4"/>
    <w:rsid w:val="00BA79A3"/>
    <w:rsid w:val="00BB7DCE"/>
    <w:rsid w:val="00BD25C0"/>
    <w:rsid w:val="00BF78B3"/>
    <w:rsid w:val="00C049EE"/>
    <w:rsid w:val="00C109FD"/>
    <w:rsid w:val="00C14C2C"/>
    <w:rsid w:val="00C409C2"/>
    <w:rsid w:val="00C70EC5"/>
    <w:rsid w:val="00C74E6F"/>
    <w:rsid w:val="00C8348A"/>
    <w:rsid w:val="00C92F89"/>
    <w:rsid w:val="00CA1D84"/>
    <w:rsid w:val="00CC39DC"/>
    <w:rsid w:val="00CE1FF8"/>
    <w:rsid w:val="00CE4890"/>
    <w:rsid w:val="00CE6FD2"/>
    <w:rsid w:val="00D0182E"/>
    <w:rsid w:val="00D0265B"/>
    <w:rsid w:val="00D24A57"/>
    <w:rsid w:val="00D53526"/>
    <w:rsid w:val="00D548E4"/>
    <w:rsid w:val="00D554E6"/>
    <w:rsid w:val="00D70628"/>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71695"/>
    <w:rsid w:val="00E86611"/>
    <w:rsid w:val="00E940BF"/>
    <w:rsid w:val="00EA643A"/>
    <w:rsid w:val="00EE34E3"/>
    <w:rsid w:val="00F01885"/>
    <w:rsid w:val="00F168A4"/>
    <w:rsid w:val="00F2380B"/>
    <w:rsid w:val="00F24713"/>
    <w:rsid w:val="00F40699"/>
    <w:rsid w:val="00F433D6"/>
    <w:rsid w:val="00F61D34"/>
    <w:rsid w:val="00F76BBD"/>
    <w:rsid w:val="00F96689"/>
    <w:rsid w:val="00FB561F"/>
    <w:rsid w:val="00FD6043"/>
    <w:rsid w:val="00FE16E3"/>
    <w:rsid w:val="00FE2675"/>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9D1296"/>
  <w15:docId w15:val="{FA44F5C3-C1E2-415B-AC8D-C52E515E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Note de bas de page Car, Char Car,n, Char, Char Char1,Char Char1,Char,Char Char2,Footnote Text Char1,Footnote Text Char Char,Footnote Text Char1 Char Char,Footnote Text Char Char Char Char,Footnote Text Char Char1,Footnote Text Char1 Char"/>
    <w:basedOn w:val="Normal"/>
    <w:link w:val="FootnoteTextChar"/>
    <w:uiPriority w:val="99"/>
    <w:unhideWhenUsed/>
    <w:rsid w:val="009C5258"/>
    <w:rPr>
      <w:sz w:val="16"/>
      <w:szCs w:val="20"/>
    </w:rPr>
  </w:style>
  <w:style w:type="character" w:customStyle="1" w:styleId="FootnoteTextChar">
    <w:name w:val="Footnote Text Char"/>
    <w:aliases w:val="Note de bas de page Car Char, Char Car Char,n Char, Char Char, Char Char1 Char,Char Char1 Char,Char Char,Char Char2 Char,Footnote Text Char1 Char1,Footnote Text Char Char Char,Footnote Text Char1 Char Char Char"/>
    <w:link w:val="FootnoteText"/>
    <w:uiPriority w:val="99"/>
    <w:rsid w:val="009C5258"/>
    <w:rPr>
      <w:rFonts w:ascii="Arial" w:hAnsi="Arial"/>
      <w:sz w:val="16"/>
      <w:lang w:val="fr-FR" w:eastAsia="en-US"/>
    </w:rPr>
  </w:style>
  <w:style w:type="character" w:styleId="FootnoteReference">
    <w:name w:val="footnote reference"/>
    <w:aliases w:val="Footnotes refss,callout,Footnote Reference Char Car Char Char Car Char Car Char Car Char,callout Char,Footnotes refss Char,Footnote Reference Char Car Char Char Car Char Car Char Car Char Char,callout Char Char Char Char"/>
    <w:uiPriority w:val="99"/>
    <w:unhideWhenUsed/>
    <w:rsid w:val="00853C90"/>
    <w:rPr>
      <w:vertAlign w:val="superscript"/>
    </w:rPr>
  </w:style>
  <w:style w:type="paragraph" w:customStyle="1" w:styleId="CoverSubTitle">
    <w:name w:val="CoverSubTitle"/>
    <w:basedOn w:val="Normal"/>
    <w:link w:val="CoverSubTitleChar"/>
    <w:unhideWhenUsed/>
    <w:rsid w:val="000F11B8"/>
    <w:rPr>
      <w:rFonts w:ascii="Times New Roman" w:eastAsia="SimSun" w:hAnsi="Times New Roman"/>
      <w:b/>
      <w:sz w:val="22"/>
      <w:szCs w:val="20"/>
    </w:rPr>
  </w:style>
  <w:style w:type="character" w:customStyle="1" w:styleId="CoverSubTitleChar">
    <w:name w:val="CoverSubTitle Char"/>
    <w:basedOn w:val="DefaultParagraphFont"/>
    <w:link w:val="CoverSubTitle"/>
    <w:rsid w:val="000F11B8"/>
    <w:rPr>
      <w:rFonts w:ascii="Times New Roman" w:eastAsia="SimSun" w:hAnsi="Times New Roman"/>
      <w:b/>
      <w:sz w:val="22"/>
      <w:lang w:eastAsia="en-US"/>
    </w:rPr>
  </w:style>
  <w:style w:type="character" w:styleId="PlaceholderText">
    <w:name w:val="Placeholder Text"/>
    <w:basedOn w:val="DefaultParagraphFont"/>
    <w:uiPriority w:val="99"/>
    <w:semiHidden/>
    <w:rsid w:val="000F11B8"/>
    <w:rPr>
      <w:color w:val="808080"/>
    </w:rPr>
  </w:style>
  <w:style w:type="paragraph" w:customStyle="1" w:styleId="Para">
    <w:name w:val="Para"/>
    <w:basedOn w:val="Normal"/>
    <w:link w:val="ParaChar"/>
    <w:uiPriority w:val="3"/>
    <w:qFormat/>
    <w:rsid w:val="000F11B8"/>
    <w:pPr>
      <w:spacing w:before="120" w:after="120"/>
      <w:ind w:left="680" w:right="680"/>
      <w:jc w:val="both"/>
    </w:pPr>
    <w:rPr>
      <w:rFonts w:ascii="Times New Roman" w:eastAsia="SimSun" w:hAnsi="Times New Roman"/>
      <w:sz w:val="22"/>
      <w:szCs w:val="20"/>
    </w:rPr>
  </w:style>
  <w:style w:type="character" w:customStyle="1" w:styleId="ParaChar">
    <w:name w:val="Para Char"/>
    <w:basedOn w:val="DefaultParagraphFont"/>
    <w:link w:val="Para"/>
    <w:uiPriority w:val="3"/>
    <w:rsid w:val="000F11B8"/>
    <w:rPr>
      <w:rFonts w:ascii="Times New Roman" w:eastAsia="SimSun" w:hAnsi="Times New Roman"/>
      <w:sz w:val="22"/>
      <w:lang w:eastAsia="en-US"/>
    </w:rPr>
  </w:style>
  <w:style w:type="paragraph" w:customStyle="1" w:styleId="Item">
    <w:name w:val="Item"/>
    <w:basedOn w:val="Normal"/>
    <w:uiPriority w:val="99"/>
    <w:rsid w:val="000F11B8"/>
    <w:pPr>
      <w:keepNext/>
      <w:tabs>
        <w:tab w:val="left" w:pos="567"/>
        <w:tab w:val="right" w:pos="9498"/>
      </w:tabs>
      <w:spacing w:before="120" w:after="240"/>
      <w:ind w:right="57"/>
      <w:jc w:val="both"/>
    </w:pPr>
    <w:rPr>
      <w:rFonts w:eastAsia="Batang" w:cs="Arial"/>
      <w:b/>
      <w:szCs w:val="20"/>
    </w:rPr>
  </w:style>
  <w:style w:type="paragraph" w:styleId="ListParagraph">
    <w:name w:val="List Paragraph"/>
    <w:basedOn w:val="Normal"/>
    <w:uiPriority w:val="34"/>
    <w:qFormat/>
    <w:rsid w:val="000F11B8"/>
    <w:pPr>
      <w:ind w:left="720"/>
      <w:contextualSpacing/>
    </w:pPr>
  </w:style>
  <w:style w:type="character" w:styleId="UnresolvedMention">
    <w:name w:val="Unresolved Mention"/>
    <w:basedOn w:val="DefaultParagraphFont"/>
    <w:uiPriority w:val="99"/>
    <w:semiHidden/>
    <w:unhideWhenUsed/>
    <w:rsid w:val="00D548E4"/>
    <w:rPr>
      <w:color w:val="605E5C"/>
      <w:shd w:val="clear" w:color="auto" w:fill="E1DFDD"/>
    </w:rPr>
  </w:style>
  <w:style w:type="paragraph" w:customStyle="1" w:styleId="Default">
    <w:name w:val="Default"/>
    <w:rsid w:val="00CA1D84"/>
    <w:pPr>
      <w:autoSpaceDE w:val="0"/>
      <w:autoSpaceDN w:val="0"/>
      <w:adjustRightInd w:val="0"/>
    </w:pPr>
    <w:rPr>
      <w:rFonts w:eastAsia="Times New Roman"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F1EDB48-324C-4C77-96BA-C0AB99DF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714</Words>
  <Characters>3929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4634</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Natacha FREYD</cp:lastModifiedBy>
  <cp:revision>3</cp:revision>
  <cp:lastPrinted>2020-10-14T09:04:00Z</cp:lastPrinted>
  <dcterms:created xsi:type="dcterms:W3CDTF">2020-10-28T09:28:00Z</dcterms:created>
  <dcterms:modified xsi:type="dcterms:W3CDTF">2020-10-28T10:31:00Z</dcterms:modified>
</cp:coreProperties>
</file>