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3C34CD" w:rsidRPr="00E41E58" w14:paraId="156FC31E" w14:textId="77777777" w:rsidTr="00EB190E">
        <w:trPr>
          <w:trHeight w:val="737"/>
        </w:trPr>
        <w:tc>
          <w:tcPr>
            <w:tcW w:w="1250" w:type="pct"/>
            <w:shd w:val="clear" w:color="auto" w:fill="auto"/>
            <w:vAlign w:val="center"/>
          </w:tcPr>
          <w:p w14:paraId="61214CBB" w14:textId="77777777" w:rsidR="003C34CD" w:rsidRPr="00E41E58" w:rsidRDefault="003C34CD" w:rsidP="003C34CD">
            <w:pPr>
              <w:widowControl w:val="0"/>
              <w:autoSpaceDE w:val="0"/>
              <w:autoSpaceDN w:val="0"/>
              <w:adjustRightInd w:val="0"/>
              <w:rPr>
                <w:rFonts w:ascii="Arial Narrow" w:hAnsi="Arial Narrow" w:cs="Calibri"/>
                <w:szCs w:val="20"/>
              </w:rPr>
            </w:pPr>
            <w:r w:rsidRPr="00E41E58">
              <w:rPr>
                <w:rFonts w:ascii="Arial Narrow" w:hAnsi="Arial Narrow" w:cs="Calibri"/>
                <w:b/>
                <w:bCs/>
                <w:szCs w:val="20"/>
              </w:rPr>
              <w:t>MINISTERS’ DEPUTIES</w:t>
            </w:r>
          </w:p>
        </w:tc>
        <w:tc>
          <w:tcPr>
            <w:tcW w:w="1250" w:type="pct"/>
            <w:shd w:val="clear" w:color="auto" w:fill="auto"/>
            <w:vAlign w:val="center"/>
          </w:tcPr>
          <w:p w14:paraId="55899818" w14:textId="77777777" w:rsidR="003C34CD" w:rsidRPr="00E41E58" w:rsidRDefault="003C34CD" w:rsidP="003C34CD">
            <w:pPr>
              <w:ind w:left="-108"/>
              <w:jc w:val="center"/>
              <w:rPr>
                <w:rFonts w:ascii="Arial Narrow" w:hAnsi="Arial Narrow" w:cs="Arial"/>
                <w:szCs w:val="20"/>
              </w:rPr>
            </w:pPr>
            <w:r w:rsidRPr="00E41E58">
              <w:rPr>
                <w:rFonts w:ascii="Arial Narrow" w:hAnsi="Arial Narrow" w:cs="Calibri"/>
                <w:szCs w:val="20"/>
              </w:rPr>
              <w:t>CM Documents</w:t>
            </w:r>
          </w:p>
        </w:tc>
        <w:bookmarkStart w:id="0" w:name="_ML_000000000000_INVALID"/>
        <w:tc>
          <w:tcPr>
            <w:tcW w:w="1250" w:type="pct"/>
            <w:shd w:val="clear" w:color="auto" w:fill="auto"/>
            <w:vAlign w:val="center"/>
          </w:tcPr>
          <w:p w14:paraId="1A9CBBB8" w14:textId="4DF7B2CA" w:rsidR="003C34CD" w:rsidRPr="008B765C" w:rsidRDefault="003C2ACA" w:rsidP="003C34CD">
            <w:pPr>
              <w:ind w:left="-40"/>
              <w:jc w:val="center"/>
              <w:rPr>
                <w:rFonts w:ascii="Arial Narrow" w:hAnsi="Arial Narrow" w:cs="Arial"/>
                <w:b/>
                <w:sz w:val="24"/>
                <w:szCs w:val="24"/>
              </w:rPr>
            </w:pPr>
            <w:r w:rsidRPr="008B765C">
              <w:rPr>
                <w:rFonts w:ascii="Arial Narrow" w:hAnsi="Arial Narrow" w:cs="Calibri"/>
                <w:b/>
                <w:sz w:val="24"/>
                <w:szCs w:val="24"/>
              </w:rPr>
              <w:fldChar w:fldCharType="begin"/>
            </w:r>
            <w:r w:rsidRPr="008B765C">
              <w:rPr>
                <w:rFonts w:ascii="Arial Narrow" w:hAnsi="Arial Narrow" w:cs="Calibri"/>
                <w:b/>
                <w:sz w:val="24"/>
                <w:szCs w:val="24"/>
              </w:rPr>
              <w:instrText xml:space="preserve"> HYPERLINK "https://search.coe.int/cm/Pages/result_details.aspx?Reference=CM(2020)51" </w:instrText>
            </w:r>
            <w:r w:rsidRPr="008B765C">
              <w:rPr>
                <w:rFonts w:ascii="Arial Narrow" w:hAnsi="Arial Narrow" w:cs="Calibri"/>
                <w:b/>
                <w:sz w:val="24"/>
                <w:szCs w:val="24"/>
              </w:rPr>
              <w:fldChar w:fldCharType="separate"/>
            </w:r>
            <w:bookmarkEnd w:id="0"/>
            <w:proofErr w:type="gramStart"/>
            <w:r w:rsidRPr="008B765C">
              <w:rPr>
                <w:rStyle w:val="Hyperlink"/>
                <w:rFonts w:ascii="Arial Narrow" w:hAnsi="Arial Narrow" w:cs="Calibri"/>
                <w:b/>
                <w:sz w:val="24"/>
                <w:szCs w:val="24"/>
              </w:rPr>
              <w:t>CM(</w:t>
            </w:r>
            <w:proofErr w:type="gramEnd"/>
            <w:r w:rsidRPr="008B765C">
              <w:rPr>
                <w:rStyle w:val="Hyperlink"/>
                <w:rFonts w:ascii="Arial Narrow" w:hAnsi="Arial Narrow" w:cs="Calibri"/>
                <w:b/>
                <w:sz w:val="24"/>
                <w:szCs w:val="24"/>
              </w:rPr>
              <w:t>2020)51</w:t>
            </w:r>
            <w:r w:rsidRPr="008B765C">
              <w:rPr>
                <w:rFonts w:ascii="Arial Narrow" w:hAnsi="Arial Narrow" w:cs="Calibri"/>
                <w:b/>
                <w:sz w:val="24"/>
                <w:szCs w:val="24"/>
              </w:rPr>
              <w:fldChar w:fldCharType="end"/>
            </w:r>
          </w:p>
        </w:tc>
        <w:tc>
          <w:tcPr>
            <w:tcW w:w="1250" w:type="pct"/>
            <w:shd w:val="clear" w:color="auto" w:fill="auto"/>
            <w:vAlign w:val="center"/>
          </w:tcPr>
          <w:p w14:paraId="09DA4402" w14:textId="08A61994" w:rsidR="003C34CD" w:rsidRPr="00E41E58" w:rsidRDefault="00C3113B" w:rsidP="003C34CD">
            <w:pPr>
              <w:jc w:val="right"/>
              <w:rPr>
                <w:rFonts w:ascii="Arial Narrow" w:hAnsi="Arial Narrow" w:cs="Arial"/>
                <w:sz w:val="16"/>
                <w:szCs w:val="16"/>
              </w:rPr>
            </w:pPr>
            <w:r>
              <w:rPr>
                <w:rFonts w:ascii="Arial Narrow" w:hAnsi="Arial Narrow" w:cs="Calibri"/>
                <w:sz w:val="16"/>
                <w:szCs w:val="16"/>
              </w:rPr>
              <w:t xml:space="preserve">6 March </w:t>
            </w:r>
            <w:bookmarkStart w:id="1" w:name="_GoBack"/>
            <w:bookmarkEnd w:id="1"/>
            <w:r w:rsidR="003C34CD" w:rsidRPr="00E41E58">
              <w:rPr>
                <w:rFonts w:ascii="Arial Narrow" w:hAnsi="Arial Narrow" w:cs="Calibri"/>
                <w:sz w:val="16"/>
                <w:szCs w:val="16"/>
              </w:rPr>
              <w:t>2020</w:t>
            </w:r>
            <w:r w:rsidR="003C34CD" w:rsidRPr="00E41E58">
              <w:rPr>
                <w:rFonts w:ascii="Arial Narrow" w:hAnsi="Arial Narrow" w:cs="Calibri"/>
                <w:sz w:val="16"/>
                <w:szCs w:val="16"/>
                <w:vertAlign w:val="superscript"/>
              </w:rPr>
              <w:footnoteReference w:id="1"/>
            </w:r>
          </w:p>
        </w:tc>
      </w:tr>
    </w:tbl>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3C34CD" w:rsidRPr="00A12DEC" w14:paraId="0BA19AE6" w14:textId="77777777" w:rsidTr="00EB190E">
        <w:tc>
          <w:tcPr>
            <w:tcW w:w="9399" w:type="dxa"/>
            <w:shd w:val="clear" w:color="auto" w:fill="auto"/>
            <w:tcMar>
              <w:top w:w="227" w:type="dxa"/>
              <w:bottom w:w="227" w:type="dxa"/>
            </w:tcMar>
            <w:vAlign w:val="center"/>
          </w:tcPr>
          <w:p w14:paraId="7B9D06D3" w14:textId="77777777" w:rsidR="003C34CD" w:rsidRPr="00A12DEC" w:rsidRDefault="003C34CD" w:rsidP="003C34CD">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Pr>
                <w:rFonts w:ascii="Arial Narrow" w:hAnsi="Arial Narrow" w:cs="Calibri"/>
                <w:b/>
                <w:bCs/>
                <w:sz w:val="32"/>
                <w:szCs w:val="32"/>
              </w:rPr>
              <w:t>373</w:t>
            </w:r>
            <w:r w:rsidRPr="00032762">
              <w:rPr>
                <w:rFonts w:ascii="Arial Narrow" w:hAnsi="Arial Narrow" w:cs="Calibri"/>
                <w:b/>
                <w:bCs/>
                <w:sz w:val="32"/>
                <w:szCs w:val="32"/>
                <w:vertAlign w:val="superscript"/>
              </w:rPr>
              <w:t>rd</w:t>
            </w:r>
            <w:r>
              <w:rPr>
                <w:rFonts w:ascii="Arial Narrow" w:hAnsi="Arial Narrow" w:cs="Calibri"/>
                <w:b/>
                <w:bCs/>
                <w:sz w:val="32"/>
                <w:szCs w:val="32"/>
              </w:rPr>
              <w:t xml:space="preserve"> m</w:t>
            </w:r>
            <w:r w:rsidRPr="003D6AC2">
              <w:rPr>
                <w:rFonts w:ascii="Arial Narrow" w:hAnsi="Arial Narrow" w:cs="Calibri"/>
                <w:b/>
                <w:bCs/>
                <w:sz w:val="32"/>
                <w:szCs w:val="32"/>
              </w:rPr>
              <w:t xml:space="preserve">eeting, </w:t>
            </w:r>
            <w:r>
              <w:rPr>
                <w:rFonts w:ascii="Arial Narrow" w:hAnsi="Arial Narrow" w:cs="Calibri"/>
                <w:b/>
                <w:bCs/>
                <w:sz w:val="32"/>
                <w:szCs w:val="32"/>
              </w:rPr>
              <w:t>8 April</w:t>
            </w:r>
            <w:r w:rsidRPr="003D6AC2">
              <w:rPr>
                <w:rFonts w:ascii="Arial Narrow" w:hAnsi="Arial Narrow" w:cs="Calibri"/>
                <w:b/>
                <w:bCs/>
                <w:sz w:val="32"/>
                <w:szCs w:val="32"/>
              </w:rPr>
              <w:t xml:space="preserve"> </w:t>
            </w:r>
            <w:r>
              <w:rPr>
                <w:rFonts w:ascii="Arial Narrow" w:hAnsi="Arial Narrow" w:cs="Calibri"/>
                <w:b/>
                <w:bCs/>
                <w:sz w:val="32"/>
                <w:szCs w:val="32"/>
              </w:rPr>
              <w:t>2020</w:t>
            </w:r>
          </w:p>
          <w:p w14:paraId="521BBDF1" w14:textId="77777777" w:rsidR="003C34CD" w:rsidRPr="003D6AC2" w:rsidRDefault="003C34CD" w:rsidP="003C34CD">
            <w:pPr>
              <w:rPr>
                <w:rFonts w:ascii="Arial Narrow" w:hAnsi="Arial Narrow" w:cs="Calibri"/>
              </w:rPr>
            </w:pPr>
            <w:r w:rsidRPr="003D6AC2">
              <w:rPr>
                <w:rFonts w:ascii="Arial Narrow" w:hAnsi="Arial Narrow" w:cs="Calibri"/>
              </w:rPr>
              <w:t>1</w:t>
            </w:r>
            <w:r>
              <w:rPr>
                <w:rFonts w:ascii="Arial Narrow" w:hAnsi="Arial Narrow" w:cs="Calibri"/>
              </w:rPr>
              <w:t>1 Programme, Budget and Administration</w:t>
            </w:r>
          </w:p>
          <w:p w14:paraId="0D52B8F8" w14:textId="77777777" w:rsidR="003C34CD" w:rsidRPr="00A12DEC" w:rsidRDefault="003C34CD" w:rsidP="003C34CD">
            <w:pPr>
              <w:rPr>
                <w:rFonts w:ascii="Arial Narrow" w:hAnsi="Arial Narrow" w:cs="Calibri"/>
                <w:i/>
                <w:szCs w:val="20"/>
              </w:rPr>
            </w:pPr>
            <w:r w:rsidRPr="00A12DEC">
              <w:rPr>
                <w:rFonts w:ascii="Arial Narrow" w:hAnsi="Arial Narrow" w:cs="Calibri"/>
                <w:i/>
                <w:szCs w:val="20"/>
              </w:rPr>
              <w:t xml:space="preserve"> </w:t>
            </w:r>
          </w:p>
          <w:p w14:paraId="398EC395" w14:textId="77777777" w:rsidR="003C34CD" w:rsidRPr="001B7EFF" w:rsidRDefault="003C34CD" w:rsidP="003C34CD">
            <w:pPr>
              <w:rPr>
                <w:rFonts w:ascii="Arial Narrow" w:hAnsi="Arial Narrow" w:cs="Calibri"/>
                <w:b/>
                <w:sz w:val="28"/>
                <w:szCs w:val="28"/>
              </w:rPr>
            </w:pPr>
            <w:r w:rsidRPr="001B7EFF">
              <w:rPr>
                <w:rFonts w:ascii="Arial Narrow" w:hAnsi="Arial Narrow" w:cs="Calibri"/>
                <w:b/>
                <w:sz w:val="28"/>
                <w:szCs w:val="28"/>
              </w:rPr>
              <w:t>11.2 Pension Reserve Fund of the Council of Europe</w:t>
            </w:r>
          </w:p>
          <w:p w14:paraId="34F1FB87" w14:textId="2877C856" w:rsidR="003C34CD" w:rsidRPr="001E47FB" w:rsidRDefault="003C34CD" w:rsidP="003C34CD">
            <w:pPr>
              <w:rPr>
                <w:rFonts w:ascii="Arial Narrow" w:hAnsi="Arial Narrow" w:cs="Calibri"/>
                <w:bCs/>
                <w:sz w:val="22"/>
              </w:rPr>
            </w:pPr>
            <w:r w:rsidRPr="001E47FB">
              <w:rPr>
                <w:rFonts w:ascii="Arial Narrow" w:hAnsi="Arial Narrow" w:cs="Calibri"/>
                <w:bCs/>
                <w:sz w:val="22"/>
              </w:rPr>
              <w:t>b. Intermediate review of the investment strategy - legal structure</w:t>
            </w:r>
            <w:r w:rsidR="00EB190E" w:rsidRPr="001E47FB">
              <w:rPr>
                <w:rFonts w:ascii="Arial Narrow" w:hAnsi="Arial Narrow" w:cs="Calibri"/>
                <w:bCs/>
                <w:sz w:val="22"/>
              </w:rPr>
              <w:t xml:space="preserve"> of infrastructure fund</w:t>
            </w:r>
            <w:r w:rsidR="00AF6B5B" w:rsidRPr="001E47FB">
              <w:rPr>
                <w:rFonts w:ascii="Arial Narrow" w:hAnsi="Arial Narrow" w:cs="Calibri"/>
                <w:bCs/>
                <w:sz w:val="22"/>
              </w:rPr>
              <w:t>s</w:t>
            </w:r>
          </w:p>
          <w:p w14:paraId="424B4010" w14:textId="77777777" w:rsidR="003C34CD" w:rsidRDefault="003C34CD" w:rsidP="003C34CD">
            <w:pPr>
              <w:rPr>
                <w:rFonts w:ascii="Arial Narrow" w:hAnsi="Arial Narrow" w:cs="Calibri"/>
              </w:rPr>
            </w:pPr>
          </w:p>
          <w:p w14:paraId="5BE56D5E" w14:textId="77777777" w:rsidR="003C34CD" w:rsidRPr="008C53A1" w:rsidRDefault="003C34CD" w:rsidP="003C34CD">
            <w:pPr>
              <w:rPr>
                <w:rFonts w:ascii="Arial Narrow" w:hAnsi="Arial Narrow" w:cs="Calibri"/>
                <w:b/>
                <w:szCs w:val="20"/>
              </w:rPr>
            </w:pPr>
            <w:r w:rsidRPr="008C53A1">
              <w:rPr>
                <w:rFonts w:ascii="Arial Narrow" w:hAnsi="Arial Narrow" w:cs="Calibri"/>
                <w:b/>
                <w:szCs w:val="20"/>
              </w:rPr>
              <w:t>Item to be considered by the GR-PBA at its meeting on 24 March 2020</w:t>
            </w:r>
          </w:p>
        </w:tc>
      </w:tr>
    </w:tbl>
    <w:p w14:paraId="2CF39A7C" w14:textId="77777777" w:rsidR="00E54322" w:rsidRDefault="00E54322" w:rsidP="001E47FB">
      <w:pPr>
        <w:rPr>
          <w:rFonts w:eastAsia="Times New Roman"/>
          <w:szCs w:val="24"/>
        </w:rPr>
      </w:pPr>
      <w:r>
        <w:rPr>
          <w:rFonts w:eastAsia="Times New Roman"/>
          <w:szCs w:val="24"/>
        </w:rPr>
        <w:t xml:space="preserve"> </w:t>
      </w:r>
    </w:p>
    <w:p w14:paraId="118A8D81" w14:textId="6A53E1BC" w:rsidR="003C34CD" w:rsidRDefault="003C34CD" w:rsidP="001E47FB">
      <w:pPr>
        <w:pStyle w:val="Heading2"/>
        <w:spacing w:before="0" w:after="0"/>
        <w:rPr>
          <w:rFonts w:ascii="Arial" w:hAnsi="Arial"/>
          <w:sz w:val="20"/>
          <w:szCs w:val="20"/>
        </w:rPr>
      </w:pPr>
      <w:r w:rsidRPr="008B5054">
        <w:rPr>
          <w:rFonts w:ascii="Arial" w:hAnsi="Arial"/>
          <w:sz w:val="20"/>
          <w:szCs w:val="20"/>
        </w:rPr>
        <w:t>BACKGROUND</w:t>
      </w:r>
    </w:p>
    <w:p w14:paraId="2F07CDED" w14:textId="77777777" w:rsidR="001E47FB" w:rsidRPr="001E47FB" w:rsidRDefault="001E47FB" w:rsidP="001E47FB">
      <w:pPr>
        <w:rPr>
          <w:lang w:eastAsia="fr-FR"/>
        </w:rPr>
      </w:pPr>
    </w:p>
    <w:p w14:paraId="0B63428B" w14:textId="4BB62A9C" w:rsidR="003C34CD" w:rsidRDefault="00EB190E" w:rsidP="001E47FB">
      <w:pPr>
        <w:pStyle w:val="Paragraph"/>
        <w:spacing w:before="0" w:after="0"/>
        <w:jc w:val="left"/>
        <w:rPr>
          <w:rFonts w:ascii="Arial" w:hAnsi="Arial" w:cs="Arial"/>
          <w:sz w:val="20"/>
          <w:szCs w:val="20"/>
        </w:rPr>
      </w:pPr>
      <w:r>
        <w:rPr>
          <w:rFonts w:ascii="Arial" w:hAnsi="Arial" w:cs="Arial"/>
          <w:sz w:val="20"/>
          <w:szCs w:val="20"/>
        </w:rPr>
        <w:t>At</w:t>
      </w:r>
      <w:r w:rsidR="003C34CD" w:rsidRPr="008B5054">
        <w:rPr>
          <w:rFonts w:ascii="Arial" w:hAnsi="Arial" w:cs="Arial"/>
          <w:sz w:val="20"/>
          <w:szCs w:val="20"/>
        </w:rPr>
        <w:t xml:space="preserve"> its meeting o</w:t>
      </w:r>
      <w:r>
        <w:rPr>
          <w:rFonts w:ascii="Arial" w:hAnsi="Arial" w:cs="Arial"/>
          <w:sz w:val="20"/>
          <w:szCs w:val="20"/>
        </w:rPr>
        <w:t>n</w:t>
      </w:r>
      <w:r w:rsidR="003C34CD" w:rsidRPr="008B5054">
        <w:rPr>
          <w:rFonts w:ascii="Arial" w:hAnsi="Arial" w:cs="Arial"/>
          <w:sz w:val="20"/>
          <w:szCs w:val="20"/>
        </w:rPr>
        <w:t xml:space="preserve"> 25 March 2019, the Management Board of the Pension Reserve Fund (PRF) of the Council of Europe decided to implement the PRF infrastructure allocation (5% of portfolio) through a Special Portfolio Solution (SPS) with the following characteristics:</w:t>
      </w:r>
    </w:p>
    <w:p w14:paraId="268D807C" w14:textId="77777777" w:rsidR="001E47FB" w:rsidRPr="008B5054" w:rsidRDefault="001E47FB" w:rsidP="001E47FB">
      <w:pPr>
        <w:pStyle w:val="Paragraph"/>
        <w:numPr>
          <w:ilvl w:val="0"/>
          <w:numId w:val="0"/>
        </w:numPr>
        <w:spacing w:before="0" w:after="0"/>
        <w:jc w:val="left"/>
        <w:rPr>
          <w:rFonts w:ascii="Arial" w:hAnsi="Arial" w:cs="Arial"/>
          <w:sz w:val="20"/>
          <w:szCs w:val="20"/>
        </w:rPr>
      </w:pPr>
    </w:p>
    <w:p w14:paraId="79FC7634" w14:textId="369ADD41" w:rsidR="003C34CD" w:rsidRPr="008B5054" w:rsidRDefault="00EB190E" w:rsidP="001E47FB">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he investment universe should be limited to brownfield projects in OECD</w:t>
      </w:r>
      <w:r w:rsidR="003C34CD" w:rsidRPr="008B5054">
        <w:rPr>
          <w:rStyle w:val="FootnoteReference"/>
          <w:rFonts w:ascii="Arial" w:hAnsi="Arial" w:cs="Arial"/>
          <w:sz w:val="20"/>
          <w:szCs w:val="20"/>
        </w:rPr>
        <w:footnoteReference w:id="2"/>
      </w:r>
      <w:r w:rsidR="003C34CD" w:rsidRPr="008B5054">
        <w:rPr>
          <w:rFonts w:ascii="Arial" w:hAnsi="Arial" w:cs="Arial"/>
          <w:sz w:val="20"/>
          <w:szCs w:val="20"/>
          <w:vertAlign w:val="superscript"/>
        </w:rPr>
        <w:t xml:space="preserve"> </w:t>
      </w:r>
      <w:r w:rsidR="003C34CD" w:rsidRPr="008B5054">
        <w:rPr>
          <w:rFonts w:ascii="Arial" w:hAnsi="Arial" w:cs="Arial"/>
          <w:sz w:val="20"/>
          <w:szCs w:val="20"/>
        </w:rPr>
        <w:t>countries, which are the less risky</w:t>
      </w:r>
      <w:r>
        <w:rPr>
          <w:rFonts w:ascii="Arial" w:hAnsi="Arial" w:cs="Arial"/>
          <w:sz w:val="20"/>
          <w:szCs w:val="20"/>
        </w:rPr>
        <w:t>;</w:t>
      </w:r>
    </w:p>
    <w:p w14:paraId="654FB36E" w14:textId="2728287B" w:rsidR="003C34CD" w:rsidRPr="008B5054" w:rsidRDefault="00EB190E" w:rsidP="001E47FB">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 xml:space="preserve">he fund manager should be a peer, i.e. an international organisation or another pension fund and hold a significant investment in the fund, in order to allow the best alignment of interests with the </w:t>
      </w:r>
      <w:r>
        <w:rPr>
          <w:rFonts w:ascii="Arial" w:hAnsi="Arial" w:cs="Arial"/>
          <w:sz w:val="20"/>
          <w:szCs w:val="20"/>
        </w:rPr>
        <w:t>Council of Europe;</w:t>
      </w:r>
    </w:p>
    <w:p w14:paraId="3DA37D9E" w14:textId="55DE9A9E" w:rsidR="003C34CD" w:rsidRPr="008B5054" w:rsidRDefault="00EB190E" w:rsidP="001E47FB">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he fund should come with moderate fees to improve the net return</w:t>
      </w:r>
      <w:r>
        <w:rPr>
          <w:rFonts w:ascii="Arial" w:hAnsi="Arial" w:cs="Arial"/>
          <w:sz w:val="20"/>
          <w:szCs w:val="20"/>
        </w:rPr>
        <w:t>;</w:t>
      </w:r>
    </w:p>
    <w:p w14:paraId="4416FD80" w14:textId="047810E8" w:rsidR="003C34CD" w:rsidRPr="008B5054" w:rsidRDefault="00EB190E" w:rsidP="001E47FB">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he fund should ideally be open-ended</w:t>
      </w:r>
      <w:r>
        <w:rPr>
          <w:rFonts w:ascii="Arial" w:hAnsi="Arial" w:cs="Arial"/>
          <w:sz w:val="20"/>
          <w:szCs w:val="20"/>
        </w:rPr>
        <w:t>,</w:t>
      </w:r>
      <w:r w:rsidR="003C34CD" w:rsidRPr="008B5054">
        <w:rPr>
          <w:rFonts w:ascii="Arial" w:hAnsi="Arial" w:cs="Arial"/>
          <w:sz w:val="20"/>
          <w:szCs w:val="20"/>
        </w:rPr>
        <w:t xml:space="preserve"> as the due diligence time the </w:t>
      </w:r>
      <w:r>
        <w:rPr>
          <w:rFonts w:ascii="Arial" w:hAnsi="Arial" w:cs="Arial"/>
          <w:sz w:val="20"/>
          <w:szCs w:val="20"/>
        </w:rPr>
        <w:t>Council of Europe</w:t>
      </w:r>
      <w:r w:rsidR="003C34CD" w:rsidRPr="008B5054">
        <w:rPr>
          <w:rFonts w:ascii="Arial" w:hAnsi="Arial" w:cs="Arial"/>
          <w:sz w:val="20"/>
          <w:szCs w:val="20"/>
        </w:rPr>
        <w:t xml:space="preserve"> may need to invest in a fund with these characteristics may be too long to </w:t>
      </w:r>
      <w:r>
        <w:rPr>
          <w:rFonts w:ascii="Arial" w:hAnsi="Arial" w:cs="Arial"/>
          <w:sz w:val="20"/>
          <w:szCs w:val="20"/>
        </w:rPr>
        <w:t>be able to meet</w:t>
      </w:r>
      <w:r w:rsidR="003C34CD" w:rsidRPr="008B5054">
        <w:rPr>
          <w:rFonts w:ascii="Arial" w:hAnsi="Arial" w:cs="Arial"/>
          <w:sz w:val="20"/>
          <w:szCs w:val="20"/>
        </w:rPr>
        <w:t xml:space="preserve"> the usual subscription deadlines of closed-ended funds</w:t>
      </w:r>
      <w:r>
        <w:rPr>
          <w:rFonts w:ascii="Arial" w:hAnsi="Arial" w:cs="Arial"/>
          <w:sz w:val="20"/>
          <w:szCs w:val="20"/>
        </w:rPr>
        <w:t>;</w:t>
      </w:r>
    </w:p>
    <w:p w14:paraId="4107EEF1" w14:textId="1D86D869" w:rsidR="003C34CD" w:rsidRDefault="00EB190E" w:rsidP="001E47FB">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 xml:space="preserve">he fund should ideally be evergreen, i.e. with an unlimited investment horizon as the investment is planned for the long term. </w:t>
      </w:r>
    </w:p>
    <w:p w14:paraId="5928F2EF" w14:textId="77777777" w:rsidR="001E47FB" w:rsidRPr="008B5054" w:rsidRDefault="001E47FB" w:rsidP="001E47FB">
      <w:pPr>
        <w:pStyle w:val="ListBullet"/>
        <w:numPr>
          <w:ilvl w:val="0"/>
          <w:numId w:val="0"/>
        </w:numPr>
        <w:tabs>
          <w:tab w:val="left" w:pos="850"/>
          <w:tab w:val="left" w:pos="1191"/>
          <w:tab w:val="left" w:pos="1531"/>
        </w:tabs>
        <w:spacing w:before="0" w:after="0"/>
        <w:ind w:left="850"/>
        <w:jc w:val="left"/>
        <w:rPr>
          <w:rFonts w:ascii="Arial" w:hAnsi="Arial" w:cs="Arial"/>
          <w:sz w:val="20"/>
          <w:szCs w:val="20"/>
        </w:rPr>
      </w:pPr>
    </w:p>
    <w:p w14:paraId="68666C6A" w14:textId="25FE763C" w:rsidR="003C34CD" w:rsidRDefault="003C34CD" w:rsidP="001E47FB">
      <w:pPr>
        <w:pStyle w:val="Paragraph"/>
        <w:spacing w:before="0" w:after="0"/>
        <w:jc w:val="left"/>
        <w:rPr>
          <w:rFonts w:ascii="Arial" w:hAnsi="Arial" w:cs="Arial"/>
          <w:sz w:val="20"/>
          <w:szCs w:val="20"/>
        </w:rPr>
      </w:pPr>
      <w:r w:rsidRPr="008B5054">
        <w:rPr>
          <w:rFonts w:ascii="Arial" w:hAnsi="Arial" w:cs="Arial"/>
          <w:sz w:val="20"/>
          <w:szCs w:val="20"/>
        </w:rPr>
        <w:t>The Board decided to invest in the fund IFM Global Infrastructure (UK), L.P.</w:t>
      </w:r>
      <w:r w:rsidRPr="008B5054">
        <w:rPr>
          <w:rStyle w:val="FootnoteReference"/>
          <w:rFonts w:ascii="Arial" w:hAnsi="Arial" w:cs="Arial"/>
          <w:sz w:val="20"/>
          <w:szCs w:val="20"/>
        </w:rPr>
        <w:footnoteReference w:id="3"/>
      </w:r>
      <w:r w:rsidRPr="008B5054">
        <w:rPr>
          <w:rFonts w:ascii="Arial" w:hAnsi="Arial" w:cs="Arial"/>
          <w:sz w:val="20"/>
          <w:szCs w:val="20"/>
        </w:rPr>
        <w:t xml:space="preserve"> (‘IFM fund’). This was the only fund meeting all the SPS criteria. This option did not entail any selection and advisory fees and could be implemented relatively quickly. In addition, the PRF would be able to benefit from the experience already gained</w:t>
      </w:r>
      <w:r w:rsidR="00EB190E">
        <w:rPr>
          <w:rFonts w:ascii="Arial" w:hAnsi="Arial" w:cs="Arial"/>
          <w:sz w:val="20"/>
          <w:szCs w:val="20"/>
        </w:rPr>
        <w:t xml:space="preserve"> by </w:t>
      </w:r>
      <w:r w:rsidR="00EB190E" w:rsidRPr="008B5054">
        <w:rPr>
          <w:rFonts w:ascii="Arial" w:hAnsi="Arial" w:cs="Arial"/>
          <w:sz w:val="20"/>
          <w:szCs w:val="20"/>
        </w:rPr>
        <w:t>the Secretariat</w:t>
      </w:r>
      <w:r w:rsidRPr="008B5054">
        <w:rPr>
          <w:rFonts w:ascii="Arial" w:hAnsi="Arial" w:cs="Arial"/>
          <w:sz w:val="20"/>
          <w:szCs w:val="20"/>
        </w:rPr>
        <w:t xml:space="preserve"> with this fund for another pension fund under its administration. </w:t>
      </w:r>
    </w:p>
    <w:p w14:paraId="2E0A94D2" w14:textId="77777777" w:rsidR="001E47FB" w:rsidRPr="008B5054" w:rsidRDefault="001E47FB" w:rsidP="001E47FB">
      <w:pPr>
        <w:pStyle w:val="Paragraph"/>
        <w:numPr>
          <w:ilvl w:val="0"/>
          <w:numId w:val="0"/>
        </w:numPr>
        <w:spacing w:before="0" w:after="0"/>
        <w:jc w:val="left"/>
        <w:rPr>
          <w:rFonts w:ascii="Arial" w:hAnsi="Arial" w:cs="Arial"/>
          <w:sz w:val="20"/>
          <w:szCs w:val="20"/>
        </w:rPr>
      </w:pPr>
    </w:p>
    <w:p w14:paraId="3C5A08AF" w14:textId="66FBF888" w:rsidR="003C34CD" w:rsidRDefault="003C34CD" w:rsidP="001E47FB">
      <w:pPr>
        <w:pStyle w:val="Heading2"/>
        <w:spacing w:before="0" w:after="0"/>
        <w:rPr>
          <w:rFonts w:ascii="Arial" w:hAnsi="Arial"/>
          <w:sz w:val="20"/>
          <w:szCs w:val="20"/>
        </w:rPr>
      </w:pPr>
      <w:r w:rsidRPr="008B5054">
        <w:rPr>
          <w:rFonts w:ascii="Arial" w:hAnsi="Arial"/>
          <w:sz w:val="20"/>
          <w:szCs w:val="20"/>
        </w:rPr>
        <w:t>LEGAL STRUCTURE OF THE IFM FUND</w:t>
      </w:r>
    </w:p>
    <w:p w14:paraId="6B7A54BE" w14:textId="77777777" w:rsidR="001E47FB" w:rsidRPr="001E47FB" w:rsidRDefault="001E47FB" w:rsidP="001E47FB">
      <w:pPr>
        <w:rPr>
          <w:lang w:eastAsia="fr-FR"/>
        </w:rPr>
      </w:pPr>
    </w:p>
    <w:p w14:paraId="650BE3CF" w14:textId="305E2741" w:rsidR="003C34CD" w:rsidRDefault="003C34CD" w:rsidP="001E47FB">
      <w:pPr>
        <w:pStyle w:val="Paragraph"/>
        <w:tabs>
          <w:tab w:val="clear" w:pos="850"/>
          <w:tab w:val="clear" w:pos="1191"/>
          <w:tab w:val="clear" w:pos="1531"/>
        </w:tabs>
        <w:spacing w:before="0" w:after="0"/>
        <w:jc w:val="left"/>
        <w:rPr>
          <w:rFonts w:ascii="Arial" w:hAnsi="Arial" w:cs="Arial"/>
          <w:sz w:val="20"/>
          <w:szCs w:val="20"/>
        </w:rPr>
      </w:pPr>
      <w:r w:rsidRPr="008B5054">
        <w:rPr>
          <w:rFonts w:ascii="Arial" w:hAnsi="Arial" w:cs="Arial"/>
          <w:sz w:val="20"/>
          <w:szCs w:val="20"/>
        </w:rPr>
        <w:t xml:space="preserve">The PRF would invest in IFM Global Infrastructure (UK), L.P., a Limited Partnership governed by </w:t>
      </w:r>
      <w:r w:rsidR="00EB190E">
        <w:rPr>
          <w:rFonts w:ascii="Arial" w:hAnsi="Arial" w:cs="Arial"/>
          <w:sz w:val="20"/>
          <w:szCs w:val="20"/>
        </w:rPr>
        <w:t xml:space="preserve">the </w:t>
      </w:r>
      <w:r w:rsidRPr="008B5054">
        <w:rPr>
          <w:rFonts w:ascii="Arial" w:hAnsi="Arial" w:cs="Arial"/>
          <w:sz w:val="20"/>
          <w:szCs w:val="20"/>
        </w:rPr>
        <w:t xml:space="preserve">laws of England and Wales. In turn, IFM Global Infrastructure (UK), L.P. is a feeder fund investing all its assets in the master fund, IFM Global Infrastructure Fund, a Unit Trust governed by </w:t>
      </w:r>
      <w:r w:rsidR="00EB190E">
        <w:rPr>
          <w:rFonts w:ascii="Arial" w:hAnsi="Arial" w:cs="Arial"/>
          <w:sz w:val="20"/>
          <w:szCs w:val="20"/>
        </w:rPr>
        <w:t xml:space="preserve">the </w:t>
      </w:r>
      <w:r w:rsidRPr="008B5054">
        <w:rPr>
          <w:rFonts w:ascii="Arial" w:hAnsi="Arial" w:cs="Arial"/>
          <w:sz w:val="20"/>
          <w:szCs w:val="20"/>
        </w:rPr>
        <w:t>laws of the Cayman Islands. It is the master fund that ultimately makes investments in infrastructure assets and companies located principally in Europe and the Americas. The manager of both funds (the “Operator”) is IFM Investors Pty Ltd, an Australian-incorporated investment management firm, owned by 27 profit-to-members Australian pension funds (see detailed list in Annex 1).</w:t>
      </w:r>
    </w:p>
    <w:p w14:paraId="2714A515" w14:textId="77777777" w:rsidR="001E47FB" w:rsidRPr="008B5054" w:rsidRDefault="001E47FB" w:rsidP="001E47FB">
      <w:pPr>
        <w:pStyle w:val="Paragraph"/>
        <w:numPr>
          <w:ilvl w:val="0"/>
          <w:numId w:val="0"/>
        </w:numPr>
        <w:tabs>
          <w:tab w:val="clear" w:pos="850"/>
          <w:tab w:val="clear" w:pos="1191"/>
          <w:tab w:val="clear" w:pos="1531"/>
        </w:tabs>
        <w:spacing w:before="0" w:after="0"/>
        <w:jc w:val="left"/>
        <w:rPr>
          <w:rFonts w:ascii="Arial" w:hAnsi="Arial" w:cs="Arial"/>
          <w:sz w:val="20"/>
          <w:szCs w:val="20"/>
        </w:rPr>
      </w:pPr>
    </w:p>
    <w:p w14:paraId="69B89C8D" w14:textId="77777777" w:rsidR="001E47FB" w:rsidRDefault="001E47FB">
      <w:pPr>
        <w:rPr>
          <w:rFonts w:eastAsia="Times New Roman" w:cs="Arial"/>
          <w:szCs w:val="20"/>
        </w:rPr>
      </w:pPr>
      <w:r>
        <w:rPr>
          <w:rFonts w:cs="Arial"/>
          <w:szCs w:val="20"/>
        </w:rPr>
        <w:br w:type="page"/>
      </w:r>
    </w:p>
    <w:p w14:paraId="142F6BEC" w14:textId="3AA1F534" w:rsidR="003C34CD" w:rsidRPr="008B5054" w:rsidRDefault="003C34CD" w:rsidP="00317D0C">
      <w:pPr>
        <w:pStyle w:val="Paragraph"/>
        <w:tabs>
          <w:tab w:val="clear" w:pos="850"/>
          <w:tab w:val="clear" w:pos="1191"/>
          <w:tab w:val="clear" w:pos="1531"/>
        </w:tabs>
        <w:spacing w:before="0" w:after="0"/>
        <w:jc w:val="left"/>
        <w:rPr>
          <w:rFonts w:ascii="Arial" w:hAnsi="Arial" w:cs="Arial"/>
          <w:sz w:val="20"/>
          <w:szCs w:val="20"/>
        </w:rPr>
      </w:pPr>
      <w:r w:rsidRPr="008B5054">
        <w:rPr>
          <w:rFonts w:ascii="Arial" w:hAnsi="Arial" w:cs="Arial"/>
          <w:sz w:val="20"/>
          <w:szCs w:val="20"/>
        </w:rPr>
        <w:lastRenderedPageBreak/>
        <w:t xml:space="preserve">IFM explained that the fund is structured as a master–feeders. There are </w:t>
      </w:r>
      <w:proofErr w:type="gramStart"/>
      <w:r w:rsidRPr="008B5054">
        <w:rPr>
          <w:rFonts w:ascii="Arial" w:hAnsi="Arial" w:cs="Arial"/>
          <w:sz w:val="20"/>
          <w:szCs w:val="20"/>
        </w:rPr>
        <w:t>a number of</w:t>
      </w:r>
      <w:proofErr w:type="gramEnd"/>
      <w:r w:rsidRPr="008B5054">
        <w:rPr>
          <w:rFonts w:ascii="Arial" w:hAnsi="Arial" w:cs="Arial"/>
          <w:sz w:val="20"/>
          <w:szCs w:val="20"/>
        </w:rPr>
        <w:t xml:space="preserve"> feeder funds domiciled in various jurisdictions which allows for capital to be pooled from a global investor base. The master fund is domiciled in the Cayman Islands for the following reasons:  </w:t>
      </w:r>
    </w:p>
    <w:p w14:paraId="534BCB09" w14:textId="6A5ACCAC" w:rsidR="003C34CD" w:rsidRDefault="003C34CD" w:rsidP="00317D0C">
      <w:pPr>
        <w:rPr>
          <w:rFonts w:eastAsia="Times New Roman" w:cs="Arial"/>
          <w:szCs w:val="20"/>
          <w:lang w:eastAsia="zh-CN"/>
        </w:rPr>
      </w:pPr>
    </w:p>
    <w:p w14:paraId="7A4BE98A" w14:textId="658125D5" w:rsidR="003C34CD" w:rsidRPr="008B5054" w:rsidRDefault="00291980" w:rsidP="00490E49">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EB190E">
        <w:rPr>
          <w:rFonts w:ascii="Arial" w:hAnsi="Arial" w:cs="Arial"/>
          <w:sz w:val="20"/>
          <w:szCs w:val="20"/>
        </w:rPr>
        <w:t>o e</w:t>
      </w:r>
      <w:r w:rsidR="003C34CD" w:rsidRPr="008B5054">
        <w:rPr>
          <w:rFonts w:ascii="Arial" w:hAnsi="Arial" w:cs="Arial"/>
          <w:sz w:val="20"/>
          <w:szCs w:val="20"/>
        </w:rPr>
        <w:t xml:space="preserve">nsure tax neutrality, i.e. to not impose an additional tax layer. </w:t>
      </w:r>
    </w:p>
    <w:p w14:paraId="4D4B44CC" w14:textId="0A64F525" w:rsidR="003C34CD" w:rsidRPr="008B5054" w:rsidRDefault="00490E49" w:rsidP="00490E49">
      <w:pPr>
        <w:pStyle w:val="ListBullet"/>
        <w:numPr>
          <w:ilvl w:val="0"/>
          <w:numId w:val="0"/>
        </w:numPr>
        <w:tabs>
          <w:tab w:val="left" w:pos="709"/>
        </w:tabs>
        <w:spacing w:before="0" w:after="0"/>
        <w:ind w:left="1276" w:hanging="567"/>
        <w:jc w:val="left"/>
        <w:rPr>
          <w:rFonts w:ascii="Arial" w:hAnsi="Arial" w:cs="Arial"/>
          <w:sz w:val="20"/>
          <w:szCs w:val="20"/>
        </w:rPr>
      </w:pPr>
      <w:r>
        <w:rPr>
          <w:rFonts w:ascii="Arial" w:hAnsi="Arial" w:cs="Arial"/>
          <w:sz w:val="20"/>
          <w:szCs w:val="20"/>
        </w:rPr>
        <w:tab/>
      </w:r>
      <w:r w:rsidR="003C34CD" w:rsidRPr="008B5054">
        <w:rPr>
          <w:rFonts w:ascii="Arial" w:hAnsi="Arial" w:cs="Arial"/>
          <w:sz w:val="20"/>
          <w:szCs w:val="20"/>
        </w:rPr>
        <w:t>Portfolio companies pay taxes on operating income in source countries. These companies can then make distributions e.g. dividends, interest payments, to the master fund, and these distributions flow through to the ultimate investors in the feeder funds. There is generally no tax on income (e.g. dividends/interest) in the Cayman Islands and so the income received from portfolio companies would not be subject to an additional layer of tax at the master fund level. The master fund will in turn pass on the dividend/interest income received to the feeder funds. The UK feeder funds are structured as UK limited partnerships which are treated as transparent for UK tax purposes, i.e. the partnership is not itself subject to tax and instead the final investors in the UK feeder funds would be liable to tax on their share of the partnership’s profits in their resident country, unless they are tax exempt. The point is not imposing an additional tax on dividends or interest payments that is not otherwise payable, not avoiding or deferring taxes</w:t>
      </w:r>
      <w:r w:rsidR="00EB190E">
        <w:rPr>
          <w:rFonts w:ascii="Arial" w:hAnsi="Arial" w:cs="Arial"/>
          <w:sz w:val="20"/>
          <w:szCs w:val="20"/>
        </w:rPr>
        <w:t>;</w:t>
      </w:r>
    </w:p>
    <w:p w14:paraId="5B9B3514" w14:textId="1FD77FF3" w:rsidR="003C34CD" w:rsidRPr="008B5054" w:rsidRDefault="00EB190E" w:rsidP="00490E49">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he Cayman Islands is a common jurisdiction for funds management due to its familiarity with investors, with a strong rule of law, financial regulation regime, and tax neutrality</w:t>
      </w:r>
      <w:r>
        <w:rPr>
          <w:rFonts w:ascii="Arial" w:hAnsi="Arial" w:cs="Arial"/>
          <w:sz w:val="20"/>
          <w:szCs w:val="20"/>
        </w:rPr>
        <w:t>;</w:t>
      </w:r>
    </w:p>
    <w:p w14:paraId="6C501A7A" w14:textId="202F91FD" w:rsidR="003C34CD" w:rsidRPr="008B5054" w:rsidRDefault="00EB190E" w:rsidP="00490E49">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he Cayman Islands Monetary Authority (CIMA) that regulates the IFM fund is a mature financial regulatory body</w:t>
      </w:r>
      <w:r>
        <w:rPr>
          <w:rFonts w:ascii="Arial" w:hAnsi="Arial" w:cs="Arial"/>
          <w:sz w:val="20"/>
          <w:szCs w:val="20"/>
        </w:rPr>
        <w:t>;</w:t>
      </w:r>
    </w:p>
    <w:p w14:paraId="5814AED5" w14:textId="1DC3974F" w:rsidR="003C34CD" w:rsidRDefault="00EB190E" w:rsidP="00490E49">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 xml:space="preserve">he Cayman Islands have signed up to transparency measures for the exchange of information </w:t>
      </w:r>
      <w:r>
        <w:rPr>
          <w:rFonts w:ascii="Arial" w:hAnsi="Arial" w:cs="Arial"/>
          <w:sz w:val="20"/>
          <w:szCs w:val="20"/>
        </w:rPr>
        <w:t>(</w:t>
      </w:r>
      <w:r w:rsidR="003C34CD" w:rsidRPr="008B5054">
        <w:rPr>
          <w:rFonts w:ascii="Arial" w:hAnsi="Arial" w:cs="Arial"/>
          <w:sz w:val="20"/>
          <w:szCs w:val="20"/>
        </w:rPr>
        <w:t>Foreign Account Tax Compliance Act (FATCA</w:t>
      </w:r>
      <w:r w:rsidR="003C34CD" w:rsidRPr="008B5054">
        <w:rPr>
          <w:rStyle w:val="FootnoteReference"/>
          <w:rFonts w:ascii="Arial" w:hAnsi="Arial" w:cs="Arial"/>
          <w:sz w:val="20"/>
          <w:szCs w:val="20"/>
        </w:rPr>
        <w:footnoteReference w:id="4"/>
      </w:r>
      <w:r w:rsidR="003C34CD" w:rsidRPr="008B5054">
        <w:rPr>
          <w:rFonts w:ascii="Arial" w:hAnsi="Arial" w:cs="Arial"/>
          <w:sz w:val="20"/>
          <w:szCs w:val="20"/>
        </w:rPr>
        <w:t>) and Common Reporting Standard (CRS</w:t>
      </w:r>
      <w:r w:rsidR="003C34CD" w:rsidRPr="008B5054">
        <w:rPr>
          <w:rStyle w:val="FootnoteReference"/>
          <w:rFonts w:ascii="Arial" w:hAnsi="Arial" w:cs="Arial"/>
          <w:sz w:val="20"/>
          <w:szCs w:val="20"/>
        </w:rPr>
        <w:footnoteReference w:id="5"/>
      </w:r>
      <w:r w:rsidR="003C34CD" w:rsidRPr="008B5054">
        <w:rPr>
          <w:rFonts w:ascii="Arial" w:hAnsi="Arial" w:cs="Arial"/>
          <w:sz w:val="20"/>
          <w:szCs w:val="20"/>
        </w:rPr>
        <w:t>)</w:t>
      </w:r>
      <w:r>
        <w:rPr>
          <w:rFonts w:ascii="Arial" w:hAnsi="Arial" w:cs="Arial"/>
          <w:sz w:val="20"/>
          <w:szCs w:val="20"/>
        </w:rPr>
        <w:t>)</w:t>
      </w:r>
      <w:r w:rsidR="003C34CD" w:rsidRPr="008B5054">
        <w:rPr>
          <w:rFonts w:ascii="Arial" w:hAnsi="Arial" w:cs="Arial"/>
          <w:sz w:val="20"/>
          <w:szCs w:val="20"/>
        </w:rPr>
        <w:t>.</w:t>
      </w:r>
    </w:p>
    <w:p w14:paraId="73907056" w14:textId="77777777" w:rsidR="00317D0C" w:rsidRPr="008B5054" w:rsidRDefault="00317D0C" w:rsidP="00317D0C">
      <w:pPr>
        <w:pStyle w:val="ListBullet"/>
        <w:numPr>
          <w:ilvl w:val="0"/>
          <w:numId w:val="0"/>
        </w:numPr>
        <w:tabs>
          <w:tab w:val="left" w:pos="850"/>
          <w:tab w:val="left" w:pos="1191"/>
          <w:tab w:val="left" w:pos="1531"/>
        </w:tabs>
        <w:spacing w:before="0" w:after="0"/>
        <w:ind w:left="850"/>
        <w:jc w:val="left"/>
        <w:rPr>
          <w:rFonts w:ascii="Arial" w:hAnsi="Arial" w:cs="Arial"/>
          <w:sz w:val="20"/>
          <w:szCs w:val="20"/>
        </w:rPr>
      </w:pPr>
    </w:p>
    <w:p w14:paraId="2C840C9A" w14:textId="3974D7FE" w:rsidR="003C34CD" w:rsidRDefault="003C34CD" w:rsidP="00317D0C">
      <w:pPr>
        <w:pStyle w:val="Paragraph"/>
        <w:spacing w:before="0" w:after="0"/>
        <w:jc w:val="left"/>
        <w:rPr>
          <w:rFonts w:ascii="Arial" w:hAnsi="Arial" w:cs="Arial"/>
          <w:sz w:val="20"/>
          <w:szCs w:val="20"/>
        </w:rPr>
      </w:pPr>
      <w:r w:rsidRPr="008B5054">
        <w:rPr>
          <w:rFonts w:ascii="Arial" w:hAnsi="Arial" w:cs="Arial"/>
          <w:sz w:val="20"/>
          <w:szCs w:val="20"/>
        </w:rPr>
        <w:t>The Board notes that many other infrastructure funds have this same structure due to its efficiency.</w:t>
      </w:r>
    </w:p>
    <w:p w14:paraId="528EEB90" w14:textId="77777777" w:rsidR="00317D0C" w:rsidRPr="008B5054" w:rsidRDefault="00317D0C" w:rsidP="00317D0C">
      <w:pPr>
        <w:pStyle w:val="Paragraph"/>
        <w:numPr>
          <w:ilvl w:val="0"/>
          <w:numId w:val="0"/>
        </w:numPr>
        <w:spacing w:before="0" w:after="0"/>
        <w:jc w:val="left"/>
        <w:rPr>
          <w:rFonts w:ascii="Arial" w:hAnsi="Arial" w:cs="Arial"/>
          <w:sz w:val="20"/>
          <w:szCs w:val="20"/>
        </w:rPr>
      </w:pPr>
    </w:p>
    <w:p w14:paraId="60E44703" w14:textId="3CBDECEE" w:rsidR="003C34CD" w:rsidRDefault="003C34CD" w:rsidP="00317D0C">
      <w:pPr>
        <w:pStyle w:val="Paragraph"/>
        <w:spacing w:before="0" w:after="0"/>
        <w:jc w:val="left"/>
        <w:rPr>
          <w:rFonts w:ascii="Arial" w:hAnsi="Arial" w:cs="Arial"/>
          <w:sz w:val="20"/>
          <w:szCs w:val="20"/>
        </w:rPr>
      </w:pPr>
      <w:r w:rsidRPr="008B5054">
        <w:rPr>
          <w:rFonts w:ascii="Arial" w:hAnsi="Arial" w:cs="Arial"/>
          <w:sz w:val="20"/>
          <w:szCs w:val="20"/>
        </w:rPr>
        <w:t>One of the questions that the Board analysed when selecting the IFM fund was the composition and characteristics of the other co-investors. The admission criteria and procedures described below by IFM seem to guarantee the high quality of such co-investors and the alignment of interests.</w:t>
      </w:r>
    </w:p>
    <w:p w14:paraId="5D372806" w14:textId="77777777" w:rsidR="00317D0C" w:rsidRPr="008B5054" w:rsidRDefault="00317D0C" w:rsidP="00317D0C">
      <w:pPr>
        <w:pStyle w:val="Paragraph"/>
        <w:numPr>
          <w:ilvl w:val="0"/>
          <w:numId w:val="0"/>
        </w:numPr>
        <w:spacing w:before="0" w:after="0"/>
        <w:jc w:val="left"/>
        <w:rPr>
          <w:rFonts w:ascii="Arial" w:hAnsi="Arial" w:cs="Arial"/>
          <w:sz w:val="20"/>
          <w:szCs w:val="20"/>
        </w:rPr>
      </w:pPr>
    </w:p>
    <w:p w14:paraId="30851A7A" w14:textId="415F2368" w:rsidR="003C34CD" w:rsidRDefault="003C34CD" w:rsidP="00317D0C">
      <w:pPr>
        <w:pStyle w:val="Paragraph"/>
        <w:spacing w:before="0" w:after="0"/>
        <w:jc w:val="left"/>
        <w:rPr>
          <w:rFonts w:ascii="Arial" w:hAnsi="Arial" w:cs="Arial"/>
          <w:sz w:val="20"/>
          <w:szCs w:val="20"/>
        </w:rPr>
      </w:pPr>
      <w:r w:rsidRPr="008B5054">
        <w:rPr>
          <w:rFonts w:ascii="Arial" w:hAnsi="Arial" w:cs="Arial"/>
          <w:sz w:val="20"/>
          <w:szCs w:val="20"/>
        </w:rPr>
        <w:t>Investors in the IFM Global Infrastructure fund are admitted as Limited Partners via Limited Partnerships in the investor’s local region. Investors from the EMEA region, for example, may invest through one (or more) of the five UK-domiciled Limited Partnerships, which in turn invest in the Master Trust</w:t>
      </w:r>
      <w:r w:rsidR="00EB190E">
        <w:rPr>
          <w:rFonts w:ascii="Arial" w:hAnsi="Arial" w:cs="Arial"/>
          <w:sz w:val="20"/>
          <w:szCs w:val="20"/>
        </w:rPr>
        <w:t>.</w:t>
      </w:r>
      <w:r w:rsidRPr="008B5054">
        <w:rPr>
          <w:rStyle w:val="FootnoteReference"/>
          <w:rFonts w:ascii="Arial" w:hAnsi="Arial" w:cs="Arial"/>
          <w:sz w:val="20"/>
          <w:szCs w:val="20"/>
        </w:rPr>
        <w:footnoteReference w:id="6"/>
      </w:r>
      <w:r w:rsidRPr="008B5054">
        <w:rPr>
          <w:rFonts w:ascii="Arial" w:hAnsi="Arial" w:cs="Arial"/>
          <w:sz w:val="20"/>
          <w:szCs w:val="20"/>
        </w:rPr>
        <w:t xml:space="preserve"> The fund’s investor base is 100% institutional and primarily comprises pension fund capital (&gt;90%)</w:t>
      </w:r>
      <w:r w:rsidR="00EB190E">
        <w:rPr>
          <w:rFonts w:ascii="Arial" w:hAnsi="Arial" w:cs="Arial"/>
          <w:sz w:val="20"/>
          <w:szCs w:val="20"/>
        </w:rPr>
        <w:t>.</w:t>
      </w:r>
      <w:r w:rsidRPr="008B5054">
        <w:rPr>
          <w:rStyle w:val="FootnoteReference"/>
          <w:rFonts w:ascii="Arial" w:hAnsi="Arial" w:cs="Arial"/>
          <w:sz w:val="20"/>
          <w:szCs w:val="20"/>
        </w:rPr>
        <w:footnoteReference w:id="7"/>
      </w:r>
      <w:r w:rsidRPr="008B5054">
        <w:rPr>
          <w:rFonts w:ascii="Arial" w:hAnsi="Arial" w:cs="Arial"/>
          <w:sz w:val="20"/>
          <w:szCs w:val="20"/>
        </w:rPr>
        <w:t xml:space="preserve">  Capital from other investor types may be subject to approval by IFM’s internal Suitability Committee.  IFM is highly selective of the types of capital they are prepared to accept. Investors must be well-capitalised, like-minded and long-term. Subscription documents containing questions relating to these qualifications are furnished to prospective investors, who should complete them and return them to the Operator. The Operator reserves the right to reject subscriptions </w:t>
      </w:r>
      <w:r w:rsidR="00EB190E">
        <w:rPr>
          <w:rFonts w:ascii="Arial" w:hAnsi="Arial" w:cs="Arial"/>
          <w:sz w:val="20"/>
          <w:szCs w:val="20"/>
        </w:rPr>
        <w:t>with</w:t>
      </w:r>
      <w:r w:rsidRPr="008B5054">
        <w:rPr>
          <w:rFonts w:ascii="Arial" w:hAnsi="Arial" w:cs="Arial"/>
          <w:sz w:val="20"/>
          <w:szCs w:val="20"/>
        </w:rPr>
        <w:t xml:space="preserve"> absolute discretion. The Partnership Agreement also provides that a Partner may not assign its Interest (except by operation of law), nor substitute another person as a Partner, without the prior consent of the Operator, which may be withheld for any reason. The foregoing restrictions on transferability and withdrawal must be regarded as substantial. Each purchaser of an Interest will be required to represent that the Interest is being acquired for its own account, for investment and not with intent to resell or distribute.</w:t>
      </w:r>
    </w:p>
    <w:p w14:paraId="79DE3501" w14:textId="77777777" w:rsidR="00317D0C" w:rsidRPr="008B5054" w:rsidRDefault="00317D0C" w:rsidP="00317D0C">
      <w:pPr>
        <w:pStyle w:val="Paragraph"/>
        <w:numPr>
          <w:ilvl w:val="0"/>
          <w:numId w:val="0"/>
        </w:numPr>
        <w:spacing w:before="0" w:after="0"/>
        <w:jc w:val="left"/>
        <w:rPr>
          <w:rFonts w:ascii="Arial" w:hAnsi="Arial" w:cs="Arial"/>
          <w:sz w:val="20"/>
          <w:szCs w:val="20"/>
        </w:rPr>
      </w:pPr>
    </w:p>
    <w:p w14:paraId="1DC32B20" w14:textId="77777777" w:rsidR="00317D0C" w:rsidRDefault="00317D0C">
      <w:pPr>
        <w:rPr>
          <w:rFonts w:eastAsia="Times New Roman" w:cs="Arial"/>
          <w:szCs w:val="20"/>
        </w:rPr>
      </w:pPr>
      <w:r>
        <w:rPr>
          <w:rFonts w:cs="Arial"/>
          <w:szCs w:val="20"/>
        </w:rPr>
        <w:br w:type="page"/>
      </w:r>
    </w:p>
    <w:p w14:paraId="7D5592BB" w14:textId="1EC8F09B" w:rsidR="003C34CD" w:rsidRPr="00317D0C" w:rsidRDefault="003C34CD" w:rsidP="00317D0C">
      <w:pPr>
        <w:pStyle w:val="Paragraph"/>
        <w:spacing w:before="0" w:after="0"/>
        <w:jc w:val="left"/>
        <w:rPr>
          <w:rFonts w:ascii="Arial" w:hAnsi="Arial" w:cs="Arial"/>
          <w:sz w:val="20"/>
          <w:szCs w:val="20"/>
        </w:rPr>
      </w:pPr>
      <w:r w:rsidRPr="00317D0C">
        <w:rPr>
          <w:rFonts w:ascii="Arial" w:hAnsi="Arial" w:cs="Arial"/>
          <w:sz w:val="20"/>
          <w:szCs w:val="20"/>
        </w:rPr>
        <w:t xml:space="preserve">As part of the Operator’s responsibility for the prevention of money laundering under applicable laws, the Operator may require a detailed verification of a prospective Limited Partner’s identity and the source of such prospective Limited Partner’s funds for investment. In the event of delay or failure by a prospective Limited Partner to produce any such information required for verification purposes, the Operator may refuse to admit the Limited Partner to the Partnership. As a result, the Operator may from time to time request (outside of the subscription process), and the Limited Partners will be obligated to provide to the Operator upon such request, additional information as may be required for the Operator and the Partnership to satisfy their respective obligations under these and other laws that may be adopted in the future. In addition, the General Partner and the Operator may from time to time be obligated to file reports with regulatory authorities in various jurisdictions </w:t>
      </w:r>
      <w:proofErr w:type="gramStart"/>
      <w:r w:rsidRPr="00317D0C">
        <w:rPr>
          <w:rFonts w:ascii="Arial" w:hAnsi="Arial" w:cs="Arial"/>
          <w:sz w:val="20"/>
          <w:szCs w:val="20"/>
        </w:rPr>
        <w:t>with regard to</w:t>
      </w:r>
      <w:proofErr w:type="gramEnd"/>
      <w:r w:rsidRPr="00317D0C">
        <w:rPr>
          <w:rFonts w:ascii="Arial" w:hAnsi="Arial" w:cs="Arial"/>
          <w:sz w:val="20"/>
          <w:szCs w:val="20"/>
        </w:rPr>
        <w:t xml:space="preserve">, among other things, the identity of the Limited Partners and suspicious activities involving the Interests. </w:t>
      </w:r>
    </w:p>
    <w:p w14:paraId="3A30339C" w14:textId="635A22AB" w:rsidR="003C34CD" w:rsidRPr="00317D0C" w:rsidRDefault="003C34CD" w:rsidP="00317D0C">
      <w:pPr>
        <w:rPr>
          <w:rFonts w:eastAsia="Times New Roman" w:cs="Arial"/>
          <w:szCs w:val="20"/>
        </w:rPr>
      </w:pPr>
    </w:p>
    <w:p w14:paraId="56EB1D06" w14:textId="5C899FC6" w:rsidR="003C34CD" w:rsidRDefault="003C34CD" w:rsidP="00317D0C">
      <w:pPr>
        <w:pStyle w:val="Paragraph"/>
        <w:spacing w:before="0" w:after="0"/>
        <w:jc w:val="left"/>
        <w:rPr>
          <w:rFonts w:ascii="Arial" w:hAnsi="Arial" w:cs="Arial"/>
          <w:sz w:val="20"/>
          <w:szCs w:val="20"/>
        </w:rPr>
      </w:pPr>
      <w:r w:rsidRPr="00317D0C">
        <w:rPr>
          <w:rFonts w:ascii="Arial" w:hAnsi="Arial" w:cs="Arial"/>
          <w:sz w:val="20"/>
          <w:szCs w:val="20"/>
        </w:rPr>
        <w:t>In the event it is determined that any Limited Partner, or any direct or indirect owner of any Limited Partner, is a person identified in any of these laws as a prohibited person, or is otherwise engaged in activities of the type prohibited under these laws, the Operator may be obligated, among other actions to be taken, to withhold distributions of any funds otherwise owing to such Limited Partner or to cause such Limited Partner’s Interests to be cancelled or otherwise redeemed.</w:t>
      </w:r>
    </w:p>
    <w:p w14:paraId="26C3501D" w14:textId="77777777" w:rsidR="00317D0C" w:rsidRPr="00317D0C" w:rsidRDefault="00317D0C" w:rsidP="00317D0C">
      <w:pPr>
        <w:pStyle w:val="Paragraph"/>
        <w:numPr>
          <w:ilvl w:val="0"/>
          <w:numId w:val="0"/>
        </w:numPr>
        <w:spacing w:before="0" w:after="0"/>
        <w:jc w:val="left"/>
        <w:rPr>
          <w:rFonts w:ascii="Arial" w:hAnsi="Arial" w:cs="Arial"/>
          <w:sz w:val="20"/>
          <w:szCs w:val="20"/>
        </w:rPr>
      </w:pPr>
    </w:p>
    <w:p w14:paraId="14C54A38" w14:textId="6CEAEC57" w:rsidR="003C34CD" w:rsidRDefault="003C34CD" w:rsidP="00317D0C">
      <w:pPr>
        <w:pStyle w:val="Paragraph"/>
        <w:spacing w:before="0" w:after="0"/>
        <w:jc w:val="left"/>
        <w:rPr>
          <w:rFonts w:ascii="Arial" w:hAnsi="Arial" w:cs="Arial"/>
          <w:sz w:val="20"/>
          <w:szCs w:val="20"/>
        </w:rPr>
      </w:pPr>
      <w:r w:rsidRPr="00317D0C">
        <w:rPr>
          <w:rFonts w:ascii="Arial" w:hAnsi="Arial" w:cs="Arial"/>
          <w:sz w:val="20"/>
          <w:szCs w:val="20"/>
        </w:rPr>
        <w:t>The Partnership may refuse to accept a subscription from a subscriber or compel the withdrawal from the Partnership of a Limited Partner who fails to provide any information requested by the Partnership pursuant to the UK Money Laundering, Terrorist Financing and Transfer of Funds (Information on the Payer) Regulations 2017, the UK Proceeds of Crime Act 2002 or the UK Counter-Terrorism Act 2008 or to any other applicable anti-money laundering regulations of any jurisdiction (</w:t>
      </w:r>
      <w:r w:rsidR="00270954">
        <w:rPr>
          <w:rFonts w:ascii="Arial" w:hAnsi="Arial" w:cs="Arial"/>
          <w:sz w:val="20"/>
          <w:szCs w:val="20"/>
        </w:rPr>
        <w:t>“</w:t>
      </w:r>
      <w:r w:rsidRPr="00317D0C">
        <w:rPr>
          <w:rFonts w:ascii="Arial" w:hAnsi="Arial" w:cs="Arial"/>
          <w:sz w:val="20"/>
          <w:szCs w:val="20"/>
        </w:rPr>
        <w:t>Anti-Money Laundering Regulations</w:t>
      </w:r>
      <w:r w:rsidR="00270954">
        <w:rPr>
          <w:rFonts w:ascii="Arial" w:hAnsi="Arial" w:cs="Arial"/>
          <w:sz w:val="20"/>
          <w:szCs w:val="20"/>
        </w:rPr>
        <w:t>”</w:t>
      </w:r>
      <w:r w:rsidRPr="00317D0C">
        <w:rPr>
          <w:rFonts w:ascii="Arial" w:hAnsi="Arial" w:cs="Arial"/>
          <w:sz w:val="20"/>
          <w:szCs w:val="20"/>
        </w:rPr>
        <w:t>).</w:t>
      </w:r>
    </w:p>
    <w:p w14:paraId="54BC6CB1" w14:textId="77777777" w:rsidR="00317D0C" w:rsidRPr="00317D0C" w:rsidRDefault="00317D0C" w:rsidP="00317D0C">
      <w:pPr>
        <w:pStyle w:val="Paragraph"/>
        <w:numPr>
          <w:ilvl w:val="0"/>
          <w:numId w:val="0"/>
        </w:numPr>
        <w:spacing w:before="0" w:after="0"/>
        <w:jc w:val="left"/>
        <w:rPr>
          <w:rFonts w:ascii="Arial" w:hAnsi="Arial" w:cs="Arial"/>
          <w:sz w:val="20"/>
          <w:szCs w:val="20"/>
        </w:rPr>
      </w:pPr>
    </w:p>
    <w:p w14:paraId="6FBD146B" w14:textId="084FC2A0" w:rsidR="003C34CD" w:rsidRDefault="003C34CD" w:rsidP="00317D0C">
      <w:pPr>
        <w:pStyle w:val="Paragraph"/>
        <w:spacing w:before="0" w:after="0"/>
        <w:jc w:val="left"/>
        <w:rPr>
          <w:rFonts w:ascii="Arial" w:hAnsi="Arial" w:cs="Arial"/>
          <w:sz w:val="20"/>
          <w:szCs w:val="20"/>
        </w:rPr>
      </w:pPr>
      <w:r w:rsidRPr="00317D0C">
        <w:rPr>
          <w:rFonts w:ascii="Arial" w:hAnsi="Arial" w:cs="Arial"/>
          <w:sz w:val="20"/>
          <w:szCs w:val="20"/>
        </w:rPr>
        <w:t>The Partnership may suspend the withdrawal rights of any Limited Partner if the Operator reasonably deems it necessary to do so in order to comply with the Anti-Money Laundering Regulations, or if so ordered or requested by a competent or other court or regulatory authority. Under Anti-Money Laundering Regulations, the Partnership may also be required to report investors’ transactions with the Partnership and to disclose the identity of Limited Partners to governmental authorities.</w:t>
      </w:r>
    </w:p>
    <w:p w14:paraId="76EA2307" w14:textId="77777777" w:rsidR="00317D0C" w:rsidRPr="00317D0C" w:rsidRDefault="00317D0C" w:rsidP="00317D0C">
      <w:pPr>
        <w:pStyle w:val="Paragraph"/>
        <w:numPr>
          <w:ilvl w:val="0"/>
          <w:numId w:val="0"/>
        </w:numPr>
        <w:spacing w:before="0" w:after="0"/>
        <w:jc w:val="left"/>
        <w:rPr>
          <w:rFonts w:ascii="Arial" w:hAnsi="Arial" w:cs="Arial"/>
          <w:sz w:val="20"/>
          <w:szCs w:val="20"/>
        </w:rPr>
      </w:pPr>
    </w:p>
    <w:p w14:paraId="43C5310D" w14:textId="5A091B88" w:rsidR="003C34CD" w:rsidRDefault="003C34CD" w:rsidP="00317D0C">
      <w:pPr>
        <w:pStyle w:val="Heading2"/>
        <w:spacing w:before="0" w:after="0"/>
        <w:rPr>
          <w:rFonts w:ascii="Arial" w:hAnsi="Arial"/>
          <w:sz w:val="20"/>
          <w:szCs w:val="20"/>
        </w:rPr>
      </w:pPr>
      <w:r w:rsidRPr="00317D0C">
        <w:rPr>
          <w:rFonts w:ascii="Arial" w:hAnsi="Arial"/>
          <w:sz w:val="20"/>
          <w:szCs w:val="20"/>
        </w:rPr>
        <w:t>ANALYSIS OF THE ELIGIBILITY OF THE IFM FUND FOR THE PRF: COMPLIANCE WITH THE S</w:t>
      </w:r>
      <w:r w:rsidR="00EB190E" w:rsidRPr="00317D0C">
        <w:rPr>
          <w:rFonts w:ascii="Arial" w:hAnsi="Arial"/>
          <w:sz w:val="20"/>
          <w:szCs w:val="20"/>
        </w:rPr>
        <w:t>RI</w:t>
      </w:r>
      <w:r w:rsidRPr="00317D0C">
        <w:rPr>
          <w:rFonts w:ascii="Arial" w:hAnsi="Arial"/>
          <w:sz w:val="20"/>
          <w:szCs w:val="20"/>
        </w:rPr>
        <w:t xml:space="preserve"> INVESTMENT POLICY AND REPUTATIONAL RISK</w:t>
      </w:r>
    </w:p>
    <w:p w14:paraId="2A72151D" w14:textId="77777777" w:rsidR="00317D0C" w:rsidRPr="00317D0C" w:rsidRDefault="00317D0C" w:rsidP="00317D0C">
      <w:pPr>
        <w:rPr>
          <w:lang w:eastAsia="fr-FR"/>
        </w:rPr>
      </w:pPr>
    </w:p>
    <w:p w14:paraId="7EF79403" w14:textId="75A0B1CE" w:rsidR="003C34CD" w:rsidRDefault="003C34CD" w:rsidP="00317D0C">
      <w:pPr>
        <w:pStyle w:val="Paragraph"/>
        <w:spacing w:before="0" w:after="0"/>
        <w:jc w:val="left"/>
        <w:rPr>
          <w:rFonts w:ascii="Arial" w:hAnsi="Arial" w:cs="Arial"/>
          <w:sz w:val="20"/>
          <w:szCs w:val="20"/>
        </w:rPr>
      </w:pPr>
      <w:r w:rsidRPr="00317D0C">
        <w:rPr>
          <w:rFonts w:ascii="Arial" w:hAnsi="Arial" w:cs="Arial"/>
          <w:sz w:val="20"/>
          <w:szCs w:val="20"/>
        </w:rPr>
        <w:t>To assess the eligibility of the IFM fund, the Board analysed whether the investment of the PRF in the IFM fund could be:</w:t>
      </w:r>
    </w:p>
    <w:p w14:paraId="30D2157C" w14:textId="77777777" w:rsidR="00317D0C" w:rsidRPr="00317D0C" w:rsidRDefault="00317D0C" w:rsidP="00317D0C">
      <w:pPr>
        <w:pStyle w:val="Paragraph"/>
        <w:numPr>
          <w:ilvl w:val="0"/>
          <w:numId w:val="0"/>
        </w:numPr>
        <w:spacing w:before="0" w:after="0"/>
        <w:jc w:val="left"/>
        <w:rPr>
          <w:rFonts w:ascii="Arial" w:hAnsi="Arial" w:cs="Arial"/>
          <w:sz w:val="20"/>
          <w:szCs w:val="20"/>
        </w:rPr>
      </w:pPr>
    </w:p>
    <w:p w14:paraId="7AF6448D" w14:textId="3C4DB459" w:rsidR="003C34CD" w:rsidRPr="00317D0C" w:rsidRDefault="003C34CD" w:rsidP="00317D0C">
      <w:pPr>
        <w:pStyle w:val="ListNumber2"/>
        <w:tabs>
          <w:tab w:val="clear" w:pos="643"/>
          <w:tab w:val="left" w:pos="567"/>
        </w:tabs>
        <w:ind w:left="1276" w:hanging="709"/>
        <w:contextualSpacing w:val="0"/>
        <w:jc w:val="left"/>
        <w:rPr>
          <w:rFonts w:ascii="Arial" w:hAnsi="Arial" w:cs="Arial"/>
          <w:sz w:val="20"/>
          <w:szCs w:val="20"/>
        </w:rPr>
      </w:pPr>
      <w:r w:rsidRPr="00317D0C">
        <w:rPr>
          <w:rFonts w:ascii="Arial" w:hAnsi="Arial" w:cs="Arial"/>
          <w:sz w:val="20"/>
          <w:szCs w:val="20"/>
        </w:rPr>
        <w:t>against the extra-financial or Socially Responsible Investment (SRI) policy of the Fund</w:t>
      </w:r>
      <w:r w:rsidR="00EB190E" w:rsidRPr="00317D0C">
        <w:rPr>
          <w:rFonts w:ascii="Arial" w:hAnsi="Arial" w:cs="Arial"/>
          <w:sz w:val="20"/>
          <w:szCs w:val="20"/>
        </w:rPr>
        <w:t>;</w:t>
      </w:r>
    </w:p>
    <w:p w14:paraId="54B0D307" w14:textId="51762CD5" w:rsidR="003C34CD" w:rsidRPr="00317D0C" w:rsidRDefault="003C34CD" w:rsidP="00317D0C">
      <w:pPr>
        <w:pStyle w:val="ListNumber2"/>
        <w:tabs>
          <w:tab w:val="clear" w:pos="643"/>
          <w:tab w:val="left" w:pos="567"/>
        </w:tabs>
        <w:ind w:left="1276" w:hanging="709"/>
        <w:contextualSpacing w:val="0"/>
        <w:jc w:val="left"/>
        <w:rPr>
          <w:rFonts w:ascii="Arial" w:hAnsi="Arial" w:cs="Arial"/>
          <w:sz w:val="20"/>
          <w:szCs w:val="20"/>
        </w:rPr>
      </w:pPr>
      <w:r w:rsidRPr="00317D0C">
        <w:rPr>
          <w:rFonts w:ascii="Arial" w:hAnsi="Arial" w:cs="Arial"/>
          <w:sz w:val="20"/>
          <w:szCs w:val="20"/>
        </w:rPr>
        <w:t xml:space="preserve">potentially harmful for the reputation of the </w:t>
      </w:r>
      <w:r w:rsidR="00EB190E" w:rsidRPr="00317D0C">
        <w:rPr>
          <w:rFonts w:ascii="Arial" w:hAnsi="Arial" w:cs="Arial"/>
          <w:sz w:val="20"/>
          <w:szCs w:val="20"/>
        </w:rPr>
        <w:t>Council of Europe</w:t>
      </w:r>
      <w:r w:rsidRPr="00317D0C">
        <w:rPr>
          <w:rFonts w:ascii="Arial" w:hAnsi="Arial" w:cs="Arial"/>
          <w:sz w:val="20"/>
          <w:szCs w:val="20"/>
        </w:rPr>
        <w:t>, i.e. generate negative publicity, public perception or other uncontrollable events</w:t>
      </w:r>
      <w:r w:rsidR="00EB190E" w:rsidRPr="00317D0C">
        <w:rPr>
          <w:rFonts w:ascii="Arial" w:hAnsi="Arial" w:cs="Arial"/>
          <w:iCs/>
          <w:sz w:val="20"/>
          <w:szCs w:val="20"/>
        </w:rPr>
        <w:t>;</w:t>
      </w:r>
    </w:p>
    <w:p w14:paraId="3DA2B5AE" w14:textId="77777777" w:rsidR="00317D0C" w:rsidRPr="00317D0C" w:rsidRDefault="00317D0C" w:rsidP="00317D0C">
      <w:pPr>
        <w:pStyle w:val="ListNumber2"/>
        <w:numPr>
          <w:ilvl w:val="0"/>
          <w:numId w:val="0"/>
        </w:numPr>
        <w:tabs>
          <w:tab w:val="left" w:pos="1191"/>
          <w:tab w:val="left" w:pos="1531"/>
        </w:tabs>
        <w:ind w:left="993"/>
        <w:contextualSpacing w:val="0"/>
        <w:jc w:val="left"/>
        <w:rPr>
          <w:rFonts w:ascii="Arial" w:hAnsi="Arial" w:cs="Arial"/>
          <w:sz w:val="20"/>
          <w:szCs w:val="20"/>
        </w:rPr>
      </w:pPr>
    </w:p>
    <w:p w14:paraId="1E9C8C7C" w14:textId="6BC250C3" w:rsidR="003C34CD" w:rsidRDefault="00EB190E" w:rsidP="00317D0C">
      <w:pPr>
        <w:pStyle w:val="Paragraph0"/>
        <w:spacing w:before="0" w:after="0"/>
        <w:jc w:val="left"/>
        <w:rPr>
          <w:rFonts w:ascii="Arial" w:hAnsi="Arial" w:cs="Arial"/>
          <w:sz w:val="20"/>
          <w:szCs w:val="20"/>
        </w:rPr>
      </w:pPr>
      <w:r w:rsidRPr="00317D0C">
        <w:rPr>
          <w:rFonts w:ascii="Arial" w:hAnsi="Arial" w:cs="Arial"/>
          <w:sz w:val="20"/>
          <w:szCs w:val="20"/>
        </w:rPr>
        <w:t>d</w:t>
      </w:r>
      <w:r w:rsidR="003C34CD" w:rsidRPr="00317D0C">
        <w:rPr>
          <w:rFonts w:ascii="Arial" w:hAnsi="Arial" w:cs="Arial"/>
          <w:sz w:val="20"/>
          <w:szCs w:val="20"/>
        </w:rPr>
        <w:t>ue to the IFM fund’s legal structure that allows efficiency in the treatment of taxes on dividends and interest payments from investments, and/or because the Cayman Islands may be perceived as a jurisdiction non-compliant with international standards on transparency and exchange of information for tax purposes and anti-money laundering.</w:t>
      </w:r>
    </w:p>
    <w:p w14:paraId="18A12A79" w14:textId="77777777" w:rsidR="00317D0C" w:rsidRPr="00317D0C" w:rsidRDefault="00317D0C" w:rsidP="00317D0C">
      <w:pPr>
        <w:pStyle w:val="Paragraph0"/>
        <w:spacing w:before="0" w:after="0"/>
        <w:jc w:val="left"/>
        <w:rPr>
          <w:rFonts w:ascii="Arial" w:hAnsi="Arial" w:cs="Arial"/>
          <w:sz w:val="20"/>
          <w:szCs w:val="20"/>
        </w:rPr>
      </w:pPr>
    </w:p>
    <w:p w14:paraId="76C63BD3" w14:textId="356321FE" w:rsidR="003C34CD" w:rsidRDefault="003C34CD" w:rsidP="00317D0C">
      <w:pPr>
        <w:pStyle w:val="Paragraph"/>
        <w:spacing w:before="0" w:after="0"/>
        <w:jc w:val="left"/>
        <w:rPr>
          <w:rFonts w:ascii="Arial" w:hAnsi="Arial" w:cs="Arial"/>
          <w:sz w:val="20"/>
          <w:szCs w:val="20"/>
        </w:rPr>
      </w:pPr>
      <w:r w:rsidRPr="00317D0C">
        <w:rPr>
          <w:rFonts w:ascii="Arial" w:hAnsi="Arial" w:cs="Arial"/>
          <w:sz w:val="20"/>
          <w:szCs w:val="20"/>
        </w:rPr>
        <w:t xml:space="preserve">Given the difficulty of concluding on both questions, the Board decided to consult the Committee of Ministers as the owner of the PRF and responsible for the investment policy and reputational risk for the </w:t>
      </w:r>
      <w:r w:rsidR="00EB190E" w:rsidRPr="00317D0C">
        <w:rPr>
          <w:rFonts w:ascii="Arial" w:hAnsi="Arial" w:cs="Arial"/>
          <w:sz w:val="20"/>
          <w:szCs w:val="20"/>
        </w:rPr>
        <w:t>Council of Europe</w:t>
      </w:r>
      <w:r w:rsidRPr="00317D0C">
        <w:rPr>
          <w:rFonts w:ascii="Arial" w:hAnsi="Arial" w:cs="Arial"/>
          <w:sz w:val="20"/>
          <w:szCs w:val="20"/>
        </w:rPr>
        <w:t>.</w:t>
      </w:r>
    </w:p>
    <w:p w14:paraId="371BD821" w14:textId="77777777" w:rsidR="00317D0C" w:rsidRPr="00317D0C" w:rsidRDefault="00317D0C" w:rsidP="00317D0C">
      <w:pPr>
        <w:pStyle w:val="Paragraph"/>
        <w:numPr>
          <w:ilvl w:val="0"/>
          <w:numId w:val="0"/>
        </w:numPr>
        <w:spacing w:before="0" w:after="0"/>
        <w:jc w:val="left"/>
        <w:rPr>
          <w:rFonts w:ascii="Arial" w:hAnsi="Arial" w:cs="Arial"/>
          <w:sz w:val="20"/>
          <w:szCs w:val="20"/>
        </w:rPr>
      </w:pPr>
    </w:p>
    <w:p w14:paraId="2DF1F222" w14:textId="0CFDB184" w:rsidR="003C34CD" w:rsidRDefault="003C34CD" w:rsidP="00317D0C">
      <w:pPr>
        <w:pStyle w:val="Paragraph"/>
        <w:spacing w:before="0" w:after="0"/>
        <w:jc w:val="left"/>
        <w:rPr>
          <w:rFonts w:ascii="Arial" w:hAnsi="Arial" w:cs="Arial"/>
          <w:sz w:val="20"/>
          <w:szCs w:val="20"/>
        </w:rPr>
      </w:pPr>
      <w:r w:rsidRPr="00317D0C">
        <w:rPr>
          <w:rFonts w:ascii="Arial" w:hAnsi="Arial" w:cs="Arial"/>
          <w:sz w:val="20"/>
          <w:szCs w:val="20"/>
        </w:rPr>
        <w:t xml:space="preserve">If the answer to any or </w:t>
      </w:r>
      <w:proofErr w:type="gramStart"/>
      <w:r w:rsidRPr="00317D0C">
        <w:rPr>
          <w:rFonts w:ascii="Arial" w:hAnsi="Arial" w:cs="Arial"/>
          <w:sz w:val="20"/>
          <w:szCs w:val="20"/>
        </w:rPr>
        <w:t>both of the two</w:t>
      </w:r>
      <w:proofErr w:type="gramEnd"/>
      <w:r w:rsidRPr="00317D0C">
        <w:rPr>
          <w:rFonts w:ascii="Arial" w:hAnsi="Arial" w:cs="Arial"/>
          <w:sz w:val="20"/>
          <w:szCs w:val="20"/>
        </w:rPr>
        <w:t xml:space="preserve"> questions is positive, the investment in the IFM fund will not be made in which case the Board will have to look for an alternative solution for implementing the infrastructure allocation. Given the lack of other infrastructure funds meeting the SPS criteria, as well as the complexity and novelty of infrastructure investments, the Board would have to rely on the services of a specialised advisor. This advisor would be asked to discern opportunities in the market (i.e. find funds available for investment), to evaluate them, to do the extensive and complex due diligence within the potentially limited time frame linked to investment window opportunities, and to follow up on the investments. This is estimated to increase the level of fees by 0.5%-1</w:t>
      </w:r>
      <w:proofErr w:type="gramStart"/>
      <w:r w:rsidRPr="00317D0C">
        <w:rPr>
          <w:rFonts w:ascii="Arial" w:hAnsi="Arial" w:cs="Arial"/>
          <w:sz w:val="20"/>
          <w:szCs w:val="20"/>
        </w:rPr>
        <w:t>%, and</w:t>
      </w:r>
      <w:proofErr w:type="gramEnd"/>
      <w:r w:rsidRPr="00317D0C">
        <w:rPr>
          <w:rFonts w:ascii="Arial" w:hAnsi="Arial" w:cs="Arial"/>
          <w:sz w:val="20"/>
          <w:szCs w:val="20"/>
        </w:rPr>
        <w:t xml:space="preserve"> would require more administration work as well as more time for the implementation.</w:t>
      </w:r>
    </w:p>
    <w:p w14:paraId="7B8FBE9C" w14:textId="77777777" w:rsidR="00317D0C" w:rsidRPr="00317D0C" w:rsidRDefault="00317D0C" w:rsidP="00317D0C">
      <w:pPr>
        <w:pStyle w:val="Paragraph"/>
        <w:numPr>
          <w:ilvl w:val="0"/>
          <w:numId w:val="0"/>
        </w:numPr>
        <w:spacing w:before="0" w:after="0"/>
        <w:jc w:val="left"/>
        <w:rPr>
          <w:rFonts w:ascii="Arial" w:hAnsi="Arial" w:cs="Arial"/>
          <w:sz w:val="20"/>
          <w:szCs w:val="20"/>
        </w:rPr>
      </w:pPr>
    </w:p>
    <w:p w14:paraId="3F31EB0F" w14:textId="77777777" w:rsidR="00317D0C" w:rsidRDefault="00317D0C">
      <w:pPr>
        <w:rPr>
          <w:rFonts w:eastAsia="Times New Roman" w:cs="Arial"/>
          <w:b/>
          <w:bCs/>
          <w:caps/>
          <w:szCs w:val="20"/>
          <w:lang w:eastAsia="fr-FR"/>
        </w:rPr>
      </w:pPr>
      <w:r>
        <w:rPr>
          <w:szCs w:val="20"/>
        </w:rPr>
        <w:br w:type="page"/>
      </w:r>
    </w:p>
    <w:p w14:paraId="35E2CC28" w14:textId="7A7CFCA8" w:rsidR="003C34CD" w:rsidRDefault="003C34CD" w:rsidP="00291980">
      <w:pPr>
        <w:pStyle w:val="Heading2-Numbered"/>
        <w:tabs>
          <w:tab w:val="clear" w:pos="850"/>
          <w:tab w:val="clear" w:pos="1191"/>
          <w:tab w:val="clear" w:pos="1531"/>
          <w:tab w:val="left" w:pos="0"/>
        </w:tabs>
        <w:spacing w:before="0" w:after="0"/>
        <w:jc w:val="left"/>
        <w:rPr>
          <w:rFonts w:ascii="Arial" w:hAnsi="Arial"/>
          <w:sz w:val="20"/>
          <w:szCs w:val="20"/>
        </w:rPr>
      </w:pPr>
      <w:r w:rsidRPr="00317D0C">
        <w:rPr>
          <w:rFonts w:ascii="Arial" w:hAnsi="Arial"/>
          <w:sz w:val="20"/>
          <w:szCs w:val="20"/>
        </w:rPr>
        <w:t xml:space="preserve">cOMPLIANCE WITH </w:t>
      </w:r>
      <w:r w:rsidR="00EB190E" w:rsidRPr="00317D0C">
        <w:rPr>
          <w:rFonts w:ascii="Arial" w:hAnsi="Arial"/>
          <w:sz w:val="20"/>
          <w:szCs w:val="20"/>
        </w:rPr>
        <w:t>THE Council of Europe</w:t>
      </w:r>
      <w:r w:rsidRPr="00317D0C">
        <w:rPr>
          <w:rFonts w:ascii="Arial" w:hAnsi="Arial"/>
          <w:sz w:val="20"/>
          <w:szCs w:val="20"/>
        </w:rPr>
        <w:t>’s SRI POLICY</w:t>
      </w:r>
    </w:p>
    <w:p w14:paraId="27F5BFC1" w14:textId="77777777" w:rsidR="00317D0C" w:rsidRPr="00317D0C" w:rsidRDefault="00317D0C" w:rsidP="00317D0C">
      <w:pPr>
        <w:pStyle w:val="Heading2-Numbered"/>
        <w:spacing w:before="0" w:after="0"/>
        <w:ind w:firstLine="0"/>
        <w:jc w:val="left"/>
        <w:rPr>
          <w:rFonts w:ascii="Arial" w:hAnsi="Arial"/>
          <w:sz w:val="20"/>
          <w:szCs w:val="20"/>
        </w:rPr>
      </w:pPr>
    </w:p>
    <w:p w14:paraId="58BEF126" w14:textId="0FC64655" w:rsidR="003C34CD" w:rsidRDefault="003C34CD" w:rsidP="00272E67">
      <w:pPr>
        <w:pStyle w:val="Paragraph"/>
        <w:tabs>
          <w:tab w:val="clear" w:pos="850"/>
          <w:tab w:val="clear" w:pos="1191"/>
          <w:tab w:val="clear" w:pos="1531"/>
          <w:tab w:val="left" w:pos="0"/>
        </w:tabs>
        <w:spacing w:before="0" w:after="0"/>
        <w:jc w:val="left"/>
        <w:rPr>
          <w:rFonts w:ascii="Arial" w:hAnsi="Arial" w:cs="Arial"/>
          <w:sz w:val="20"/>
          <w:szCs w:val="20"/>
        </w:rPr>
      </w:pPr>
      <w:r w:rsidRPr="00317D0C">
        <w:rPr>
          <w:rFonts w:ascii="Arial" w:hAnsi="Arial" w:cs="Arial"/>
          <w:sz w:val="20"/>
          <w:szCs w:val="20"/>
        </w:rPr>
        <w:t xml:space="preserve">The current SRI policy of the </w:t>
      </w:r>
      <w:r w:rsidR="00EB190E" w:rsidRPr="00317D0C">
        <w:rPr>
          <w:rFonts w:ascii="Arial" w:hAnsi="Arial" w:cs="Arial"/>
          <w:sz w:val="20"/>
          <w:szCs w:val="20"/>
        </w:rPr>
        <w:t>Council of Europe</w:t>
      </w:r>
      <w:r w:rsidRPr="00317D0C">
        <w:rPr>
          <w:rFonts w:ascii="Arial" w:hAnsi="Arial" w:cs="Arial"/>
          <w:sz w:val="20"/>
          <w:szCs w:val="20"/>
        </w:rPr>
        <w:t xml:space="preserve"> does not make any reference to preventing investments in funds and fund structures that allow efficiency in the treatment of taxes on dividends and interest payments from investments. Therefore, on this point, the investment in the IFM fund is considered compliant with the investment policy of the PRF.</w:t>
      </w:r>
    </w:p>
    <w:p w14:paraId="4484E5EC" w14:textId="77777777" w:rsidR="00490E49" w:rsidRPr="00317D0C" w:rsidRDefault="00490E49" w:rsidP="00272E67">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303617BF" w14:textId="3975792C" w:rsidR="003C34CD" w:rsidRDefault="003C34CD" w:rsidP="00272E67">
      <w:pPr>
        <w:pStyle w:val="Paragraph"/>
        <w:tabs>
          <w:tab w:val="clear" w:pos="850"/>
          <w:tab w:val="clear" w:pos="1191"/>
          <w:tab w:val="clear" w:pos="1531"/>
          <w:tab w:val="left" w:pos="0"/>
        </w:tabs>
        <w:spacing w:before="0" w:after="0"/>
        <w:jc w:val="left"/>
        <w:rPr>
          <w:rFonts w:ascii="Arial" w:hAnsi="Arial" w:cs="Arial"/>
          <w:sz w:val="20"/>
          <w:szCs w:val="20"/>
        </w:rPr>
      </w:pPr>
      <w:r w:rsidRPr="00317D0C">
        <w:rPr>
          <w:rFonts w:ascii="Arial" w:hAnsi="Arial" w:cs="Arial"/>
          <w:sz w:val="20"/>
          <w:szCs w:val="20"/>
        </w:rPr>
        <w:t xml:space="preserve">As regards the fund’s domicile in jurisdictions that may be perceived as non-compliant with international standards on transparency and exchange of information for tax purposes and anti-money laundering, </w:t>
      </w:r>
      <w:r w:rsidR="00EB190E" w:rsidRPr="00317D0C">
        <w:rPr>
          <w:rFonts w:ascii="Arial" w:hAnsi="Arial" w:cs="Arial"/>
          <w:sz w:val="20"/>
          <w:szCs w:val="20"/>
        </w:rPr>
        <w:t>A</w:t>
      </w:r>
      <w:r w:rsidRPr="00317D0C">
        <w:rPr>
          <w:rFonts w:ascii="Arial" w:hAnsi="Arial" w:cs="Arial"/>
          <w:sz w:val="20"/>
          <w:szCs w:val="20"/>
        </w:rPr>
        <w:t xml:space="preserve">rticle 18 of the </w:t>
      </w:r>
      <w:r w:rsidR="00EB190E" w:rsidRPr="00317D0C">
        <w:rPr>
          <w:rFonts w:ascii="Arial" w:hAnsi="Arial" w:cs="Arial"/>
          <w:sz w:val="20"/>
          <w:szCs w:val="20"/>
        </w:rPr>
        <w:t>Council of Europe</w:t>
      </w:r>
      <w:r w:rsidRPr="00317D0C">
        <w:rPr>
          <w:rFonts w:ascii="Arial" w:hAnsi="Arial" w:cs="Arial"/>
          <w:sz w:val="20"/>
          <w:szCs w:val="20"/>
        </w:rPr>
        <w:t>’s SRI policy states that</w:t>
      </w:r>
      <w:r w:rsidRPr="00317D0C">
        <w:rPr>
          <w:rFonts w:ascii="Arial" w:hAnsi="Arial" w:cs="Arial"/>
          <w:i/>
          <w:sz w:val="20"/>
          <w:szCs w:val="20"/>
        </w:rPr>
        <w:t xml:space="preserve">: “The </w:t>
      </w:r>
      <w:r w:rsidR="00EB190E" w:rsidRPr="00317D0C">
        <w:rPr>
          <w:rFonts w:ascii="Arial" w:hAnsi="Arial" w:cs="Arial"/>
          <w:i/>
          <w:sz w:val="20"/>
          <w:szCs w:val="20"/>
        </w:rPr>
        <w:t>Council of Europe</w:t>
      </w:r>
      <w:r w:rsidRPr="00317D0C">
        <w:rPr>
          <w:rFonts w:ascii="Arial" w:hAnsi="Arial" w:cs="Arial"/>
          <w:i/>
          <w:sz w:val="20"/>
          <w:szCs w:val="20"/>
        </w:rPr>
        <w:t xml:space="preserve"> has shown its concern regarding the fight against money laundering, corruption, and cybercrime. While respecting the Civil Law Convention on Corruption (1999), the Criminal Law Convention on Corruption (1999), the Convention on Laundering, Search, Seizure, and Confiscation of the Proceeds from Crime (1990), the Convention on Laundering, Search, Seizure, and Confiscation of the Proceeds from Crime and on the Financing of Terrorism (2005), and the Convention on Cybercrime (2001), the </w:t>
      </w:r>
      <w:r w:rsidR="00EB190E" w:rsidRPr="00317D0C">
        <w:rPr>
          <w:rFonts w:ascii="Arial" w:hAnsi="Arial" w:cs="Arial"/>
          <w:i/>
          <w:sz w:val="20"/>
          <w:szCs w:val="20"/>
        </w:rPr>
        <w:t>Council of Europe</w:t>
      </w:r>
      <w:r w:rsidRPr="00317D0C">
        <w:rPr>
          <w:rFonts w:ascii="Arial" w:hAnsi="Arial" w:cs="Arial"/>
          <w:i/>
          <w:sz w:val="20"/>
          <w:szCs w:val="20"/>
        </w:rPr>
        <w:t xml:space="preserve"> will use general SRI criteria from asset managers”.</w:t>
      </w:r>
      <w:r w:rsidRPr="00317D0C">
        <w:rPr>
          <w:rFonts w:ascii="Arial" w:hAnsi="Arial" w:cs="Arial"/>
          <w:sz w:val="20"/>
          <w:szCs w:val="20"/>
        </w:rPr>
        <w:t xml:space="preserve"> The IFM Fund, even if not labelled as </w:t>
      </w:r>
      <w:proofErr w:type="gramStart"/>
      <w:r w:rsidRPr="00317D0C">
        <w:rPr>
          <w:rFonts w:ascii="Arial" w:hAnsi="Arial" w:cs="Arial"/>
          <w:sz w:val="20"/>
          <w:szCs w:val="20"/>
        </w:rPr>
        <w:t>a</w:t>
      </w:r>
      <w:proofErr w:type="gramEnd"/>
      <w:r w:rsidRPr="00317D0C">
        <w:rPr>
          <w:rFonts w:ascii="Arial" w:hAnsi="Arial" w:cs="Arial"/>
          <w:sz w:val="20"/>
          <w:szCs w:val="20"/>
        </w:rPr>
        <w:t xml:space="preserve"> SRI, actually applies SRI criteria in the selection and management of the investments. IFM does not apply any specific criteria </w:t>
      </w:r>
      <w:proofErr w:type="gramStart"/>
      <w:r w:rsidRPr="00317D0C">
        <w:rPr>
          <w:rFonts w:ascii="Arial" w:hAnsi="Arial" w:cs="Arial"/>
          <w:sz w:val="20"/>
          <w:szCs w:val="20"/>
        </w:rPr>
        <w:t>with regard to</w:t>
      </w:r>
      <w:proofErr w:type="gramEnd"/>
      <w:r w:rsidRPr="00317D0C">
        <w:rPr>
          <w:rFonts w:ascii="Arial" w:hAnsi="Arial" w:cs="Arial"/>
          <w:sz w:val="20"/>
          <w:szCs w:val="20"/>
        </w:rPr>
        <w:t xml:space="preserve"> the domicile of the funds within its legal structure.</w:t>
      </w:r>
    </w:p>
    <w:p w14:paraId="6AB65477" w14:textId="77777777" w:rsidR="00490E49" w:rsidRPr="00317D0C" w:rsidRDefault="00490E49" w:rsidP="00272E67">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2639C52B" w14:textId="67F2540B" w:rsidR="003C34CD" w:rsidRPr="00490E49" w:rsidRDefault="003C34CD" w:rsidP="00272E67">
      <w:pPr>
        <w:pStyle w:val="Paragraph"/>
        <w:tabs>
          <w:tab w:val="clear" w:pos="850"/>
          <w:tab w:val="clear" w:pos="1191"/>
          <w:tab w:val="clear" w:pos="1531"/>
          <w:tab w:val="left" w:pos="0"/>
        </w:tabs>
        <w:spacing w:before="0" w:after="0"/>
        <w:jc w:val="left"/>
        <w:rPr>
          <w:rFonts w:ascii="Arial" w:hAnsi="Arial" w:cs="Arial"/>
          <w:b/>
          <w:iCs/>
          <w:sz w:val="20"/>
          <w:szCs w:val="20"/>
        </w:rPr>
      </w:pPr>
      <w:r w:rsidRPr="00317D0C">
        <w:rPr>
          <w:rFonts w:ascii="Arial" w:hAnsi="Arial" w:cs="Arial"/>
          <w:sz w:val="20"/>
          <w:szCs w:val="20"/>
        </w:rPr>
        <w:t xml:space="preserve">Without any further guidance on the implementation of </w:t>
      </w:r>
      <w:r w:rsidR="00EB190E" w:rsidRPr="00317D0C">
        <w:rPr>
          <w:rFonts w:ascii="Arial" w:hAnsi="Arial" w:cs="Arial"/>
          <w:sz w:val="20"/>
          <w:szCs w:val="20"/>
        </w:rPr>
        <w:t>A</w:t>
      </w:r>
      <w:r w:rsidRPr="00317D0C">
        <w:rPr>
          <w:rFonts w:ascii="Arial" w:hAnsi="Arial" w:cs="Arial"/>
          <w:sz w:val="20"/>
          <w:szCs w:val="20"/>
        </w:rPr>
        <w:t>rticle 18</w:t>
      </w:r>
      <w:r w:rsidRPr="00317D0C">
        <w:rPr>
          <w:rFonts w:ascii="Arial" w:hAnsi="Arial" w:cs="Arial"/>
          <w:iCs/>
          <w:sz w:val="20"/>
          <w:szCs w:val="20"/>
        </w:rPr>
        <w:t>,</w:t>
      </w:r>
      <w:r w:rsidRPr="00317D0C">
        <w:rPr>
          <w:rFonts w:ascii="Arial" w:hAnsi="Arial" w:cs="Arial"/>
          <w:sz w:val="20"/>
          <w:szCs w:val="20"/>
        </w:rPr>
        <w:t xml:space="preserve"> the Board decided to examine whether the Cayman Islands could be considered a valid jurisdiction for the PRF’s investments. The exam is based on the standards and assessment by three reputed international and multilateral organisations on the subject of money laundering, terrorist financing, tax transparency and the exchange of information (in which the transparency and exchange of information are also considered as preventing money laundering) and their most recent evaluation of </w:t>
      </w:r>
      <w:r w:rsidR="00EB190E" w:rsidRPr="00317D0C">
        <w:rPr>
          <w:rFonts w:ascii="Arial" w:hAnsi="Arial" w:cs="Arial"/>
          <w:sz w:val="20"/>
          <w:szCs w:val="20"/>
        </w:rPr>
        <w:t xml:space="preserve">the </w:t>
      </w:r>
      <w:r w:rsidRPr="00317D0C">
        <w:rPr>
          <w:rFonts w:ascii="Arial" w:hAnsi="Arial" w:cs="Arial"/>
          <w:sz w:val="20"/>
          <w:szCs w:val="20"/>
        </w:rPr>
        <w:t>Cayman Islands. A summary of this analysis is presented hereafter.</w:t>
      </w:r>
    </w:p>
    <w:p w14:paraId="568F088E" w14:textId="77777777" w:rsidR="00490E49" w:rsidRPr="00317D0C" w:rsidRDefault="00490E49" w:rsidP="00490E49">
      <w:pPr>
        <w:pStyle w:val="Paragraph"/>
        <w:numPr>
          <w:ilvl w:val="0"/>
          <w:numId w:val="0"/>
        </w:numPr>
        <w:spacing w:before="0" w:after="0"/>
        <w:jc w:val="left"/>
        <w:rPr>
          <w:rFonts w:ascii="Arial" w:hAnsi="Arial" w:cs="Arial"/>
          <w:b/>
          <w:iCs/>
          <w:sz w:val="20"/>
          <w:szCs w:val="20"/>
        </w:rPr>
      </w:pPr>
    </w:p>
    <w:p w14:paraId="114DC0BD" w14:textId="162ECB3B" w:rsidR="003C34CD" w:rsidRDefault="003C34CD" w:rsidP="00317D0C">
      <w:pPr>
        <w:pStyle w:val="Heading3"/>
        <w:spacing w:before="0" w:after="0"/>
        <w:rPr>
          <w:rFonts w:ascii="Arial" w:hAnsi="Arial"/>
          <w:sz w:val="20"/>
          <w:szCs w:val="20"/>
        </w:rPr>
      </w:pPr>
      <w:r w:rsidRPr="00317D0C">
        <w:rPr>
          <w:rFonts w:ascii="Arial" w:hAnsi="Arial"/>
          <w:sz w:val="20"/>
          <w:szCs w:val="20"/>
        </w:rPr>
        <w:t>Organisation for Economic Co-Operation and Development</w:t>
      </w:r>
    </w:p>
    <w:p w14:paraId="1C37438B" w14:textId="77777777" w:rsidR="00490E49" w:rsidRPr="00490E49" w:rsidRDefault="00490E49" w:rsidP="00490E49">
      <w:pPr>
        <w:rPr>
          <w:lang w:eastAsia="fr-FR"/>
        </w:rPr>
      </w:pPr>
    </w:p>
    <w:p w14:paraId="6EE7DC63" w14:textId="3E6CE28E" w:rsidR="003C34CD" w:rsidRDefault="003C34CD" w:rsidP="00272E67">
      <w:pPr>
        <w:pStyle w:val="Paragraph"/>
        <w:tabs>
          <w:tab w:val="clear" w:pos="850"/>
          <w:tab w:val="clear" w:pos="1191"/>
          <w:tab w:val="clear" w:pos="1531"/>
          <w:tab w:val="left" w:pos="0"/>
          <w:tab w:val="left" w:pos="709"/>
        </w:tabs>
        <w:spacing w:before="0" w:after="0"/>
        <w:jc w:val="left"/>
        <w:rPr>
          <w:rFonts w:ascii="Arial" w:hAnsi="Arial" w:cs="Arial"/>
          <w:color w:val="333333"/>
          <w:sz w:val="20"/>
          <w:szCs w:val="20"/>
          <w:lang w:eastAsia="en-GB"/>
        </w:rPr>
      </w:pPr>
      <w:r w:rsidRPr="00317D0C">
        <w:rPr>
          <w:rFonts w:ascii="Arial" w:hAnsi="Arial" w:cs="Arial"/>
          <w:sz w:val="20"/>
          <w:szCs w:val="20"/>
        </w:rPr>
        <w:t xml:space="preserve">The </w:t>
      </w:r>
      <w:r w:rsidRPr="00317D0C">
        <w:rPr>
          <w:rFonts w:ascii="Arial" w:hAnsi="Arial" w:cs="Arial"/>
          <w:sz w:val="20"/>
          <w:szCs w:val="20"/>
          <w:u w:val="single"/>
        </w:rPr>
        <w:t>OECD Global Forum on Transparency and Exchange of Information for Tax Purposes</w:t>
      </w:r>
      <w:r w:rsidRPr="00317D0C">
        <w:rPr>
          <w:rFonts w:ascii="Arial" w:hAnsi="Arial" w:cs="Arial"/>
          <w:sz w:val="20"/>
          <w:szCs w:val="20"/>
        </w:rPr>
        <w:t xml:space="preserve"> has </w:t>
      </w:r>
      <w:hyperlink r:id="rId8" w:history="1">
        <w:r w:rsidRPr="00317D0C">
          <w:rPr>
            <w:rFonts w:ascii="Arial" w:hAnsi="Arial" w:cs="Arial"/>
            <w:sz w:val="20"/>
            <w:szCs w:val="20"/>
          </w:rPr>
          <w:t>158 members</w:t>
        </w:r>
      </w:hyperlink>
      <w:r w:rsidRPr="00317D0C">
        <w:rPr>
          <w:rFonts w:ascii="Arial" w:hAnsi="Arial" w:cs="Arial"/>
          <w:sz w:val="20"/>
          <w:szCs w:val="20"/>
        </w:rPr>
        <w:t> on equal footing and is the premier international body for ensuring the implementation of the internationally agreed standards on transparency and exchange of information in the tax area. Through an in-depth </w:t>
      </w:r>
      <w:hyperlink r:id="rId9" w:anchor="d.en.368658" w:history="1">
        <w:r w:rsidRPr="00317D0C">
          <w:rPr>
            <w:rFonts w:ascii="Arial" w:hAnsi="Arial" w:cs="Arial"/>
            <w:sz w:val="20"/>
            <w:szCs w:val="20"/>
          </w:rPr>
          <w:t>peer review process</w:t>
        </w:r>
      </w:hyperlink>
      <w:r w:rsidRPr="00317D0C">
        <w:rPr>
          <w:rFonts w:ascii="Arial" w:hAnsi="Arial" w:cs="Arial"/>
          <w:sz w:val="20"/>
          <w:szCs w:val="20"/>
        </w:rPr>
        <w:t>, the Global Forum monitors that its members fully implement the standard on transparency and exchange of information they have committed to implement. It also works on establishing a level playing field, even among countries that have not joined the Global Forum.</w:t>
      </w:r>
    </w:p>
    <w:p w14:paraId="723C46A9" w14:textId="77777777" w:rsidR="00490E49" w:rsidRPr="00317D0C" w:rsidRDefault="00490E49" w:rsidP="00272E67">
      <w:pPr>
        <w:pStyle w:val="Paragraph"/>
        <w:numPr>
          <w:ilvl w:val="0"/>
          <w:numId w:val="0"/>
        </w:numPr>
        <w:tabs>
          <w:tab w:val="clear" w:pos="850"/>
          <w:tab w:val="clear" w:pos="1191"/>
          <w:tab w:val="clear" w:pos="1531"/>
          <w:tab w:val="left" w:pos="0"/>
          <w:tab w:val="left" w:pos="709"/>
        </w:tabs>
        <w:spacing w:before="0" w:after="0"/>
        <w:jc w:val="left"/>
        <w:rPr>
          <w:rFonts w:ascii="Arial" w:hAnsi="Arial" w:cs="Arial"/>
          <w:color w:val="333333"/>
          <w:sz w:val="20"/>
          <w:szCs w:val="20"/>
          <w:lang w:eastAsia="en-GB"/>
        </w:rPr>
      </w:pPr>
    </w:p>
    <w:p w14:paraId="4FFEB7FA" w14:textId="0F26EC50" w:rsidR="003C34CD" w:rsidRDefault="003C34CD" w:rsidP="00272E67">
      <w:pPr>
        <w:pStyle w:val="Paragraph"/>
        <w:numPr>
          <w:ilvl w:val="0"/>
          <w:numId w:val="0"/>
        </w:numPr>
        <w:tabs>
          <w:tab w:val="clear" w:pos="850"/>
          <w:tab w:val="clear" w:pos="1191"/>
          <w:tab w:val="clear" w:pos="1531"/>
          <w:tab w:val="left" w:pos="0"/>
          <w:tab w:val="left" w:pos="709"/>
        </w:tabs>
        <w:spacing w:before="0" w:after="0"/>
        <w:jc w:val="left"/>
        <w:rPr>
          <w:rFonts w:ascii="Arial" w:hAnsi="Arial" w:cs="Arial"/>
          <w:sz w:val="20"/>
          <w:szCs w:val="20"/>
        </w:rPr>
      </w:pPr>
      <w:r w:rsidRPr="00317D0C">
        <w:rPr>
          <w:rFonts w:ascii="Arial" w:hAnsi="Arial" w:cs="Arial"/>
          <w:sz w:val="20"/>
          <w:szCs w:val="20"/>
        </w:rPr>
        <w:t>The Cayman Islands appear on the list of jurisdictions considered by this Forum as “largely compliant”</w:t>
      </w:r>
      <w:r w:rsidRPr="00317D0C">
        <w:rPr>
          <w:rStyle w:val="FootnoteReference"/>
          <w:rFonts w:ascii="Arial" w:hAnsi="Arial" w:cs="Arial"/>
          <w:sz w:val="20"/>
          <w:szCs w:val="20"/>
        </w:rPr>
        <w:footnoteReference w:id="8"/>
      </w:r>
      <w:r w:rsidRPr="00317D0C">
        <w:rPr>
          <w:rFonts w:ascii="Arial" w:hAnsi="Arial" w:cs="Arial"/>
          <w:sz w:val="20"/>
          <w:szCs w:val="20"/>
        </w:rPr>
        <w:t xml:space="preserve"> with the international standard on transparency and exchange of information on request (EOIR). “Largely compliant”</w:t>
      </w:r>
      <w:r w:rsidRPr="00317D0C">
        <w:rPr>
          <w:rStyle w:val="FootnoteReference"/>
          <w:rFonts w:ascii="Arial" w:hAnsi="Arial" w:cs="Arial"/>
          <w:sz w:val="20"/>
          <w:szCs w:val="20"/>
        </w:rPr>
        <w:footnoteReference w:id="9"/>
      </w:r>
      <w:r w:rsidRPr="00317D0C">
        <w:rPr>
          <w:rFonts w:ascii="Arial" w:hAnsi="Arial" w:cs="Arial"/>
          <w:sz w:val="20"/>
          <w:szCs w:val="20"/>
        </w:rPr>
        <w:t xml:space="preserve"> means that: “</w:t>
      </w:r>
      <w:r w:rsidRPr="00317D0C">
        <w:rPr>
          <w:rFonts w:ascii="Arial" w:hAnsi="Arial" w:cs="Arial"/>
          <w:i/>
          <w:iCs/>
          <w:sz w:val="20"/>
          <w:szCs w:val="20"/>
        </w:rPr>
        <w:t xml:space="preserve">the standard is implemented to a large </w:t>
      </w:r>
      <w:proofErr w:type="gramStart"/>
      <w:r w:rsidRPr="00317D0C">
        <w:rPr>
          <w:rFonts w:ascii="Arial" w:hAnsi="Arial" w:cs="Arial"/>
          <w:i/>
          <w:iCs/>
          <w:sz w:val="20"/>
          <w:szCs w:val="20"/>
        </w:rPr>
        <w:t>extent</w:t>
      </w:r>
      <w:proofErr w:type="gramEnd"/>
      <w:r w:rsidRPr="00317D0C">
        <w:rPr>
          <w:rFonts w:ascii="Arial" w:hAnsi="Arial" w:cs="Arial"/>
          <w:i/>
          <w:iCs/>
          <w:sz w:val="20"/>
          <w:szCs w:val="20"/>
        </w:rPr>
        <w:t xml:space="preserve"> but some improvements are needed. The deficiencies identified are material but have limited impact on EOIR”. </w:t>
      </w:r>
      <w:r w:rsidRPr="00317D0C">
        <w:rPr>
          <w:rFonts w:ascii="Arial" w:hAnsi="Arial" w:cs="Arial"/>
          <w:sz w:val="20"/>
          <w:szCs w:val="20"/>
        </w:rPr>
        <w:t xml:space="preserve">The qualification of largely compliant is </w:t>
      </w:r>
      <w:proofErr w:type="gramStart"/>
      <w:r w:rsidRPr="00317D0C">
        <w:rPr>
          <w:rFonts w:ascii="Arial" w:hAnsi="Arial" w:cs="Arial"/>
          <w:sz w:val="20"/>
          <w:szCs w:val="20"/>
        </w:rPr>
        <w:t>actually based</w:t>
      </w:r>
      <w:proofErr w:type="gramEnd"/>
      <w:r w:rsidRPr="00317D0C">
        <w:rPr>
          <w:rFonts w:ascii="Arial" w:hAnsi="Arial" w:cs="Arial"/>
          <w:sz w:val="20"/>
          <w:szCs w:val="20"/>
        </w:rPr>
        <w:t xml:space="preserve"> on ten factors, detailed hereafter with their respective rating for the Cayman Islands: </w:t>
      </w:r>
    </w:p>
    <w:p w14:paraId="6344711B" w14:textId="77777777" w:rsidR="00490E49" w:rsidRPr="00317D0C" w:rsidRDefault="00490E49" w:rsidP="00317D0C">
      <w:pPr>
        <w:pStyle w:val="Paragraph"/>
        <w:numPr>
          <w:ilvl w:val="0"/>
          <w:numId w:val="0"/>
        </w:numPr>
        <w:spacing w:before="0" w:after="0"/>
        <w:jc w:val="left"/>
        <w:rPr>
          <w:rFonts w:ascii="Arial" w:hAnsi="Arial" w:cs="Arial"/>
          <w:sz w:val="20"/>
          <w:szCs w:val="20"/>
        </w:rPr>
      </w:pPr>
    </w:p>
    <w:tbl>
      <w:tblPr>
        <w:tblStyle w:val="TableGrid"/>
        <w:tblW w:w="0" w:type="auto"/>
        <w:tblInd w:w="421" w:type="dxa"/>
        <w:tblLook w:val="04A0" w:firstRow="1" w:lastRow="0" w:firstColumn="1" w:lastColumn="0" w:noHBand="0" w:noVBand="1"/>
      </w:tblPr>
      <w:tblGrid>
        <w:gridCol w:w="4677"/>
        <w:gridCol w:w="4395"/>
      </w:tblGrid>
      <w:tr w:rsidR="003C34CD" w:rsidRPr="00490E49" w14:paraId="29056CE8" w14:textId="77777777" w:rsidTr="00272E67">
        <w:tc>
          <w:tcPr>
            <w:tcW w:w="9072" w:type="dxa"/>
            <w:gridSpan w:val="2"/>
            <w:shd w:val="clear" w:color="auto" w:fill="F2F2F2" w:themeFill="background1" w:themeFillShade="F2"/>
          </w:tcPr>
          <w:p w14:paraId="79E4CEF4" w14:textId="77777777" w:rsidR="003C34CD" w:rsidRPr="00490E49" w:rsidRDefault="003C34CD" w:rsidP="00272E67">
            <w:pPr>
              <w:pStyle w:val="Paragraph"/>
              <w:numPr>
                <w:ilvl w:val="0"/>
                <w:numId w:val="0"/>
              </w:numPr>
              <w:spacing w:before="20" w:after="20"/>
              <w:jc w:val="center"/>
              <w:rPr>
                <w:rFonts w:ascii="Arial" w:hAnsi="Arial" w:cs="Arial"/>
                <w:b/>
                <w:sz w:val="20"/>
                <w:szCs w:val="20"/>
              </w:rPr>
            </w:pPr>
            <w:r w:rsidRPr="00490E49">
              <w:rPr>
                <w:rFonts w:ascii="Arial" w:hAnsi="Arial" w:cs="Arial"/>
                <w:b/>
                <w:sz w:val="20"/>
                <w:szCs w:val="20"/>
              </w:rPr>
              <w:t>OECD Global Forum on Transparency and Exchange of Information for Tax Purposes</w:t>
            </w:r>
          </w:p>
          <w:p w14:paraId="59E45E60" w14:textId="77777777" w:rsidR="003C34CD" w:rsidRPr="00490E49" w:rsidRDefault="003C34CD" w:rsidP="00272E67">
            <w:pPr>
              <w:pStyle w:val="Paragraph"/>
              <w:numPr>
                <w:ilvl w:val="0"/>
                <w:numId w:val="0"/>
              </w:numPr>
              <w:spacing w:before="20" w:after="20"/>
              <w:jc w:val="center"/>
              <w:rPr>
                <w:rFonts w:ascii="Arial" w:hAnsi="Arial" w:cs="Arial"/>
                <w:sz w:val="20"/>
                <w:szCs w:val="20"/>
              </w:rPr>
            </w:pPr>
            <w:r w:rsidRPr="00490E49">
              <w:rPr>
                <w:rFonts w:ascii="Arial" w:hAnsi="Arial" w:cs="Arial"/>
                <w:b/>
                <w:sz w:val="20"/>
                <w:szCs w:val="20"/>
              </w:rPr>
              <w:t>Cayman Islands Assessment</w:t>
            </w:r>
          </w:p>
        </w:tc>
      </w:tr>
      <w:tr w:rsidR="003C34CD" w:rsidRPr="00490E49" w14:paraId="09C6BCC1" w14:textId="77777777" w:rsidTr="00272E67">
        <w:tc>
          <w:tcPr>
            <w:tcW w:w="4677" w:type="dxa"/>
          </w:tcPr>
          <w:p w14:paraId="502FC690"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Ownership Information</w:t>
            </w:r>
          </w:p>
        </w:tc>
        <w:tc>
          <w:tcPr>
            <w:tcW w:w="4395" w:type="dxa"/>
          </w:tcPr>
          <w:p w14:paraId="53E16AB0" w14:textId="77777777" w:rsidR="003C34CD" w:rsidRPr="00490E49" w:rsidRDefault="003C34CD" w:rsidP="00490E49">
            <w:pPr>
              <w:pStyle w:val="ListBullet"/>
              <w:numPr>
                <w:ilvl w:val="0"/>
                <w:numId w:val="0"/>
              </w:numPr>
              <w:spacing w:before="0" w:after="0"/>
              <w:ind w:left="360" w:hanging="360"/>
              <w:rPr>
                <w:rFonts w:ascii="Arial" w:hAnsi="Arial" w:cs="Arial"/>
                <w:b/>
                <w:iCs/>
                <w:sz w:val="20"/>
                <w:szCs w:val="20"/>
              </w:rPr>
            </w:pPr>
            <w:r w:rsidRPr="00490E49">
              <w:rPr>
                <w:rFonts w:ascii="Arial" w:hAnsi="Arial" w:cs="Arial"/>
                <w:sz w:val="20"/>
                <w:szCs w:val="20"/>
              </w:rPr>
              <w:t>Largely Compliant</w:t>
            </w:r>
          </w:p>
        </w:tc>
      </w:tr>
      <w:tr w:rsidR="003C34CD" w:rsidRPr="00490E49" w14:paraId="0DA77120" w14:textId="77777777" w:rsidTr="00272E67">
        <w:tc>
          <w:tcPr>
            <w:tcW w:w="4677" w:type="dxa"/>
          </w:tcPr>
          <w:p w14:paraId="2843F149"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Accounting Records</w:t>
            </w:r>
          </w:p>
        </w:tc>
        <w:tc>
          <w:tcPr>
            <w:tcW w:w="4395" w:type="dxa"/>
          </w:tcPr>
          <w:p w14:paraId="518C47B3"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Largely Compliant</w:t>
            </w:r>
          </w:p>
        </w:tc>
      </w:tr>
      <w:tr w:rsidR="003C34CD" w:rsidRPr="00490E49" w14:paraId="7B3DD0C2" w14:textId="77777777" w:rsidTr="00272E67">
        <w:tc>
          <w:tcPr>
            <w:tcW w:w="4677" w:type="dxa"/>
          </w:tcPr>
          <w:p w14:paraId="6BAB9CF5"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Bank Information</w:t>
            </w:r>
          </w:p>
        </w:tc>
        <w:tc>
          <w:tcPr>
            <w:tcW w:w="4395" w:type="dxa"/>
          </w:tcPr>
          <w:p w14:paraId="31B15605" w14:textId="77777777" w:rsidR="003C34CD" w:rsidRPr="00490E49" w:rsidRDefault="003C34CD" w:rsidP="00490E49">
            <w:pPr>
              <w:pStyle w:val="ListBullet"/>
              <w:numPr>
                <w:ilvl w:val="0"/>
                <w:numId w:val="0"/>
              </w:numPr>
              <w:spacing w:before="0" w:after="0"/>
              <w:ind w:left="360" w:hanging="360"/>
              <w:rPr>
                <w:rFonts w:ascii="Arial" w:hAnsi="Arial" w:cs="Arial"/>
                <w:b/>
                <w:iCs/>
                <w:sz w:val="20"/>
                <w:szCs w:val="20"/>
              </w:rPr>
            </w:pPr>
            <w:r w:rsidRPr="00490E49">
              <w:rPr>
                <w:rFonts w:ascii="Arial" w:hAnsi="Arial" w:cs="Arial"/>
                <w:sz w:val="20"/>
                <w:szCs w:val="20"/>
              </w:rPr>
              <w:t>Compliant</w:t>
            </w:r>
          </w:p>
        </w:tc>
      </w:tr>
      <w:tr w:rsidR="003C34CD" w:rsidRPr="00490E49" w14:paraId="7EEE9EF7" w14:textId="77777777" w:rsidTr="00272E67">
        <w:tc>
          <w:tcPr>
            <w:tcW w:w="4677" w:type="dxa"/>
          </w:tcPr>
          <w:p w14:paraId="0D7EA59B"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Access Powers</w:t>
            </w:r>
          </w:p>
        </w:tc>
        <w:tc>
          <w:tcPr>
            <w:tcW w:w="4395" w:type="dxa"/>
          </w:tcPr>
          <w:p w14:paraId="4EA3D9FD"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Largely Compliant</w:t>
            </w:r>
          </w:p>
        </w:tc>
      </w:tr>
      <w:tr w:rsidR="003C34CD" w:rsidRPr="00490E49" w14:paraId="302D180D" w14:textId="77777777" w:rsidTr="00272E67">
        <w:tc>
          <w:tcPr>
            <w:tcW w:w="4677" w:type="dxa"/>
          </w:tcPr>
          <w:p w14:paraId="235564B1"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Rights and Safeguards</w:t>
            </w:r>
          </w:p>
        </w:tc>
        <w:tc>
          <w:tcPr>
            <w:tcW w:w="4395" w:type="dxa"/>
          </w:tcPr>
          <w:p w14:paraId="1E0490A0"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Compliant</w:t>
            </w:r>
          </w:p>
        </w:tc>
      </w:tr>
      <w:tr w:rsidR="003C34CD" w:rsidRPr="00490E49" w14:paraId="3757172F" w14:textId="77777777" w:rsidTr="00272E67">
        <w:tc>
          <w:tcPr>
            <w:tcW w:w="4677" w:type="dxa"/>
          </w:tcPr>
          <w:p w14:paraId="4D0080F7"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EOI instruments</w:t>
            </w:r>
          </w:p>
        </w:tc>
        <w:tc>
          <w:tcPr>
            <w:tcW w:w="4395" w:type="dxa"/>
          </w:tcPr>
          <w:p w14:paraId="27606032" w14:textId="77777777" w:rsidR="003C34CD" w:rsidRPr="00490E49" w:rsidRDefault="003C34CD" w:rsidP="00490E49">
            <w:pPr>
              <w:pStyle w:val="Paragraph"/>
              <w:numPr>
                <w:ilvl w:val="0"/>
                <w:numId w:val="0"/>
              </w:numPr>
              <w:spacing w:before="0" w:after="0"/>
              <w:rPr>
                <w:rFonts w:ascii="Arial" w:hAnsi="Arial" w:cs="Arial"/>
                <w:sz w:val="20"/>
                <w:szCs w:val="20"/>
              </w:rPr>
            </w:pPr>
            <w:r w:rsidRPr="00490E49">
              <w:rPr>
                <w:rFonts w:ascii="Arial" w:hAnsi="Arial" w:cs="Arial"/>
                <w:sz w:val="20"/>
                <w:szCs w:val="20"/>
              </w:rPr>
              <w:t>Compliant</w:t>
            </w:r>
          </w:p>
        </w:tc>
      </w:tr>
      <w:tr w:rsidR="003C34CD" w:rsidRPr="00490E49" w14:paraId="1EE3E2CF" w14:textId="77777777" w:rsidTr="00272E67">
        <w:tc>
          <w:tcPr>
            <w:tcW w:w="4677" w:type="dxa"/>
          </w:tcPr>
          <w:p w14:paraId="232148AF" w14:textId="77777777" w:rsidR="003C34CD" w:rsidRPr="00490E49" w:rsidRDefault="003C34CD" w:rsidP="00490E49">
            <w:pPr>
              <w:pStyle w:val="ListBullet"/>
              <w:numPr>
                <w:ilvl w:val="0"/>
                <w:numId w:val="0"/>
              </w:numPr>
              <w:spacing w:before="0" w:after="0"/>
              <w:ind w:left="360" w:hanging="360"/>
              <w:rPr>
                <w:rFonts w:ascii="Arial" w:hAnsi="Arial" w:cs="Arial"/>
                <w:b/>
                <w:iCs/>
                <w:sz w:val="20"/>
                <w:szCs w:val="20"/>
              </w:rPr>
            </w:pPr>
            <w:r w:rsidRPr="00490E49">
              <w:rPr>
                <w:rFonts w:ascii="Arial" w:hAnsi="Arial" w:cs="Arial"/>
                <w:sz w:val="20"/>
                <w:szCs w:val="20"/>
              </w:rPr>
              <w:t>Network of Agreements</w:t>
            </w:r>
          </w:p>
        </w:tc>
        <w:tc>
          <w:tcPr>
            <w:tcW w:w="4395" w:type="dxa"/>
          </w:tcPr>
          <w:p w14:paraId="4EEE168C"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Compliant</w:t>
            </w:r>
          </w:p>
        </w:tc>
      </w:tr>
      <w:tr w:rsidR="003C34CD" w:rsidRPr="00490E49" w14:paraId="3FDC8CB1" w14:textId="77777777" w:rsidTr="00272E67">
        <w:tc>
          <w:tcPr>
            <w:tcW w:w="4677" w:type="dxa"/>
          </w:tcPr>
          <w:p w14:paraId="2780F2E5" w14:textId="77777777" w:rsidR="003C34CD" w:rsidRPr="00490E49" w:rsidRDefault="003C34CD" w:rsidP="00490E49">
            <w:pPr>
              <w:pStyle w:val="ListBullet"/>
              <w:numPr>
                <w:ilvl w:val="0"/>
                <w:numId w:val="0"/>
              </w:numPr>
              <w:spacing w:before="0" w:after="0"/>
              <w:ind w:left="360" w:hanging="360"/>
              <w:rPr>
                <w:rFonts w:ascii="Arial" w:hAnsi="Arial" w:cs="Arial"/>
                <w:b/>
                <w:iCs/>
                <w:sz w:val="20"/>
                <w:szCs w:val="20"/>
              </w:rPr>
            </w:pPr>
            <w:r w:rsidRPr="00490E49">
              <w:rPr>
                <w:rFonts w:ascii="Arial" w:hAnsi="Arial" w:cs="Arial"/>
                <w:sz w:val="20"/>
                <w:szCs w:val="20"/>
              </w:rPr>
              <w:t>Confidentiality</w:t>
            </w:r>
          </w:p>
        </w:tc>
        <w:tc>
          <w:tcPr>
            <w:tcW w:w="4395" w:type="dxa"/>
          </w:tcPr>
          <w:p w14:paraId="18F310E9"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Compliant</w:t>
            </w:r>
          </w:p>
        </w:tc>
      </w:tr>
      <w:tr w:rsidR="003C34CD" w:rsidRPr="00490E49" w14:paraId="44B06CEF" w14:textId="77777777" w:rsidTr="00272E67">
        <w:tc>
          <w:tcPr>
            <w:tcW w:w="4677" w:type="dxa"/>
          </w:tcPr>
          <w:p w14:paraId="0B0E382C"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 xml:space="preserve">Rights and Safeguards </w:t>
            </w:r>
          </w:p>
        </w:tc>
        <w:tc>
          <w:tcPr>
            <w:tcW w:w="4395" w:type="dxa"/>
          </w:tcPr>
          <w:p w14:paraId="3B8DA99B" w14:textId="77777777" w:rsidR="003C34CD" w:rsidRPr="00490E49" w:rsidRDefault="003C34CD" w:rsidP="00490E49">
            <w:pPr>
              <w:pStyle w:val="Paragraph"/>
              <w:numPr>
                <w:ilvl w:val="0"/>
                <w:numId w:val="0"/>
              </w:numPr>
              <w:spacing w:before="0" w:after="0"/>
              <w:rPr>
                <w:rFonts w:ascii="Arial" w:hAnsi="Arial" w:cs="Arial"/>
                <w:b/>
                <w:iCs/>
                <w:sz w:val="20"/>
                <w:szCs w:val="20"/>
              </w:rPr>
            </w:pPr>
            <w:r w:rsidRPr="00490E49">
              <w:rPr>
                <w:rFonts w:ascii="Arial" w:hAnsi="Arial" w:cs="Arial"/>
                <w:sz w:val="20"/>
                <w:szCs w:val="20"/>
              </w:rPr>
              <w:t>Compliant</w:t>
            </w:r>
          </w:p>
        </w:tc>
      </w:tr>
      <w:tr w:rsidR="003C34CD" w:rsidRPr="00490E49" w14:paraId="1500384B" w14:textId="77777777" w:rsidTr="00272E67">
        <w:tc>
          <w:tcPr>
            <w:tcW w:w="4677" w:type="dxa"/>
          </w:tcPr>
          <w:p w14:paraId="3F4FED8F" w14:textId="77777777" w:rsidR="003C34CD" w:rsidRPr="00490E49" w:rsidRDefault="003C34CD" w:rsidP="00490E49">
            <w:pPr>
              <w:pStyle w:val="ListBullet"/>
              <w:numPr>
                <w:ilvl w:val="0"/>
                <w:numId w:val="0"/>
              </w:numPr>
              <w:spacing w:before="0" w:after="0"/>
              <w:ind w:left="360" w:hanging="360"/>
              <w:rPr>
                <w:rFonts w:ascii="Arial" w:hAnsi="Arial" w:cs="Arial"/>
                <w:sz w:val="20"/>
                <w:szCs w:val="20"/>
              </w:rPr>
            </w:pPr>
            <w:r w:rsidRPr="00490E49">
              <w:rPr>
                <w:rFonts w:ascii="Arial" w:hAnsi="Arial" w:cs="Arial"/>
                <w:sz w:val="20"/>
                <w:szCs w:val="20"/>
              </w:rPr>
              <w:t>Timely EOI</w:t>
            </w:r>
          </w:p>
        </w:tc>
        <w:tc>
          <w:tcPr>
            <w:tcW w:w="4395" w:type="dxa"/>
          </w:tcPr>
          <w:p w14:paraId="78594D87" w14:textId="66EEA29F" w:rsidR="003C34CD" w:rsidRPr="00490E49" w:rsidRDefault="003C34CD" w:rsidP="00490E49">
            <w:pPr>
              <w:pStyle w:val="Paragraph"/>
              <w:numPr>
                <w:ilvl w:val="0"/>
                <w:numId w:val="0"/>
              </w:numPr>
              <w:spacing w:before="0" w:after="0"/>
              <w:rPr>
                <w:rFonts w:ascii="Arial" w:hAnsi="Arial" w:cs="Arial"/>
                <w:sz w:val="20"/>
                <w:szCs w:val="20"/>
              </w:rPr>
            </w:pPr>
            <w:r w:rsidRPr="00490E49">
              <w:rPr>
                <w:rFonts w:ascii="Arial" w:hAnsi="Arial" w:cs="Arial"/>
                <w:sz w:val="20"/>
                <w:szCs w:val="20"/>
              </w:rPr>
              <w:t>Largely Compliant</w:t>
            </w:r>
            <w:r w:rsidRPr="00490E49">
              <w:rPr>
                <w:rStyle w:val="FootnoteReference"/>
                <w:rFonts w:ascii="Arial" w:hAnsi="Arial" w:cs="Arial"/>
                <w:sz w:val="20"/>
                <w:szCs w:val="20"/>
              </w:rPr>
              <w:footnoteReference w:id="10"/>
            </w:r>
          </w:p>
        </w:tc>
      </w:tr>
    </w:tbl>
    <w:p w14:paraId="178BF439" w14:textId="77777777" w:rsidR="00272E67" w:rsidRDefault="00272E67" w:rsidP="00490E49">
      <w:pPr>
        <w:pStyle w:val="Heading3"/>
        <w:spacing w:before="0" w:after="0"/>
        <w:rPr>
          <w:rFonts w:ascii="Arial" w:hAnsi="Arial"/>
          <w:sz w:val="20"/>
          <w:szCs w:val="20"/>
        </w:rPr>
      </w:pPr>
    </w:p>
    <w:p w14:paraId="7955C515" w14:textId="77777777" w:rsidR="00272E67" w:rsidRDefault="00272E67">
      <w:pPr>
        <w:rPr>
          <w:rFonts w:eastAsiaTheme="majorEastAsia" w:cs="Arial"/>
          <w:b/>
          <w:i/>
          <w:caps/>
          <w:szCs w:val="20"/>
          <w:lang w:eastAsia="fr-FR"/>
        </w:rPr>
      </w:pPr>
      <w:r>
        <w:rPr>
          <w:szCs w:val="20"/>
        </w:rPr>
        <w:br w:type="page"/>
      </w:r>
    </w:p>
    <w:p w14:paraId="447C5FA6" w14:textId="7CB44048" w:rsidR="003C34CD" w:rsidRDefault="003C34CD" w:rsidP="00490E49">
      <w:pPr>
        <w:pStyle w:val="Heading3"/>
        <w:spacing w:before="0" w:after="0"/>
        <w:rPr>
          <w:rFonts w:ascii="Arial" w:hAnsi="Arial"/>
          <w:sz w:val="20"/>
          <w:szCs w:val="20"/>
        </w:rPr>
      </w:pPr>
      <w:r w:rsidRPr="00490E49">
        <w:rPr>
          <w:rFonts w:ascii="Arial" w:hAnsi="Arial"/>
          <w:sz w:val="20"/>
          <w:szCs w:val="20"/>
        </w:rPr>
        <w:t>European Union</w:t>
      </w:r>
    </w:p>
    <w:p w14:paraId="2A1310CE" w14:textId="77777777" w:rsidR="00272E67" w:rsidRPr="00272E67" w:rsidRDefault="00272E67" w:rsidP="00272E67">
      <w:pPr>
        <w:rPr>
          <w:rFonts w:cs="Arial"/>
          <w:szCs w:val="20"/>
          <w:lang w:eastAsia="fr-FR"/>
        </w:rPr>
      </w:pPr>
    </w:p>
    <w:p w14:paraId="726E4B4D" w14:textId="5A1C4291" w:rsidR="003C34CD" w:rsidRPr="00272E67" w:rsidRDefault="003C34CD" w:rsidP="00272E67">
      <w:pPr>
        <w:pStyle w:val="Paragraph"/>
        <w:spacing w:before="0" w:after="0"/>
        <w:jc w:val="left"/>
        <w:rPr>
          <w:rFonts w:ascii="Arial" w:hAnsi="Arial" w:cs="Arial"/>
          <w:sz w:val="20"/>
          <w:szCs w:val="20"/>
        </w:rPr>
      </w:pPr>
      <w:r w:rsidRPr="00272E67">
        <w:rPr>
          <w:rFonts w:ascii="Arial" w:hAnsi="Arial" w:cs="Arial"/>
          <w:sz w:val="20"/>
          <w:szCs w:val="20"/>
        </w:rPr>
        <w:t>The European Union (EU) is</w:t>
      </w:r>
      <w:r w:rsidR="00270954">
        <w:rPr>
          <w:rFonts w:ascii="Arial" w:hAnsi="Arial" w:cs="Arial"/>
          <w:sz w:val="20"/>
          <w:szCs w:val="20"/>
        </w:rPr>
        <w:t xml:space="preserve"> </w:t>
      </w:r>
      <w:r w:rsidRPr="00272E67">
        <w:rPr>
          <w:rFonts w:ascii="Arial" w:hAnsi="Arial" w:cs="Arial"/>
          <w:sz w:val="20"/>
          <w:szCs w:val="20"/>
        </w:rPr>
        <w:t>working on improving good tax governance on a global level. It is doing this in order to maximise efforts against tax fraud, evasion and avoidance. The EU seeks to achieve this objective by encouraging positive change through co</w:t>
      </w:r>
      <w:r w:rsidR="00EB190E" w:rsidRPr="00272E67">
        <w:rPr>
          <w:rFonts w:ascii="Arial" w:hAnsi="Arial" w:cs="Arial"/>
          <w:sz w:val="20"/>
          <w:szCs w:val="20"/>
        </w:rPr>
        <w:t>-</w:t>
      </w:r>
      <w:r w:rsidRPr="00272E67">
        <w:rPr>
          <w:rFonts w:ascii="Arial" w:hAnsi="Arial" w:cs="Arial"/>
          <w:sz w:val="20"/>
          <w:szCs w:val="20"/>
        </w:rPr>
        <w:t xml:space="preserve">operation. For that, they publish the </w:t>
      </w:r>
      <w:r w:rsidRPr="00272E67">
        <w:rPr>
          <w:rFonts w:ascii="Arial" w:hAnsi="Arial" w:cs="Arial"/>
          <w:sz w:val="20"/>
          <w:szCs w:val="20"/>
          <w:u w:val="single"/>
        </w:rPr>
        <w:t>EU list of non-co</w:t>
      </w:r>
      <w:r w:rsidR="00EB190E" w:rsidRPr="00272E67">
        <w:rPr>
          <w:rFonts w:ascii="Arial" w:hAnsi="Arial" w:cs="Arial"/>
          <w:sz w:val="20"/>
          <w:szCs w:val="20"/>
          <w:u w:val="single"/>
        </w:rPr>
        <w:t>-</w:t>
      </w:r>
      <w:r w:rsidRPr="00272E67">
        <w:rPr>
          <w:rFonts w:ascii="Arial" w:hAnsi="Arial" w:cs="Arial"/>
          <w:sz w:val="20"/>
          <w:szCs w:val="20"/>
          <w:u w:val="single"/>
        </w:rPr>
        <w:t>operative jurisdictions for tax purposes</w:t>
      </w:r>
      <w:r w:rsidRPr="00272E67">
        <w:rPr>
          <w:rFonts w:ascii="Arial" w:hAnsi="Arial" w:cs="Arial"/>
          <w:sz w:val="20"/>
          <w:szCs w:val="20"/>
        </w:rPr>
        <w:t xml:space="preserve">, a list that includes non-EU countries or territories that failed to make </w:t>
      </w:r>
      <w:proofErr w:type="gramStart"/>
      <w:r w:rsidRPr="00272E67">
        <w:rPr>
          <w:rFonts w:ascii="Arial" w:hAnsi="Arial" w:cs="Arial"/>
          <w:sz w:val="20"/>
          <w:szCs w:val="20"/>
        </w:rPr>
        <w:t>sufficient</w:t>
      </w:r>
      <w:proofErr w:type="gramEnd"/>
      <w:r w:rsidRPr="00272E67">
        <w:rPr>
          <w:rFonts w:ascii="Arial" w:hAnsi="Arial" w:cs="Arial"/>
          <w:sz w:val="20"/>
          <w:szCs w:val="20"/>
        </w:rPr>
        <w:t xml:space="preserve"> commitments in response to EU concerns. </w:t>
      </w:r>
    </w:p>
    <w:p w14:paraId="2825AA21" w14:textId="4505E58A" w:rsidR="003C34CD" w:rsidRPr="00272E67" w:rsidRDefault="003C34CD" w:rsidP="00272E67">
      <w:pPr>
        <w:rPr>
          <w:rFonts w:eastAsia="Times New Roman" w:cs="Arial"/>
          <w:szCs w:val="20"/>
        </w:rPr>
      </w:pPr>
    </w:p>
    <w:p w14:paraId="0C4BCDAD" w14:textId="0CE91C1E" w:rsidR="003C34CD" w:rsidRDefault="003C34CD" w:rsidP="00272E67">
      <w:pPr>
        <w:pStyle w:val="Paragraph"/>
        <w:spacing w:before="0" w:after="0"/>
        <w:jc w:val="left"/>
        <w:rPr>
          <w:rFonts w:ascii="Arial" w:hAnsi="Arial" w:cs="Arial"/>
          <w:sz w:val="20"/>
          <w:szCs w:val="20"/>
        </w:rPr>
      </w:pPr>
      <w:r w:rsidRPr="00272E67">
        <w:rPr>
          <w:rFonts w:ascii="Arial" w:hAnsi="Arial" w:cs="Arial"/>
          <w:sz w:val="20"/>
          <w:szCs w:val="20"/>
        </w:rPr>
        <w:t>Separately from the list, a state of play document</w:t>
      </w:r>
      <w:r w:rsidRPr="00272E67">
        <w:rPr>
          <w:rStyle w:val="FootnoteReference"/>
          <w:rFonts w:ascii="Arial" w:hAnsi="Arial" w:cs="Arial"/>
          <w:iCs/>
          <w:sz w:val="20"/>
          <w:szCs w:val="20"/>
        </w:rPr>
        <w:footnoteReference w:id="11"/>
      </w:r>
      <w:r w:rsidRPr="00272E67">
        <w:rPr>
          <w:rFonts w:ascii="Arial" w:hAnsi="Arial" w:cs="Arial"/>
          <w:sz w:val="20"/>
          <w:szCs w:val="20"/>
        </w:rPr>
        <w:t xml:space="preserve"> features the jurisdictions that responded in a </w:t>
      </w:r>
      <w:proofErr w:type="gramStart"/>
      <w:r w:rsidRPr="00272E67">
        <w:rPr>
          <w:rFonts w:ascii="Arial" w:hAnsi="Arial" w:cs="Arial"/>
          <w:sz w:val="20"/>
          <w:szCs w:val="20"/>
        </w:rPr>
        <w:t>sufficient</w:t>
      </w:r>
      <w:proofErr w:type="gramEnd"/>
      <w:r w:rsidRPr="00272E67">
        <w:rPr>
          <w:rFonts w:ascii="Arial" w:hAnsi="Arial" w:cs="Arial"/>
          <w:sz w:val="20"/>
          <w:szCs w:val="20"/>
        </w:rPr>
        <w:t xml:space="preserve"> manner and/or needed to take effective action so as not to be listed in the future. In the review of March 2019 (updated list was published in November 2019), the Cayman Islands were included</w:t>
      </w:r>
      <w:r w:rsidRPr="00272E67">
        <w:rPr>
          <w:rFonts w:ascii="Arial" w:hAnsi="Arial" w:cs="Arial"/>
          <w:sz w:val="20"/>
          <w:szCs w:val="20"/>
          <w:vertAlign w:val="superscript"/>
        </w:rPr>
        <w:footnoteReference w:id="12"/>
      </w:r>
      <w:r w:rsidRPr="00272E67">
        <w:rPr>
          <w:rFonts w:ascii="Arial" w:hAnsi="Arial" w:cs="Arial"/>
          <w:sz w:val="20"/>
          <w:szCs w:val="20"/>
        </w:rPr>
        <w:t xml:space="preserve"> within the “</w:t>
      </w:r>
      <w:r w:rsidRPr="00272E67">
        <w:rPr>
          <w:rFonts w:ascii="Arial" w:hAnsi="Arial" w:cs="Arial"/>
          <w:i/>
          <w:sz w:val="20"/>
          <w:szCs w:val="20"/>
        </w:rPr>
        <w:t>jurisdictions, which committed to addressing the concerns relating to economic substance in the area of collective investment funds, have engaged in a positive dialogue with the Group and have remained cooperative, and were granted until end 2019 to adapt their legislation</w:t>
      </w:r>
      <w:r w:rsidRPr="00272E67">
        <w:rPr>
          <w:rFonts w:ascii="Arial" w:hAnsi="Arial" w:cs="Arial"/>
          <w:sz w:val="20"/>
          <w:szCs w:val="20"/>
        </w:rPr>
        <w:t>”. This deadline may be reviewed depending on the technical guidance to be agreed by the Group and ongoing dialogue with the jurisdictions concerned.</w:t>
      </w:r>
    </w:p>
    <w:p w14:paraId="65E868A3" w14:textId="77777777" w:rsidR="00272E67" w:rsidRPr="00272E67" w:rsidRDefault="00272E67" w:rsidP="00272E67">
      <w:pPr>
        <w:pStyle w:val="Paragraph"/>
        <w:numPr>
          <w:ilvl w:val="0"/>
          <w:numId w:val="0"/>
        </w:numPr>
        <w:spacing w:before="0" w:after="0"/>
        <w:jc w:val="left"/>
        <w:rPr>
          <w:rFonts w:ascii="Arial" w:hAnsi="Arial" w:cs="Arial"/>
          <w:sz w:val="20"/>
          <w:szCs w:val="20"/>
        </w:rPr>
      </w:pPr>
    </w:p>
    <w:p w14:paraId="531E0D56" w14:textId="59153CA0" w:rsidR="003C34CD" w:rsidRDefault="003C34CD" w:rsidP="00272E67">
      <w:pPr>
        <w:pStyle w:val="Paragraph"/>
        <w:spacing w:before="0" w:after="0"/>
        <w:jc w:val="left"/>
        <w:rPr>
          <w:rFonts w:ascii="Arial" w:hAnsi="Arial" w:cs="Arial"/>
          <w:i/>
          <w:sz w:val="20"/>
          <w:szCs w:val="20"/>
        </w:rPr>
      </w:pPr>
      <w:r w:rsidRPr="00272E67">
        <w:rPr>
          <w:rFonts w:ascii="Arial" w:hAnsi="Arial" w:cs="Arial"/>
          <w:sz w:val="20"/>
          <w:szCs w:val="20"/>
        </w:rPr>
        <w:t>On 18 February 2020, the Cayman Islands were moved to the list of non-co</w:t>
      </w:r>
      <w:r w:rsidR="00EB190E" w:rsidRPr="00272E67">
        <w:rPr>
          <w:rFonts w:ascii="Arial" w:hAnsi="Arial" w:cs="Arial"/>
          <w:sz w:val="20"/>
          <w:szCs w:val="20"/>
        </w:rPr>
        <w:t>-</w:t>
      </w:r>
      <w:r w:rsidRPr="00272E67">
        <w:rPr>
          <w:rFonts w:ascii="Arial" w:hAnsi="Arial" w:cs="Arial"/>
          <w:sz w:val="20"/>
          <w:szCs w:val="20"/>
        </w:rPr>
        <w:t>operative jurisdictions for tax purposes</w:t>
      </w:r>
      <w:r w:rsidRPr="00272E67">
        <w:rPr>
          <w:rFonts w:ascii="Arial" w:hAnsi="Arial" w:cs="Arial"/>
          <w:sz w:val="20"/>
          <w:szCs w:val="20"/>
          <w:vertAlign w:val="superscript"/>
        </w:rPr>
        <w:footnoteReference w:id="13"/>
      </w:r>
      <w:r w:rsidRPr="00272E67">
        <w:rPr>
          <w:rFonts w:ascii="Arial" w:hAnsi="Arial" w:cs="Arial"/>
          <w:sz w:val="20"/>
          <w:szCs w:val="20"/>
        </w:rPr>
        <w:t xml:space="preserve"> as the jurisdiction “</w:t>
      </w:r>
      <w:r w:rsidRPr="00272E67">
        <w:rPr>
          <w:rFonts w:ascii="Arial" w:hAnsi="Arial" w:cs="Arial"/>
          <w:i/>
          <w:sz w:val="20"/>
          <w:szCs w:val="20"/>
        </w:rPr>
        <w:t>does not have appropriate measures in place relating to economic substance in the area of collective investment vehicles</w:t>
      </w:r>
      <w:r w:rsidR="00EB190E" w:rsidRPr="00272E67">
        <w:rPr>
          <w:rFonts w:ascii="Arial" w:hAnsi="Arial" w:cs="Arial"/>
          <w:i/>
          <w:sz w:val="20"/>
          <w:szCs w:val="20"/>
        </w:rPr>
        <w:t>.”</w:t>
      </w:r>
      <w:r w:rsidRPr="00272E67">
        <w:rPr>
          <w:rStyle w:val="FootnoteReference"/>
          <w:rFonts w:ascii="Arial" w:hAnsi="Arial" w:cs="Arial"/>
          <w:i/>
          <w:sz w:val="20"/>
          <w:szCs w:val="20"/>
        </w:rPr>
        <w:footnoteReference w:id="14"/>
      </w:r>
    </w:p>
    <w:p w14:paraId="1EC3A210" w14:textId="77777777" w:rsidR="00272E67" w:rsidRPr="00272E67" w:rsidRDefault="00272E67" w:rsidP="00272E67">
      <w:pPr>
        <w:pStyle w:val="Paragraph"/>
        <w:numPr>
          <w:ilvl w:val="0"/>
          <w:numId w:val="0"/>
        </w:numPr>
        <w:spacing w:before="0" w:after="0"/>
        <w:jc w:val="left"/>
        <w:rPr>
          <w:rFonts w:ascii="Arial" w:hAnsi="Arial" w:cs="Arial"/>
          <w:i/>
          <w:sz w:val="20"/>
          <w:szCs w:val="20"/>
        </w:rPr>
      </w:pPr>
    </w:p>
    <w:p w14:paraId="42F26B84" w14:textId="0DE6191B" w:rsidR="003C34CD" w:rsidRDefault="003C34CD" w:rsidP="00272E67">
      <w:pPr>
        <w:pStyle w:val="Heading3"/>
        <w:spacing w:before="0" w:after="0"/>
        <w:rPr>
          <w:rFonts w:ascii="Arial" w:hAnsi="Arial"/>
          <w:sz w:val="20"/>
          <w:szCs w:val="20"/>
        </w:rPr>
      </w:pPr>
      <w:r w:rsidRPr="00272E67">
        <w:rPr>
          <w:rFonts w:ascii="Arial" w:hAnsi="Arial"/>
          <w:sz w:val="20"/>
          <w:szCs w:val="20"/>
        </w:rPr>
        <w:t>Financial Action Task Force</w:t>
      </w:r>
    </w:p>
    <w:p w14:paraId="4F5DD6AE" w14:textId="77777777" w:rsidR="00272E67" w:rsidRPr="00272E67" w:rsidRDefault="00272E67" w:rsidP="00272E67">
      <w:pPr>
        <w:rPr>
          <w:lang w:eastAsia="fr-FR"/>
        </w:rPr>
      </w:pPr>
    </w:p>
    <w:p w14:paraId="69138789" w14:textId="63B06A85" w:rsidR="003C34CD" w:rsidRPr="00272E67" w:rsidRDefault="003C34CD" w:rsidP="00272E67">
      <w:pPr>
        <w:pStyle w:val="Paragraph"/>
        <w:spacing w:before="0" w:after="0"/>
        <w:jc w:val="left"/>
        <w:rPr>
          <w:rFonts w:ascii="Arial" w:hAnsi="Arial" w:cs="Arial"/>
          <w:i/>
          <w:iCs/>
          <w:sz w:val="20"/>
          <w:szCs w:val="20"/>
        </w:rPr>
      </w:pPr>
      <w:r w:rsidRPr="00272E67">
        <w:rPr>
          <w:rFonts w:ascii="Arial" w:hAnsi="Arial" w:cs="Arial"/>
          <w:sz w:val="20"/>
          <w:szCs w:val="20"/>
        </w:rPr>
        <w:t xml:space="preserve">The </w:t>
      </w:r>
      <w:r w:rsidRPr="00272E67">
        <w:rPr>
          <w:rFonts w:ascii="Arial" w:hAnsi="Arial" w:cs="Arial"/>
          <w:sz w:val="20"/>
          <w:szCs w:val="20"/>
          <w:u w:val="single"/>
        </w:rPr>
        <w:t>Financial Action Task Force</w:t>
      </w:r>
      <w:r w:rsidRPr="00272E67">
        <w:rPr>
          <w:rFonts w:ascii="Arial" w:hAnsi="Arial" w:cs="Arial"/>
          <w:sz w:val="20"/>
          <w:szCs w:val="20"/>
        </w:rPr>
        <w:t xml:space="preserve"> (FATF) is a global standard-setting body for anti-money laundering and combatting the financing of terrorism (AML/CFT). In order to protect the international financial system from money laundering and financing of terrorism (ML/FT) risks and to encourage greater compliance with the AML/CFT standards, the FATF identifies jurisdictions that have strategic deficiencies and works with them to address those deficiencies that pose a risk to the international financial system.</w:t>
      </w:r>
    </w:p>
    <w:p w14:paraId="01F35CBE" w14:textId="77777777" w:rsidR="00272E67" w:rsidRPr="00272E67" w:rsidRDefault="00272E67" w:rsidP="00272E67">
      <w:pPr>
        <w:pStyle w:val="Paragraph"/>
        <w:numPr>
          <w:ilvl w:val="0"/>
          <w:numId w:val="0"/>
        </w:numPr>
        <w:spacing w:before="0" w:after="0"/>
        <w:jc w:val="left"/>
        <w:rPr>
          <w:rFonts w:ascii="Arial" w:hAnsi="Arial" w:cs="Arial"/>
          <w:i/>
          <w:iCs/>
          <w:sz w:val="20"/>
          <w:szCs w:val="20"/>
        </w:rPr>
      </w:pPr>
    </w:p>
    <w:p w14:paraId="2D4371C8" w14:textId="46C1A923" w:rsidR="003C34CD" w:rsidRPr="00272E67" w:rsidRDefault="003C34CD" w:rsidP="00272E67">
      <w:pPr>
        <w:pStyle w:val="Paragraph"/>
        <w:spacing w:before="0" w:after="0"/>
        <w:jc w:val="left"/>
        <w:rPr>
          <w:rFonts w:ascii="Arial" w:hAnsi="Arial" w:cs="Arial"/>
          <w:i/>
          <w:iCs/>
          <w:sz w:val="20"/>
          <w:szCs w:val="20"/>
        </w:rPr>
      </w:pPr>
      <w:r w:rsidRPr="00272E67">
        <w:rPr>
          <w:rFonts w:ascii="Arial" w:eastAsiaTheme="minorHAnsi" w:hAnsi="Arial" w:cs="Arial"/>
          <w:sz w:val="20"/>
          <w:szCs w:val="20"/>
        </w:rPr>
        <w:t xml:space="preserve">The </w:t>
      </w:r>
      <w:hyperlink r:id="rId10" w:history="1">
        <w:r w:rsidRPr="00272E67">
          <w:rPr>
            <w:rFonts w:ascii="Arial" w:hAnsi="Arial" w:cs="Arial"/>
            <w:sz w:val="20"/>
            <w:szCs w:val="20"/>
            <w:u w:val="single"/>
          </w:rPr>
          <w:t xml:space="preserve">Caribbean Financial Action Task Force </w:t>
        </w:r>
        <w:r w:rsidRPr="00272E67">
          <w:rPr>
            <w:rFonts w:ascii="Arial" w:hAnsi="Arial" w:cs="Arial"/>
            <w:sz w:val="20"/>
            <w:szCs w:val="20"/>
          </w:rPr>
          <w:t>(CFATF)</w:t>
        </w:r>
      </w:hyperlink>
      <w:r w:rsidRPr="00272E67">
        <w:rPr>
          <w:rFonts w:ascii="Arial" w:eastAsiaTheme="minorHAnsi" w:hAnsi="Arial" w:cs="Arial"/>
          <w:sz w:val="20"/>
          <w:szCs w:val="20"/>
        </w:rPr>
        <w:t> completed in 2019 its assessment of the Cayman Islands' anti-money laundering and counter-terrorist system. The assessment is a comprehensive review of the effectiveness of the Cayman Islands' measures to combat money laundering and terrorist financing and its level of compliance with the FATF Recommendations.</w:t>
      </w:r>
    </w:p>
    <w:p w14:paraId="0E82849A" w14:textId="77777777" w:rsidR="00272E67" w:rsidRPr="00272E67" w:rsidRDefault="00272E67" w:rsidP="00272E67">
      <w:pPr>
        <w:pStyle w:val="Paragraph"/>
        <w:numPr>
          <w:ilvl w:val="0"/>
          <w:numId w:val="0"/>
        </w:numPr>
        <w:spacing w:before="0" w:after="0"/>
        <w:jc w:val="left"/>
        <w:rPr>
          <w:rFonts w:ascii="Arial" w:hAnsi="Arial" w:cs="Arial"/>
          <w:i/>
          <w:iCs/>
          <w:sz w:val="20"/>
          <w:szCs w:val="20"/>
        </w:rPr>
      </w:pPr>
    </w:p>
    <w:p w14:paraId="0F70C56C" w14:textId="01C7D918" w:rsidR="003C34CD" w:rsidRDefault="003C34CD" w:rsidP="00272E67">
      <w:pPr>
        <w:pStyle w:val="Paragraph"/>
        <w:spacing w:before="0" w:after="0"/>
        <w:jc w:val="left"/>
        <w:rPr>
          <w:rFonts w:ascii="Arial" w:hAnsi="Arial" w:cs="Arial"/>
          <w:sz w:val="20"/>
          <w:szCs w:val="20"/>
        </w:rPr>
      </w:pPr>
      <w:r w:rsidRPr="00272E67">
        <w:rPr>
          <w:rFonts w:ascii="Arial" w:hAnsi="Arial" w:cs="Arial"/>
          <w:sz w:val="20"/>
          <w:szCs w:val="20"/>
        </w:rPr>
        <w:t>For full transparency, the Board presents hereafter the whole set of ratings provided by the report. They are divided into “Technical Ratings” and “Effectiveness Ratings”.</w:t>
      </w:r>
    </w:p>
    <w:p w14:paraId="6AE0126E" w14:textId="77777777" w:rsidR="00272E67" w:rsidRPr="00272E67" w:rsidRDefault="00272E67" w:rsidP="00272E67">
      <w:pPr>
        <w:pStyle w:val="Paragraph"/>
        <w:numPr>
          <w:ilvl w:val="0"/>
          <w:numId w:val="0"/>
        </w:numPr>
        <w:spacing w:before="0" w:after="0"/>
        <w:jc w:val="left"/>
        <w:rPr>
          <w:rFonts w:ascii="Arial" w:hAnsi="Arial" w:cs="Arial"/>
          <w:sz w:val="20"/>
          <w:szCs w:val="20"/>
        </w:rPr>
      </w:pPr>
    </w:p>
    <w:p w14:paraId="745289D0" w14:textId="77777777" w:rsidR="003C34CD" w:rsidRPr="00272E67" w:rsidRDefault="003C34CD" w:rsidP="00272E67">
      <w:pPr>
        <w:pStyle w:val="Paragraph"/>
        <w:spacing w:before="0" w:after="0"/>
        <w:jc w:val="left"/>
        <w:rPr>
          <w:rFonts w:ascii="Arial" w:hAnsi="Arial" w:cs="Arial"/>
          <w:sz w:val="20"/>
          <w:szCs w:val="20"/>
        </w:rPr>
      </w:pPr>
      <w:r w:rsidRPr="00272E67">
        <w:rPr>
          <w:rFonts w:ascii="Arial" w:hAnsi="Arial" w:cs="Arial"/>
          <w:sz w:val="20"/>
          <w:szCs w:val="20"/>
          <w:u w:val="single"/>
        </w:rPr>
        <w:t>Technical Ratings</w:t>
      </w:r>
      <w:r w:rsidRPr="00272E67">
        <w:rPr>
          <w:rFonts w:ascii="Arial" w:hAnsi="Arial" w:cs="Arial"/>
          <w:sz w:val="20"/>
          <w:szCs w:val="20"/>
        </w:rPr>
        <w:t xml:space="preserve"> look at whether a country has met all the </w:t>
      </w:r>
      <w:r w:rsidRPr="00272E67">
        <w:rPr>
          <w:rFonts w:ascii="Arial" w:hAnsi="Arial" w:cs="Arial"/>
          <w:bCs/>
          <w:sz w:val="20"/>
          <w:szCs w:val="20"/>
        </w:rPr>
        <w:t>technical</w:t>
      </w:r>
      <w:r w:rsidRPr="00272E67">
        <w:rPr>
          <w:rFonts w:ascii="Arial" w:hAnsi="Arial" w:cs="Arial"/>
          <w:sz w:val="20"/>
          <w:szCs w:val="20"/>
        </w:rPr>
        <w:t> requirements of the 40 FATF Recommendations in its laws, regulations and other legal instruments to combat money laundering, and the financing of terrorism and proliferation.</w:t>
      </w:r>
    </w:p>
    <w:p w14:paraId="1D7DD8A4" w14:textId="77777777" w:rsidR="003C34CD" w:rsidRPr="00272E67" w:rsidRDefault="003C34CD" w:rsidP="00272E67">
      <w:pPr>
        <w:pStyle w:val="Paragraph"/>
        <w:numPr>
          <w:ilvl w:val="0"/>
          <w:numId w:val="0"/>
        </w:numPr>
        <w:spacing w:before="0" w:after="0"/>
        <w:jc w:val="left"/>
        <w:rPr>
          <w:rFonts w:ascii="Arial" w:hAnsi="Arial" w:cs="Arial"/>
          <w:sz w:val="20"/>
          <w:szCs w:val="20"/>
        </w:rPr>
      </w:pPr>
    </w:p>
    <w:p w14:paraId="7FECCA97" w14:textId="77777777" w:rsidR="003C34CD" w:rsidRPr="00272E67" w:rsidRDefault="003C34CD" w:rsidP="00272E67">
      <w:pPr>
        <w:rPr>
          <w:rFonts w:eastAsia="Times New Roman" w:cs="Arial"/>
          <w:iCs/>
          <w:szCs w:val="20"/>
        </w:rPr>
      </w:pPr>
      <w:r w:rsidRPr="00272E67">
        <w:rPr>
          <w:rFonts w:cs="Arial"/>
          <w:iCs/>
          <w:szCs w:val="20"/>
        </w:rPr>
        <w:br w:type="page"/>
      </w:r>
    </w:p>
    <w:tbl>
      <w:tblPr>
        <w:tblW w:w="963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72"/>
        <w:gridCol w:w="2562"/>
      </w:tblGrid>
      <w:tr w:rsidR="003C34CD" w:rsidRPr="008B5054" w14:paraId="37919807" w14:textId="77777777" w:rsidTr="00272E67">
        <w:trPr>
          <w:trHeight w:val="258"/>
          <w:jc w:val="center"/>
        </w:trPr>
        <w:tc>
          <w:tcPr>
            <w:tcW w:w="9634" w:type="dxa"/>
            <w:gridSpan w:val="2"/>
            <w:shd w:val="clear" w:color="auto" w:fill="F2F2F2" w:themeFill="background1" w:themeFillShade="F2"/>
            <w:noWrap/>
            <w:vAlign w:val="bottom"/>
            <w:hideMark/>
          </w:tcPr>
          <w:p w14:paraId="3A24F9D8" w14:textId="77777777" w:rsidR="003C34CD" w:rsidRPr="00272E67" w:rsidRDefault="003C34CD" w:rsidP="00EB190E">
            <w:pPr>
              <w:jc w:val="center"/>
              <w:rPr>
                <w:rFonts w:eastAsia="Times New Roman" w:cs="Arial"/>
                <w:b/>
                <w:bCs/>
                <w:color w:val="000000"/>
                <w:szCs w:val="20"/>
                <w:lang w:eastAsia="en-GB"/>
              </w:rPr>
            </w:pPr>
            <w:bookmarkStart w:id="2" w:name="RANGE!A1"/>
            <w:r w:rsidRPr="00272E67">
              <w:rPr>
                <w:rFonts w:eastAsia="Times New Roman" w:cs="Arial"/>
                <w:b/>
                <w:bCs/>
                <w:color w:val="000000"/>
                <w:szCs w:val="20"/>
                <w:lang w:eastAsia="en-GB"/>
              </w:rPr>
              <w:t>FATF – Technical Ratings</w:t>
            </w:r>
            <w:bookmarkEnd w:id="2"/>
          </w:p>
        </w:tc>
      </w:tr>
      <w:tr w:rsidR="003C34CD" w:rsidRPr="008B5054" w14:paraId="1EDF5C8F" w14:textId="77777777" w:rsidTr="00272E67">
        <w:trPr>
          <w:trHeight w:val="258"/>
          <w:jc w:val="center"/>
        </w:trPr>
        <w:tc>
          <w:tcPr>
            <w:tcW w:w="9634" w:type="dxa"/>
            <w:gridSpan w:val="2"/>
            <w:shd w:val="clear" w:color="auto" w:fill="F2F2F2" w:themeFill="background1" w:themeFillShade="F2"/>
            <w:noWrap/>
            <w:vAlign w:val="bottom"/>
            <w:hideMark/>
          </w:tcPr>
          <w:p w14:paraId="67822619" w14:textId="77777777" w:rsidR="003C34CD" w:rsidRPr="00272E67" w:rsidRDefault="003C34CD" w:rsidP="00EB190E">
            <w:pPr>
              <w:jc w:val="center"/>
              <w:rPr>
                <w:rFonts w:eastAsia="Times New Roman" w:cs="Arial"/>
                <w:b/>
                <w:bCs/>
                <w:color w:val="000000"/>
                <w:szCs w:val="20"/>
                <w:lang w:eastAsia="en-GB"/>
              </w:rPr>
            </w:pPr>
            <w:r w:rsidRPr="00272E67">
              <w:rPr>
                <w:rFonts w:eastAsia="Times New Roman" w:cs="Arial"/>
                <w:b/>
                <w:bCs/>
                <w:color w:val="000000"/>
                <w:szCs w:val="20"/>
                <w:lang w:eastAsia="en-GB"/>
              </w:rPr>
              <w:t>Cayman Islands Assessment</w:t>
            </w:r>
          </w:p>
          <w:p w14:paraId="06FC79F5" w14:textId="77777777" w:rsidR="003C34CD" w:rsidRPr="00272E67" w:rsidRDefault="003C34CD" w:rsidP="00EB190E">
            <w:pPr>
              <w:jc w:val="center"/>
              <w:rPr>
                <w:rFonts w:eastAsia="Times New Roman" w:cs="Arial"/>
                <w:b/>
                <w:bCs/>
                <w:color w:val="000000"/>
                <w:szCs w:val="20"/>
                <w:lang w:eastAsia="en-GB"/>
              </w:rPr>
            </w:pPr>
          </w:p>
        </w:tc>
      </w:tr>
      <w:tr w:rsidR="003C34CD" w:rsidRPr="008B5054" w14:paraId="53BF31B6" w14:textId="77777777" w:rsidTr="00272E67">
        <w:trPr>
          <w:trHeight w:val="258"/>
          <w:jc w:val="center"/>
        </w:trPr>
        <w:tc>
          <w:tcPr>
            <w:tcW w:w="9634" w:type="dxa"/>
            <w:gridSpan w:val="2"/>
            <w:shd w:val="clear" w:color="auto" w:fill="auto"/>
            <w:noWrap/>
            <w:vAlign w:val="bottom"/>
            <w:hideMark/>
          </w:tcPr>
          <w:p w14:paraId="79EEA865" w14:textId="3782F681" w:rsidR="003C34CD" w:rsidRPr="00272E67" w:rsidRDefault="003C34CD" w:rsidP="00EB190E">
            <w:pPr>
              <w:rPr>
                <w:rFonts w:eastAsia="Times New Roman" w:cs="Arial"/>
                <w:b/>
                <w:color w:val="000000"/>
                <w:szCs w:val="20"/>
                <w:lang w:eastAsia="en-GB"/>
              </w:rPr>
            </w:pPr>
            <w:r w:rsidRPr="00272E67">
              <w:rPr>
                <w:rFonts w:eastAsia="Times New Roman" w:cs="Arial"/>
                <w:b/>
                <w:color w:val="000000"/>
                <w:szCs w:val="20"/>
                <w:lang w:eastAsia="en-GB"/>
              </w:rPr>
              <w:t>AML/AML/CFT POLICIES AND CO</w:t>
            </w:r>
            <w:r w:rsidR="00EB190E" w:rsidRPr="00272E67">
              <w:rPr>
                <w:rFonts w:eastAsia="Times New Roman" w:cs="Arial"/>
                <w:b/>
                <w:color w:val="000000"/>
                <w:szCs w:val="20"/>
                <w:lang w:eastAsia="en-GB"/>
              </w:rPr>
              <w:t>-</w:t>
            </w:r>
            <w:r w:rsidRPr="00272E67">
              <w:rPr>
                <w:rFonts w:eastAsia="Times New Roman" w:cs="Arial"/>
                <w:b/>
                <w:color w:val="000000"/>
                <w:szCs w:val="20"/>
                <w:lang w:eastAsia="en-GB"/>
              </w:rPr>
              <w:t xml:space="preserve">ORDINATION </w:t>
            </w:r>
          </w:p>
        </w:tc>
      </w:tr>
      <w:tr w:rsidR="003C34CD" w:rsidRPr="008B5054" w14:paraId="71D8504E" w14:textId="77777777" w:rsidTr="00272E67">
        <w:trPr>
          <w:trHeight w:val="258"/>
          <w:jc w:val="center"/>
        </w:trPr>
        <w:tc>
          <w:tcPr>
            <w:tcW w:w="7072" w:type="dxa"/>
            <w:shd w:val="clear" w:color="auto" w:fill="auto"/>
            <w:noWrap/>
            <w:vAlign w:val="bottom"/>
            <w:hideMark/>
          </w:tcPr>
          <w:p w14:paraId="68E2F93E"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  Assessing risks &amp; applying a risk-based approach</w:t>
            </w:r>
          </w:p>
        </w:tc>
        <w:tc>
          <w:tcPr>
            <w:tcW w:w="2562" w:type="dxa"/>
            <w:shd w:val="clear" w:color="auto" w:fill="auto"/>
            <w:noWrap/>
            <w:vAlign w:val="bottom"/>
            <w:hideMark/>
          </w:tcPr>
          <w:p w14:paraId="6680AF77"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427E1C7A" w14:textId="77777777" w:rsidTr="00272E67">
        <w:trPr>
          <w:trHeight w:val="258"/>
          <w:jc w:val="center"/>
        </w:trPr>
        <w:tc>
          <w:tcPr>
            <w:tcW w:w="7072" w:type="dxa"/>
            <w:shd w:val="clear" w:color="auto" w:fill="auto"/>
            <w:noWrap/>
            <w:vAlign w:val="bottom"/>
            <w:hideMark/>
          </w:tcPr>
          <w:p w14:paraId="128DA5A4" w14:textId="0BE68B0B"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   National co</w:t>
            </w:r>
            <w:r w:rsidR="00EB190E" w:rsidRPr="00272E67">
              <w:rPr>
                <w:rFonts w:eastAsia="Times New Roman" w:cs="Arial"/>
                <w:color w:val="000000"/>
                <w:szCs w:val="20"/>
                <w:lang w:eastAsia="en-GB"/>
              </w:rPr>
              <w:t>-</w:t>
            </w:r>
            <w:r w:rsidRPr="00272E67">
              <w:rPr>
                <w:rFonts w:eastAsia="Times New Roman" w:cs="Arial"/>
                <w:color w:val="000000"/>
                <w:szCs w:val="20"/>
                <w:lang w:eastAsia="en-GB"/>
              </w:rPr>
              <w:t>operation and co</w:t>
            </w:r>
            <w:r w:rsidR="00EB190E" w:rsidRPr="00272E67">
              <w:rPr>
                <w:rFonts w:eastAsia="Times New Roman" w:cs="Arial"/>
                <w:color w:val="000000"/>
                <w:szCs w:val="20"/>
                <w:lang w:eastAsia="en-GB"/>
              </w:rPr>
              <w:t>-</w:t>
            </w:r>
            <w:r w:rsidRPr="00272E67">
              <w:rPr>
                <w:rFonts w:eastAsia="Times New Roman" w:cs="Arial"/>
                <w:color w:val="000000"/>
                <w:szCs w:val="20"/>
                <w:lang w:eastAsia="en-GB"/>
              </w:rPr>
              <w:t>ordination</w:t>
            </w:r>
          </w:p>
        </w:tc>
        <w:tc>
          <w:tcPr>
            <w:tcW w:w="2562" w:type="dxa"/>
            <w:shd w:val="clear" w:color="auto" w:fill="auto"/>
            <w:noWrap/>
            <w:vAlign w:val="bottom"/>
            <w:hideMark/>
          </w:tcPr>
          <w:p w14:paraId="5F184E3B"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0460B95B" w14:textId="77777777" w:rsidTr="00272E67">
        <w:trPr>
          <w:trHeight w:val="258"/>
          <w:jc w:val="center"/>
        </w:trPr>
        <w:tc>
          <w:tcPr>
            <w:tcW w:w="7072" w:type="dxa"/>
            <w:shd w:val="clear" w:color="auto" w:fill="auto"/>
            <w:noWrap/>
            <w:vAlign w:val="bottom"/>
            <w:hideMark/>
          </w:tcPr>
          <w:p w14:paraId="7B175580" w14:textId="77777777" w:rsidR="003C34CD" w:rsidRPr="00272E67" w:rsidRDefault="003C34CD" w:rsidP="00EB190E">
            <w:pPr>
              <w:rPr>
                <w:rFonts w:eastAsia="Times New Roman" w:cs="Arial"/>
                <w:b/>
                <w:bCs/>
                <w:color w:val="000000"/>
                <w:szCs w:val="20"/>
                <w:lang w:eastAsia="en-GB"/>
              </w:rPr>
            </w:pPr>
            <w:r w:rsidRPr="00272E67">
              <w:rPr>
                <w:rFonts w:eastAsia="Times New Roman" w:cs="Arial"/>
                <w:b/>
                <w:bCs/>
                <w:color w:val="000000"/>
                <w:szCs w:val="20"/>
                <w:lang w:eastAsia="en-GB"/>
              </w:rPr>
              <w:t xml:space="preserve">MONEY LAUNDERING AND CONFISCATION </w:t>
            </w:r>
          </w:p>
        </w:tc>
        <w:tc>
          <w:tcPr>
            <w:tcW w:w="2562" w:type="dxa"/>
            <w:shd w:val="clear" w:color="auto" w:fill="auto"/>
            <w:noWrap/>
            <w:vAlign w:val="bottom"/>
            <w:hideMark/>
          </w:tcPr>
          <w:p w14:paraId="4937FFE4" w14:textId="77777777" w:rsidR="003C34CD" w:rsidRPr="00272E67" w:rsidRDefault="003C34CD" w:rsidP="00EB190E">
            <w:pPr>
              <w:rPr>
                <w:rFonts w:eastAsia="Times New Roman" w:cs="Arial"/>
                <w:b/>
                <w:bCs/>
                <w:color w:val="000000"/>
                <w:szCs w:val="20"/>
                <w:lang w:eastAsia="en-GB"/>
              </w:rPr>
            </w:pPr>
          </w:p>
        </w:tc>
      </w:tr>
      <w:tr w:rsidR="003C34CD" w:rsidRPr="008B5054" w14:paraId="2F5909CB" w14:textId="77777777" w:rsidTr="00272E67">
        <w:trPr>
          <w:trHeight w:val="258"/>
          <w:jc w:val="center"/>
        </w:trPr>
        <w:tc>
          <w:tcPr>
            <w:tcW w:w="7072" w:type="dxa"/>
            <w:shd w:val="clear" w:color="auto" w:fill="auto"/>
            <w:noWrap/>
            <w:vAlign w:val="bottom"/>
            <w:hideMark/>
          </w:tcPr>
          <w:p w14:paraId="0DB37E47"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3.   Money laundering offence</w:t>
            </w:r>
          </w:p>
        </w:tc>
        <w:tc>
          <w:tcPr>
            <w:tcW w:w="2562" w:type="dxa"/>
            <w:shd w:val="clear" w:color="auto" w:fill="auto"/>
            <w:noWrap/>
            <w:vAlign w:val="bottom"/>
            <w:hideMark/>
          </w:tcPr>
          <w:p w14:paraId="3A000F55"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78767C65" w14:textId="77777777" w:rsidTr="00272E67">
        <w:trPr>
          <w:trHeight w:val="258"/>
          <w:jc w:val="center"/>
        </w:trPr>
        <w:tc>
          <w:tcPr>
            <w:tcW w:w="7072" w:type="dxa"/>
            <w:shd w:val="clear" w:color="auto" w:fill="auto"/>
            <w:noWrap/>
            <w:vAlign w:val="bottom"/>
            <w:hideMark/>
          </w:tcPr>
          <w:p w14:paraId="05D98964"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4.   Confiscation and provisional measures</w:t>
            </w:r>
          </w:p>
        </w:tc>
        <w:tc>
          <w:tcPr>
            <w:tcW w:w="2562" w:type="dxa"/>
            <w:shd w:val="clear" w:color="auto" w:fill="auto"/>
            <w:noWrap/>
            <w:vAlign w:val="bottom"/>
            <w:hideMark/>
          </w:tcPr>
          <w:p w14:paraId="0578703D"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4B173B71" w14:textId="77777777" w:rsidTr="00272E67">
        <w:trPr>
          <w:trHeight w:val="258"/>
          <w:jc w:val="center"/>
        </w:trPr>
        <w:tc>
          <w:tcPr>
            <w:tcW w:w="7072" w:type="dxa"/>
            <w:shd w:val="clear" w:color="auto" w:fill="auto"/>
            <w:noWrap/>
            <w:vAlign w:val="bottom"/>
            <w:hideMark/>
          </w:tcPr>
          <w:p w14:paraId="748F1D48" w14:textId="77777777" w:rsidR="003C34CD" w:rsidRPr="00272E67" w:rsidRDefault="003C34CD" w:rsidP="00EB190E">
            <w:pPr>
              <w:rPr>
                <w:rFonts w:eastAsia="Times New Roman" w:cs="Arial"/>
                <w:b/>
                <w:bCs/>
                <w:color w:val="000000"/>
                <w:szCs w:val="20"/>
                <w:lang w:eastAsia="en-GB"/>
              </w:rPr>
            </w:pPr>
            <w:r w:rsidRPr="00272E67">
              <w:rPr>
                <w:rFonts w:eastAsia="Times New Roman" w:cs="Arial"/>
                <w:b/>
                <w:bCs/>
                <w:color w:val="000000"/>
                <w:szCs w:val="20"/>
                <w:lang w:eastAsia="en-GB"/>
              </w:rPr>
              <w:t>TERRORIST FINANCING AND FINANCING OF PROLIFERATION</w:t>
            </w:r>
          </w:p>
        </w:tc>
        <w:tc>
          <w:tcPr>
            <w:tcW w:w="2562" w:type="dxa"/>
            <w:shd w:val="clear" w:color="auto" w:fill="auto"/>
            <w:noWrap/>
            <w:vAlign w:val="bottom"/>
            <w:hideMark/>
          </w:tcPr>
          <w:p w14:paraId="31635742" w14:textId="77777777" w:rsidR="003C34CD" w:rsidRPr="00272E67" w:rsidRDefault="003C34CD" w:rsidP="00EB190E">
            <w:pPr>
              <w:rPr>
                <w:rFonts w:eastAsia="Times New Roman" w:cs="Arial"/>
                <w:b/>
                <w:bCs/>
                <w:color w:val="000000"/>
                <w:szCs w:val="20"/>
                <w:lang w:eastAsia="en-GB"/>
              </w:rPr>
            </w:pPr>
          </w:p>
        </w:tc>
      </w:tr>
      <w:tr w:rsidR="003C34CD" w:rsidRPr="008B5054" w14:paraId="7E6D7032" w14:textId="77777777" w:rsidTr="00272E67">
        <w:trPr>
          <w:trHeight w:val="258"/>
          <w:jc w:val="center"/>
        </w:trPr>
        <w:tc>
          <w:tcPr>
            <w:tcW w:w="7072" w:type="dxa"/>
            <w:shd w:val="clear" w:color="auto" w:fill="auto"/>
            <w:noWrap/>
            <w:vAlign w:val="bottom"/>
            <w:hideMark/>
          </w:tcPr>
          <w:p w14:paraId="55504E4B"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5.   Terrorist financing offence</w:t>
            </w:r>
          </w:p>
        </w:tc>
        <w:tc>
          <w:tcPr>
            <w:tcW w:w="2562" w:type="dxa"/>
            <w:shd w:val="clear" w:color="auto" w:fill="auto"/>
            <w:noWrap/>
            <w:vAlign w:val="bottom"/>
            <w:hideMark/>
          </w:tcPr>
          <w:p w14:paraId="04D870D6"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321627FB" w14:textId="77777777" w:rsidTr="00272E67">
        <w:trPr>
          <w:trHeight w:val="258"/>
          <w:jc w:val="center"/>
        </w:trPr>
        <w:tc>
          <w:tcPr>
            <w:tcW w:w="7072" w:type="dxa"/>
            <w:shd w:val="clear" w:color="auto" w:fill="auto"/>
            <w:noWrap/>
            <w:vAlign w:val="bottom"/>
            <w:hideMark/>
          </w:tcPr>
          <w:p w14:paraId="47761FAE"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6.   Targeted financial sanctions related to terrorism &amp; terrorist financing</w:t>
            </w:r>
          </w:p>
        </w:tc>
        <w:tc>
          <w:tcPr>
            <w:tcW w:w="2562" w:type="dxa"/>
            <w:shd w:val="clear" w:color="auto" w:fill="auto"/>
            <w:noWrap/>
            <w:vAlign w:val="bottom"/>
            <w:hideMark/>
          </w:tcPr>
          <w:p w14:paraId="19AA373F"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4A0B87BC" w14:textId="77777777" w:rsidTr="00272E67">
        <w:trPr>
          <w:trHeight w:val="258"/>
          <w:jc w:val="center"/>
        </w:trPr>
        <w:tc>
          <w:tcPr>
            <w:tcW w:w="7072" w:type="dxa"/>
            <w:shd w:val="clear" w:color="auto" w:fill="auto"/>
            <w:noWrap/>
            <w:vAlign w:val="bottom"/>
            <w:hideMark/>
          </w:tcPr>
          <w:p w14:paraId="17089596"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7.   Targeted financial sanctions related to proliferation</w:t>
            </w:r>
          </w:p>
        </w:tc>
        <w:tc>
          <w:tcPr>
            <w:tcW w:w="2562" w:type="dxa"/>
            <w:shd w:val="clear" w:color="auto" w:fill="auto"/>
            <w:noWrap/>
            <w:vAlign w:val="bottom"/>
            <w:hideMark/>
          </w:tcPr>
          <w:p w14:paraId="3F5F6752"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3B1AFA17" w14:textId="77777777" w:rsidTr="00272E67">
        <w:trPr>
          <w:trHeight w:val="258"/>
          <w:jc w:val="center"/>
        </w:trPr>
        <w:tc>
          <w:tcPr>
            <w:tcW w:w="7072" w:type="dxa"/>
            <w:shd w:val="clear" w:color="auto" w:fill="auto"/>
            <w:noWrap/>
            <w:vAlign w:val="bottom"/>
            <w:hideMark/>
          </w:tcPr>
          <w:p w14:paraId="3763140F"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8.   Non-profit organisations</w:t>
            </w:r>
          </w:p>
        </w:tc>
        <w:tc>
          <w:tcPr>
            <w:tcW w:w="2562" w:type="dxa"/>
            <w:shd w:val="clear" w:color="auto" w:fill="auto"/>
            <w:noWrap/>
            <w:vAlign w:val="bottom"/>
            <w:hideMark/>
          </w:tcPr>
          <w:p w14:paraId="6F055857"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Largely Compliant</w:t>
            </w:r>
          </w:p>
        </w:tc>
      </w:tr>
      <w:tr w:rsidR="003C34CD" w:rsidRPr="008B5054" w14:paraId="7506B7C1" w14:textId="77777777" w:rsidTr="00272E67">
        <w:trPr>
          <w:trHeight w:val="258"/>
          <w:jc w:val="center"/>
        </w:trPr>
        <w:tc>
          <w:tcPr>
            <w:tcW w:w="7072" w:type="dxa"/>
            <w:shd w:val="clear" w:color="auto" w:fill="auto"/>
            <w:noWrap/>
            <w:vAlign w:val="bottom"/>
            <w:hideMark/>
          </w:tcPr>
          <w:p w14:paraId="14F92132" w14:textId="77777777" w:rsidR="003C34CD" w:rsidRPr="00272E67" w:rsidRDefault="003C34CD" w:rsidP="00EB190E">
            <w:pPr>
              <w:rPr>
                <w:rFonts w:eastAsia="Times New Roman" w:cs="Arial"/>
                <w:b/>
                <w:bCs/>
                <w:color w:val="000000"/>
                <w:szCs w:val="20"/>
                <w:lang w:eastAsia="en-GB"/>
              </w:rPr>
            </w:pPr>
            <w:r w:rsidRPr="00272E67">
              <w:rPr>
                <w:rFonts w:eastAsia="Times New Roman" w:cs="Arial"/>
                <w:b/>
                <w:bCs/>
                <w:color w:val="000000"/>
                <w:szCs w:val="20"/>
                <w:lang w:eastAsia="en-GB"/>
              </w:rPr>
              <w:t xml:space="preserve">PREVENTIVE MEASURES </w:t>
            </w:r>
          </w:p>
        </w:tc>
        <w:tc>
          <w:tcPr>
            <w:tcW w:w="2562" w:type="dxa"/>
            <w:shd w:val="clear" w:color="auto" w:fill="auto"/>
            <w:noWrap/>
            <w:vAlign w:val="bottom"/>
            <w:hideMark/>
          </w:tcPr>
          <w:p w14:paraId="347B30AA" w14:textId="77777777" w:rsidR="003C34CD" w:rsidRPr="00272E67" w:rsidRDefault="003C34CD" w:rsidP="00EB190E">
            <w:pPr>
              <w:rPr>
                <w:rFonts w:eastAsia="Times New Roman" w:cs="Arial"/>
                <w:b/>
                <w:bCs/>
                <w:color w:val="000000"/>
                <w:szCs w:val="20"/>
                <w:lang w:eastAsia="en-GB"/>
              </w:rPr>
            </w:pPr>
          </w:p>
        </w:tc>
      </w:tr>
      <w:tr w:rsidR="003C34CD" w:rsidRPr="008B5054" w14:paraId="4220158D" w14:textId="77777777" w:rsidTr="00272E67">
        <w:trPr>
          <w:trHeight w:val="258"/>
          <w:jc w:val="center"/>
        </w:trPr>
        <w:tc>
          <w:tcPr>
            <w:tcW w:w="7072" w:type="dxa"/>
            <w:shd w:val="clear" w:color="auto" w:fill="auto"/>
            <w:noWrap/>
            <w:vAlign w:val="bottom"/>
            <w:hideMark/>
          </w:tcPr>
          <w:p w14:paraId="1DC46AB1"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9.   Financial institution secrecy laws</w:t>
            </w:r>
          </w:p>
        </w:tc>
        <w:tc>
          <w:tcPr>
            <w:tcW w:w="2562" w:type="dxa"/>
            <w:shd w:val="clear" w:color="auto" w:fill="auto"/>
            <w:noWrap/>
            <w:vAlign w:val="bottom"/>
            <w:hideMark/>
          </w:tcPr>
          <w:p w14:paraId="133DBA48"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2C16D9C9" w14:textId="77777777" w:rsidTr="00272E67">
        <w:trPr>
          <w:trHeight w:val="258"/>
          <w:jc w:val="center"/>
        </w:trPr>
        <w:tc>
          <w:tcPr>
            <w:tcW w:w="7072" w:type="dxa"/>
            <w:shd w:val="clear" w:color="auto" w:fill="auto"/>
            <w:noWrap/>
            <w:vAlign w:val="bottom"/>
            <w:hideMark/>
          </w:tcPr>
          <w:p w14:paraId="63E7A14E" w14:textId="77777777" w:rsidR="003C34CD" w:rsidRPr="00272E67" w:rsidRDefault="003C34CD" w:rsidP="00EB190E">
            <w:pPr>
              <w:rPr>
                <w:rFonts w:eastAsia="Times New Roman" w:cs="Arial"/>
                <w:i/>
                <w:color w:val="000000"/>
                <w:szCs w:val="20"/>
                <w:u w:val="single"/>
                <w:lang w:eastAsia="en-GB"/>
              </w:rPr>
            </w:pPr>
            <w:r w:rsidRPr="00272E67">
              <w:rPr>
                <w:rFonts w:eastAsia="Times New Roman" w:cs="Arial"/>
                <w:i/>
                <w:color w:val="000000"/>
                <w:szCs w:val="20"/>
                <w:u w:val="single"/>
                <w:lang w:eastAsia="en-GB"/>
              </w:rPr>
              <w:t xml:space="preserve">Customer due diligence and record keeping </w:t>
            </w:r>
          </w:p>
        </w:tc>
        <w:tc>
          <w:tcPr>
            <w:tcW w:w="2562" w:type="dxa"/>
            <w:shd w:val="clear" w:color="auto" w:fill="auto"/>
            <w:noWrap/>
            <w:vAlign w:val="bottom"/>
            <w:hideMark/>
          </w:tcPr>
          <w:p w14:paraId="48241A6E" w14:textId="77777777" w:rsidR="003C34CD" w:rsidRPr="00272E67" w:rsidRDefault="003C34CD" w:rsidP="00EB190E">
            <w:pPr>
              <w:rPr>
                <w:rFonts w:eastAsia="Times New Roman" w:cs="Arial"/>
                <w:color w:val="000000"/>
                <w:szCs w:val="20"/>
                <w:u w:val="single"/>
                <w:lang w:eastAsia="en-GB"/>
              </w:rPr>
            </w:pPr>
          </w:p>
        </w:tc>
      </w:tr>
      <w:tr w:rsidR="003C34CD" w:rsidRPr="008B5054" w14:paraId="60397B44" w14:textId="77777777" w:rsidTr="00272E67">
        <w:trPr>
          <w:trHeight w:val="258"/>
          <w:jc w:val="center"/>
        </w:trPr>
        <w:tc>
          <w:tcPr>
            <w:tcW w:w="7072" w:type="dxa"/>
            <w:shd w:val="clear" w:color="auto" w:fill="auto"/>
            <w:noWrap/>
            <w:vAlign w:val="bottom"/>
            <w:hideMark/>
          </w:tcPr>
          <w:p w14:paraId="03ADB61C"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10.   Customer due diligence</w:t>
            </w:r>
          </w:p>
        </w:tc>
        <w:tc>
          <w:tcPr>
            <w:tcW w:w="2562" w:type="dxa"/>
            <w:shd w:val="clear" w:color="auto" w:fill="auto"/>
            <w:noWrap/>
            <w:vAlign w:val="bottom"/>
            <w:hideMark/>
          </w:tcPr>
          <w:p w14:paraId="3A300B97"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09584057" w14:textId="77777777" w:rsidTr="00272E67">
        <w:trPr>
          <w:trHeight w:val="258"/>
          <w:jc w:val="center"/>
        </w:trPr>
        <w:tc>
          <w:tcPr>
            <w:tcW w:w="7072" w:type="dxa"/>
            <w:shd w:val="clear" w:color="auto" w:fill="auto"/>
            <w:noWrap/>
            <w:vAlign w:val="bottom"/>
            <w:hideMark/>
          </w:tcPr>
          <w:p w14:paraId="183AD09F"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11.   Record keeping</w:t>
            </w:r>
          </w:p>
        </w:tc>
        <w:tc>
          <w:tcPr>
            <w:tcW w:w="2562" w:type="dxa"/>
            <w:shd w:val="clear" w:color="auto" w:fill="auto"/>
            <w:noWrap/>
            <w:vAlign w:val="bottom"/>
            <w:hideMark/>
          </w:tcPr>
          <w:p w14:paraId="23623356"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6E7E4DDF" w14:textId="77777777" w:rsidTr="00272E67">
        <w:trPr>
          <w:trHeight w:val="258"/>
          <w:jc w:val="center"/>
        </w:trPr>
        <w:tc>
          <w:tcPr>
            <w:tcW w:w="7072" w:type="dxa"/>
            <w:shd w:val="clear" w:color="auto" w:fill="auto"/>
            <w:noWrap/>
            <w:vAlign w:val="bottom"/>
            <w:hideMark/>
          </w:tcPr>
          <w:p w14:paraId="19A8F1C5" w14:textId="77777777" w:rsidR="003C34CD" w:rsidRPr="00272E67" w:rsidRDefault="003C34CD" w:rsidP="00EB190E">
            <w:pPr>
              <w:rPr>
                <w:rFonts w:eastAsia="Times New Roman" w:cs="Arial"/>
                <w:i/>
                <w:color w:val="000000"/>
                <w:szCs w:val="20"/>
                <w:u w:val="single"/>
                <w:lang w:eastAsia="en-GB"/>
              </w:rPr>
            </w:pPr>
            <w:r w:rsidRPr="00272E67">
              <w:rPr>
                <w:rFonts w:eastAsia="Times New Roman" w:cs="Arial"/>
                <w:i/>
                <w:color w:val="000000"/>
                <w:szCs w:val="20"/>
                <w:u w:val="single"/>
                <w:lang w:eastAsia="en-GB"/>
              </w:rPr>
              <w:t xml:space="preserve">Additional measures for specific customers and activities </w:t>
            </w:r>
          </w:p>
        </w:tc>
        <w:tc>
          <w:tcPr>
            <w:tcW w:w="2562" w:type="dxa"/>
            <w:shd w:val="clear" w:color="auto" w:fill="auto"/>
            <w:noWrap/>
            <w:vAlign w:val="bottom"/>
            <w:hideMark/>
          </w:tcPr>
          <w:p w14:paraId="014FD3D5" w14:textId="77777777" w:rsidR="003C34CD" w:rsidRPr="00272E67" w:rsidRDefault="003C34CD" w:rsidP="00EB190E">
            <w:pPr>
              <w:rPr>
                <w:rFonts w:eastAsia="Times New Roman" w:cs="Arial"/>
                <w:color w:val="000000"/>
                <w:szCs w:val="20"/>
                <w:u w:val="single"/>
                <w:lang w:eastAsia="en-GB"/>
              </w:rPr>
            </w:pPr>
          </w:p>
        </w:tc>
      </w:tr>
      <w:tr w:rsidR="003C34CD" w:rsidRPr="008B5054" w14:paraId="5F5BC29A" w14:textId="77777777" w:rsidTr="00272E67">
        <w:trPr>
          <w:trHeight w:val="258"/>
          <w:jc w:val="center"/>
        </w:trPr>
        <w:tc>
          <w:tcPr>
            <w:tcW w:w="7072" w:type="dxa"/>
            <w:shd w:val="clear" w:color="auto" w:fill="auto"/>
            <w:noWrap/>
            <w:vAlign w:val="bottom"/>
            <w:hideMark/>
          </w:tcPr>
          <w:p w14:paraId="7E7E4664"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12.   Politically exposed persons</w:t>
            </w:r>
          </w:p>
        </w:tc>
        <w:tc>
          <w:tcPr>
            <w:tcW w:w="2562" w:type="dxa"/>
            <w:shd w:val="clear" w:color="auto" w:fill="auto"/>
            <w:noWrap/>
            <w:vAlign w:val="bottom"/>
            <w:hideMark/>
          </w:tcPr>
          <w:p w14:paraId="4D5F62BD"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560BD18E" w14:textId="77777777" w:rsidTr="00272E67">
        <w:trPr>
          <w:trHeight w:val="258"/>
          <w:jc w:val="center"/>
        </w:trPr>
        <w:tc>
          <w:tcPr>
            <w:tcW w:w="7072" w:type="dxa"/>
            <w:shd w:val="clear" w:color="auto" w:fill="auto"/>
            <w:noWrap/>
            <w:vAlign w:val="bottom"/>
            <w:hideMark/>
          </w:tcPr>
          <w:p w14:paraId="5E4574E5"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13.   Correspondent banking</w:t>
            </w:r>
          </w:p>
        </w:tc>
        <w:tc>
          <w:tcPr>
            <w:tcW w:w="2562" w:type="dxa"/>
            <w:shd w:val="clear" w:color="auto" w:fill="auto"/>
            <w:noWrap/>
            <w:vAlign w:val="bottom"/>
            <w:hideMark/>
          </w:tcPr>
          <w:p w14:paraId="29A26510"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2D5A62B7" w14:textId="77777777" w:rsidTr="00272E67">
        <w:trPr>
          <w:trHeight w:val="258"/>
          <w:jc w:val="center"/>
        </w:trPr>
        <w:tc>
          <w:tcPr>
            <w:tcW w:w="7072" w:type="dxa"/>
            <w:shd w:val="clear" w:color="auto" w:fill="auto"/>
            <w:noWrap/>
            <w:vAlign w:val="bottom"/>
            <w:hideMark/>
          </w:tcPr>
          <w:p w14:paraId="1E731E03"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14.   Money or value transfer services</w:t>
            </w:r>
          </w:p>
        </w:tc>
        <w:tc>
          <w:tcPr>
            <w:tcW w:w="2562" w:type="dxa"/>
            <w:shd w:val="clear" w:color="auto" w:fill="auto"/>
            <w:noWrap/>
            <w:vAlign w:val="bottom"/>
            <w:hideMark/>
          </w:tcPr>
          <w:p w14:paraId="4153225F"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5AA4B887" w14:textId="77777777" w:rsidTr="00272E67">
        <w:trPr>
          <w:trHeight w:val="258"/>
          <w:jc w:val="center"/>
        </w:trPr>
        <w:tc>
          <w:tcPr>
            <w:tcW w:w="7072" w:type="dxa"/>
            <w:shd w:val="clear" w:color="auto" w:fill="auto"/>
            <w:noWrap/>
            <w:vAlign w:val="bottom"/>
            <w:hideMark/>
          </w:tcPr>
          <w:p w14:paraId="7F89D5E7"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15.   New technologies</w:t>
            </w:r>
          </w:p>
        </w:tc>
        <w:tc>
          <w:tcPr>
            <w:tcW w:w="2562" w:type="dxa"/>
            <w:shd w:val="clear" w:color="auto" w:fill="auto"/>
            <w:noWrap/>
            <w:vAlign w:val="bottom"/>
            <w:hideMark/>
          </w:tcPr>
          <w:p w14:paraId="65DFED6F"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2E3ED534" w14:textId="77777777" w:rsidTr="00272E67">
        <w:trPr>
          <w:trHeight w:val="258"/>
          <w:jc w:val="center"/>
        </w:trPr>
        <w:tc>
          <w:tcPr>
            <w:tcW w:w="7072" w:type="dxa"/>
            <w:shd w:val="clear" w:color="auto" w:fill="auto"/>
            <w:noWrap/>
            <w:vAlign w:val="bottom"/>
            <w:hideMark/>
          </w:tcPr>
          <w:p w14:paraId="7C4800E2"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16.   Wire transfers</w:t>
            </w:r>
          </w:p>
        </w:tc>
        <w:tc>
          <w:tcPr>
            <w:tcW w:w="2562" w:type="dxa"/>
            <w:shd w:val="clear" w:color="auto" w:fill="auto"/>
            <w:noWrap/>
            <w:vAlign w:val="bottom"/>
            <w:hideMark/>
          </w:tcPr>
          <w:p w14:paraId="7156E93E"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Largely Compliant</w:t>
            </w:r>
          </w:p>
        </w:tc>
      </w:tr>
      <w:tr w:rsidR="003C34CD" w:rsidRPr="008B5054" w14:paraId="15BEBC59" w14:textId="77777777" w:rsidTr="00272E67">
        <w:trPr>
          <w:trHeight w:val="258"/>
          <w:jc w:val="center"/>
        </w:trPr>
        <w:tc>
          <w:tcPr>
            <w:tcW w:w="7072" w:type="dxa"/>
            <w:shd w:val="clear" w:color="auto" w:fill="auto"/>
            <w:noWrap/>
            <w:vAlign w:val="bottom"/>
            <w:hideMark/>
          </w:tcPr>
          <w:p w14:paraId="3B85F219" w14:textId="77777777" w:rsidR="003C34CD" w:rsidRPr="00272E67" w:rsidRDefault="003C34CD" w:rsidP="00EB190E">
            <w:pPr>
              <w:rPr>
                <w:rFonts w:eastAsia="Times New Roman" w:cs="Arial"/>
                <w:i/>
                <w:color w:val="000000"/>
                <w:szCs w:val="20"/>
                <w:u w:val="single"/>
                <w:lang w:eastAsia="en-GB"/>
              </w:rPr>
            </w:pPr>
            <w:r w:rsidRPr="00272E67">
              <w:rPr>
                <w:rFonts w:eastAsia="Times New Roman" w:cs="Arial"/>
                <w:i/>
                <w:color w:val="000000"/>
                <w:szCs w:val="20"/>
                <w:u w:val="single"/>
                <w:lang w:eastAsia="en-GB"/>
              </w:rPr>
              <w:t>Reliance, Controls and Financial Groups</w:t>
            </w:r>
          </w:p>
        </w:tc>
        <w:tc>
          <w:tcPr>
            <w:tcW w:w="2562" w:type="dxa"/>
            <w:shd w:val="clear" w:color="auto" w:fill="auto"/>
            <w:noWrap/>
            <w:vAlign w:val="bottom"/>
            <w:hideMark/>
          </w:tcPr>
          <w:p w14:paraId="1CA58A7E" w14:textId="77777777" w:rsidR="003C34CD" w:rsidRPr="00272E67" w:rsidRDefault="003C34CD" w:rsidP="00EB190E">
            <w:pPr>
              <w:rPr>
                <w:rFonts w:eastAsia="Times New Roman" w:cs="Arial"/>
                <w:color w:val="000000"/>
                <w:szCs w:val="20"/>
                <w:u w:val="single"/>
                <w:lang w:eastAsia="en-GB"/>
              </w:rPr>
            </w:pPr>
          </w:p>
        </w:tc>
      </w:tr>
      <w:tr w:rsidR="003C34CD" w:rsidRPr="008B5054" w14:paraId="2C161DA4" w14:textId="77777777" w:rsidTr="00272E67">
        <w:trPr>
          <w:trHeight w:val="258"/>
          <w:jc w:val="center"/>
        </w:trPr>
        <w:tc>
          <w:tcPr>
            <w:tcW w:w="7072" w:type="dxa"/>
            <w:shd w:val="clear" w:color="auto" w:fill="auto"/>
            <w:noWrap/>
            <w:vAlign w:val="bottom"/>
            <w:hideMark/>
          </w:tcPr>
          <w:p w14:paraId="514C5B20"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17.   Reliance on third parties</w:t>
            </w:r>
          </w:p>
        </w:tc>
        <w:tc>
          <w:tcPr>
            <w:tcW w:w="2562" w:type="dxa"/>
            <w:shd w:val="clear" w:color="auto" w:fill="auto"/>
            <w:noWrap/>
            <w:vAlign w:val="bottom"/>
            <w:hideMark/>
          </w:tcPr>
          <w:p w14:paraId="7950CEB0"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2619F800" w14:textId="77777777" w:rsidTr="00272E67">
        <w:trPr>
          <w:trHeight w:val="258"/>
          <w:jc w:val="center"/>
        </w:trPr>
        <w:tc>
          <w:tcPr>
            <w:tcW w:w="7072" w:type="dxa"/>
            <w:shd w:val="clear" w:color="auto" w:fill="auto"/>
            <w:noWrap/>
            <w:vAlign w:val="bottom"/>
            <w:hideMark/>
          </w:tcPr>
          <w:p w14:paraId="677BDF0A"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18.   Internal controls and foreign branches and subsidiaries</w:t>
            </w:r>
          </w:p>
        </w:tc>
        <w:tc>
          <w:tcPr>
            <w:tcW w:w="2562" w:type="dxa"/>
            <w:shd w:val="clear" w:color="auto" w:fill="auto"/>
            <w:noWrap/>
            <w:vAlign w:val="bottom"/>
            <w:hideMark/>
          </w:tcPr>
          <w:p w14:paraId="162860E5"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1F2E1F42" w14:textId="77777777" w:rsidTr="00272E67">
        <w:trPr>
          <w:trHeight w:val="258"/>
          <w:jc w:val="center"/>
        </w:trPr>
        <w:tc>
          <w:tcPr>
            <w:tcW w:w="7072" w:type="dxa"/>
            <w:shd w:val="clear" w:color="auto" w:fill="auto"/>
            <w:noWrap/>
            <w:vAlign w:val="bottom"/>
            <w:hideMark/>
          </w:tcPr>
          <w:p w14:paraId="4D4BE46D"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19.   Higher-risk countries</w:t>
            </w:r>
          </w:p>
        </w:tc>
        <w:tc>
          <w:tcPr>
            <w:tcW w:w="2562" w:type="dxa"/>
            <w:shd w:val="clear" w:color="auto" w:fill="auto"/>
            <w:noWrap/>
            <w:vAlign w:val="bottom"/>
            <w:hideMark/>
          </w:tcPr>
          <w:p w14:paraId="73870DEC"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6672C893" w14:textId="77777777" w:rsidTr="00272E67">
        <w:trPr>
          <w:trHeight w:val="258"/>
          <w:jc w:val="center"/>
        </w:trPr>
        <w:tc>
          <w:tcPr>
            <w:tcW w:w="7072" w:type="dxa"/>
            <w:shd w:val="clear" w:color="auto" w:fill="auto"/>
            <w:noWrap/>
            <w:vAlign w:val="bottom"/>
            <w:hideMark/>
          </w:tcPr>
          <w:p w14:paraId="4771D8A7" w14:textId="77777777" w:rsidR="003C34CD" w:rsidRPr="00272E67" w:rsidRDefault="003C34CD" w:rsidP="00EB190E">
            <w:pPr>
              <w:rPr>
                <w:rFonts w:eastAsia="Times New Roman" w:cs="Arial"/>
                <w:i/>
                <w:color w:val="000000"/>
                <w:szCs w:val="20"/>
                <w:u w:val="single"/>
                <w:lang w:eastAsia="en-GB"/>
              </w:rPr>
            </w:pPr>
            <w:r w:rsidRPr="00272E67">
              <w:rPr>
                <w:rFonts w:eastAsia="Times New Roman" w:cs="Arial"/>
                <w:i/>
                <w:color w:val="000000"/>
                <w:szCs w:val="20"/>
                <w:u w:val="single"/>
                <w:lang w:eastAsia="en-GB"/>
              </w:rPr>
              <w:t xml:space="preserve">Reporting of suspicious transactions </w:t>
            </w:r>
          </w:p>
        </w:tc>
        <w:tc>
          <w:tcPr>
            <w:tcW w:w="2562" w:type="dxa"/>
            <w:shd w:val="clear" w:color="auto" w:fill="auto"/>
            <w:noWrap/>
            <w:vAlign w:val="bottom"/>
            <w:hideMark/>
          </w:tcPr>
          <w:p w14:paraId="759168EA" w14:textId="77777777" w:rsidR="003C34CD" w:rsidRPr="00272E67" w:rsidRDefault="003C34CD" w:rsidP="00EB190E">
            <w:pPr>
              <w:rPr>
                <w:rFonts w:eastAsia="Times New Roman" w:cs="Arial"/>
                <w:color w:val="000000"/>
                <w:szCs w:val="20"/>
                <w:u w:val="single"/>
                <w:lang w:eastAsia="en-GB"/>
              </w:rPr>
            </w:pPr>
          </w:p>
        </w:tc>
      </w:tr>
      <w:tr w:rsidR="003C34CD" w:rsidRPr="008B5054" w14:paraId="31B88688" w14:textId="77777777" w:rsidTr="00272E67">
        <w:trPr>
          <w:trHeight w:val="258"/>
          <w:jc w:val="center"/>
        </w:trPr>
        <w:tc>
          <w:tcPr>
            <w:tcW w:w="7072" w:type="dxa"/>
            <w:shd w:val="clear" w:color="auto" w:fill="auto"/>
            <w:noWrap/>
            <w:vAlign w:val="bottom"/>
            <w:hideMark/>
          </w:tcPr>
          <w:p w14:paraId="5C859B13"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20.   Reporting of suspicious transactions</w:t>
            </w:r>
          </w:p>
        </w:tc>
        <w:tc>
          <w:tcPr>
            <w:tcW w:w="2562" w:type="dxa"/>
            <w:shd w:val="clear" w:color="auto" w:fill="auto"/>
            <w:noWrap/>
            <w:vAlign w:val="bottom"/>
            <w:hideMark/>
          </w:tcPr>
          <w:p w14:paraId="0C9B026B"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6AFBBF22" w14:textId="77777777" w:rsidTr="00272E67">
        <w:trPr>
          <w:trHeight w:val="258"/>
          <w:jc w:val="center"/>
        </w:trPr>
        <w:tc>
          <w:tcPr>
            <w:tcW w:w="7072" w:type="dxa"/>
            <w:shd w:val="clear" w:color="auto" w:fill="auto"/>
            <w:noWrap/>
            <w:vAlign w:val="bottom"/>
            <w:hideMark/>
          </w:tcPr>
          <w:p w14:paraId="0F0DEA13"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21.   Tipping-off and confidentiality</w:t>
            </w:r>
          </w:p>
        </w:tc>
        <w:tc>
          <w:tcPr>
            <w:tcW w:w="2562" w:type="dxa"/>
            <w:shd w:val="clear" w:color="auto" w:fill="auto"/>
            <w:noWrap/>
            <w:vAlign w:val="bottom"/>
            <w:hideMark/>
          </w:tcPr>
          <w:p w14:paraId="23D98623"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28C0E82C" w14:textId="77777777" w:rsidTr="00272E67">
        <w:trPr>
          <w:trHeight w:val="258"/>
          <w:jc w:val="center"/>
        </w:trPr>
        <w:tc>
          <w:tcPr>
            <w:tcW w:w="7072" w:type="dxa"/>
            <w:shd w:val="clear" w:color="auto" w:fill="auto"/>
            <w:noWrap/>
            <w:vAlign w:val="bottom"/>
            <w:hideMark/>
          </w:tcPr>
          <w:p w14:paraId="56E0740F" w14:textId="77777777" w:rsidR="003C34CD" w:rsidRPr="00272E67" w:rsidRDefault="003C34CD" w:rsidP="00EB190E">
            <w:pPr>
              <w:rPr>
                <w:rFonts w:eastAsia="Times New Roman" w:cs="Arial"/>
                <w:i/>
                <w:color w:val="000000"/>
                <w:szCs w:val="20"/>
                <w:u w:val="single"/>
                <w:lang w:eastAsia="en-GB"/>
              </w:rPr>
            </w:pPr>
            <w:r w:rsidRPr="00272E67">
              <w:rPr>
                <w:rFonts w:eastAsia="Times New Roman" w:cs="Arial"/>
                <w:i/>
                <w:color w:val="000000"/>
                <w:szCs w:val="20"/>
                <w:u w:val="single"/>
                <w:lang w:eastAsia="en-GB"/>
              </w:rPr>
              <w:t xml:space="preserve">Designated non-financial Businesses and Professions (DNFBPs) </w:t>
            </w:r>
          </w:p>
        </w:tc>
        <w:tc>
          <w:tcPr>
            <w:tcW w:w="2562" w:type="dxa"/>
            <w:shd w:val="clear" w:color="auto" w:fill="auto"/>
            <w:noWrap/>
            <w:vAlign w:val="bottom"/>
            <w:hideMark/>
          </w:tcPr>
          <w:p w14:paraId="7BD15543" w14:textId="77777777" w:rsidR="003C34CD" w:rsidRPr="00272E67" w:rsidRDefault="003C34CD" w:rsidP="00EB190E">
            <w:pPr>
              <w:rPr>
                <w:rFonts w:eastAsia="Times New Roman" w:cs="Arial"/>
                <w:color w:val="000000"/>
                <w:szCs w:val="20"/>
                <w:u w:val="single"/>
                <w:lang w:eastAsia="en-GB"/>
              </w:rPr>
            </w:pPr>
          </w:p>
        </w:tc>
      </w:tr>
      <w:tr w:rsidR="003C34CD" w:rsidRPr="008B5054" w14:paraId="49AA27F9" w14:textId="77777777" w:rsidTr="00272E67">
        <w:trPr>
          <w:trHeight w:val="258"/>
          <w:jc w:val="center"/>
        </w:trPr>
        <w:tc>
          <w:tcPr>
            <w:tcW w:w="7072" w:type="dxa"/>
            <w:shd w:val="clear" w:color="auto" w:fill="auto"/>
            <w:noWrap/>
            <w:vAlign w:val="bottom"/>
            <w:hideMark/>
          </w:tcPr>
          <w:p w14:paraId="0B97AB24"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22.   DNFBPs: Customer due diligence</w:t>
            </w:r>
          </w:p>
        </w:tc>
        <w:tc>
          <w:tcPr>
            <w:tcW w:w="2562" w:type="dxa"/>
            <w:shd w:val="clear" w:color="auto" w:fill="auto"/>
            <w:noWrap/>
            <w:vAlign w:val="bottom"/>
            <w:hideMark/>
          </w:tcPr>
          <w:p w14:paraId="548D3EAC"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7768B7AE" w14:textId="77777777" w:rsidTr="00272E67">
        <w:trPr>
          <w:trHeight w:val="258"/>
          <w:jc w:val="center"/>
        </w:trPr>
        <w:tc>
          <w:tcPr>
            <w:tcW w:w="7072" w:type="dxa"/>
            <w:shd w:val="clear" w:color="auto" w:fill="auto"/>
            <w:noWrap/>
            <w:vAlign w:val="bottom"/>
            <w:hideMark/>
          </w:tcPr>
          <w:p w14:paraId="1FCC4CFB"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23.   DNFBPs: Other measures</w:t>
            </w:r>
          </w:p>
        </w:tc>
        <w:tc>
          <w:tcPr>
            <w:tcW w:w="2562" w:type="dxa"/>
            <w:shd w:val="clear" w:color="auto" w:fill="auto"/>
            <w:noWrap/>
            <w:vAlign w:val="bottom"/>
            <w:hideMark/>
          </w:tcPr>
          <w:p w14:paraId="7BB204A2"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Partially Compliant</w:t>
            </w:r>
          </w:p>
        </w:tc>
      </w:tr>
      <w:tr w:rsidR="003C34CD" w:rsidRPr="008B5054" w14:paraId="1A0B6D67" w14:textId="77777777" w:rsidTr="00272E67">
        <w:trPr>
          <w:trHeight w:val="258"/>
          <w:jc w:val="center"/>
        </w:trPr>
        <w:tc>
          <w:tcPr>
            <w:tcW w:w="7072" w:type="dxa"/>
            <w:shd w:val="clear" w:color="auto" w:fill="auto"/>
            <w:noWrap/>
            <w:vAlign w:val="bottom"/>
            <w:hideMark/>
          </w:tcPr>
          <w:p w14:paraId="075B7FBB" w14:textId="77777777" w:rsidR="003C34CD" w:rsidRPr="00272E67" w:rsidRDefault="003C34CD" w:rsidP="00EB190E">
            <w:pPr>
              <w:rPr>
                <w:rFonts w:eastAsia="Times New Roman" w:cs="Arial"/>
                <w:b/>
                <w:bCs/>
                <w:color w:val="000000"/>
                <w:szCs w:val="20"/>
                <w:lang w:eastAsia="en-GB"/>
              </w:rPr>
            </w:pPr>
            <w:r w:rsidRPr="00272E67">
              <w:rPr>
                <w:rFonts w:eastAsia="Times New Roman" w:cs="Arial"/>
                <w:b/>
                <w:bCs/>
                <w:color w:val="000000"/>
                <w:szCs w:val="20"/>
                <w:lang w:eastAsia="en-GB"/>
              </w:rPr>
              <w:t xml:space="preserve">TRANSPARENCY &amp; BENEFICIAL OWNERSHIP OF LEGAL PERSONS &amp; ARRANGEMENTS </w:t>
            </w:r>
          </w:p>
        </w:tc>
        <w:tc>
          <w:tcPr>
            <w:tcW w:w="2562" w:type="dxa"/>
            <w:shd w:val="clear" w:color="auto" w:fill="auto"/>
            <w:noWrap/>
            <w:vAlign w:val="bottom"/>
            <w:hideMark/>
          </w:tcPr>
          <w:p w14:paraId="5C3FE39A" w14:textId="77777777" w:rsidR="003C34CD" w:rsidRPr="00272E67" w:rsidRDefault="003C34CD" w:rsidP="00EB190E">
            <w:pPr>
              <w:rPr>
                <w:rFonts w:eastAsia="Times New Roman" w:cs="Arial"/>
                <w:b/>
                <w:bCs/>
                <w:color w:val="000000"/>
                <w:szCs w:val="20"/>
                <w:lang w:eastAsia="en-GB"/>
              </w:rPr>
            </w:pPr>
          </w:p>
        </w:tc>
      </w:tr>
      <w:tr w:rsidR="003C34CD" w:rsidRPr="008B5054" w14:paraId="381642D8" w14:textId="77777777" w:rsidTr="00272E67">
        <w:trPr>
          <w:trHeight w:val="258"/>
          <w:jc w:val="center"/>
        </w:trPr>
        <w:tc>
          <w:tcPr>
            <w:tcW w:w="7072" w:type="dxa"/>
            <w:shd w:val="clear" w:color="auto" w:fill="auto"/>
            <w:noWrap/>
            <w:vAlign w:val="bottom"/>
            <w:hideMark/>
          </w:tcPr>
          <w:p w14:paraId="4370D5D2"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24.   Transparency and beneficial ownership of legal persons</w:t>
            </w:r>
          </w:p>
        </w:tc>
        <w:tc>
          <w:tcPr>
            <w:tcW w:w="2562" w:type="dxa"/>
            <w:shd w:val="clear" w:color="auto" w:fill="auto"/>
            <w:noWrap/>
            <w:vAlign w:val="bottom"/>
            <w:hideMark/>
          </w:tcPr>
          <w:p w14:paraId="5AC7A51D"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4B9281A3" w14:textId="77777777" w:rsidTr="00272E67">
        <w:trPr>
          <w:trHeight w:val="258"/>
          <w:jc w:val="center"/>
        </w:trPr>
        <w:tc>
          <w:tcPr>
            <w:tcW w:w="7072" w:type="dxa"/>
            <w:shd w:val="clear" w:color="auto" w:fill="auto"/>
            <w:noWrap/>
            <w:vAlign w:val="bottom"/>
            <w:hideMark/>
          </w:tcPr>
          <w:p w14:paraId="490F353B"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25.   Transparency and beneficial ownership of legal arrangements</w:t>
            </w:r>
          </w:p>
        </w:tc>
        <w:tc>
          <w:tcPr>
            <w:tcW w:w="2562" w:type="dxa"/>
            <w:shd w:val="clear" w:color="auto" w:fill="auto"/>
            <w:noWrap/>
            <w:vAlign w:val="bottom"/>
            <w:hideMark/>
          </w:tcPr>
          <w:p w14:paraId="6779ED53"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3EDAF996" w14:textId="77777777" w:rsidTr="00272E67">
        <w:trPr>
          <w:trHeight w:val="258"/>
          <w:jc w:val="center"/>
        </w:trPr>
        <w:tc>
          <w:tcPr>
            <w:tcW w:w="9634" w:type="dxa"/>
            <w:gridSpan w:val="2"/>
            <w:shd w:val="clear" w:color="auto" w:fill="auto"/>
            <w:noWrap/>
            <w:vAlign w:val="bottom"/>
            <w:hideMark/>
          </w:tcPr>
          <w:p w14:paraId="4E84270D" w14:textId="77777777" w:rsidR="003C34CD" w:rsidRPr="00272E67" w:rsidRDefault="003C34CD" w:rsidP="00EB190E">
            <w:pPr>
              <w:rPr>
                <w:rFonts w:eastAsia="Times New Roman" w:cs="Arial"/>
                <w:b/>
                <w:bCs/>
                <w:color w:val="000000"/>
                <w:szCs w:val="20"/>
                <w:lang w:eastAsia="en-GB"/>
              </w:rPr>
            </w:pPr>
            <w:r w:rsidRPr="00272E67">
              <w:rPr>
                <w:rFonts w:eastAsia="Times New Roman" w:cs="Arial"/>
                <w:b/>
                <w:bCs/>
                <w:color w:val="000000"/>
                <w:szCs w:val="20"/>
                <w:lang w:eastAsia="en-GB"/>
              </w:rPr>
              <w:t xml:space="preserve">POWERS &amp; RESPONSIBILITIES OF COMPETENT AUTHORITIES &amp; OTHER INSTITUTIONAL MEASURES </w:t>
            </w:r>
          </w:p>
        </w:tc>
      </w:tr>
      <w:tr w:rsidR="003C34CD" w:rsidRPr="008B5054" w14:paraId="469906E3" w14:textId="77777777" w:rsidTr="00272E67">
        <w:trPr>
          <w:trHeight w:val="258"/>
          <w:jc w:val="center"/>
        </w:trPr>
        <w:tc>
          <w:tcPr>
            <w:tcW w:w="7072" w:type="dxa"/>
            <w:shd w:val="clear" w:color="auto" w:fill="auto"/>
            <w:noWrap/>
            <w:vAlign w:val="bottom"/>
            <w:hideMark/>
          </w:tcPr>
          <w:p w14:paraId="71A5BD7D" w14:textId="77777777" w:rsidR="003C34CD" w:rsidRPr="00272E67" w:rsidRDefault="003C34CD" w:rsidP="00EB190E">
            <w:pPr>
              <w:rPr>
                <w:rFonts w:eastAsia="Times New Roman" w:cs="Arial"/>
                <w:i/>
                <w:color w:val="000000"/>
                <w:szCs w:val="20"/>
                <w:u w:val="single"/>
                <w:lang w:eastAsia="en-GB"/>
              </w:rPr>
            </w:pPr>
            <w:r w:rsidRPr="00272E67">
              <w:rPr>
                <w:rFonts w:eastAsia="Times New Roman" w:cs="Arial"/>
                <w:i/>
                <w:color w:val="000000"/>
                <w:szCs w:val="20"/>
                <w:u w:val="single"/>
                <w:lang w:eastAsia="en-GB"/>
              </w:rPr>
              <w:t xml:space="preserve">Regulation and Supervision </w:t>
            </w:r>
          </w:p>
        </w:tc>
        <w:tc>
          <w:tcPr>
            <w:tcW w:w="2562" w:type="dxa"/>
            <w:shd w:val="clear" w:color="auto" w:fill="auto"/>
            <w:noWrap/>
            <w:vAlign w:val="bottom"/>
            <w:hideMark/>
          </w:tcPr>
          <w:p w14:paraId="7E6367FB" w14:textId="77777777" w:rsidR="003C34CD" w:rsidRPr="00272E67" w:rsidRDefault="003C34CD" w:rsidP="00EB190E">
            <w:pPr>
              <w:rPr>
                <w:rFonts w:eastAsia="Times New Roman" w:cs="Arial"/>
                <w:color w:val="000000"/>
                <w:szCs w:val="20"/>
                <w:u w:val="single"/>
                <w:lang w:eastAsia="en-GB"/>
              </w:rPr>
            </w:pPr>
          </w:p>
        </w:tc>
      </w:tr>
      <w:tr w:rsidR="003C34CD" w:rsidRPr="008B5054" w14:paraId="7FA0E384" w14:textId="77777777" w:rsidTr="00272E67">
        <w:trPr>
          <w:trHeight w:val="258"/>
          <w:jc w:val="center"/>
        </w:trPr>
        <w:tc>
          <w:tcPr>
            <w:tcW w:w="7072" w:type="dxa"/>
            <w:shd w:val="clear" w:color="auto" w:fill="auto"/>
            <w:noWrap/>
            <w:vAlign w:val="bottom"/>
            <w:hideMark/>
          </w:tcPr>
          <w:p w14:paraId="77AA124C"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26.   Regulation and supervision of financial institutions</w:t>
            </w:r>
          </w:p>
        </w:tc>
        <w:tc>
          <w:tcPr>
            <w:tcW w:w="2562" w:type="dxa"/>
            <w:shd w:val="clear" w:color="auto" w:fill="auto"/>
            <w:noWrap/>
            <w:vAlign w:val="bottom"/>
            <w:hideMark/>
          </w:tcPr>
          <w:p w14:paraId="528CD3A9"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5869E9E0" w14:textId="77777777" w:rsidTr="00272E67">
        <w:trPr>
          <w:trHeight w:val="258"/>
          <w:jc w:val="center"/>
        </w:trPr>
        <w:tc>
          <w:tcPr>
            <w:tcW w:w="7072" w:type="dxa"/>
            <w:shd w:val="clear" w:color="auto" w:fill="auto"/>
            <w:noWrap/>
            <w:vAlign w:val="bottom"/>
            <w:hideMark/>
          </w:tcPr>
          <w:p w14:paraId="5A453916"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27.   Powers of supervisors</w:t>
            </w:r>
          </w:p>
        </w:tc>
        <w:tc>
          <w:tcPr>
            <w:tcW w:w="2562" w:type="dxa"/>
            <w:shd w:val="clear" w:color="auto" w:fill="auto"/>
            <w:noWrap/>
            <w:vAlign w:val="bottom"/>
            <w:hideMark/>
          </w:tcPr>
          <w:p w14:paraId="2CABDDD4"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Compliant </w:t>
            </w:r>
          </w:p>
        </w:tc>
      </w:tr>
      <w:tr w:rsidR="003C34CD" w:rsidRPr="008B5054" w14:paraId="03EF505B" w14:textId="77777777" w:rsidTr="00272E67">
        <w:trPr>
          <w:trHeight w:val="258"/>
          <w:jc w:val="center"/>
        </w:trPr>
        <w:tc>
          <w:tcPr>
            <w:tcW w:w="7072" w:type="dxa"/>
            <w:shd w:val="clear" w:color="auto" w:fill="auto"/>
            <w:noWrap/>
            <w:vAlign w:val="bottom"/>
            <w:hideMark/>
          </w:tcPr>
          <w:p w14:paraId="723E2ABC"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28.   Regulation and supervision of DNFBPs</w:t>
            </w:r>
          </w:p>
        </w:tc>
        <w:tc>
          <w:tcPr>
            <w:tcW w:w="2562" w:type="dxa"/>
            <w:shd w:val="clear" w:color="auto" w:fill="auto"/>
            <w:noWrap/>
            <w:vAlign w:val="bottom"/>
            <w:hideMark/>
          </w:tcPr>
          <w:p w14:paraId="55FA71DF"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4E83E0CD" w14:textId="77777777" w:rsidTr="00272E67">
        <w:trPr>
          <w:trHeight w:val="258"/>
          <w:jc w:val="center"/>
        </w:trPr>
        <w:tc>
          <w:tcPr>
            <w:tcW w:w="7072" w:type="dxa"/>
            <w:shd w:val="clear" w:color="auto" w:fill="auto"/>
            <w:noWrap/>
            <w:vAlign w:val="bottom"/>
            <w:hideMark/>
          </w:tcPr>
          <w:p w14:paraId="0EEA6C75" w14:textId="77777777" w:rsidR="003C34CD" w:rsidRPr="00272E67" w:rsidRDefault="003C34CD" w:rsidP="00EB190E">
            <w:pPr>
              <w:rPr>
                <w:rFonts w:eastAsia="Times New Roman" w:cs="Arial"/>
                <w:i/>
                <w:color w:val="000000"/>
                <w:szCs w:val="20"/>
                <w:u w:val="single"/>
                <w:lang w:eastAsia="en-GB"/>
              </w:rPr>
            </w:pPr>
            <w:r w:rsidRPr="00272E67">
              <w:rPr>
                <w:rFonts w:eastAsia="Times New Roman" w:cs="Arial"/>
                <w:i/>
                <w:color w:val="000000"/>
                <w:szCs w:val="20"/>
                <w:u w:val="single"/>
                <w:lang w:eastAsia="en-GB"/>
              </w:rPr>
              <w:t xml:space="preserve">Operational and Law Enforcement </w:t>
            </w:r>
          </w:p>
        </w:tc>
        <w:tc>
          <w:tcPr>
            <w:tcW w:w="2562" w:type="dxa"/>
            <w:shd w:val="clear" w:color="auto" w:fill="auto"/>
            <w:noWrap/>
            <w:vAlign w:val="bottom"/>
            <w:hideMark/>
          </w:tcPr>
          <w:p w14:paraId="524F7D39" w14:textId="77777777" w:rsidR="003C34CD" w:rsidRPr="00272E67" w:rsidRDefault="003C34CD" w:rsidP="00EB190E">
            <w:pPr>
              <w:rPr>
                <w:rFonts w:eastAsia="Times New Roman" w:cs="Arial"/>
                <w:color w:val="000000"/>
                <w:szCs w:val="20"/>
                <w:u w:val="single"/>
                <w:lang w:eastAsia="en-GB"/>
              </w:rPr>
            </w:pPr>
          </w:p>
        </w:tc>
      </w:tr>
      <w:tr w:rsidR="003C34CD" w:rsidRPr="008B5054" w14:paraId="21562373" w14:textId="77777777" w:rsidTr="00272E67">
        <w:trPr>
          <w:trHeight w:val="258"/>
          <w:jc w:val="center"/>
        </w:trPr>
        <w:tc>
          <w:tcPr>
            <w:tcW w:w="7072" w:type="dxa"/>
            <w:shd w:val="clear" w:color="auto" w:fill="auto"/>
            <w:noWrap/>
            <w:vAlign w:val="bottom"/>
            <w:hideMark/>
          </w:tcPr>
          <w:p w14:paraId="3454044C"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29.   Financial intelligence units</w:t>
            </w:r>
          </w:p>
        </w:tc>
        <w:tc>
          <w:tcPr>
            <w:tcW w:w="2562" w:type="dxa"/>
            <w:shd w:val="clear" w:color="auto" w:fill="auto"/>
            <w:noWrap/>
            <w:vAlign w:val="bottom"/>
            <w:hideMark/>
          </w:tcPr>
          <w:p w14:paraId="163599B3"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Partially Compliant </w:t>
            </w:r>
          </w:p>
        </w:tc>
      </w:tr>
      <w:tr w:rsidR="003C34CD" w:rsidRPr="008B5054" w14:paraId="5744C29D" w14:textId="77777777" w:rsidTr="00272E67">
        <w:trPr>
          <w:trHeight w:val="258"/>
          <w:jc w:val="center"/>
        </w:trPr>
        <w:tc>
          <w:tcPr>
            <w:tcW w:w="7072" w:type="dxa"/>
            <w:shd w:val="clear" w:color="auto" w:fill="auto"/>
            <w:noWrap/>
            <w:vAlign w:val="bottom"/>
            <w:hideMark/>
          </w:tcPr>
          <w:p w14:paraId="009AA7D5"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30.   Responsibilities of law enforcement and investigative authorities </w:t>
            </w:r>
          </w:p>
        </w:tc>
        <w:tc>
          <w:tcPr>
            <w:tcW w:w="2562" w:type="dxa"/>
            <w:shd w:val="clear" w:color="auto" w:fill="auto"/>
            <w:noWrap/>
            <w:vAlign w:val="bottom"/>
            <w:hideMark/>
          </w:tcPr>
          <w:p w14:paraId="48253A92"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5846617C" w14:textId="77777777" w:rsidTr="00272E67">
        <w:trPr>
          <w:trHeight w:val="258"/>
          <w:jc w:val="center"/>
        </w:trPr>
        <w:tc>
          <w:tcPr>
            <w:tcW w:w="7072" w:type="dxa"/>
            <w:shd w:val="clear" w:color="auto" w:fill="auto"/>
            <w:noWrap/>
            <w:vAlign w:val="bottom"/>
            <w:hideMark/>
          </w:tcPr>
          <w:p w14:paraId="03EAE299"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31.   Powers of law enforcement and investigative authorities</w:t>
            </w:r>
          </w:p>
        </w:tc>
        <w:tc>
          <w:tcPr>
            <w:tcW w:w="2562" w:type="dxa"/>
            <w:shd w:val="clear" w:color="auto" w:fill="auto"/>
            <w:noWrap/>
            <w:vAlign w:val="bottom"/>
            <w:hideMark/>
          </w:tcPr>
          <w:p w14:paraId="6503A7B9"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 xml:space="preserve">Largely Compliant </w:t>
            </w:r>
          </w:p>
        </w:tc>
      </w:tr>
      <w:tr w:rsidR="003C34CD" w:rsidRPr="008B5054" w14:paraId="3BEA01BE" w14:textId="77777777" w:rsidTr="00272E67">
        <w:trPr>
          <w:trHeight w:val="258"/>
          <w:jc w:val="center"/>
        </w:trPr>
        <w:tc>
          <w:tcPr>
            <w:tcW w:w="7072" w:type="dxa"/>
            <w:shd w:val="clear" w:color="auto" w:fill="auto"/>
            <w:noWrap/>
            <w:vAlign w:val="bottom"/>
            <w:hideMark/>
          </w:tcPr>
          <w:p w14:paraId="1F16C6DD"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32.   Cash couriers</w:t>
            </w:r>
          </w:p>
        </w:tc>
        <w:tc>
          <w:tcPr>
            <w:tcW w:w="2562" w:type="dxa"/>
            <w:shd w:val="clear" w:color="auto" w:fill="auto"/>
            <w:noWrap/>
            <w:vAlign w:val="bottom"/>
            <w:hideMark/>
          </w:tcPr>
          <w:p w14:paraId="47D7C694" w14:textId="77777777" w:rsidR="003C34CD" w:rsidRPr="00272E67" w:rsidRDefault="003C34CD" w:rsidP="00EB190E">
            <w:pPr>
              <w:rPr>
                <w:rFonts w:eastAsia="Times New Roman" w:cs="Arial"/>
                <w:color w:val="000000"/>
                <w:szCs w:val="20"/>
                <w:lang w:eastAsia="en-GB"/>
              </w:rPr>
            </w:pPr>
            <w:r w:rsidRPr="00272E67">
              <w:rPr>
                <w:rFonts w:eastAsia="Times New Roman" w:cs="Arial"/>
                <w:color w:val="000000"/>
                <w:szCs w:val="20"/>
                <w:lang w:eastAsia="en-GB"/>
              </w:rPr>
              <w:t>Partially Compliant</w:t>
            </w:r>
          </w:p>
        </w:tc>
      </w:tr>
      <w:tr w:rsidR="003C34CD" w:rsidRPr="008B5054" w14:paraId="12ABE07B" w14:textId="77777777" w:rsidTr="00272E67">
        <w:trPr>
          <w:trHeight w:val="62"/>
          <w:jc w:val="center"/>
        </w:trPr>
        <w:tc>
          <w:tcPr>
            <w:tcW w:w="7072" w:type="dxa"/>
            <w:shd w:val="clear" w:color="auto" w:fill="auto"/>
            <w:noWrap/>
            <w:vAlign w:val="bottom"/>
          </w:tcPr>
          <w:p w14:paraId="1B51B808" w14:textId="77777777" w:rsidR="003C34CD" w:rsidRPr="00272E67" w:rsidRDefault="003C34CD" w:rsidP="00EB190E">
            <w:pPr>
              <w:rPr>
                <w:rFonts w:eastAsia="Times New Roman" w:cs="Arial"/>
                <w:color w:val="000000"/>
                <w:szCs w:val="20"/>
                <w:lang w:eastAsia="en-GB"/>
              </w:rPr>
            </w:pPr>
          </w:p>
        </w:tc>
        <w:tc>
          <w:tcPr>
            <w:tcW w:w="2562" w:type="dxa"/>
            <w:shd w:val="clear" w:color="auto" w:fill="auto"/>
            <w:noWrap/>
            <w:vAlign w:val="bottom"/>
          </w:tcPr>
          <w:p w14:paraId="290DD4DD" w14:textId="77777777" w:rsidR="003C34CD" w:rsidRPr="00272E67" w:rsidRDefault="003C34CD" w:rsidP="00EB190E">
            <w:pPr>
              <w:rPr>
                <w:rFonts w:eastAsia="Times New Roman" w:cs="Arial"/>
                <w:color w:val="000000"/>
                <w:szCs w:val="20"/>
                <w:lang w:eastAsia="en-GB"/>
              </w:rPr>
            </w:pPr>
          </w:p>
        </w:tc>
      </w:tr>
    </w:tbl>
    <w:p w14:paraId="66CF7904" w14:textId="77777777" w:rsidR="003C34CD" w:rsidRPr="008B5054" w:rsidRDefault="003C34CD" w:rsidP="003C34CD">
      <w:pPr>
        <w:pStyle w:val="SourceNotes0"/>
        <w:ind w:left="426"/>
        <w:rPr>
          <w:rFonts w:ascii="Arial" w:hAnsi="Arial" w:cs="Arial"/>
        </w:rPr>
      </w:pPr>
      <w:r w:rsidRPr="008B5054">
        <w:rPr>
          <w:rFonts w:ascii="Arial" w:hAnsi="Arial" w:cs="Arial"/>
        </w:rPr>
        <w:t>Source: FATF</w:t>
      </w:r>
    </w:p>
    <w:p w14:paraId="3BD1B29B" w14:textId="77777777" w:rsidR="003C34CD" w:rsidRDefault="003C34CD">
      <w:pPr>
        <w:rPr>
          <w:rFonts w:eastAsia="Times New Roman" w:cs="Arial"/>
          <w:szCs w:val="20"/>
        </w:rPr>
      </w:pPr>
      <w:r>
        <w:rPr>
          <w:rFonts w:cs="Arial"/>
          <w:szCs w:val="20"/>
        </w:rPr>
        <w:br w:type="page"/>
      </w:r>
    </w:p>
    <w:p w14:paraId="40628058" w14:textId="4542BF81" w:rsidR="003C34CD" w:rsidRDefault="003C34CD" w:rsidP="003A4B31">
      <w:pPr>
        <w:pStyle w:val="Paragraph"/>
        <w:tabs>
          <w:tab w:val="clear" w:pos="850"/>
          <w:tab w:val="clear" w:pos="1191"/>
          <w:tab w:val="clear" w:pos="1531"/>
          <w:tab w:val="left" w:pos="0"/>
        </w:tabs>
        <w:spacing w:before="0" w:after="0"/>
        <w:jc w:val="left"/>
        <w:rPr>
          <w:rFonts w:ascii="Arial" w:hAnsi="Arial" w:cs="Arial"/>
          <w:sz w:val="20"/>
          <w:szCs w:val="20"/>
        </w:rPr>
      </w:pPr>
      <w:r w:rsidRPr="008B5054">
        <w:rPr>
          <w:rFonts w:ascii="Arial" w:hAnsi="Arial" w:cs="Arial"/>
          <w:sz w:val="20"/>
          <w:szCs w:val="20"/>
        </w:rPr>
        <w:t xml:space="preserve">The graph below </w:t>
      </w:r>
      <w:r w:rsidRPr="008B5054">
        <w:rPr>
          <w:rFonts w:ascii="Arial" w:eastAsiaTheme="minorHAnsi" w:hAnsi="Arial" w:cs="Arial"/>
          <w:sz w:val="20"/>
          <w:szCs w:val="20"/>
          <w:lang w:eastAsia="zh-CN"/>
        </w:rPr>
        <w:t>summari</w:t>
      </w:r>
      <w:r w:rsidR="00EB190E">
        <w:rPr>
          <w:rFonts w:ascii="Arial" w:eastAsiaTheme="minorHAnsi" w:hAnsi="Arial" w:cs="Arial"/>
          <w:sz w:val="20"/>
          <w:szCs w:val="20"/>
          <w:lang w:eastAsia="zh-CN"/>
        </w:rPr>
        <w:t>s</w:t>
      </w:r>
      <w:r w:rsidRPr="008B5054">
        <w:rPr>
          <w:rFonts w:ascii="Arial" w:eastAsiaTheme="minorHAnsi" w:hAnsi="Arial" w:cs="Arial"/>
          <w:sz w:val="20"/>
          <w:szCs w:val="20"/>
          <w:lang w:eastAsia="zh-CN"/>
        </w:rPr>
        <w:t>es</w:t>
      </w:r>
      <w:r w:rsidRPr="008B5054">
        <w:rPr>
          <w:rFonts w:ascii="Arial" w:hAnsi="Arial" w:cs="Arial"/>
          <w:sz w:val="20"/>
          <w:szCs w:val="20"/>
        </w:rPr>
        <w:t xml:space="preserve"> the Technical Ratings.</w:t>
      </w:r>
    </w:p>
    <w:p w14:paraId="2CB992E7" w14:textId="77777777" w:rsidR="003A4B31" w:rsidRPr="008B5054" w:rsidRDefault="003A4B31" w:rsidP="003A4B31">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1DE28D68" w14:textId="3E128CF7" w:rsidR="003C34CD" w:rsidRDefault="003C34CD" w:rsidP="003A4B31">
      <w:pPr>
        <w:pStyle w:val="Caption"/>
        <w:spacing w:before="0" w:after="0"/>
        <w:jc w:val="center"/>
        <w:rPr>
          <w:rFonts w:ascii="Arial" w:hAnsi="Arial" w:cs="Arial"/>
          <w:sz w:val="20"/>
          <w:szCs w:val="16"/>
        </w:rPr>
      </w:pPr>
      <w:r w:rsidRPr="008B5054">
        <w:rPr>
          <w:rFonts w:ascii="Arial" w:hAnsi="Arial" w:cs="Arial"/>
          <w:sz w:val="20"/>
          <w:szCs w:val="16"/>
        </w:rPr>
        <w:t xml:space="preserve">Graph </w:t>
      </w:r>
      <w:r w:rsidRPr="008B5054">
        <w:rPr>
          <w:rFonts w:ascii="Arial" w:hAnsi="Arial" w:cs="Arial"/>
          <w:sz w:val="20"/>
          <w:szCs w:val="16"/>
        </w:rPr>
        <w:fldChar w:fldCharType="begin"/>
      </w:r>
      <w:r w:rsidRPr="008B5054">
        <w:rPr>
          <w:rFonts w:ascii="Arial" w:hAnsi="Arial" w:cs="Arial"/>
          <w:sz w:val="20"/>
          <w:szCs w:val="16"/>
        </w:rPr>
        <w:instrText xml:space="preserve"> SEQ Graph \* ARABIC </w:instrText>
      </w:r>
      <w:r w:rsidRPr="008B5054">
        <w:rPr>
          <w:rFonts w:ascii="Arial" w:hAnsi="Arial" w:cs="Arial"/>
          <w:sz w:val="20"/>
          <w:szCs w:val="16"/>
        </w:rPr>
        <w:fldChar w:fldCharType="separate"/>
      </w:r>
      <w:r w:rsidR="00291980">
        <w:rPr>
          <w:rFonts w:ascii="Arial" w:hAnsi="Arial" w:cs="Arial"/>
          <w:noProof/>
          <w:sz w:val="20"/>
          <w:szCs w:val="16"/>
        </w:rPr>
        <w:t>1</w:t>
      </w:r>
      <w:r w:rsidRPr="008B5054">
        <w:rPr>
          <w:rFonts w:ascii="Arial" w:hAnsi="Arial" w:cs="Arial"/>
          <w:sz w:val="20"/>
          <w:szCs w:val="16"/>
        </w:rPr>
        <w:fldChar w:fldCharType="end"/>
      </w:r>
      <w:r w:rsidRPr="008B5054">
        <w:rPr>
          <w:rFonts w:ascii="Arial" w:hAnsi="Arial" w:cs="Arial"/>
          <w:sz w:val="20"/>
          <w:szCs w:val="16"/>
        </w:rPr>
        <w:t>: FATF Technical Ratings</w:t>
      </w:r>
    </w:p>
    <w:p w14:paraId="11CC7575" w14:textId="77777777" w:rsidR="003A4B31" w:rsidRPr="003A4B31" w:rsidRDefault="003A4B31" w:rsidP="003A4B31"/>
    <w:p w14:paraId="4D738FEF" w14:textId="6565999D" w:rsidR="003A4B31" w:rsidRPr="008B5054" w:rsidRDefault="003C34CD" w:rsidP="003A4B31">
      <w:pPr>
        <w:jc w:val="center"/>
        <w:rPr>
          <w:rFonts w:cs="Arial"/>
        </w:rPr>
      </w:pPr>
      <w:r w:rsidRPr="008B5054">
        <w:rPr>
          <w:rFonts w:cs="Arial"/>
          <w:noProof/>
          <w:lang w:eastAsia="en-GB"/>
        </w:rPr>
        <w:drawing>
          <wp:inline distT="0" distB="0" distL="0" distR="0" wp14:anchorId="6A58729A" wp14:editId="30E1D620">
            <wp:extent cx="3033177" cy="2344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1991" cy="2374343"/>
                    </a:xfrm>
                    <a:prstGeom prst="rect">
                      <a:avLst/>
                    </a:prstGeom>
                  </pic:spPr>
                </pic:pic>
              </a:graphicData>
            </a:graphic>
          </wp:inline>
        </w:drawing>
      </w:r>
    </w:p>
    <w:p w14:paraId="16156E28" w14:textId="77777777" w:rsidR="003C34CD" w:rsidRPr="008B5054" w:rsidRDefault="003C34CD" w:rsidP="00270954">
      <w:pPr>
        <w:pStyle w:val="SourceNotes0"/>
        <w:ind w:left="2410"/>
        <w:rPr>
          <w:rFonts w:ascii="Arial" w:hAnsi="Arial" w:cs="Arial"/>
        </w:rPr>
      </w:pPr>
      <w:r w:rsidRPr="008B5054">
        <w:rPr>
          <w:rFonts w:ascii="Arial" w:hAnsi="Arial" w:cs="Arial"/>
        </w:rPr>
        <w:t>Source: FATF</w:t>
      </w:r>
    </w:p>
    <w:p w14:paraId="28FF8342" w14:textId="77777777" w:rsidR="003A4B31" w:rsidRPr="003A4B31" w:rsidRDefault="003A4B31" w:rsidP="003A4B31">
      <w:pPr>
        <w:pStyle w:val="Paragraph"/>
        <w:numPr>
          <w:ilvl w:val="0"/>
          <w:numId w:val="0"/>
        </w:numPr>
        <w:tabs>
          <w:tab w:val="clear" w:pos="850"/>
          <w:tab w:val="clear" w:pos="1191"/>
          <w:tab w:val="clear" w:pos="1531"/>
        </w:tabs>
        <w:spacing w:before="0" w:after="0"/>
        <w:jc w:val="left"/>
        <w:rPr>
          <w:rFonts w:ascii="Arial" w:hAnsi="Arial" w:cs="Arial"/>
          <w:sz w:val="20"/>
          <w:szCs w:val="20"/>
        </w:rPr>
      </w:pPr>
    </w:p>
    <w:p w14:paraId="4F2FAE60" w14:textId="05C31B6B" w:rsidR="003C34CD" w:rsidRPr="008B5054" w:rsidRDefault="003C34CD" w:rsidP="003A4B31">
      <w:pPr>
        <w:pStyle w:val="Paragraph"/>
        <w:tabs>
          <w:tab w:val="clear" w:pos="850"/>
          <w:tab w:val="clear" w:pos="1191"/>
          <w:tab w:val="clear" w:pos="1531"/>
        </w:tabs>
        <w:spacing w:before="0" w:after="0"/>
        <w:jc w:val="left"/>
        <w:rPr>
          <w:rFonts w:ascii="Arial" w:hAnsi="Arial" w:cs="Arial"/>
          <w:sz w:val="20"/>
          <w:szCs w:val="20"/>
        </w:rPr>
      </w:pPr>
      <w:r w:rsidRPr="008B5054">
        <w:rPr>
          <w:rFonts w:ascii="Arial" w:hAnsi="Arial" w:cs="Arial"/>
          <w:sz w:val="20"/>
          <w:szCs w:val="20"/>
          <w:u w:val="single"/>
        </w:rPr>
        <w:t>Effectiveness Ratings</w:t>
      </w:r>
      <w:r w:rsidRPr="008B5054">
        <w:rPr>
          <w:rFonts w:ascii="Arial" w:hAnsi="Arial" w:cs="Arial"/>
          <w:sz w:val="20"/>
          <w:szCs w:val="20"/>
        </w:rPr>
        <w:t xml:space="preserve"> reflect the extent to which a country's measures are effective. The assessment is conducted based on 11 immediate outcomes, which represent key goals that an effective AML/CFT system should achieve. </w:t>
      </w:r>
    </w:p>
    <w:p w14:paraId="73417B67" w14:textId="76BDBDD8" w:rsidR="003C34CD" w:rsidRPr="008B5054" w:rsidRDefault="003C34CD" w:rsidP="003A4B31">
      <w:pPr>
        <w:rPr>
          <w:rFonts w:eastAsia="Times New Roman" w:cs="Arial"/>
          <w:iCs/>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943"/>
        <w:gridCol w:w="1560"/>
      </w:tblGrid>
      <w:tr w:rsidR="003C34CD" w:rsidRPr="008B5054" w14:paraId="4759B506" w14:textId="77777777" w:rsidTr="00EB190E">
        <w:trPr>
          <w:trHeight w:val="104"/>
        </w:trPr>
        <w:tc>
          <w:tcPr>
            <w:tcW w:w="9503" w:type="dxa"/>
            <w:gridSpan w:val="2"/>
            <w:tcBorders>
              <w:bottom w:val="nil"/>
            </w:tcBorders>
            <w:shd w:val="clear" w:color="auto" w:fill="F2F2F2" w:themeFill="background1" w:themeFillShade="F2"/>
            <w:noWrap/>
            <w:vAlign w:val="center"/>
            <w:hideMark/>
          </w:tcPr>
          <w:p w14:paraId="32281927" w14:textId="77777777" w:rsidR="003C34CD" w:rsidRPr="008B5054" w:rsidRDefault="003C34CD" w:rsidP="00EB190E">
            <w:pPr>
              <w:jc w:val="center"/>
              <w:rPr>
                <w:rFonts w:eastAsia="Times New Roman" w:cs="Arial"/>
                <w:b/>
                <w:bCs/>
                <w:color w:val="000000"/>
                <w:sz w:val="18"/>
                <w:szCs w:val="18"/>
                <w:lang w:eastAsia="en-GB"/>
              </w:rPr>
            </w:pPr>
            <w:r w:rsidRPr="008B5054">
              <w:rPr>
                <w:rFonts w:eastAsia="Times New Roman" w:cs="Arial"/>
                <w:b/>
                <w:bCs/>
                <w:color w:val="000000"/>
                <w:sz w:val="18"/>
                <w:szCs w:val="18"/>
                <w:lang w:eastAsia="en-GB"/>
              </w:rPr>
              <w:t>FATF – Technical Ratings</w:t>
            </w:r>
          </w:p>
        </w:tc>
      </w:tr>
      <w:tr w:rsidR="003C34CD" w:rsidRPr="008B5054" w14:paraId="45B901AF" w14:textId="77777777" w:rsidTr="00EB190E">
        <w:trPr>
          <w:trHeight w:val="283"/>
        </w:trPr>
        <w:tc>
          <w:tcPr>
            <w:tcW w:w="9503" w:type="dxa"/>
            <w:gridSpan w:val="2"/>
            <w:tcBorders>
              <w:top w:val="nil"/>
              <w:bottom w:val="single" w:sz="4" w:space="0" w:color="auto"/>
            </w:tcBorders>
            <w:shd w:val="clear" w:color="auto" w:fill="F2F2F2" w:themeFill="background1" w:themeFillShade="F2"/>
            <w:noWrap/>
            <w:vAlign w:val="center"/>
            <w:hideMark/>
          </w:tcPr>
          <w:p w14:paraId="5782886F" w14:textId="77777777" w:rsidR="003C34CD" w:rsidRPr="008B5054" w:rsidRDefault="003C34CD" w:rsidP="00EB190E">
            <w:pPr>
              <w:jc w:val="center"/>
              <w:rPr>
                <w:rFonts w:eastAsia="Times New Roman" w:cs="Arial"/>
                <w:b/>
                <w:bCs/>
                <w:color w:val="000000"/>
                <w:sz w:val="18"/>
                <w:szCs w:val="18"/>
                <w:lang w:eastAsia="en-GB"/>
              </w:rPr>
            </w:pPr>
            <w:r w:rsidRPr="008B5054">
              <w:rPr>
                <w:rFonts w:eastAsia="Times New Roman" w:cs="Arial"/>
                <w:b/>
                <w:bCs/>
                <w:color w:val="000000"/>
                <w:sz w:val="18"/>
                <w:szCs w:val="18"/>
                <w:lang w:eastAsia="en-GB"/>
              </w:rPr>
              <w:t>Cayman Islands Assessment</w:t>
            </w:r>
          </w:p>
        </w:tc>
      </w:tr>
      <w:tr w:rsidR="003C34CD" w:rsidRPr="008B5054" w14:paraId="3F1BF050" w14:textId="77777777" w:rsidTr="00270954">
        <w:trPr>
          <w:trHeight w:val="467"/>
        </w:trPr>
        <w:tc>
          <w:tcPr>
            <w:tcW w:w="7943" w:type="dxa"/>
            <w:tcBorders>
              <w:top w:val="single" w:sz="4" w:space="0" w:color="auto"/>
            </w:tcBorders>
            <w:shd w:val="clear" w:color="auto" w:fill="auto"/>
            <w:noWrap/>
            <w:hideMark/>
          </w:tcPr>
          <w:p w14:paraId="65827DF9"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1. ML and TF risks are understood and, where appropriate, actions co-ordinated domestically to combat ML and TF </w:t>
            </w:r>
          </w:p>
        </w:tc>
        <w:tc>
          <w:tcPr>
            <w:tcW w:w="1560" w:type="dxa"/>
            <w:tcBorders>
              <w:top w:val="single" w:sz="4" w:space="0" w:color="auto"/>
            </w:tcBorders>
            <w:shd w:val="clear" w:color="auto" w:fill="auto"/>
            <w:noWrap/>
            <w:hideMark/>
          </w:tcPr>
          <w:p w14:paraId="5A27ACC5"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Moderate </w:t>
            </w:r>
          </w:p>
        </w:tc>
      </w:tr>
      <w:tr w:rsidR="003C34CD" w:rsidRPr="008B5054" w14:paraId="24052D35" w14:textId="77777777" w:rsidTr="00270954">
        <w:trPr>
          <w:trHeight w:val="507"/>
        </w:trPr>
        <w:tc>
          <w:tcPr>
            <w:tcW w:w="7943" w:type="dxa"/>
            <w:shd w:val="clear" w:color="auto" w:fill="auto"/>
            <w:noWrap/>
            <w:hideMark/>
          </w:tcPr>
          <w:p w14:paraId="2DDEF25F"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2. International co-operation delivers appropriate information, financial intelligence, and evidence, and facilitates action against criminals and their assets</w:t>
            </w:r>
          </w:p>
        </w:tc>
        <w:tc>
          <w:tcPr>
            <w:tcW w:w="1560" w:type="dxa"/>
            <w:shd w:val="clear" w:color="auto" w:fill="auto"/>
            <w:noWrap/>
            <w:hideMark/>
          </w:tcPr>
          <w:p w14:paraId="5D050106"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Moderate </w:t>
            </w:r>
          </w:p>
        </w:tc>
      </w:tr>
      <w:tr w:rsidR="003C34CD" w:rsidRPr="008B5054" w14:paraId="78756091" w14:textId="77777777" w:rsidTr="00EB190E">
        <w:trPr>
          <w:trHeight w:val="670"/>
        </w:trPr>
        <w:tc>
          <w:tcPr>
            <w:tcW w:w="7943" w:type="dxa"/>
            <w:shd w:val="clear" w:color="auto" w:fill="auto"/>
            <w:noWrap/>
            <w:hideMark/>
          </w:tcPr>
          <w:p w14:paraId="75A3FE8D"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3. Supervisors appropriately supervise, monitor and regulate financial institutions and designated non-financial businesses and professions (DNFBPs) for compliance with AML/CFT requirements commensurate with their risks </w:t>
            </w:r>
          </w:p>
        </w:tc>
        <w:tc>
          <w:tcPr>
            <w:tcW w:w="1560" w:type="dxa"/>
            <w:shd w:val="clear" w:color="auto" w:fill="auto"/>
            <w:noWrap/>
            <w:hideMark/>
          </w:tcPr>
          <w:p w14:paraId="2F695F2F"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Low </w:t>
            </w:r>
          </w:p>
        </w:tc>
      </w:tr>
      <w:tr w:rsidR="003C34CD" w:rsidRPr="008B5054" w14:paraId="444E5F4D" w14:textId="77777777" w:rsidTr="00270954">
        <w:trPr>
          <w:trHeight w:val="480"/>
        </w:trPr>
        <w:tc>
          <w:tcPr>
            <w:tcW w:w="7943" w:type="dxa"/>
            <w:shd w:val="clear" w:color="auto" w:fill="auto"/>
            <w:noWrap/>
            <w:hideMark/>
          </w:tcPr>
          <w:p w14:paraId="4A069A5A"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4. Financial institutions and DNFBPs adequately apply AML/CFT preventive measures commensurate with their risks, and report suspicious transactions </w:t>
            </w:r>
          </w:p>
        </w:tc>
        <w:tc>
          <w:tcPr>
            <w:tcW w:w="1560" w:type="dxa"/>
            <w:shd w:val="clear" w:color="auto" w:fill="auto"/>
            <w:noWrap/>
            <w:hideMark/>
          </w:tcPr>
          <w:p w14:paraId="7A5C5C50"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Low</w:t>
            </w:r>
          </w:p>
        </w:tc>
      </w:tr>
      <w:tr w:rsidR="003C34CD" w:rsidRPr="008B5054" w14:paraId="06E592BF" w14:textId="77777777" w:rsidTr="00EB190E">
        <w:trPr>
          <w:trHeight w:val="670"/>
        </w:trPr>
        <w:tc>
          <w:tcPr>
            <w:tcW w:w="7943" w:type="dxa"/>
            <w:shd w:val="clear" w:color="auto" w:fill="auto"/>
            <w:noWrap/>
            <w:hideMark/>
          </w:tcPr>
          <w:p w14:paraId="0DAAD8BB"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5. Legal persons and arrangements are prevented from misuse for money laundering or terrorist financing, and information on their beneficial ownership is available to competent authorities without impediments</w:t>
            </w:r>
          </w:p>
        </w:tc>
        <w:tc>
          <w:tcPr>
            <w:tcW w:w="1560" w:type="dxa"/>
            <w:shd w:val="clear" w:color="auto" w:fill="auto"/>
            <w:noWrap/>
            <w:hideMark/>
          </w:tcPr>
          <w:p w14:paraId="6E49238C"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Moderate </w:t>
            </w:r>
          </w:p>
        </w:tc>
      </w:tr>
      <w:tr w:rsidR="003C34CD" w:rsidRPr="008B5054" w14:paraId="7AA1AB0B" w14:textId="77777777" w:rsidTr="00270954">
        <w:trPr>
          <w:trHeight w:val="469"/>
        </w:trPr>
        <w:tc>
          <w:tcPr>
            <w:tcW w:w="7943" w:type="dxa"/>
            <w:shd w:val="clear" w:color="auto" w:fill="auto"/>
            <w:noWrap/>
            <w:hideMark/>
          </w:tcPr>
          <w:p w14:paraId="303B579E"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6. Financial intelligence and all other relevant information are appropriately used by competent authorities for money laundering and terrorist financing investigations</w:t>
            </w:r>
          </w:p>
        </w:tc>
        <w:tc>
          <w:tcPr>
            <w:tcW w:w="1560" w:type="dxa"/>
            <w:shd w:val="clear" w:color="auto" w:fill="auto"/>
            <w:noWrap/>
            <w:hideMark/>
          </w:tcPr>
          <w:p w14:paraId="6F9D2502"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Low </w:t>
            </w:r>
          </w:p>
        </w:tc>
      </w:tr>
      <w:tr w:rsidR="003C34CD" w:rsidRPr="008B5054" w14:paraId="7A0C37E9" w14:textId="77777777" w:rsidTr="00270954">
        <w:trPr>
          <w:trHeight w:val="492"/>
        </w:trPr>
        <w:tc>
          <w:tcPr>
            <w:tcW w:w="7943" w:type="dxa"/>
            <w:shd w:val="clear" w:color="auto" w:fill="auto"/>
            <w:noWrap/>
            <w:hideMark/>
          </w:tcPr>
          <w:p w14:paraId="272BC5CD"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7. Money laundering offences and activities are </w:t>
            </w:r>
            <w:proofErr w:type="gramStart"/>
            <w:r w:rsidRPr="008B5054">
              <w:rPr>
                <w:rFonts w:eastAsia="Times New Roman" w:cs="Arial"/>
                <w:color w:val="000000"/>
                <w:sz w:val="18"/>
                <w:szCs w:val="18"/>
                <w:lang w:eastAsia="en-GB"/>
              </w:rPr>
              <w:t>investigated</w:t>
            </w:r>
            <w:proofErr w:type="gramEnd"/>
            <w:r w:rsidRPr="008B5054">
              <w:rPr>
                <w:rFonts w:eastAsia="Times New Roman" w:cs="Arial"/>
                <w:color w:val="000000"/>
                <w:sz w:val="18"/>
                <w:szCs w:val="18"/>
                <w:lang w:eastAsia="en-GB"/>
              </w:rPr>
              <w:t xml:space="preserve"> and offenders are prosecuted and subject to effective, proportionate and dissuasive sanctions </w:t>
            </w:r>
          </w:p>
        </w:tc>
        <w:tc>
          <w:tcPr>
            <w:tcW w:w="1560" w:type="dxa"/>
            <w:shd w:val="clear" w:color="auto" w:fill="auto"/>
            <w:noWrap/>
            <w:hideMark/>
          </w:tcPr>
          <w:p w14:paraId="5550063D"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Low </w:t>
            </w:r>
          </w:p>
        </w:tc>
      </w:tr>
      <w:tr w:rsidR="003C34CD" w:rsidRPr="008B5054" w14:paraId="0B32C7B7" w14:textId="77777777" w:rsidTr="00270954">
        <w:trPr>
          <w:trHeight w:val="312"/>
        </w:trPr>
        <w:tc>
          <w:tcPr>
            <w:tcW w:w="7943" w:type="dxa"/>
            <w:shd w:val="clear" w:color="auto" w:fill="auto"/>
            <w:noWrap/>
            <w:hideMark/>
          </w:tcPr>
          <w:p w14:paraId="41C9D91C"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8. Proceeds and instrumentalities of crime are confiscated  </w:t>
            </w:r>
          </w:p>
        </w:tc>
        <w:tc>
          <w:tcPr>
            <w:tcW w:w="1560" w:type="dxa"/>
            <w:shd w:val="clear" w:color="auto" w:fill="auto"/>
            <w:noWrap/>
            <w:hideMark/>
          </w:tcPr>
          <w:p w14:paraId="779ADD90"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Moderate</w:t>
            </w:r>
          </w:p>
        </w:tc>
      </w:tr>
      <w:tr w:rsidR="003C34CD" w:rsidRPr="008B5054" w14:paraId="4F47842C" w14:textId="77777777" w:rsidTr="003A4B31">
        <w:trPr>
          <w:trHeight w:val="495"/>
        </w:trPr>
        <w:tc>
          <w:tcPr>
            <w:tcW w:w="7943" w:type="dxa"/>
            <w:shd w:val="clear" w:color="auto" w:fill="auto"/>
            <w:noWrap/>
            <w:hideMark/>
          </w:tcPr>
          <w:p w14:paraId="36246842"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9. Terrorist financing offences and activities are investigated and persons who finance terrorism are prosecuted and subject to effective, proportionate and dissuasive sanctions</w:t>
            </w:r>
          </w:p>
        </w:tc>
        <w:tc>
          <w:tcPr>
            <w:tcW w:w="1560" w:type="dxa"/>
            <w:shd w:val="clear" w:color="auto" w:fill="auto"/>
            <w:noWrap/>
            <w:hideMark/>
          </w:tcPr>
          <w:p w14:paraId="2DC08F55"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Low </w:t>
            </w:r>
          </w:p>
        </w:tc>
      </w:tr>
      <w:tr w:rsidR="003C34CD" w:rsidRPr="008B5054" w14:paraId="74C37D30" w14:textId="77777777" w:rsidTr="003A4B31">
        <w:trPr>
          <w:trHeight w:val="503"/>
        </w:trPr>
        <w:tc>
          <w:tcPr>
            <w:tcW w:w="7943" w:type="dxa"/>
            <w:shd w:val="clear" w:color="auto" w:fill="auto"/>
            <w:noWrap/>
            <w:hideMark/>
          </w:tcPr>
          <w:p w14:paraId="05A67317"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10. Terrorists, terrorist organisations and terrorist financiers are prevented from raising, moving and using funds, and from abusing the non-profit sector </w:t>
            </w:r>
          </w:p>
        </w:tc>
        <w:tc>
          <w:tcPr>
            <w:tcW w:w="1560" w:type="dxa"/>
            <w:shd w:val="clear" w:color="auto" w:fill="auto"/>
            <w:noWrap/>
            <w:hideMark/>
          </w:tcPr>
          <w:p w14:paraId="5D99EA6F"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 xml:space="preserve">Moderate </w:t>
            </w:r>
          </w:p>
        </w:tc>
      </w:tr>
      <w:tr w:rsidR="003C34CD" w:rsidRPr="008B5054" w14:paraId="22504FA8" w14:textId="77777777" w:rsidTr="00EB190E">
        <w:trPr>
          <w:trHeight w:val="670"/>
        </w:trPr>
        <w:tc>
          <w:tcPr>
            <w:tcW w:w="7943" w:type="dxa"/>
            <w:shd w:val="clear" w:color="auto" w:fill="auto"/>
            <w:noWrap/>
            <w:hideMark/>
          </w:tcPr>
          <w:p w14:paraId="0AA6849D" w14:textId="77777777"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11. Persons and entities involved in the proliferation of weapons of mass destruction are prevented from raising, moving and using funds, consistent with the relevant United Nations Security Council Resolutions</w:t>
            </w:r>
          </w:p>
        </w:tc>
        <w:tc>
          <w:tcPr>
            <w:tcW w:w="1560" w:type="dxa"/>
            <w:shd w:val="clear" w:color="auto" w:fill="auto"/>
            <w:noWrap/>
            <w:hideMark/>
          </w:tcPr>
          <w:p w14:paraId="313A3D59" w14:textId="50A9C75F" w:rsidR="003C34CD" w:rsidRPr="008B5054" w:rsidRDefault="003C34CD" w:rsidP="00EB190E">
            <w:pPr>
              <w:rPr>
                <w:rFonts w:eastAsia="Times New Roman" w:cs="Arial"/>
                <w:color w:val="000000"/>
                <w:sz w:val="18"/>
                <w:szCs w:val="18"/>
                <w:lang w:eastAsia="en-GB"/>
              </w:rPr>
            </w:pPr>
            <w:r w:rsidRPr="008B5054">
              <w:rPr>
                <w:rFonts w:eastAsia="Times New Roman" w:cs="Arial"/>
                <w:color w:val="000000"/>
                <w:sz w:val="18"/>
                <w:szCs w:val="18"/>
                <w:lang w:eastAsia="en-GB"/>
              </w:rPr>
              <w:t>Moderate</w:t>
            </w:r>
          </w:p>
        </w:tc>
      </w:tr>
    </w:tbl>
    <w:p w14:paraId="7E0CAF14" w14:textId="77777777" w:rsidR="003C34CD" w:rsidRPr="008B5054" w:rsidRDefault="003C34CD" w:rsidP="003C34CD">
      <w:pPr>
        <w:pStyle w:val="SourceNotes0"/>
        <w:rPr>
          <w:rFonts w:ascii="Arial" w:hAnsi="Arial" w:cs="Arial"/>
        </w:rPr>
      </w:pPr>
      <w:r w:rsidRPr="008B5054">
        <w:rPr>
          <w:rFonts w:ascii="Arial" w:hAnsi="Arial" w:cs="Arial"/>
        </w:rPr>
        <w:t>Source: FATF</w:t>
      </w:r>
    </w:p>
    <w:p w14:paraId="47A5844E" w14:textId="77777777" w:rsidR="003C34CD" w:rsidRPr="003A4B31" w:rsidRDefault="003C34CD" w:rsidP="003A4B31">
      <w:pPr>
        <w:pStyle w:val="Caption"/>
        <w:spacing w:before="0" w:after="0"/>
        <w:rPr>
          <w:rFonts w:ascii="Arial" w:hAnsi="Arial" w:cs="Arial"/>
          <w:sz w:val="18"/>
        </w:rPr>
      </w:pPr>
    </w:p>
    <w:p w14:paraId="19552963" w14:textId="77777777" w:rsidR="003A4B31" w:rsidRDefault="003A4B31">
      <w:pPr>
        <w:rPr>
          <w:rFonts w:eastAsia="Times New Roman" w:cs="Arial"/>
          <w:sz w:val="18"/>
          <w:szCs w:val="18"/>
        </w:rPr>
      </w:pPr>
      <w:r>
        <w:rPr>
          <w:rFonts w:cs="Arial"/>
          <w:sz w:val="18"/>
          <w:szCs w:val="18"/>
        </w:rPr>
        <w:br w:type="page"/>
      </w:r>
    </w:p>
    <w:p w14:paraId="0988B781" w14:textId="0E6C4F64" w:rsidR="003C34CD" w:rsidRDefault="003C34CD" w:rsidP="003C2ACA">
      <w:pPr>
        <w:pStyle w:val="Paragraph"/>
        <w:tabs>
          <w:tab w:val="clear" w:pos="850"/>
          <w:tab w:val="clear" w:pos="1191"/>
          <w:tab w:val="clear" w:pos="1531"/>
          <w:tab w:val="left" w:pos="0"/>
        </w:tabs>
        <w:spacing w:before="0" w:after="0"/>
        <w:rPr>
          <w:rFonts w:ascii="Arial" w:hAnsi="Arial" w:cs="Arial"/>
          <w:sz w:val="20"/>
          <w:szCs w:val="20"/>
        </w:rPr>
      </w:pPr>
      <w:r w:rsidRPr="003A4B31">
        <w:rPr>
          <w:rFonts w:ascii="Arial" w:hAnsi="Arial" w:cs="Arial"/>
          <w:sz w:val="20"/>
          <w:szCs w:val="20"/>
        </w:rPr>
        <w:t xml:space="preserve">The graph below </w:t>
      </w:r>
      <w:r w:rsidRPr="003A4B31">
        <w:rPr>
          <w:rFonts w:ascii="Arial" w:eastAsiaTheme="minorHAnsi" w:hAnsi="Arial" w:cs="Arial"/>
          <w:sz w:val="20"/>
          <w:szCs w:val="20"/>
          <w:lang w:eastAsia="zh-CN"/>
        </w:rPr>
        <w:t>summarises</w:t>
      </w:r>
      <w:r w:rsidRPr="003A4B31">
        <w:rPr>
          <w:rFonts w:ascii="Arial" w:hAnsi="Arial" w:cs="Arial"/>
          <w:sz w:val="20"/>
          <w:szCs w:val="20"/>
        </w:rPr>
        <w:t xml:space="preserve"> the Effectiveness Ratings.</w:t>
      </w:r>
    </w:p>
    <w:p w14:paraId="6C2E6C78" w14:textId="77777777" w:rsidR="003A4B31" w:rsidRPr="003A4B31" w:rsidRDefault="003A4B31" w:rsidP="003A4B31">
      <w:pPr>
        <w:pStyle w:val="Paragraph"/>
        <w:numPr>
          <w:ilvl w:val="0"/>
          <w:numId w:val="0"/>
        </w:numPr>
        <w:tabs>
          <w:tab w:val="clear" w:pos="1191"/>
          <w:tab w:val="clear" w:pos="1531"/>
        </w:tabs>
        <w:spacing w:before="0" w:after="0"/>
        <w:rPr>
          <w:rFonts w:ascii="Arial" w:hAnsi="Arial" w:cs="Arial"/>
          <w:sz w:val="20"/>
          <w:szCs w:val="20"/>
        </w:rPr>
      </w:pPr>
    </w:p>
    <w:p w14:paraId="5CF47567" w14:textId="0CFE2D19" w:rsidR="003C34CD" w:rsidRDefault="003C34CD" w:rsidP="003A4B31">
      <w:pPr>
        <w:pStyle w:val="Caption"/>
        <w:spacing w:before="0" w:after="0"/>
        <w:jc w:val="center"/>
        <w:rPr>
          <w:rFonts w:ascii="Arial" w:hAnsi="Arial" w:cs="Arial"/>
          <w:sz w:val="20"/>
          <w:szCs w:val="20"/>
        </w:rPr>
      </w:pPr>
      <w:r w:rsidRPr="003A4B31">
        <w:rPr>
          <w:rFonts w:ascii="Arial" w:hAnsi="Arial" w:cs="Arial"/>
          <w:sz w:val="20"/>
          <w:szCs w:val="20"/>
        </w:rPr>
        <w:t xml:space="preserve">Graph </w:t>
      </w:r>
      <w:r w:rsidRPr="003A4B31">
        <w:rPr>
          <w:rFonts w:ascii="Arial" w:hAnsi="Arial" w:cs="Arial"/>
          <w:sz w:val="20"/>
          <w:szCs w:val="20"/>
        </w:rPr>
        <w:fldChar w:fldCharType="begin"/>
      </w:r>
      <w:r w:rsidRPr="003A4B31">
        <w:rPr>
          <w:rFonts w:ascii="Arial" w:hAnsi="Arial" w:cs="Arial"/>
          <w:sz w:val="20"/>
          <w:szCs w:val="20"/>
        </w:rPr>
        <w:instrText xml:space="preserve"> SEQ Graph \* ARABIC </w:instrText>
      </w:r>
      <w:r w:rsidRPr="003A4B31">
        <w:rPr>
          <w:rFonts w:ascii="Arial" w:hAnsi="Arial" w:cs="Arial"/>
          <w:sz w:val="20"/>
          <w:szCs w:val="20"/>
        </w:rPr>
        <w:fldChar w:fldCharType="separate"/>
      </w:r>
      <w:r w:rsidR="00291980">
        <w:rPr>
          <w:rFonts w:ascii="Arial" w:hAnsi="Arial" w:cs="Arial"/>
          <w:noProof/>
          <w:sz w:val="20"/>
          <w:szCs w:val="20"/>
        </w:rPr>
        <w:t>2</w:t>
      </w:r>
      <w:r w:rsidRPr="003A4B31">
        <w:rPr>
          <w:rFonts w:ascii="Arial" w:hAnsi="Arial" w:cs="Arial"/>
          <w:sz w:val="20"/>
          <w:szCs w:val="20"/>
        </w:rPr>
        <w:fldChar w:fldCharType="end"/>
      </w:r>
      <w:r w:rsidRPr="003A4B31">
        <w:rPr>
          <w:rFonts w:ascii="Arial" w:hAnsi="Arial" w:cs="Arial"/>
          <w:sz w:val="20"/>
          <w:szCs w:val="20"/>
        </w:rPr>
        <w:t>: FATF Effectiveness Ratings</w:t>
      </w:r>
    </w:p>
    <w:p w14:paraId="545F9296" w14:textId="77777777" w:rsidR="003A4B31" w:rsidRPr="003A4B31" w:rsidRDefault="003A4B31" w:rsidP="003A4B31"/>
    <w:p w14:paraId="2948CA55" w14:textId="77777777" w:rsidR="003C34CD" w:rsidRPr="003A4B31" w:rsidRDefault="003C34CD" w:rsidP="003A4B31">
      <w:pPr>
        <w:jc w:val="center"/>
        <w:rPr>
          <w:rFonts w:cs="Arial"/>
          <w:sz w:val="18"/>
          <w:szCs w:val="18"/>
        </w:rPr>
      </w:pPr>
      <w:r w:rsidRPr="003A4B31">
        <w:rPr>
          <w:rFonts w:cs="Arial"/>
          <w:noProof/>
          <w:sz w:val="18"/>
          <w:szCs w:val="18"/>
          <w:lang w:eastAsia="en-GB"/>
        </w:rPr>
        <w:drawing>
          <wp:inline distT="0" distB="0" distL="0" distR="0" wp14:anchorId="2BBE699B" wp14:editId="2DF4C1FA">
            <wp:extent cx="2592931" cy="20260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9505" cy="2054635"/>
                    </a:xfrm>
                    <a:prstGeom prst="rect">
                      <a:avLst/>
                    </a:prstGeom>
                  </pic:spPr>
                </pic:pic>
              </a:graphicData>
            </a:graphic>
          </wp:inline>
        </w:drawing>
      </w:r>
    </w:p>
    <w:p w14:paraId="6886F784" w14:textId="047313C5" w:rsidR="003C34CD" w:rsidRDefault="003C34CD" w:rsidP="00270954">
      <w:pPr>
        <w:pStyle w:val="SourceNotes0"/>
        <w:ind w:left="2835"/>
        <w:rPr>
          <w:rFonts w:ascii="Arial" w:hAnsi="Arial" w:cs="Arial"/>
        </w:rPr>
      </w:pPr>
      <w:r w:rsidRPr="003A4B31">
        <w:rPr>
          <w:rFonts w:ascii="Arial" w:hAnsi="Arial" w:cs="Arial"/>
        </w:rPr>
        <w:t>Source: FATF</w:t>
      </w:r>
    </w:p>
    <w:p w14:paraId="4DCA1939" w14:textId="77777777" w:rsidR="003A4B31" w:rsidRPr="003A4B31" w:rsidRDefault="003A4B31" w:rsidP="003A4B31">
      <w:pPr>
        <w:pStyle w:val="SourceNotes0"/>
        <w:ind w:left="2410"/>
        <w:rPr>
          <w:rFonts w:ascii="Arial" w:hAnsi="Arial" w:cs="Arial"/>
        </w:rPr>
      </w:pPr>
    </w:p>
    <w:p w14:paraId="1CD27E96" w14:textId="2C6C3F42" w:rsidR="003C34CD" w:rsidRPr="003A4B31" w:rsidRDefault="003C34CD" w:rsidP="003A4B31">
      <w:pPr>
        <w:pStyle w:val="Heading3"/>
        <w:spacing w:before="0" w:after="0"/>
        <w:rPr>
          <w:rFonts w:ascii="Arial" w:hAnsi="Arial"/>
          <w:sz w:val="20"/>
          <w:szCs w:val="20"/>
        </w:rPr>
      </w:pPr>
      <w:r w:rsidRPr="003A4B31">
        <w:rPr>
          <w:rFonts w:ascii="Arial" w:hAnsi="Arial"/>
          <w:sz w:val="20"/>
          <w:szCs w:val="20"/>
        </w:rPr>
        <w:t>Conclusion - Summary of the External Assessments</w:t>
      </w:r>
    </w:p>
    <w:p w14:paraId="4FC38338" w14:textId="77777777" w:rsidR="003A4B31" w:rsidRPr="003A4B31" w:rsidRDefault="003A4B31" w:rsidP="003A4B31">
      <w:pPr>
        <w:rPr>
          <w:szCs w:val="20"/>
          <w:lang w:eastAsia="fr-FR"/>
        </w:rPr>
      </w:pPr>
    </w:p>
    <w:p w14:paraId="524F0F17" w14:textId="4E71BB29" w:rsidR="003C34CD" w:rsidRPr="003A4B31"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3A4B31">
        <w:rPr>
          <w:rFonts w:ascii="Arial" w:hAnsi="Arial" w:cs="Arial"/>
          <w:sz w:val="20"/>
          <w:szCs w:val="20"/>
        </w:rPr>
        <w:t>The assessments on transparency and co</w:t>
      </w:r>
      <w:r w:rsidR="00EB190E" w:rsidRPr="003A4B31">
        <w:rPr>
          <w:rFonts w:ascii="Arial" w:hAnsi="Arial" w:cs="Arial"/>
          <w:sz w:val="20"/>
          <w:szCs w:val="20"/>
        </w:rPr>
        <w:t>-</w:t>
      </w:r>
      <w:r w:rsidRPr="003A4B31">
        <w:rPr>
          <w:rFonts w:ascii="Arial" w:hAnsi="Arial" w:cs="Arial"/>
          <w:sz w:val="20"/>
          <w:szCs w:val="20"/>
        </w:rPr>
        <w:t xml:space="preserve">operation for tax purposes and the fight against money laundering from the OECD, the EU and the FATF seem to acknowledge, to a greater or smaller extent, that the Cayman Islands comply with some standards, </w:t>
      </w:r>
      <w:r w:rsidRPr="003A4B31">
        <w:rPr>
          <w:rFonts w:ascii="Arial" w:hAnsi="Arial" w:cs="Arial"/>
          <w:sz w:val="20"/>
          <w:szCs w:val="20"/>
          <w:u w:val="single"/>
        </w:rPr>
        <w:t>but that improvements are needed</w:t>
      </w:r>
      <w:r w:rsidRPr="003A4B31">
        <w:rPr>
          <w:rFonts w:ascii="Arial" w:hAnsi="Arial" w:cs="Arial"/>
          <w:sz w:val="20"/>
          <w:szCs w:val="20"/>
        </w:rPr>
        <w:t>.</w:t>
      </w:r>
    </w:p>
    <w:p w14:paraId="7C25E796" w14:textId="77777777" w:rsidR="003A4B31" w:rsidRPr="003A4B31" w:rsidRDefault="003A4B31" w:rsidP="003A4B31">
      <w:pPr>
        <w:pStyle w:val="Paragraph"/>
        <w:numPr>
          <w:ilvl w:val="0"/>
          <w:numId w:val="0"/>
        </w:numPr>
        <w:spacing w:before="0" w:after="0"/>
        <w:jc w:val="left"/>
        <w:rPr>
          <w:rFonts w:ascii="Arial" w:hAnsi="Arial" w:cs="Arial"/>
          <w:sz w:val="20"/>
          <w:szCs w:val="20"/>
        </w:rPr>
      </w:pPr>
    </w:p>
    <w:p w14:paraId="3E02D3F3" w14:textId="2C644E22" w:rsidR="003C34CD" w:rsidRDefault="003C34CD" w:rsidP="003A4B31">
      <w:pPr>
        <w:pStyle w:val="Heading2"/>
        <w:spacing w:before="0" w:after="0"/>
        <w:rPr>
          <w:rFonts w:ascii="Arial" w:hAnsi="Arial"/>
          <w:sz w:val="20"/>
          <w:szCs w:val="20"/>
        </w:rPr>
      </w:pPr>
      <w:r w:rsidRPr="003A4B31">
        <w:rPr>
          <w:rFonts w:ascii="Arial" w:hAnsi="Arial"/>
          <w:sz w:val="20"/>
          <w:szCs w:val="20"/>
        </w:rPr>
        <w:t>REPUTATIONAL RISK</w:t>
      </w:r>
    </w:p>
    <w:p w14:paraId="1F164C3E" w14:textId="77777777" w:rsidR="003A4B31" w:rsidRPr="003A4B31" w:rsidRDefault="003A4B31" w:rsidP="003A4B31">
      <w:pPr>
        <w:rPr>
          <w:lang w:eastAsia="fr-FR"/>
        </w:rPr>
      </w:pPr>
    </w:p>
    <w:p w14:paraId="0D89EF04" w14:textId="3577A17E" w:rsidR="003C34CD"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3A4B31">
        <w:rPr>
          <w:rFonts w:ascii="Arial" w:hAnsi="Arial" w:cs="Arial"/>
          <w:sz w:val="20"/>
          <w:szCs w:val="20"/>
        </w:rPr>
        <w:t xml:space="preserve">This chapter analyses the possible reputational risk for the </w:t>
      </w:r>
      <w:r w:rsidR="00EB190E" w:rsidRPr="003A4B31">
        <w:rPr>
          <w:rFonts w:ascii="Arial" w:hAnsi="Arial" w:cs="Arial"/>
          <w:sz w:val="20"/>
          <w:szCs w:val="20"/>
        </w:rPr>
        <w:t>Council of Europe</w:t>
      </w:r>
      <w:r w:rsidRPr="003A4B31">
        <w:rPr>
          <w:rFonts w:ascii="Arial" w:hAnsi="Arial" w:cs="Arial"/>
          <w:sz w:val="20"/>
          <w:szCs w:val="20"/>
        </w:rPr>
        <w:t xml:space="preserve"> arising from the PRF’s investment in funds with a </w:t>
      </w:r>
      <w:r w:rsidRPr="003A4B31">
        <w:rPr>
          <w:rFonts w:ascii="Arial" w:hAnsi="Arial" w:cs="Arial"/>
          <w:sz w:val="20"/>
          <w:szCs w:val="20"/>
          <w:u w:val="single"/>
        </w:rPr>
        <w:t>legal</w:t>
      </w:r>
      <w:r w:rsidRPr="003A4B31">
        <w:rPr>
          <w:rFonts w:ascii="Arial" w:hAnsi="Arial" w:cs="Arial"/>
          <w:sz w:val="20"/>
          <w:szCs w:val="20"/>
        </w:rPr>
        <w:t xml:space="preserve"> structure that allows efficiency in the treatment of taxes on dividends and interest payments and/or that are domiciled in the Cayman Islands. </w:t>
      </w:r>
    </w:p>
    <w:p w14:paraId="497B36BD" w14:textId="77777777" w:rsidR="003A4B31" w:rsidRPr="003A4B31" w:rsidRDefault="003A4B31"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7FA328D7" w14:textId="09A291E1" w:rsidR="003C34CD" w:rsidRPr="003A4B31"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3A4B31">
        <w:rPr>
          <w:rFonts w:ascii="Arial" w:hAnsi="Arial" w:cs="Arial"/>
          <w:sz w:val="20"/>
          <w:szCs w:val="20"/>
        </w:rPr>
        <w:t xml:space="preserve">Reputation risk in this context would mean that the investment in the IFM fund could be potentially harmful for the reputation of the </w:t>
      </w:r>
      <w:r w:rsidR="00EB190E" w:rsidRPr="003A4B31">
        <w:rPr>
          <w:rFonts w:ascii="Arial" w:hAnsi="Arial" w:cs="Arial"/>
          <w:sz w:val="20"/>
          <w:szCs w:val="20"/>
        </w:rPr>
        <w:t>Council of Europe</w:t>
      </w:r>
      <w:r w:rsidRPr="003A4B31">
        <w:rPr>
          <w:rFonts w:ascii="Arial" w:hAnsi="Arial" w:cs="Arial"/>
          <w:sz w:val="20"/>
          <w:szCs w:val="20"/>
        </w:rPr>
        <w:t>, i.e. generate negative publicity, public perception or other uncontrollable events.</w:t>
      </w:r>
    </w:p>
    <w:p w14:paraId="3CC32999" w14:textId="77777777" w:rsidR="003A4B31" w:rsidRPr="003A4B31" w:rsidRDefault="003A4B31"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3162CFBF" w14:textId="27BC21B1" w:rsidR="003C34CD"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3A4B31">
        <w:rPr>
          <w:rFonts w:ascii="Arial" w:hAnsi="Arial" w:cs="Arial"/>
          <w:sz w:val="20"/>
          <w:szCs w:val="20"/>
        </w:rPr>
        <w:t>The Board considered this risk very difficult to gauge as there are no pre-defined standards for assessment and therefore suggested to have it assessed by the Organisation as it is very much linked to its values.</w:t>
      </w:r>
    </w:p>
    <w:p w14:paraId="77655BB7" w14:textId="77777777" w:rsidR="003A4B31" w:rsidRPr="003A4B31" w:rsidRDefault="003A4B31"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36C88DCE" w14:textId="129602ED" w:rsidR="003C34CD" w:rsidRPr="003A4B31" w:rsidRDefault="003C34CD" w:rsidP="003C2ACA">
      <w:pPr>
        <w:pStyle w:val="Paragraph"/>
        <w:tabs>
          <w:tab w:val="clear" w:pos="850"/>
          <w:tab w:val="clear" w:pos="1191"/>
          <w:tab w:val="clear" w:pos="1531"/>
          <w:tab w:val="left" w:pos="0"/>
        </w:tabs>
        <w:spacing w:before="0" w:after="0"/>
        <w:jc w:val="left"/>
        <w:rPr>
          <w:rFonts w:ascii="Arial" w:hAnsi="Arial" w:cs="Arial"/>
          <w:color w:val="1F497D"/>
          <w:sz w:val="20"/>
          <w:szCs w:val="20"/>
        </w:rPr>
      </w:pPr>
      <w:r w:rsidRPr="003A4B31">
        <w:rPr>
          <w:rFonts w:ascii="Arial" w:hAnsi="Arial" w:cs="Arial"/>
          <w:sz w:val="20"/>
          <w:szCs w:val="20"/>
        </w:rPr>
        <w:t xml:space="preserve">The Management Board so far asked for the opinion of the </w:t>
      </w:r>
      <w:r w:rsidR="00EB190E" w:rsidRPr="003A4B31">
        <w:rPr>
          <w:rFonts w:ascii="Arial" w:hAnsi="Arial" w:cs="Arial"/>
          <w:sz w:val="20"/>
          <w:szCs w:val="20"/>
        </w:rPr>
        <w:t>Council of Europe</w:t>
      </w:r>
      <w:r w:rsidRPr="003A4B31">
        <w:rPr>
          <w:rFonts w:ascii="Arial" w:hAnsi="Arial" w:cs="Arial"/>
          <w:sz w:val="20"/>
          <w:szCs w:val="20"/>
        </w:rPr>
        <w:t>’s Ethics Officer and Head of the Action against Crime Department, and from the</w:t>
      </w:r>
      <w:r w:rsidRPr="003A4B31">
        <w:rPr>
          <w:rFonts w:ascii="Arial" w:eastAsiaTheme="minorHAnsi" w:hAnsi="Arial" w:cs="Arial"/>
          <w:sz w:val="20"/>
          <w:szCs w:val="20"/>
          <w:lang w:eastAsia="zh-CN"/>
        </w:rPr>
        <w:t xml:space="preserve"> </w:t>
      </w:r>
      <w:r w:rsidR="00EB190E" w:rsidRPr="003A4B31">
        <w:rPr>
          <w:rFonts w:ascii="Arial" w:eastAsiaTheme="minorHAnsi" w:hAnsi="Arial" w:cs="Arial"/>
          <w:sz w:val="20"/>
          <w:szCs w:val="20"/>
          <w:lang w:eastAsia="zh-CN"/>
        </w:rPr>
        <w:t>Council of Europe</w:t>
      </w:r>
      <w:r w:rsidRPr="003A4B31">
        <w:rPr>
          <w:rFonts w:ascii="Arial" w:eastAsiaTheme="minorHAnsi" w:hAnsi="Arial" w:cs="Arial"/>
          <w:sz w:val="20"/>
          <w:szCs w:val="20"/>
          <w:lang w:eastAsia="zh-CN"/>
        </w:rPr>
        <w:t xml:space="preserve">’s </w:t>
      </w:r>
      <w:r w:rsidRPr="003A4B31">
        <w:rPr>
          <w:rFonts w:ascii="Arial" w:hAnsi="Arial" w:cs="Arial"/>
          <w:sz w:val="20"/>
          <w:szCs w:val="20"/>
        </w:rPr>
        <w:t>Directorate</w:t>
      </w:r>
      <w:r w:rsidRPr="003A4B31">
        <w:rPr>
          <w:rFonts w:ascii="Arial" w:eastAsiaTheme="minorHAnsi" w:hAnsi="Arial" w:cs="Arial"/>
          <w:sz w:val="20"/>
          <w:szCs w:val="20"/>
          <w:lang w:eastAsia="zh-CN"/>
        </w:rPr>
        <w:t xml:space="preserve"> of Legal Advice and Public International Law (</w:t>
      </w:r>
      <w:r w:rsidRPr="003A4B31">
        <w:rPr>
          <w:rFonts w:ascii="Arial" w:hAnsi="Arial" w:cs="Arial"/>
          <w:sz w:val="20"/>
          <w:szCs w:val="20"/>
        </w:rPr>
        <w:t>DLAPIL).</w:t>
      </w:r>
    </w:p>
    <w:p w14:paraId="59E1A66E" w14:textId="0578ECA4" w:rsidR="003C34CD" w:rsidRPr="003A4B31" w:rsidRDefault="003C34CD" w:rsidP="003A4B31">
      <w:pPr>
        <w:rPr>
          <w:rFonts w:eastAsiaTheme="majorEastAsia" w:cs="Arial"/>
          <w:b/>
          <w:i/>
          <w:caps/>
          <w:szCs w:val="20"/>
          <w:lang w:eastAsia="fr-FR"/>
        </w:rPr>
      </w:pPr>
    </w:p>
    <w:p w14:paraId="01B51398" w14:textId="77777777" w:rsidR="003A4B31" w:rsidRDefault="003A4B31">
      <w:pPr>
        <w:rPr>
          <w:rFonts w:eastAsiaTheme="majorEastAsia" w:cs="Arial"/>
          <w:b/>
          <w:i/>
          <w:caps/>
          <w:szCs w:val="20"/>
          <w:lang w:eastAsia="fr-FR"/>
        </w:rPr>
      </w:pPr>
      <w:r>
        <w:rPr>
          <w:szCs w:val="20"/>
        </w:rPr>
        <w:br w:type="page"/>
      </w:r>
    </w:p>
    <w:p w14:paraId="46F4F340" w14:textId="68578C7A" w:rsidR="003C34CD" w:rsidRDefault="003C34CD" w:rsidP="003A4B31">
      <w:pPr>
        <w:pStyle w:val="Heading3"/>
        <w:spacing w:before="0" w:after="0"/>
        <w:rPr>
          <w:rFonts w:ascii="Arial" w:hAnsi="Arial"/>
          <w:sz w:val="20"/>
          <w:szCs w:val="20"/>
        </w:rPr>
      </w:pPr>
      <w:r w:rsidRPr="008B5054">
        <w:rPr>
          <w:rFonts w:ascii="Arial" w:hAnsi="Arial"/>
          <w:sz w:val="20"/>
          <w:szCs w:val="20"/>
        </w:rPr>
        <w:t xml:space="preserve">Statement </w:t>
      </w:r>
      <w:r w:rsidR="00EB190E">
        <w:rPr>
          <w:rFonts w:ascii="Arial" w:hAnsi="Arial"/>
          <w:sz w:val="20"/>
          <w:szCs w:val="20"/>
        </w:rPr>
        <w:t>FROM</w:t>
      </w:r>
      <w:r w:rsidRPr="008B5054">
        <w:rPr>
          <w:rFonts w:ascii="Arial" w:hAnsi="Arial"/>
          <w:sz w:val="20"/>
          <w:szCs w:val="20"/>
        </w:rPr>
        <w:t xml:space="preserve"> the </w:t>
      </w:r>
      <w:r w:rsidR="00EB190E">
        <w:rPr>
          <w:rFonts w:ascii="Arial" w:hAnsi="Arial"/>
          <w:sz w:val="20"/>
          <w:szCs w:val="20"/>
        </w:rPr>
        <w:t>Council of Europe</w:t>
      </w:r>
      <w:r w:rsidRPr="008B5054">
        <w:rPr>
          <w:rFonts w:ascii="Arial" w:hAnsi="Arial"/>
          <w:sz w:val="20"/>
          <w:szCs w:val="20"/>
        </w:rPr>
        <w:t>’s Ethics Officer and Head of the Action against Crime Department</w:t>
      </w:r>
    </w:p>
    <w:p w14:paraId="6D837CCC" w14:textId="77777777" w:rsidR="003A4B31" w:rsidRPr="003A4B31" w:rsidRDefault="003A4B31" w:rsidP="003A4B31">
      <w:pPr>
        <w:rPr>
          <w:lang w:eastAsia="fr-FR"/>
        </w:rPr>
      </w:pPr>
    </w:p>
    <w:p w14:paraId="3E24A8CE" w14:textId="3B7A58E1" w:rsidR="003C34CD" w:rsidRDefault="003C34CD" w:rsidP="003C2ACA">
      <w:pPr>
        <w:pStyle w:val="Paragraph"/>
        <w:tabs>
          <w:tab w:val="clear" w:pos="850"/>
          <w:tab w:val="clear" w:pos="1191"/>
          <w:tab w:val="clear" w:pos="1531"/>
        </w:tabs>
        <w:spacing w:before="0" w:after="0"/>
        <w:jc w:val="left"/>
        <w:rPr>
          <w:rFonts w:ascii="Arial" w:hAnsi="Arial" w:cs="Arial"/>
          <w:i/>
          <w:sz w:val="20"/>
          <w:szCs w:val="20"/>
        </w:rPr>
      </w:pPr>
      <w:r w:rsidRPr="008B5054">
        <w:rPr>
          <w:rFonts w:ascii="Arial" w:hAnsi="Arial" w:cs="Arial"/>
          <w:i/>
          <w:sz w:val="20"/>
          <w:szCs w:val="20"/>
        </w:rPr>
        <w:t>“According to the latest mutual evaluation report on the Cayman Islands by the Caribbean Financial Action Task Force (CFATF) of March 2019</w:t>
      </w:r>
      <w:r w:rsidR="00EB190E">
        <w:rPr>
          <w:rFonts w:ascii="Arial" w:hAnsi="Arial" w:cs="Arial"/>
          <w:i/>
          <w:sz w:val="20"/>
          <w:szCs w:val="20"/>
        </w:rPr>
        <w:t>,</w:t>
      </w:r>
      <w:r w:rsidRPr="008B5054">
        <w:rPr>
          <w:rStyle w:val="FootnoteReference"/>
          <w:rFonts w:ascii="Arial" w:hAnsi="Arial" w:cs="Arial"/>
          <w:i/>
          <w:sz w:val="20"/>
          <w:szCs w:val="20"/>
        </w:rPr>
        <w:footnoteReference w:id="15"/>
      </w:r>
      <w:r w:rsidRPr="008B5054">
        <w:rPr>
          <w:rFonts w:ascii="Arial" w:hAnsi="Arial" w:cs="Arial"/>
          <w:i/>
          <w:sz w:val="20"/>
          <w:szCs w:val="20"/>
        </w:rPr>
        <w:t xml:space="preserve"> the country’s overall ratings are rather poor (all eleven Immediate Outcomes (IOs) to measure effectiveness were rated as either ‘low’ or ‘moderate’, which are considered as failing-rates). The country thus fulfils the entry criteria of the International Country Risk Guide (ICRG) process of the FATF. The ICRG process is the one which is used by the FATF to continually identify and review jurisdictions with strategic AML/CFT deficiencies that present a risk to the international financial system and to closely monitor their progress. IO.3 (supervision) and IO.4 (preventive measures) are even rated as ‘low’, which appears to have been affected to a large extent by the very weak Designated Non-Financial Businesses and Professions (DNFBP) sector. IO.5 (legal persons) is rated ‘moderate’. On technical compliance, it is noteworthy that FATF Recommendations 24 and 25 on transparency and beneficial ownership of legal persons and arrangements are rated only as ‘partially compliant’. The report stresses that ‘As a major international financial centre, the Cayman Islands is confronted with inherent ML/TF risks, threats and associated vulnerabilities emanating from domestic and foreign criminal activities (e.g. tax evasion, fraud, drug trafficking).’  More specifically, the report notes that as an international financial centre that predominantly serves a non-resident clientele, there have been instances of foreign persons who have sought to evade taxes in their countries and utilised the Cayman Islands’ financial system to launder the proceeds of such crime. Further, as a major financial centre within the Western Hemisphere, it is recognised that drug traffickers also utilised the Cayman Islands’ financial system to launder the proceeds of crime. </w:t>
      </w:r>
      <w:r w:rsidRPr="008B5054">
        <w:rPr>
          <w:rFonts w:ascii="Arial" w:hAnsi="Arial" w:cs="Arial"/>
          <w:b/>
          <w:i/>
          <w:sz w:val="20"/>
          <w:szCs w:val="20"/>
        </w:rPr>
        <w:t>With that in mind, I wonder whether investing in a firm that channels its investments through its parent company incorporated in the Cayman Islands is an appropriate course of action for the Council of Europe.</w:t>
      </w:r>
      <w:r w:rsidRPr="008B5054">
        <w:rPr>
          <w:rFonts w:ascii="Arial" w:hAnsi="Arial" w:cs="Arial"/>
          <w:i/>
          <w:sz w:val="20"/>
          <w:szCs w:val="20"/>
        </w:rPr>
        <w:t xml:space="preserve"> </w:t>
      </w:r>
      <w:r w:rsidRPr="008B5054">
        <w:rPr>
          <w:rFonts w:ascii="Arial" w:hAnsi="Arial" w:cs="Arial"/>
          <w:b/>
          <w:i/>
          <w:sz w:val="20"/>
          <w:szCs w:val="20"/>
        </w:rPr>
        <w:t xml:space="preserve">I also wonder whether the reputational risk for the </w:t>
      </w:r>
      <w:r w:rsidR="00EB190E">
        <w:rPr>
          <w:rFonts w:ascii="Arial" w:hAnsi="Arial" w:cs="Arial"/>
          <w:b/>
          <w:i/>
          <w:sz w:val="20"/>
          <w:szCs w:val="20"/>
        </w:rPr>
        <w:t>Council of Europe</w:t>
      </w:r>
      <w:r w:rsidRPr="008B5054">
        <w:rPr>
          <w:rFonts w:ascii="Arial" w:hAnsi="Arial" w:cs="Arial"/>
          <w:b/>
          <w:i/>
          <w:sz w:val="20"/>
          <w:szCs w:val="20"/>
        </w:rPr>
        <w:t xml:space="preserve"> is not too high. It is of course for member </w:t>
      </w:r>
      <w:r w:rsidR="00EB190E">
        <w:rPr>
          <w:rFonts w:ascii="Arial" w:hAnsi="Arial" w:cs="Arial"/>
          <w:b/>
          <w:i/>
          <w:sz w:val="20"/>
          <w:szCs w:val="20"/>
        </w:rPr>
        <w:t>S</w:t>
      </w:r>
      <w:r w:rsidRPr="008B5054">
        <w:rPr>
          <w:rFonts w:ascii="Arial" w:hAnsi="Arial" w:cs="Arial"/>
          <w:b/>
          <w:i/>
          <w:sz w:val="20"/>
          <w:szCs w:val="20"/>
        </w:rPr>
        <w:t>tates to decide the extent of the risk, including reputational risk, they wish to take.</w:t>
      </w:r>
      <w:r w:rsidRPr="008B5054">
        <w:rPr>
          <w:rFonts w:ascii="Arial" w:hAnsi="Arial" w:cs="Arial"/>
          <w:i/>
          <w:sz w:val="20"/>
          <w:szCs w:val="20"/>
        </w:rPr>
        <w:t>”</w:t>
      </w:r>
    </w:p>
    <w:p w14:paraId="5FB0750C" w14:textId="77777777" w:rsidR="003A4B31" w:rsidRPr="008B5054" w:rsidRDefault="003A4B31" w:rsidP="003A4B31">
      <w:pPr>
        <w:pStyle w:val="Paragraph"/>
        <w:numPr>
          <w:ilvl w:val="0"/>
          <w:numId w:val="0"/>
        </w:numPr>
        <w:spacing w:before="0" w:after="0"/>
        <w:jc w:val="left"/>
        <w:rPr>
          <w:rFonts w:ascii="Arial" w:hAnsi="Arial" w:cs="Arial"/>
          <w:i/>
          <w:sz w:val="20"/>
          <w:szCs w:val="20"/>
        </w:rPr>
      </w:pPr>
    </w:p>
    <w:p w14:paraId="1F6CB669" w14:textId="133EFF28" w:rsidR="003C34CD" w:rsidRDefault="003C34CD" w:rsidP="003A4B31">
      <w:pPr>
        <w:pStyle w:val="Heading3"/>
        <w:spacing w:before="0" w:after="0"/>
        <w:rPr>
          <w:rFonts w:ascii="Arial" w:hAnsi="Arial"/>
          <w:sz w:val="20"/>
          <w:szCs w:val="20"/>
        </w:rPr>
      </w:pPr>
      <w:r w:rsidRPr="008B5054">
        <w:rPr>
          <w:rFonts w:ascii="Arial" w:hAnsi="Arial"/>
          <w:sz w:val="20"/>
          <w:szCs w:val="20"/>
        </w:rPr>
        <w:t xml:space="preserve">Statement </w:t>
      </w:r>
      <w:r w:rsidR="00305CE5">
        <w:rPr>
          <w:rFonts w:ascii="Arial" w:hAnsi="Arial"/>
          <w:sz w:val="20"/>
          <w:szCs w:val="20"/>
        </w:rPr>
        <w:t>FROM</w:t>
      </w:r>
      <w:r w:rsidRPr="008B5054">
        <w:rPr>
          <w:rFonts w:ascii="Arial" w:hAnsi="Arial"/>
          <w:sz w:val="20"/>
          <w:szCs w:val="20"/>
        </w:rPr>
        <w:t xml:space="preserve"> DLAPIL</w:t>
      </w:r>
    </w:p>
    <w:p w14:paraId="72CF6D0E" w14:textId="77777777" w:rsidR="003A4B31" w:rsidRPr="003A4B31" w:rsidRDefault="003A4B31" w:rsidP="003A4B31">
      <w:pPr>
        <w:rPr>
          <w:lang w:eastAsia="fr-FR"/>
        </w:rPr>
      </w:pPr>
    </w:p>
    <w:p w14:paraId="289EB03D" w14:textId="26954069" w:rsidR="003C34CD" w:rsidRDefault="003C34CD" w:rsidP="003C2ACA">
      <w:pPr>
        <w:pStyle w:val="Paragraph"/>
        <w:tabs>
          <w:tab w:val="clear" w:pos="850"/>
          <w:tab w:val="clear" w:pos="1191"/>
          <w:tab w:val="clear" w:pos="1531"/>
        </w:tabs>
        <w:spacing w:before="0" w:after="0"/>
        <w:jc w:val="left"/>
        <w:rPr>
          <w:rFonts w:ascii="Arial" w:hAnsi="Arial" w:cs="Arial"/>
          <w:sz w:val="20"/>
          <w:szCs w:val="20"/>
        </w:rPr>
      </w:pPr>
      <w:r w:rsidRPr="008B5054">
        <w:rPr>
          <w:rFonts w:ascii="Arial" w:hAnsi="Arial" w:cs="Arial"/>
          <w:sz w:val="20"/>
          <w:szCs w:val="20"/>
        </w:rPr>
        <w:t xml:space="preserve">The opinion from DLAPIL reads as follows: </w:t>
      </w:r>
      <w:r w:rsidRPr="008B5054">
        <w:rPr>
          <w:rFonts w:ascii="Arial" w:hAnsi="Arial" w:cs="Arial"/>
          <w:i/>
          <w:sz w:val="20"/>
          <w:szCs w:val="20"/>
        </w:rPr>
        <w:t xml:space="preserve">“Article 18 of the Council of Europe’s Socially Responsible Investments Policy stipulates that: ‘The </w:t>
      </w:r>
      <w:r w:rsidR="00EB190E">
        <w:rPr>
          <w:rFonts w:ascii="Arial" w:hAnsi="Arial" w:cs="Arial"/>
          <w:i/>
          <w:sz w:val="20"/>
          <w:szCs w:val="20"/>
        </w:rPr>
        <w:t>Council of Europe</w:t>
      </w:r>
      <w:r w:rsidRPr="008B5054">
        <w:rPr>
          <w:rFonts w:ascii="Arial" w:hAnsi="Arial" w:cs="Arial"/>
          <w:i/>
          <w:sz w:val="20"/>
          <w:szCs w:val="20"/>
        </w:rPr>
        <w:t xml:space="preserve"> has also shown its concern regarding the fight against money laundering, corruption, and cybercrime. While respecting the Civil Law Convention on Corruption (1999), the Criminal Law Convention on Corruption (1999), the Convention on Laundering, Search, Seizure, and Confiscation of the Proceeds from Crime (1990), the Convention on Laundering, Search, Seizure, and Confiscation of the Proceeds from Crime and on the Financing of Terrorism (2005), and the Convention on Cybercrime (2001), the </w:t>
      </w:r>
      <w:r w:rsidR="00EB190E">
        <w:rPr>
          <w:rFonts w:ascii="Arial" w:hAnsi="Arial" w:cs="Arial"/>
          <w:i/>
          <w:sz w:val="20"/>
          <w:szCs w:val="20"/>
        </w:rPr>
        <w:t>Council of Europe</w:t>
      </w:r>
      <w:r w:rsidRPr="008B5054">
        <w:rPr>
          <w:rFonts w:ascii="Arial" w:hAnsi="Arial" w:cs="Arial"/>
          <w:i/>
          <w:sz w:val="20"/>
          <w:szCs w:val="20"/>
        </w:rPr>
        <w:t xml:space="preserve"> will use general SRI criteria (from asset managers).</w:t>
      </w:r>
    </w:p>
    <w:p w14:paraId="59FCE599" w14:textId="77777777" w:rsidR="003A4B31" w:rsidRPr="008B5054" w:rsidRDefault="003A4B31" w:rsidP="003A4B31">
      <w:pPr>
        <w:pStyle w:val="Paragraph"/>
        <w:numPr>
          <w:ilvl w:val="0"/>
          <w:numId w:val="0"/>
        </w:numPr>
        <w:spacing w:before="0" w:after="0"/>
        <w:jc w:val="left"/>
        <w:rPr>
          <w:rFonts w:ascii="Arial" w:hAnsi="Arial" w:cs="Arial"/>
          <w:sz w:val="20"/>
          <w:szCs w:val="20"/>
        </w:rPr>
      </w:pPr>
    </w:p>
    <w:p w14:paraId="6ADBE2AF" w14:textId="44E89CE9" w:rsidR="003C34CD" w:rsidRDefault="003C34CD" w:rsidP="003A4B31">
      <w:pPr>
        <w:pStyle w:val="Paragraph0"/>
        <w:spacing w:before="0" w:after="0"/>
        <w:jc w:val="left"/>
        <w:rPr>
          <w:rFonts w:ascii="Arial" w:hAnsi="Arial" w:cs="Arial"/>
          <w:i/>
          <w:sz w:val="20"/>
          <w:szCs w:val="20"/>
        </w:rPr>
      </w:pPr>
      <w:r w:rsidRPr="008B5054">
        <w:rPr>
          <w:rFonts w:ascii="Arial" w:hAnsi="Arial" w:cs="Arial"/>
          <w:i/>
          <w:sz w:val="20"/>
          <w:szCs w:val="20"/>
        </w:rPr>
        <w:t xml:space="preserve">The </w:t>
      </w:r>
      <w:proofErr w:type="gramStart"/>
      <w:r w:rsidRPr="008B5054">
        <w:rPr>
          <w:rFonts w:ascii="Arial" w:hAnsi="Arial" w:cs="Arial"/>
          <w:i/>
          <w:sz w:val="20"/>
          <w:szCs w:val="20"/>
        </w:rPr>
        <w:t>aforementioned conventions</w:t>
      </w:r>
      <w:proofErr w:type="gramEnd"/>
      <w:r w:rsidRPr="008B5054">
        <w:rPr>
          <w:rFonts w:ascii="Arial" w:hAnsi="Arial" w:cs="Arial"/>
          <w:i/>
          <w:sz w:val="20"/>
          <w:szCs w:val="20"/>
        </w:rPr>
        <w:t xml:space="preserve"> are binding for the Parties to them, but not for the Council of Europe. However, given that they are Council of Europe conventions it is implied that the Council of Europe should refrain from any actions that would be contrary to the spirit of those conventions. Hence the Council of Europe should refrain from any actions that could be interpreted as contributing either directly or indirectly to actions or omissions that the conventions intend to prevent. Against this background it could be concluded that the Council of Europe should not invest in jurisdictions that may not respect the underlying principles of those conventions.</w:t>
      </w:r>
    </w:p>
    <w:p w14:paraId="2AD85F67" w14:textId="77777777" w:rsidR="003C2ACA" w:rsidRPr="008B5054" w:rsidRDefault="003C2ACA" w:rsidP="003A4B31">
      <w:pPr>
        <w:pStyle w:val="Paragraph0"/>
        <w:spacing w:before="0" w:after="0"/>
        <w:jc w:val="left"/>
        <w:rPr>
          <w:rFonts w:ascii="Arial" w:hAnsi="Arial" w:cs="Arial"/>
          <w:i/>
          <w:sz w:val="20"/>
          <w:szCs w:val="20"/>
        </w:rPr>
      </w:pPr>
    </w:p>
    <w:p w14:paraId="10943B34" w14:textId="7A3BDBDD" w:rsidR="003C34CD" w:rsidRDefault="003C34CD" w:rsidP="003A4B31">
      <w:pPr>
        <w:pStyle w:val="Paragraph0"/>
        <w:spacing w:before="0" w:after="0"/>
        <w:jc w:val="left"/>
        <w:rPr>
          <w:rFonts w:ascii="Arial" w:hAnsi="Arial" w:cs="Arial"/>
          <w:i/>
          <w:sz w:val="20"/>
          <w:szCs w:val="20"/>
        </w:rPr>
      </w:pPr>
      <w:r w:rsidRPr="008B5054">
        <w:rPr>
          <w:rFonts w:ascii="Arial" w:hAnsi="Arial" w:cs="Arial"/>
          <w:i/>
          <w:sz w:val="20"/>
          <w:szCs w:val="20"/>
        </w:rPr>
        <w:t xml:space="preserve">It is impossible for DLAPIL to analyse whether the Cayman Islands comply with those underlying principles but </w:t>
      </w:r>
      <w:proofErr w:type="gramStart"/>
      <w:r w:rsidRPr="008B5054">
        <w:rPr>
          <w:rFonts w:ascii="Arial" w:hAnsi="Arial" w:cs="Arial"/>
          <w:i/>
          <w:sz w:val="20"/>
          <w:szCs w:val="20"/>
        </w:rPr>
        <w:t>in light of</w:t>
      </w:r>
      <w:proofErr w:type="gramEnd"/>
      <w:r w:rsidRPr="008B5054">
        <w:rPr>
          <w:rFonts w:ascii="Arial" w:hAnsi="Arial" w:cs="Arial"/>
          <w:i/>
          <w:sz w:val="20"/>
          <w:szCs w:val="20"/>
        </w:rPr>
        <w:t xml:space="preserve"> the existing doubts there is already a reputational risk for the Council of Europe. The Ethics Officer’s opinion and the elements he provided only add to those doubts and confirm the existence of a reputational risk.”</w:t>
      </w:r>
    </w:p>
    <w:p w14:paraId="656EAFE2" w14:textId="77777777" w:rsidR="003A4B31" w:rsidRPr="008B5054" w:rsidRDefault="003A4B31" w:rsidP="003A4B31">
      <w:pPr>
        <w:pStyle w:val="Paragraph0"/>
        <w:spacing w:before="0" w:after="0"/>
        <w:jc w:val="left"/>
        <w:rPr>
          <w:rFonts w:ascii="Arial" w:hAnsi="Arial" w:cs="Arial"/>
          <w:i/>
          <w:sz w:val="20"/>
          <w:szCs w:val="20"/>
        </w:rPr>
      </w:pPr>
    </w:p>
    <w:p w14:paraId="21AFF576" w14:textId="5BBFCD76" w:rsidR="003C34CD" w:rsidRDefault="003C34CD" w:rsidP="003A4B31">
      <w:pPr>
        <w:pStyle w:val="Heading2"/>
        <w:spacing w:before="0" w:after="0"/>
        <w:rPr>
          <w:rFonts w:ascii="Arial" w:hAnsi="Arial"/>
          <w:sz w:val="20"/>
          <w:szCs w:val="20"/>
        </w:rPr>
      </w:pPr>
      <w:r w:rsidRPr="008B5054">
        <w:rPr>
          <w:rFonts w:ascii="Arial" w:hAnsi="Arial"/>
          <w:sz w:val="20"/>
          <w:szCs w:val="20"/>
        </w:rPr>
        <w:t>CONCLUSION</w:t>
      </w:r>
    </w:p>
    <w:p w14:paraId="683A0A52" w14:textId="77777777" w:rsidR="003C2ACA" w:rsidRPr="003C2ACA" w:rsidRDefault="003C2ACA" w:rsidP="003C2ACA">
      <w:pPr>
        <w:rPr>
          <w:lang w:eastAsia="fr-FR"/>
        </w:rPr>
      </w:pPr>
    </w:p>
    <w:p w14:paraId="766872DA" w14:textId="184683D1" w:rsidR="003C34CD" w:rsidRDefault="003C34CD" w:rsidP="003C2ACA">
      <w:pPr>
        <w:pStyle w:val="Paragraph"/>
        <w:tabs>
          <w:tab w:val="clear" w:pos="850"/>
          <w:tab w:val="clear" w:pos="1191"/>
          <w:tab w:val="clear" w:pos="1531"/>
        </w:tabs>
        <w:spacing w:before="0" w:after="0"/>
        <w:jc w:val="left"/>
        <w:rPr>
          <w:rFonts w:ascii="Arial" w:hAnsi="Arial" w:cs="Arial"/>
          <w:sz w:val="20"/>
          <w:szCs w:val="20"/>
        </w:rPr>
      </w:pPr>
      <w:r w:rsidRPr="008B5054">
        <w:rPr>
          <w:rFonts w:ascii="Arial" w:hAnsi="Arial" w:cs="Arial"/>
          <w:sz w:val="20"/>
          <w:szCs w:val="20"/>
        </w:rPr>
        <w:t xml:space="preserve">The Board’s conclusions from the above analysis on the </w:t>
      </w:r>
      <w:r w:rsidRPr="008B5054">
        <w:rPr>
          <w:rFonts w:ascii="Arial" w:hAnsi="Arial" w:cs="Arial"/>
          <w:b/>
          <w:sz w:val="20"/>
          <w:szCs w:val="20"/>
          <w:u w:val="single"/>
        </w:rPr>
        <w:t xml:space="preserve">compliance of the IFM fund </w:t>
      </w:r>
      <w:proofErr w:type="gramStart"/>
      <w:r w:rsidRPr="008B5054">
        <w:rPr>
          <w:rFonts w:ascii="Arial" w:hAnsi="Arial" w:cs="Arial"/>
          <w:b/>
          <w:sz w:val="20"/>
          <w:szCs w:val="20"/>
          <w:u w:val="single"/>
        </w:rPr>
        <w:t>with regard to</w:t>
      </w:r>
      <w:proofErr w:type="gramEnd"/>
      <w:r w:rsidRPr="008B5054">
        <w:rPr>
          <w:rFonts w:ascii="Arial" w:hAnsi="Arial" w:cs="Arial"/>
          <w:b/>
          <w:sz w:val="20"/>
          <w:szCs w:val="20"/>
          <w:u w:val="single"/>
        </w:rPr>
        <w:t xml:space="preserve"> the extra-financial SRI investment policy of the PRF</w:t>
      </w:r>
      <w:r w:rsidRPr="008B5054">
        <w:rPr>
          <w:rFonts w:ascii="Arial" w:hAnsi="Arial" w:cs="Arial"/>
          <w:sz w:val="20"/>
          <w:szCs w:val="20"/>
        </w:rPr>
        <w:t xml:space="preserve"> are the following:</w:t>
      </w:r>
    </w:p>
    <w:p w14:paraId="643B94AF" w14:textId="77777777" w:rsidR="003C2ACA" w:rsidRPr="008B5054" w:rsidRDefault="003C2ACA" w:rsidP="003C2ACA">
      <w:pPr>
        <w:pStyle w:val="Paragraph"/>
        <w:numPr>
          <w:ilvl w:val="0"/>
          <w:numId w:val="0"/>
        </w:numPr>
        <w:tabs>
          <w:tab w:val="clear" w:pos="850"/>
          <w:tab w:val="clear" w:pos="1191"/>
          <w:tab w:val="clear" w:pos="1531"/>
        </w:tabs>
        <w:spacing w:before="0" w:after="0"/>
        <w:jc w:val="left"/>
        <w:rPr>
          <w:rFonts w:ascii="Arial" w:hAnsi="Arial" w:cs="Arial"/>
          <w:sz w:val="20"/>
          <w:szCs w:val="20"/>
        </w:rPr>
      </w:pPr>
    </w:p>
    <w:p w14:paraId="200AFDDF" w14:textId="087AF713" w:rsidR="003C34CD" w:rsidRPr="008B5054" w:rsidRDefault="00EB190E" w:rsidP="003C2ACA">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he legal structure of the IFM fund, which allows efficiency in the treatment of taxes on dividends and interests from investments, seems compliant with the current SRI policy of PRF</w:t>
      </w:r>
      <w:r>
        <w:rPr>
          <w:rFonts w:ascii="Arial" w:hAnsi="Arial" w:cs="Arial"/>
          <w:sz w:val="20"/>
          <w:szCs w:val="20"/>
        </w:rPr>
        <w:t>;</w:t>
      </w:r>
    </w:p>
    <w:p w14:paraId="4263F8C9" w14:textId="77777777" w:rsidR="003C2ACA" w:rsidRDefault="003C2ACA">
      <w:pPr>
        <w:rPr>
          <w:rFonts w:eastAsia="Times New Roman" w:cs="Arial"/>
          <w:szCs w:val="20"/>
          <w:lang w:eastAsia="zh-CN"/>
        </w:rPr>
      </w:pPr>
      <w:r>
        <w:rPr>
          <w:rFonts w:cs="Arial"/>
          <w:szCs w:val="20"/>
        </w:rPr>
        <w:br w:type="page"/>
      </w:r>
    </w:p>
    <w:p w14:paraId="60BA2468" w14:textId="61E959BD" w:rsidR="003C34CD" w:rsidRDefault="00EB190E" w:rsidP="003C2ACA">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 xml:space="preserve">he presence in the legal structure of the IFM fund of a Cayman-Islands-domiciled fund would be non-compliant with article 18 of the PRF’s SRI policy if such jurisdiction is considered as not providing enough transparency and guarantees to avoid tax evasion, opacity and money laundering. Three assessments have been </w:t>
      </w:r>
      <w:proofErr w:type="gramStart"/>
      <w:r w:rsidR="003C34CD" w:rsidRPr="008B5054">
        <w:rPr>
          <w:rFonts w:ascii="Arial" w:hAnsi="Arial" w:cs="Arial"/>
          <w:sz w:val="20"/>
          <w:szCs w:val="20"/>
        </w:rPr>
        <w:t>taken into account</w:t>
      </w:r>
      <w:proofErr w:type="gramEnd"/>
      <w:r w:rsidR="003C34CD" w:rsidRPr="008B5054">
        <w:rPr>
          <w:rFonts w:ascii="Arial" w:hAnsi="Arial" w:cs="Arial"/>
          <w:sz w:val="20"/>
          <w:szCs w:val="20"/>
        </w:rPr>
        <w:t xml:space="preserve"> and all seem to acknowledge, to a greater or smaller extent, that the Cayman Islands comply with some standards, </w:t>
      </w:r>
      <w:r w:rsidR="003C34CD" w:rsidRPr="008B5054">
        <w:rPr>
          <w:rFonts w:ascii="Arial" w:hAnsi="Arial" w:cs="Arial"/>
          <w:sz w:val="20"/>
          <w:szCs w:val="20"/>
          <w:u w:val="single"/>
        </w:rPr>
        <w:t>but that</w:t>
      </w:r>
      <w:r w:rsidR="003C34CD" w:rsidRPr="008B5054">
        <w:rPr>
          <w:rFonts w:ascii="Arial" w:hAnsi="Arial" w:cs="Arial"/>
          <w:sz w:val="20"/>
          <w:szCs w:val="20"/>
        </w:rPr>
        <w:t xml:space="preserve"> </w:t>
      </w:r>
      <w:r w:rsidR="003C34CD" w:rsidRPr="008B5054">
        <w:rPr>
          <w:rFonts w:ascii="Arial" w:hAnsi="Arial" w:cs="Arial"/>
          <w:sz w:val="20"/>
          <w:szCs w:val="20"/>
          <w:u w:val="single"/>
        </w:rPr>
        <w:t>improvements are needed</w:t>
      </w:r>
      <w:r w:rsidR="003C34CD" w:rsidRPr="008B5054">
        <w:rPr>
          <w:rFonts w:ascii="Arial" w:hAnsi="Arial" w:cs="Arial"/>
          <w:sz w:val="20"/>
          <w:szCs w:val="20"/>
        </w:rPr>
        <w:t>.</w:t>
      </w:r>
    </w:p>
    <w:p w14:paraId="50248ED6" w14:textId="77777777" w:rsidR="003C2ACA" w:rsidRPr="008B5054" w:rsidRDefault="003C2ACA" w:rsidP="003C2ACA">
      <w:pPr>
        <w:pStyle w:val="ListBullet"/>
        <w:numPr>
          <w:ilvl w:val="0"/>
          <w:numId w:val="0"/>
        </w:numPr>
        <w:tabs>
          <w:tab w:val="left" w:pos="709"/>
        </w:tabs>
        <w:spacing w:before="0" w:after="0"/>
        <w:ind w:left="1276"/>
        <w:jc w:val="left"/>
        <w:rPr>
          <w:rFonts w:ascii="Arial" w:hAnsi="Arial" w:cs="Arial"/>
          <w:sz w:val="20"/>
          <w:szCs w:val="20"/>
        </w:rPr>
      </w:pPr>
    </w:p>
    <w:p w14:paraId="6013A629" w14:textId="3F6381DE" w:rsidR="003C34CD"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8B5054">
        <w:rPr>
          <w:rFonts w:ascii="Arial" w:hAnsi="Arial" w:cs="Arial"/>
          <w:sz w:val="20"/>
          <w:szCs w:val="20"/>
        </w:rPr>
        <w:t xml:space="preserve">The Board also concluded that there might be a </w:t>
      </w:r>
      <w:r w:rsidRPr="008B5054">
        <w:rPr>
          <w:rFonts w:ascii="Arial" w:hAnsi="Arial" w:cs="Arial"/>
          <w:b/>
          <w:sz w:val="20"/>
          <w:szCs w:val="20"/>
          <w:u w:val="single"/>
        </w:rPr>
        <w:t>reputational risk</w:t>
      </w:r>
      <w:r w:rsidRPr="008B5054">
        <w:rPr>
          <w:rFonts w:ascii="Arial" w:hAnsi="Arial" w:cs="Arial"/>
          <w:sz w:val="20"/>
          <w:szCs w:val="20"/>
        </w:rPr>
        <w:t xml:space="preserve"> coming from the fact that the fund’s legal structure that allows efficiency in the treatment of taxes on dividends and interests from investments and/or includes a fund domiciled in </w:t>
      </w:r>
      <w:r w:rsidR="00C803A5">
        <w:rPr>
          <w:rFonts w:ascii="Arial" w:hAnsi="Arial" w:cs="Arial"/>
          <w:sz w:val="20"/>
          <w:szCs w:val="20"/>
        </w:rPr>
        <w:t xml:space="preserve">the </w:t>
      </w:r>
      <w:r w:rsidRPr="008B5054">
        <w:rPr>
          <w:rFonts w:ascii="Arial" w:hAnsi="Arial" w:cs="Arial"/>
          <w:sz w:val="20"/>
          <w:szCs w:val="20"/>
        </w:rPr>
        <w:t>Cayman Islands.</w:t>
      </w:r>
    </w:p>
    <w:p w14:paraId="6779F112" w14:textId="77777777" w:rsidR="003C2ACA" w:rsidRPr="008B5054" w:rsidRDefault="003C2ACA"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6CDA60D0" w14:textId="4C222E0F" w:rsidR="003C34CD"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8B5054">
        <w:rPr>
          <w:rFonts w:ascii="Arial" w:hAnsi="Arial" w:cs="Arial"/>
          <w:sz w:val="20"/>
          <w:szCs w:val="20"/>
        </w:rPr>
        <w:t xml:space="preserve">As both the compliance with the SRI (extra-financial) policy and the reputational risk are very much linked to the values of the Organisation, </w:t>
      </w:r>
      <w:r w:rsidRPr="008B5054">
        <w:rPr>
          <w:rFonts w:ascii="Arial" w:hAnsi="Arial" w:cs="Arial"/>
          <w:b/>
          <w:sz w:val="20"/>
          <w:szCs w:val="20"/>
          <w:u w:val="single"/>
        </w:rPr>
        <w:t>the Board considered that it was necessary to consult with the Committee of Ministers on these matters</w:t>
      </w:r>
      <w:r w:rsidRPr="008B5054">
        <w:rPr>
          <w:rFonts w:ascii="Arial" w:hAnsi="Arial" w:cs="Arial"/>
          <w:sz w:val="20"/>
          <w:szCs w:val="20"/>
        </w:rPr>
        <w:t>.</w:t>
      </w:r>
    </w:p>
    <w:p w14:paraId="564DCC37" w14:textId="77777777" w:rsidR="003C2ACA" w:rsidRPr="008B5054" w:rsidRDefault="003C2ACA"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10C0F750" w14:textId="1A693FBC" w:rsidR="003C34CD"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8B5054">
        <w:rPr>
          <w:rFonts w:ascii="Arial" w:hAnsi="Arial" w:cs="Arial"/>
          <w:sz w:val="20"/>
          <w:szCs w:val="20"/>
        </w:rPr>
        <w:t>The table below depicts a decision matrix. If any of cells B, C or D are filled with YES, the IFM fund will be considered non-eligible.</w:t>
      </w:r>
    </w:p>
    <w:p w14:paraId="52BEDD99" w14:textId="77777777" w:rsidR="003C2ACA" w:rsidRPr="008B5054" w:rsidRDefault="003C2ACA"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tbl>
      <w:tblPr>
        <w:tblStyle w:val="TableGrid"/>
        <w:tblW w:w="0" w:type="auto"/>
        <w:tblLook w:val="04A0" w:firstRow="1" w:lastRow="0" w:firstColumn="1" w:lastColumn="0" w:noHBand="0" w:noVBand="1"/>
      </w:tblPr>
      <w:tblGrid>
        <w:gridCol w:w="2029"/>
        <w:gridCol w:w="3715"/>
        <w:gridCol w:w="3715"/>
      </w:tblGrid>
      <w:tr w:rsidR="003C34CD" w:rsidRPr="003C2ACA" w14:paraId="293DBA63" w14:textId="77777777" w:rsidTr="00EB190E">
        <w:trPr>
          <w:trHeight w:val="379"/>
        </w:trPr>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C7354" w14:textId="77777777" w:rsidR="003C34CD" w:rsidRPr="003C2ACA" w:rsidRDefault="003C34CD" w:rsidP="00EB190E">
            <w:pPr>
              <w:jc w:val="center"/>
              <w:rPr>
                <w:rFonts w:cs="Arial"/>
                <w:b/>
                <w:bCs/>
                <w:color w:val="000000"/>
                <w:szCs w:val="20"/>
                <w:lang w:eastAsia="en-GB"/>
              </w:rPr>
            </w:pPr>
          </w:p>
        </w:tc>
        <w:tc>
          <w:tcPr>
            <w:tcW w:w="3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1515C" w14:textId="77777777" w:rsidR="003C34CD" w:rsidRPr="003C2ACA" w:rsidRDefault="003C34CD" w:rsidP="00EB190E">
            <w:pPr>
              <w:jc w:val="center"/>
              <w:rPr>
                <w:rFonts w:cs="Arial"/>
                <w:b/>
                <w:bCs/>
                <w:color w:val="000000"/>
                <w:szCs w:val="20"/>
                <w:lang w:eastAsia="en-GB"/>
              </w:rPr>
            </w:pPr>
            <w:r w:rsidRPr="003C2ACA">
              <w:rPr>
                <w:rFonts w:cs="Arial"/>
                <w:b/>
                <w:bCs/>
                <w:color w:val="000000"/>
                <w:szCs w:val="20"/>
                <w:lang w:eastAsia="en-GB"/>
              </w:rPr>
              <w:t>Legal structure allowing tax efficiency</w:t>
            </w:r>
          </w:p>
        </w:tc>
        <w:tc>
          <w:tcPr>
            <w:tcW w:w="3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AE2DB" w14:textId="77777777" w:rsidR="003C34CD" w:rsidRPr="003C2ACA" w:rsidRDefault="003C34CD" w:rsidP="00EB190E">
            <w:pPr>
              <w:jc w:val="center"/>
              <w:rPr>
                <w:rFonts w:cs="Arial"/>
                <w:b/>
                <w:bCs/>
                <w:color w:val="000000"/>
                <w:szCs w:val="20"/>
                <w:lang w:eastAsia="en-GB"/>
              </w:rPr>
            </w:pPr>
            <w:r w:rsidRPr="003C2ACA">
              <w:rPr>
                <w:rFonts w:cs="Arial"/>
                <w:b/>
                <w:bCs/>
                <w:color w:val="000000"/>
                <w:szCs w:val="20"/>
                <w:lang w:eastAsia="en-GB"/>
              </w:rPr>
              <w:t>Legal structure containing a Cayman Islands fund</w:t>
            </w:r>
          </w:p>
        </w:tc>
      </w:tr>
      <w:tr w:rsidR="003C34CD" w:rsidRPr="003C2ACA" w14:paraId="4792D5BB" w14:textId="77777777" w:rsidTr="00EB190E">
        <w:trPr>
          <w:trHeight w:val="800"/>
        </w:trPr>
        <w:tc>
          <w:tcPr>
            <w:tcW w:w="2029" w:type="dxa"/>
            <w:tcBorders>
              <w:top w:val="single" w:sz="4" w:space="0" w:color="auto"/>
              <w:left w:val="single" w:sz="4" w:space="0" w:color="auto"/>
              <w:bottom w:val="single" w:sz="4" w:space="0" w:color="auto"/>
              <w:right w:val="single" w:sz="4" w:space="0" w:color="auto"/>
            </w:tcBorders>
            <w:hideMark/>
          </w:tcPr>
          <w:p w14:paraId="40241EBD" w14:textId="77777777" w:rsidR="003C34CD" w:rsidRPr="003C2ACA" w:rsidRDefault="003C34CD" w:rsidP="00EB190E">
            <w:pPr>
              <w:rPr>
                <w:rFonts w:cs="Arial"/>
                <w:szCs w:val="20"/>
              </w:rPr>
            </w:pPr>
            <w:r w:rsidRPr="003C2ACA">
              <w:rPr>
                <w:rFonts w:cs="Arial"/>
                <w:szCs w:val="20"/>
              </w:rPr>
              <w:t>Against current SRI policy</w:t>
            </w:r>
          </w:p>
        </w:tc>
        <w:tc>
          <w:tcPr>
            <w:tcW w:w="3715" w:type="dxa"/>
            <w:tcBorders>
              <w:top w:val="single" w:sz="4" w:space="0" w:color="auto"/>
              <w:left w:val="single" w:sz="4" w:space="0" w:color="auto"/>
              <w:bottom w:val="single" w:sz="4" w:space="0" w:color="auto"/>
              <w:right w:val="single" w:sz="4" w:space="0" w:color="auto"/>
            </w:tcBorders>
            <w:hideMark/>
          </w:tcPr>
          <w:p w14:paraId="44BC0A08" w14:textId="77777777" w:rsidR="003C34CD" w:rsidRPr="003C2ACA" w:rsidRDefault="003C34CD" w:rsidP="003C34CD">
            <w:pPr>
              <w:pStyle w:val="ListParagraph"/>
              <w:numPr>
                <w:ilvl w:val="0"/>
                <w:numId w:val="8"/>
              </w:numPr>
              <w:ind w:left="432"/>
              <w:contextualSpacing w:val="0"/>
              <w:jc w:val="left"/>
              <w:rPr>
                <w:rFonts w:ascii="Arial" w:hAnsi="Arial" w:cs="Arial"/>
                <w:sz w:val="20"/>
                <w:szCs w:val="20"/>
              </w:rPr>
            </w:pPr>
            <w:r w:rsidRPr="003C2ACA">
              <w:rPr>
                <w:rFonts w:ascii="Arial" w:hAnsi="Arial" w:cs="Arial"/>
                <w:sz w:val="20"/>
                <w:szCs w:val="20"/>
              </w:rPr>
              <w:t>NO</w:t>
            </w:r>
          </w:p>
        </w:tc>
        <w:tc>
          <w:tcPr>
            <w:tcW w:w="3715" w:type="dxa"/>
            <w:tcBorders>
              <w:top w:val="single" w:sz="4" w:space="0" w:color="auto"/>
              <w:left w:val="single" w:sz="4" w:space="0" w:color="auto"/>
              <w:bottom w:val="single" w:sz="4" w:space="0" w:color="auto"/>
              <w:right w:val="single" w:sz="4" w:space="0" w:color="auto"/>
            </w:tcBorders>
            <w:hideMark/>
          </w:tcPr>
          <w:p w14:paraId="7CD9B8C8" w14:textId="285F197F" w:rsidR="003C34CD" w:rsidRPr="003C2ACA" w:rsidRDefault="003C34CD" w:rsidP="003C34CD">
            <w:pPr>
              <w:pStyle w:val="ListParagraph"/>
              <w:numPr>
                <w:ilvl w:val="0"/>
                <w:numId w:val="8"/>
              </w:numPr>
              <w:ind w:left="514"/>
              <w:contextualSpacing w:val="0"/>
              <w:jc w:val="left"/>
              <w:rPr>
                <w:rFonts w:ascii="Arial" w:hAnsi="Arial" w:cs="Arial"/>
                <w:sz w:val="20"/>
                <w:szCs w:val="20"/>
              </w:rPr>
            </w:pPr>
            <w:r w:rsidRPr="003C2ACA">
              <w:rPr>
                <w:rFonts w:ascii="Arial" w:hAnsi="Arial" w:cs="Arial"/>
                <w:sz w:val="20"/>
                <w:szCs w:val="20"/>
              </w:rPr>
              <w:t xml:space="preserve">To be decided by </w:t>
            </w:r>
            <w:r w:rsidR="00C803A5" w:rsidRPr="003C2ACA">
              <w:rPr>
                <w:rFonts w:ascii="Arial" w:hAnsi="Arial" w:cs="Arial"/>
                <w:sz w:val="20"/>
                <w:szCs w:val="20"/>
              </w:rPr>
              <w:t>the Committee of Ministers</w:t>
            </w:r>
            <w:r w:rsidRPr="003C2ACA">
              <w:rPr>
                <w:rFonts w:ascii="Arial" w:hAnsi="Arial" w:cs="Arial"/>
                <w:sz w:val="20"/>
                <w:szCs w:val="20"/>
              </w:rPr>
              <w:t xml:space="preserve"> (M</w:t>
            </w:r>
            <w:r w:rsidR="00C803A5" w:rsidRPr="003C2ACA">
              <w:rPr>
                <w:rFonts w:ascii="Arial" w:hAnsi="Arial" w:cs="Arial"/>
                <w:sz w:val="20"/>
                <w:szCs w:val="20"/>
              </w:rPr>
              <w:t xml:space="preserve">anagement </w:t>
            </w:r>
            <w:r w:rsidRPr="003C2ACA">
              <w:rPr>
                <w:rFonts w:ascii="Arial" w:hAnsi="Arial" w:cs="Arial"/>
                <w:sz w:val="20"/>
                <w:szCs w:val="20"/>
              </w:rPr>
              <w:t>B</w:t>
            </w:r>
            <w:r w:rsidR="00C803A5" w:rsidRPr="003C2ACA">
              <w:rPr>
                <w:rFonts w:ascii="Arial" w:hAnsi="Arial" w:cs="Arial"/>
                <w:sz w:val="20"/>
                <w:szCs w:val="20"/>
              </w:rPr>
              <w:t>oard</w:t>
            </w:r>
            <w:r w:rsidRPr="003C2ACA">
              <w:rPr>
                <w:rFonts w:ascii="Arial" w:hAnsi="Arial" w:cs="Arial"/>
                <w:sz w:val="20"/>
                <w:szCs w:val="20"/>
              </w:rPr>
              <w:t xml:space="preserve"> presents three external assessments for reference) </w:t>
            </w:r>
          </w:p>
        </w:tc>
      </w:tr>
      <w:tr w:rsidR="003C34CD" w:rsidRPr="003C2ACA" w14:paraId="7990054A" w14:textId="77777777" w:rsidTr="00EB190E">
        <w:trPr>
          <w:trHeight w:val="699"/>
        </w:trPr>
        <w:tc>
          <w:tcPr>
            <w:tcW w:w="2029" w:type="dxa"/>
            <w:tcBorders>
              <w:top w:val="single" w:sz="4" w:space="0" w:color="auto"/>
              <w:left w:val="single" w:sz="4" w:space="0" w:color="auto"/>
              <w:bottom w:val="single" w:sz="4" w:space="0" w:color="auto"/>
              <w:right w:val="single" w:sz="4" w:space="0" w:color="auto"/>
            </w:tcBorders>
            <w:hideMark/>
          </w:tcPr>
          <w:p w14:paraId="671E312F" w14:textId="31242650" w:rsidR="003C34CD" w:rsidRPr="003C2ACA" w:rsidRDefault="003C34CD" w:rsidP="00EB190E">
            <w:pPr>
              <w:rPr>
                <w:rFonts w:cs="Arial"/>
                <w:szCs w:val="20"/>
              </w:rPr>
            </w:pPr>
            <w:r w:rsidRPr="003C2ACA">
              <w:rPr>
                <w:rFonts w:cs="Arial"/>
                <w:szCs w:val="20"/>
              </w:rPr>
              <w:t xml:space="preserve">Harmful for the </w:t>
            </w:r>
            <w:r w:rsidR="00EB190E" w:rsidRPr="003C2ACA">
              <w:rPr>
                <w:rFonts w:cs="Arial"/>
                <w:szCs w:val="20"/>
              </w:rPr>
              <w:t>Council of Europe</w:t>
            </w:r>
            <w:r w:rsidRPr="003C2ACA">
              <w:rPr>
                <w:rFonts w:cs="Arial"/>
                <w:szCs w:val="20"/>
              </w:rPr>
              <w:t>’s reputation</w:t>
            </w:r>
          </w:p>
        </w:tc>
        <w:tc>
          <w:tcPr>
            <w:tcW w:w="3715" w:type="dxa"/>
            <w:tcBorders>
              <w:top w:val="single" w:sz="4" w:space="0" w:color="auto"/>
              <w:left w:val="single" w:sz="4" w:space="0" w:color="auto"/>
              <w:bottom w:val="single" w:sz="4" w:space="0" w:color="auto"/>
              <w:right w:val="single" w:sz="4" w:space="0" w:color="auto"/>
            </w:tcBorders>
            <w:hideMark/>
          </w:tcPr>
          <w:p w14:paraId="0C51D881" w14:textId="71AA95C0" w:rsidR="003C34CD" w:rsidRPr="003C2ACA" w:rsidRDefault="003C34CD" w:rsidP="003C34CD">
            <w:pPr>
              <w:pStyle w:val="ListParagraph"/>
              <w:numPr>
                <w:ilvl w:val="0"/>
                <w:numId w:val="8"/>
              </w:numPr>
              <w:ind w:left="432"/>
              <w:contextualSpacing w:val="0"/>
              <w:jc w:val="left"/>
              <w:rPr>
                <w:rFonts w:ascii="Arial" w:hAnsi="Arial" w:cs="Arial"/>
                <w:sz w:val="20"/>
                <w:szCs w:val="20"/>
              </w:rPr>
            </w:pPr>
            <w:r w:rsidRPr="003C2ACA">
              <w:rPr>
                <w:rFonts w:ascii="Arial" w:hAnsi="Arial" w:cs="Arial"/>
                <w:sz w:val="20"/>
                <w:szCs w:val="20"/>
              </w:rPr>
              <w:t xml:space="preserve">To be decided by </w:t>
            </w:r>
            <w:r w:rsidR="00C803A5" w:rsidRPr="003C2ACA">
              <w:rPr>
                <w:rFonts w:ascii="Arial" w:hAnsi="Arial" w:cs="Arial"/>
                <w:sz w:val="20"/>
                <w:szCs w:val="20"/>
              </w:rPr>
              <w:t xml:space="preserve">the Committee of Ministers (Management Board </w:t>
            </w:r>
            <w:r w:rsidRPr="003C2ACA">
              <w:rPr>
                <w:rFonts w:ascii="Arial" w:hAnsi="Arial" w:cs="Arial"/>
                <w:sz w:val="20"/>
                <w:szCs w:val="20"/>
              </w:rPr>
              <w:t xml:space="preserve">presents two </w:t>
            </w:r>
            <w:r w:rsidR="00EB190E" w:rsidRPr="003C2ACA">
              <w:rPr>
                <w:rFonts w:ascii="Arial" w:hAnsi="Arial" w:cs="Arial"/>
                <w:sz w:val="20"/>
                <w:szCs w:val="20"/>
              </w:rPr>
              <w:t>Council of Europe</w:t>
            </w:r>
            <w:r w:rsidRPr="003C2ACA">
              <w:rPr>
                <w:rFonts w:ascii="Arial" w:hAnsi="Arial" w:cs="Arial"/>
                <w:sz w:val="20"/>
                <w:szCs w:val="20"/>
              </w:rPr>
              <w:t xml:space="preserve"> staff assessments for reference)</w:t>
            </w:r>
          </w:p>
        </w:tc>
        <w:tc>
          <w:tcPr>
            <w:tcW w:w="3715" w:type="dxa"/>
            <w:tcBorders>
              <w:top w:val="single" w:sz="4" w:space="0" w:color="auto"/>
              <w:left w:val="single" w:sz="4" w:space="0" w:color="auto"/>
              <w:bottom w:val="single" w:sz="4" w:space="0" w:color="auto"/>
              <w:right w:val="single" w:sz="4" w:space="0" w:color="auto"/>
            </w:tcBorders>
            <w:hideMark/>
          </w:tcPr>
          <w:p w14:paraId="3AEB8D14" w14:textId="0E5EA68B" w:rsidR="003C34CD" w:rsidRPr="003C2ACA" w:rsidRDefault="003C34CD" w:rsidP="003C34CD">
            <w:pPr>
              <w:pStyle w:val="ListParagraph"/>
              <w:numPr>
                <w:ilvl w:val="0"/>
                <w:numId w:val="8"/>
              </w:numPr>
              <w:ind w:left="514"/>
              <w:contextualSpacing w:val="0"/>
              <w:jc w:val="left"/>
              <w:rPr>
                <w:rFonts w:ascii="Arial" w:hAnsi="Arial" w:cs="Arial"/>
                <w:sz w:val="20"/>
                <w:szCs w:val="20"/>
              </w:rPr>
            </w:pPr>
            <w:r w:rsidRPr="003C2ACA">
              <w:rPr>
                <w:rFonts w:ascii="Arial" w:hAnsi="Arial" w:cs="Arial"/>
                <w:sz w:val="20"/>
                <w:szCs w:val="20"/>
              </w:rPr>
              <w:t xml:space="preserve">To be decided by </w:t>
            </w:r>
            <w:r w:rsidR="00C803A5" w:rsidRPr="003C2ACA">
              <w:rPr>
                <w:rFonts w:ascii="Arial" w:hAnsi="Arial" w:cs="Arial"/>
                <w:sz w:val="20"/>
                <w:szCs w:val="20"/>
              </w:rPr>
              <w:t xml:space="preserve">the Committee of Ministers (Management Board </w:t>
            </w:r>
            <w:r w:rsidRPr="003C2ACA">
              <w:rPr>
                <w:rFonts w:ascii="Arial" w:hAnsi="Arial" w:cs="Arial"/>
                <w:sz w:val="20"/>
                <w:szCs w:val="20"/>
              </w:rPr>
              <w:t xml:space="preserve">presents two </w:t>
            </w:r>
            <w:r w:rsidR="00EB190E" w:rsidRPr="003C2ACA">
              <w:rPr>
                <w:rFonts w:ascii="Arial" w:hAnsi="Arial" w:cs="Arial"/>
                <w:sz w:val="20"/>
                <w:szCs w:val="20"/>
              </w:rPr>
              <w:t>Council of Europe</w:t>
            </w:r>
            <w:r w:rsidRPr="003C2ACA">
              <w:rPr>
                <w:rFonts w:ascii="Arial" w:hAnsi="Arial" w:cs="Arial"/>
                <w:sz w:val="20"/>
                <w:szCs w:val="20"/>
              </w:rPr>
              <w:t xml:space="preserve"> staff assessments for reference)</w:t>
            </w:r>
          </w:p>
        </w:tc>
      </w:tr>
    </w:tbl>
    <w:p w14:paraId="57AFBB8D" w14:textId="77777777" w:rsidR="003C2ACA" w:rsidRDefault="003C2ACA"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2527DD99" w14:textId="0BBAEAAA" w:rsidR="003C34CD"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8B5054">
        <w:rPr>
          <w:rFonts w:ascii="Arial" w:hAnsi="Arial" w:cs="Arial"/>
          <w:sz w:val="20"/>
          <w:szCs w:val="20"/>
        </w:rPr>
        <w:t xml:space="preserve">The Board notes that, if the investment in the IFM fund is not possible because </w:t>
      </w:r>
      <w:r w:rsidR="00C803A5">
        <w:rPr>
          <w:rFonts w:ascii="Arial" w:hAnsi="Arial" w:cs="Arial"/>
          <w:sz w:val="20"/>
          <w:szCs w:val="20"/>
        </w:rPr>
        <w:t xml:space="preserve">it is </w:t>
      </w:r>
      <w:r w:rsidRPr="008B5054">
        <w:rPr>
          <w:rFonts w:ascii="Arial" w:hAnsi="Arial" w:cs="Arial"/>
          <w:sz w:val="20"/>
          <w:szCs w:val="20"/>
        </w:rPr>
        <w:t>considered non-compliant with the SRI policy of the PRF and/or entailing a too important reputational risk, another fund would need to be selected in order to implement the infrastructure allocation. This process would be time consuming and more expensive.</w:t>
      </w:r>
    </w:p>
    <w:p w14:paraId="1CC93874" w14:textId="77777777" w:rsidR="003C2ACA" w:rsidRPr="008B5054" w:rsidRDefault="003C2ACA"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056CF7D9" w14:textId="6E87728F" w:rsidR="003C34CD" w:rsidRDefault="00C803A5" w:rsidP="003C2ACA">
      <w:pPr>
        <w:pStyle w:val="Heading2"/>
        <w:spacing w:before="0" w:after="0"/>
        <w:rPr>
          <w:rFonts w:ascii="Arial" w:hAnsi="Arial"/>
          <w:sz w:val="20"/>
          <w:szCs w:val="20"/>
        </w:rPr>
      </w:pPr>
      <w:r>
        <w:rPr>
          <w:rFonts w:ascii="Arial" w:hAnsi="Arial"/>
          <w:sz w:val="20"/>
          <w:szCs w:val="20"/>
        </w:rPr>
        <w:t>ACTION</w:t>
      </w:r>
    </w:p>
    <w:p w14:paraId="5D42CF89" w14:textId="77777777" w:rsidR="003C2ACA" w:rsidRPr="003C2ACA" w:rsidRDefault="003C2ACA" w:rsidP="003C2ACA">
      <w:pPr>
        <w:rPr>
          <w:lang w:eastAsia="fr-FR"/>
        </w:rPr>
      </w:pPr>
    </w:p>
    <w:p w14:paraId="406CFB53" w14:textId="451DAAC0" w:rsidR="003C34CD" w:rsidRDefault="003C34CD" w:rsidP="003C2ACA">
      <w:pPr>
        <w:pStyle w:val="Paragraph"/>
        <w:tabs>
          <w:tab w:val="clear" w:pos="850"/>
          <w:tab w:val="clear" w:pos="1191"/>
          <w:tab w:val="clear" w:pos="1531"/>
          <w:tab w:val="left" w:pos="0"/>
        </w:tabs>
        <w:spacing w:before="0" w:after="0"/>
        <w:jc w:val="left"/>
        <w:rPr>
          <w:rFonts w:ascii="Arial" w:hAnsi="Arial" w:cs="Arial"/>
          <w:sz w:val="20"/>
          <w:szCs w:val="20"/>
        </w:rPr>
      </w:pPr>
      <w:r w:rsidRPr="008B5054">
        <w:rPr>
          <w:rFonts w:ascii="Arial" w:hAnsi="Arial" w:cs="Arial"/>
          <w:sz w:val="20"/>
          <w:szCs w:val="20"/>
        </w:rPr>
        <w:t xml:space="preserve">The Management Board of the PRF invites the Committee of Ministers, in accordance with the provisions of Resolution </w:t>
      </w:r>
      <w:bookmarkStart w:id="3" w:name="_ML_000000000001_VALID"/>
      <w:r w:rsidR="003C2ACA" w:rsidRPr="008B765C">
        <w:rPr>
          <w:rFonts w:ascii="Arial" w:hAnsi="Arial" w:cs="Arial"/>
          <w:sz w:val="20"/>
          <w:szCs w:val="20"/>
        </w:rPr>
        <w:fldChar w:fldCharType="begin"/>
      </w:r>
      <w:r w:rsidR="003C2ACA" w:rsidRPr="008B765C">
        <w:rPr>
          <w:rFonts w:ascii="Arial" w:hAnsi="Arial" w:cs="Arial"/>
          <w:sz w:val="20"/>
          <w:szCs w:val="20"/>
        </w:rPr>
        <w:instrText xml:space="preserve"> HYPERLINK "https://search.coe.int/cm/Pages/result_details.aspx?Reference=Res(2006)1" \o "Resolution on the Statute of the Pension Reserve Fund of the Council of Europe (Adopted by the Committee of Ministers on 1 February 2006 at the 954th meeting of the Ministers' Deputies)" </w:instrText>
      </w:r>
      <w:r w:rsidR="003C2ACA" w:rsidRPr="008B765C">
        <w:rPr>
          <w:rFonts w:ascii="Arial" w:hAnsi="Arial" w:cs="Arial"/>
          <w:sz w:val="20"/>
          <w:szCs w:val="20"/>
        </w:rPr>
        <w:fldChar w:fldCharType="separate"/>
      </w:r>
      <w:bookmarkEnd w:id="3"/>
      <w:r w:rsidR="003C2ACA" w:rsidRPr="008B765C">
        <w:rPr>
          <w:rStyle w:val="Hyperlink"/>
          <w:rFonts w:ascii="Arial" w:hAnsi="Arial" w:cs="Arial"/>
          <w:sz w:val="20"/>
          <w:szCs w:val="20"/>
        </w:rPr>
        <w:t>Res(2006)1</w:t>
      </w:r>
      <w:r w:rsidR="003C2ACA" w:rsidRPr="008B765C">
        <w:rPr>
          <w:rFonts w:ascii="Arial" w:hAnsi="Arial" w:cs="Arial"/>
          <w:sz w:val="20"/>
          <w:szCs w:val="20"/>
        </w:rPr>
        <w:fldChar w:fldCharType="end"/>
      </w:r>
      <w:r w:rsidRPr="008B5054">
        <w:rPr>
          <w:rFonts w:ascii="Arial" w:hAnsi="Arial" w:cs="Arial"/>
          <w:sz w:val="20"/>
          <w:szCs w:val="20"/>
        </w:rPr>
        <w:t xml:space="preserve"> on the Statute of the Pension Reserve Fund:</w:t>
      </w:r>
    </w:p>
    <w:p w14:paraId="73669349" w14:textId="77777777" w:rsidR="003C2ACA" w:rsidRPr="008B5054" w:rsidRDefault="003C2ACA" w:rsidP="003C2ACA">
      <w:pPr>
        <w:pStyle w:val="Paragraph"/>
        <w:numPr>
          <w:ilvl w:val="0"/>
          <w:numId w:val="0"/>
        </w:numPr>
        <w:tabs>
          <w:tab w:val="clear" w:pos="850"/>
          <w:tab w:val="clear" w:pos="1191"/>
          <w:tab w:val="clear" w:pos="1531"/>
          <w:tab w:val="left" w:pos="0"/>
        </w:tabs>
        <w:spacing w:before="0" w:after="0"/>
        <w:jc w:val="left"/>
        <w:rPr>
          <w:rFonts w:ascii="Arial" w:hAnsi="Arial" w:cs="Arial"/>
          <w:sz w:val="20"/>
          <w:szCs w:val="20"/>
        </w:rPr>
      </w:pPr>
    </w:p>
    <w:p w14:paraId="2FF28189" w14:textId="2903B153" w:rsidR="003C34CD" w:rsidRPr="008B5054" w:rsidRDefault="00C803A5" w:rsidP="003C2ACA">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o take note of the information presented in this document</w:t>
      </w:r>
      <w:r>
        <w:rPr>
          <w:rFonts w:ascii="Arial" w:hAnsi="Arial" w:cs="Arial"/>
          <w:sz w:val="20"/>
          <w:szCs w:val="20"/>
        </w:rPr>
        <w:t>;</w:t>
      </w:r>
    </w:p>
    <w:p w14:paraId="05602B35" w14:textId="2E7B3A96" w:rsidR="003C34CD" w:rsidRPr="008B5054" w:rsidRDefault="00C803A5" w:rsidP="003C2ACA">
      <w:pPr>
        <w:pStyle w:val="ListBullet"/>
        <w:tabs>
          <w:tab w:val="clear" w:pos="1636"/>
          <w:tab w:val="left" w:pos="709"/>
        </w:tabs>
        <w:spacing w:before="0" w:after="0"/>
        <w:ind w:left="1276" w:hanging="567"/>
        <w:jc w:val="left"/>
        <w:rPr>
          <w:rFonts w:ascii="Arial" w:hAnsi="Arial" w:cs="Arial"/>
          <w:sz w:val="20"/>
          <w:szCs w:val="20"/>
        </w:rPr>
      </w:pPr>
      <w:r>
        <w:rPr>
          <w:rFonts w:ascii="Arial" w:hAnsi="Arial" w:cs="Arial"/>
          <w:sz w:val="20"/>
          <w:szCs w:val="20"/>
        </w:rPr>
        <w:t>t</w:t>
      </w:r>
      <w:r w:rsidR="003C34CD" w:rsidRPr="008B5054">
        <w:rPr>
          <w:rFonts w:ascii="Arial" w:hAnsi="Arial" w:cs="Arial"/>
          <w:sz w:val="20"/>
          <w:szCs w:val="20"/>
        </w:rPr>
        <w:t>o decide whether the investment of the PRF in the IFM Global Infrastructure (UK), L.P. can be considered compliant with the SRI policy of the PRF and/or represents no reputational risk, due to its legal structure:</w:t>
      </w:r>
    </w:p>
    <w:p w14:paraId="556639D7" w14:textId="02A26F81" w:rsidR="003C34CD" w:rsidRPr="008B5054" w:rsidRDefault="00C803A5" w:rsidP="003C2ACA">
      <w:pPr>
        <w:pStyle w:val="ListBullet"/>
        <w:numPr>
          <w:ilvl w:val="0"/>
          <w:numId w:val="9"/>
        </w:numPr>
        <w:tabs>
          <w:tab w:val="left" w:pos="850"/>
          <w:tab w:val="left" w:pos="1276"/>
          <w:tab w:val="left" w:pos="1701"/>
        </w:tabs>
        <w:spacing w:before="0" w:after="0"/>
        <w:ind w:left="1701" w:hanging="425"/>
        <w:jc w:val="left"/>
        <w:rPr>
          <w:rFonts w:ascii="Arial" w:hAnsi="Arial" w:cs="Arial"/>
          <w:sz w:val="20"/>
          <w:szCs w:val="20"/>
        </w:rPr>
      </w:pPr>
      <w:r>
        <w:rPr>
          <w:rFonts w:ascii="Arial" w:hAnsi="Arial" w:cs="Arial"/>
          <w:sz w:val="20"/>
          <w:szCs w:val="20"/>
        </w:rPr>
        <w:t>a</w:t>
      </w:r>
      <w:r w:rsidR="003C34CD" w:rsidRPr="008B5054">
        <w:rPr>
          <w:rFonts w:ascii="Arial" w:hAnsi="Arial" w:cs="Arial"/>
          <w:sz w:val="20"/>
          <w:szCs w:val="20"/>
        </w:rPr>
        <w:t>llowing tax efficiency</w:t>
      </w:r>
      <w:r>
        <w:rPr>
          <w:rFonts w:ascii="Arial" w:hAnsi="Arial" w:cs="Arial"/>
          <w:sz w:val="20"/>
          <w:szCs w:val="20"/>
        </w:rPr>
        <w:t>;</w:t>
      </w:r>
    </w:p>
    <w:p w14:paraId="4DC5BFAD" w14:textId="77777777" w:rsidR="003C34CD" w:rsidRPr="008B5054" w:rsidRDefault="003C34CD" w:rsidP="003C2ACA">
      <w:pPr>
        <w:pStyle w:val="ListBullet"/>
        <w:numPr>
          <w:ilvl w:val="0"/>
          <w:numId w:val="0"/>
        </w:numPr>
        <w:tabs>
          <w:tab w:val="left" w:pos="1276"/>
          <w:tab w:val="left" w:pos="1418"/>
          <w:tab w:val="left" w:pos="1701"/>
        </w:tabs>
        <w:spacing w:before="0" w:after="0"/>
        <w:ind w:left="1701" w:hanging="425"/>
        <w:jc w:val="left"/>
        <w:rPr>
          <w:rFonts w:ascii="Arial" w:hAnsi="Arial" w:cs="Arial"/>
          <w:sz w:val="20"/>
          <w:szCs w:val="20"/>
        </w:rPr>
      </w:pPr>
      <w:r w:rsidRPr="008B5054">
        <w:rPr>
          <w:rFonts w:ascii="Arial" w:hAnsi="Arial" w:cs="Arial"/>
          <w:sz w:val="20"/>
          <w:szCs w:val="20"/>
        </w:rPr>
        <w:t>and/or</w:t>
      </w:r>
      <w:r w:rsidRPr="008B5054">
        <w:rPr>
          <w:rStyle w:val="FootnoteReference"/>
          <w:rFonts w:ascii="Arial" w:hAnsi="Arial" w:cs="Arial"/>
          <w:sz w:val="20"/>
          <w:szCs w:val="20"/>
        </w:rPr>
        <w:footnoteReference w:id="16"/>
      </w:r>
    </w:p>
    <w:p w14:paraId="36573022" w14:textId="481DC246" w:rsidR="003C34CD" w:rsidRPr="008B5054" w:rsidRDefault="00C803A5" w:rsidP="003C2ACA">
      <w:pPr>
        <w:pStyle w:val="ListBullet"/>
        <w:numPr>
          <w:ilvl w:val="0"/>
          <w:numId w:val="9"/>
        </w:numPr>
        <w:tabs>
          <w:tab w:val="left" w:pos="850"/>
          <w:tab w:val="left" w:pos="1276"/>
          <w:tab w:val="left" w:pos="1701"/>
        </w:tabs>
        <w:spacing w:before="0" w:after="0"/>
        <w:ind w:left="1701" w:hanging="425"/>
        <w:jc w:val="left"/>
        <w:rPr>
          <w:rFonts w:ascii="Arial" w:hAnsi="Arial" w:cs="Arial"/>
          <w:sz w:val="20"/>
          <w:szCs w:val="20"/>
        </w:rPr>
      </w:pPr>
      <w:r>
        <w:rPr>
          <w:rFonts w:ascii="Arial" w:hAnsi="Arial" w:cs="Arial"/>
          <w:sz w:val="20"/>
          <w:szCs w:val="20"/>
        </w:rPr>
        <w:t>i</w:t>
      </w:r>
      <w:r w:rsidR="003C34CD" w:rsidRPr="008B5054">
        <w:rPr>
          <w:rFonts w:ascii="Arial" w:hAnsi="Arial" w:cs="Arial"/>
          <w:sz w:val="20"/>
          <w:szCs w:val="20"/>
        </w:rPr>
        <w:t xml:space="preserve">ncluding a fund domiciled in </w:t>
      </w:r>
      <w:r>
        <w:rPr>
          <w:rFonts w:ascii="Arial" w:hAnsi="Arial" w:cs="Arial"/>
          <w:sz w:val="20"/>
          <w:szCs w:val="20"/>
        </w:rPr>
        <w:t xml:space="preserve">the </w:t>
      </w:r>
      <w:r w:rsidR="003C34CD" w:rsidRPr="008B5054">
        <w:rPr>
          <w:rFonts w:ascii="Arial" w:hAnsi="Arial" w:cs="Arial"/>
          <w:sz w:val="20"/>
          <w:szCs w:val="20"/>
        </w:rPr>
        <w:t xml:space="preserve">Cayman Islands. </w:t>
      </w:r>
    </w:p>
    <w:p w14:paraId="49DE4B7D" w14:textId="77777777" w:rsidR="003C34CD" w:rsidRPr="008B5054" w:rsidRDefault="003C34CD" w:rsidP="003C2ACA">
      <w:pPr>
        <w:rPr>
          <w:rFonts w:eastAsia="Times New Roman" w:cs="Arial"/>
        </w:rPr>
      </w:pPr>
      <w:r w:rsidRPr="008B5054">
        <w:rPr>
          <w:rFonts w:eastAsia="Times New Roman" w:cs="Arial"/>
        </w:rPr>
        <w:br w:type="page"/>
      </w:r>
    </w:p>
    <w:p w14:paraId="7002CAA8" w14:textId="77777777" w:rsidR="003C34CD" w:rsidRPr="003C2ACA" w:rsidRDefault="003C34CD" w:rsidP="003C34CD">
      <w:pPr>
        <w:keepNext/>
        <w:spacing w:after="240" w:line="380" w:lineRule="exact"/>
        <w:jc w:val="center"/>
        <w:rPr>
          <w:rFonts w:eastAsia="Times New Roman" w:cs="Arial"/>
          <w:b/>
          <w:szCs w:val="20"/>
        </w:rPr>
      </w:pPr>
      <w:r w:rsidRPr="003C2ACA">
        <w:rPr>
          <w:rFonts w:eastAsia="Times New Roman" w:cs="Arial"/>
          <w:b/>
          <w:szCs w:val="20"/>
        </w:rPr>
        <w:t>ANNEX 1 – LIST OF IFM INVESTORS PTY LTD’S SHAREHOLDERS (AS AT NOVEMBER 2019)</w:t>
      </w:r>
    </w:p>
    <w:tbl>
      <w:tblPr>
        <w:tblW w:w="9341" w:type="dxa"/>
        <w:tblInd w:w="108" w:type="dxa"/>
        <w:tblCellMar>
          <w:left w:w="0" w:type="dxa"/>
          <w:right w:w="0" w:type="dxa"/>
        </w:tblCellMar>
        <w:tblLook w:val="04A0" w:firstRow="1" w:lastRow="0" w:firstColumn="1" w:lastColumn="0" w:noHBand="0" w:noVBand="1"/>
      </w:tblPr>
      <w:tblGrid>
        <w:gridCol w:w="4622"/>
        <w:gridCol w:w="4719"/>
      </w:tblGrid>
      <w:tr w:rsidR="003C34CD" w:rsidRPr="003C2ACA" w14:paraId="574B8145" w14:textId="77777777" w:rsidTr="00EB190E">
        <w:tc>
          <w:tcPr>
            <w:tcW w:w="9341" w:type="dxa"/>
            <w:gridSpan w:val="2"/>
            <w:tcBorders>
              <w:top w:val="nil"/>
              <w:left w:val="single" w:sz="8" w:space="0" w:color="BFBFBF"/>
              <w:bottom w:val="single" w:sz="8" w:space="0" w:color="BFBFBF"/>
              <w:right w:val="single" w:sz="8" w:space="0" w:color="BFBFBF"/>
            </w:tcBorders>
            <w:shd w:val="clear" w:color="auto" w:fill="62A70F"/>
            <w:tcMar>
              <w:top w:w="0" w:type="dxa"/>
              <w:left w:w="108" w:type="dxa"/>
              <w:bottom w:w="0" w:type="dxa"/>
              <w:right w:w="108" w:type="dxa"/>
            </w:tcMar>
            <w:hideMark/>
          </w:tcPr>
          <w:p w14:paraId="36257D7A" w14:textId="77777777" w:rsidR="003C34CD" w:rsidRPr="003C2ACA" w:rsidRDefault="003C34CD" w:rsidP="00EB190E">
            <w:pPr>
              <w:spacing w:before="40" w:after="40"/>
              <w:rPr>
                <w:rFonts w:cs="Arial"/>
                <w:szCs w:val="20"/>
              </w:rPr>
            </w:pPr>
            <w:r w:rsidRPr="003C2ACA">
              <w:rPr>
                <w:rFonts w:cs="Arial"/>
                <w:b/>
                <w:bCs/>
                <w:color w:val="FFFFFF"/>
                <w:szCs w:val="20"/>
                <w:lang w:eastAsia="en-AU"/>
              </w:rPr>
              <w:t>Industry Super Holdings Pty Ltd – equity owners</w:t>
            </w:r>
          </w:p>
        </w:tc>
      </w:tr>
      <w:tr w:rsidR="003C34CD" w:rsidRPr="003C2ACA" w14:paraId="7AD0A0A2"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6AB06A4" w14:textId="77777777" w:rsidR="003C34CD" w:rsidRPr="003C2ACA" w:rsidRDefault="003C34CD" w:rsidP="00EB190E">
            <w:pPr>
              <w:spacing w:after="120"/>
              <w:rPr>
                <w:rFonts w:cs="Arial"/>
                <w:szCs w:val="20"/>
              </w:rPr>
            </w:pPr>
            <w:proofErr w:type="spellStart"/>
            <w:r w:rsidRPr="003C2ACA">
              <w:rPr>
                <w:rFonts w:cs="Arial"/>
                <w:szCs w:val="20"/>
                <w:lang w:eastAsia="en-AU"/>
              </w:rPr>
              <w:t>AustralianSuper</w:t>
            </w:r>
            <w:proofErr w:type="spellEnd"/>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6A2A7B7F" w14:textId="77777777" w:rsidR="003C34CD" w:rsidRPr="003C2ACA" w:rsidRDefault="003C34CD" w:rsidP="00EB190E">
            <w:pPr>
              <w:spacing w:after="120"/>
              <w:rPr>
                <w:rFonts w:cs="Arial"/>
                <w:szCs w:val="20"/>
              </w:rPr>
            </w:pPr>
            <w:r w:rsidRPr="003C2ACA">
              <w:rPr>
                <w:rFonts w:cs="Arial"/>
                <w:color w:val="000000"/>
                <w:szCs w:val="20"/>
                <w:lang w:eastAsia="en-AU"/>
              </w:rPr>
              <w:t>19.95%</w:t>
            </w:r>
          </w:p>
        </w:tc>
      </w:tr>
      <w:tr w:rsidR="003C34CD" w:rsidRPr="003C2ACA" w14:paraId="14E1BABC"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30AF5D77" w14:textId="77777777" w:rsidR="003C34CD" w:rsidRPr="003C2ACA" w:rsidRDefault="003C34CD" w:rsidP="00EB190E">
            <w:pPr>
              <w:spacing w:after="120"/>
              <w:rPr>
                <w:rFonts w:cs="Arial"/>
                <w:szCs w:val="20"/>
              </w:rPr>
            </w:pPr>
            <w:r w:rsidRPr="003C2ACA">
              <w:rPr>
                <w:rFonts w:cs="Arial"/>
                <w:color w:val="000000"/>
                <w:szCs w:val="20"/>
                <w:lang w:eastAsia="en-AU"/>
              </w:rPr>
              <w:t>Cbus</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52A16663" w14:textId="77777777" w:rsidR="003C34CD" w:rsidRPr="003C2ACA" w:rsidRDefault="003C34CD" w:rsidP="00EB190E">
            <w:pPr>
              <w:spacing w:after="120"/>
              <w:rPr>
                <w:rFonts w:cs="Arial"/>
                <w:szCs w:val="20"/>
              </w:rPr>
            </w:pPr>
            <w:r w:rsidRPr="003C2ACA">
              <w:rPr>
                <w:rFonts w:cs="Arial"/>
                <w:color w:val="000000"/>
                <w:szCs w:val="20"/>
                <w:lang w:eastAsia="en-AU"/>
              </w:rPr>
              <w:t>18.04%</w:t>
            </w:r>
          </w:p>
        </w:tc>
      </w:tr>
      <w:tr w:rsidR="003C34CD" w:rsidRPr="003C2ACA" w14:paraId="2C700850"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32C57ED0" w14:textId="77777777" w:rsidR="003C34CD" w:rsidRPr="003C2ACA" w:rsidRDefault="003C34CD" w:rsidP="00EB190E">
            <w:pPr>
              <w:spacing w:after="120"/>
              <w:rPr>
                <w:rFonts w:cs="Arial"/>
                <w:szCs w:val="20"/>
              </w:rPr>
            </w:pPr>
            <w:r w:rsidRPr="003C2ACA">
              <w:rPr>
                <w:rFonts w:cs="Arial"/>
                <w:color w:val="000000"/>
                <w:szCs w:val="20"/>
                <w:lang w:eastAsia="en-AU"/>
              </w:rPr>
              <w:t>HESTA</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5D9EB419" w14:textId="77777777" w:rsidR="003C34CD" w:rsidRPr="003C2ACA" w:rsidRDefault="003C34CD" w:rsidP="00EB190E">
            <w:pPr>
              <w:spacing w:after="120"/>
              <w:rPr>
                <w:rFonts w:cs="Arial"/>
                <w:szCs w:val="20"/>
              </w:rPr>
            </w:pPr>
            <w:r w:rsidRPr="003C2ACA">
              <w:rPr>
                <w:rFonts w:cs="Arial"/>
                <w:color w:val="000000"/>
                <w:szCs w:val="20"/>
                <w:lang w:eastAsia="en-AU"/>
              </w:rPr>
              <w:t>17.81%</w:t>
            </w:r>
          </w:p>
        </w:tc>
      </w:tr>
      <w:tr w:rsidR="003C34CD" w:rsidRPr="003C2ACA" w14:paraId="2DC92B08"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60FBA7BF" w14:textId="77777777" w:rsidR="003C34CD" w:rsidRPr="003C2ACA" w:rsidRDefault="003C34CD" w:rsidP="00EB190E">
            <w:pPr>
              <w:spacing w:after="120"/>
              <w:rPr>
                <w:rFonts w:cs="Arial"/>
                <w:szCs w:val="20"/>
              </w:rPr>
            </w:pPr>
            <w:r w:rsidRPr="003C2ACA">
              <w:rPr>
                <w:rFonts w:cs="Arial"/>
                <w:color w:val="000000"/>
                <w:szCs w:val="20"/>
                <w:lang w:eastAsia="en-AU"/>
              </w:rPr>
              <w:t>HOSTPLUS</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315F3D8D" w14:textId="77777777" w:rsidR="003C34CD" w:rsidRPr="003C2ACA" w:rsidRDefault="003C34CD" w:rsidP="00EB190E">
            <w:pPr>
              <w:spacing w:after="120"/>
              <w:rPr>
                <w:rFonts w:cs="Arial"/>
                <w:szCs w:val="20"/>
              </w:rPr>
            </w:pPr>
            <w:r w:rsidRPr="003C2ACA">
              <w:rPr>
                <w:rFonts w:cs="Arial"/>
                <w:color w:val="000000"/>
                <w:szCs w:val="20"/>
                <w:lang w:eastAsia="en-AU"/>
              </w:rPr>
              <w:t>10.61%</w:t>
            </w:r>
          </w:p>
        </w:tc>
      </w:tr>
      <w:tr w:rsidR="003C34CD" w:rsidRPr="003C2ACA" w14:paraId="0B3092C6"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19849F76" w14:textId="77777777" w:rsidR="003C34CD" w:rsidRPr="003C2ACA" w:rsidRDefault="003C34CD" w:rsidP="00EB190E">
            <w:pPr>
              <w:spacing w:after="120"/>
              <w:rPr>
                <w:rFonts w:cs="Arial"/>
                <w:szCs w:val="20"/>
              </w:rPr>
            </w:pPr>
            <w:r w:rsidRPr="003C2ACA">
              <w:rPr>
                <w:rFonts w:cs="Arial"/>
                <w:color w:val="000000"/>
                <w:szCs w:val="20"/>
                <w:lang w:eastAsia="en-AU"/>
              </w:rPr>
              <w:t>MTAA 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0FE62545" w14:textId="77777777" w:rsidR="003C34CD" w:rsidRPr="003C2ACA" w:rsidRDefault="003C34CD" w:rsidP="00EB190E">
            <w:pPr>
              <w:spacing w:after="120"/>
              <w:rPr>
                <w:rFonts w:cs="Arial"/>
                <w:szCs w:val="20"/>
              </w:rPr>
            </w:pPr>
            <w:r w:rsidRPr="003C2ACA">
              <w:rPr>
                <w:rFonts w:cs="Arial"/>
                <w:color w:val="000000"/>
                <w:szCs w:val="20"/>
                <w:lang w:eastAsia="en-AU"/>
              </w:rPr>
              <w:t>4.68%</w:t>
            </w:r>
          </w:p>
        </w:tc>
      </w:tr>
      <w:tr w:rsidR="003C34CD" w:rsidRPr="003C2ACA" w14:paraId="449E5C2C"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617B6D13" w14:textId="77777777" w:rsidR="003C34CD" w:rsidRPr="003C2ACA" w:rsidRDefault="003C34CD" w:rsidP="00EB190E">
            <w:pPr>
              <w:spacing w:after="120"/>
              <w:rPr>
                <w:rFonts w:cs="Arial"/>
                <w:szCs w:val="20"/>
              </w:rPr>
            </w:pPr>
            <w:r w:rsidRPr="003C2ACA">
              <w:rPr>
                <w:rFonts w:cs="Arial"/>
                <w:color w:val="000000"/>
                <w:szCs w:val="20"/>
                <w:lang w:eastAsia="en-AU"/>
              </w:rPr>
              <w:t>First 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5714661D" w14:textId="77777777" w:rsidR="003C34CD" w:rsidRPr="003C2ACA" w:rsidRDefault="003C34CD" w:rsidP="00EB190E">
            <w:pPr>
              <w:spacing w:after="120"/>
              <w:rPr>
                <w:rFonts w:cs="Arial"/>
                <w:szCs w:val="20"/>
              </w:rPr>
            </w:pPr>
            <w:r w:rsidRPr="003C2ACA">
              <w:rPr>
                <w:rFonts w:cs="Arial"/>
                <w:color w:val="000000"/>
                <w:szCs w:val="20"/>
                <w:lang w:eastAsia="en-AU"/>
              </w:rPr>
              <w:t>3.70%</w:t>
            </w:r>
          </w:p>
        </w:tc>
      </w:tr>
      <w:tr w:rsidR="003C34CD" w:rsidRPr="003C2ACA" w14:paraId="2647B8B4"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A42E492" w14:textId="77777777" w:rsidR="003C34CD" w:rsidRPr="003C2ACA" w:rsidRDefault="003C34CD" w:rsidP="00EB190E">
            <w:pPr>
              <w:spacing w:after="120"/>
              <w:rPr>
                <w:rFonts w:cs="Arial"/>
                <w:szCs w:val="20"/>
              </w:rPr>
            </w:pPr>
            <w:proofErr w:type="spellStart"/>
            <w:r w:rsidRPr="003C2ACA">
              <w:rPr>
                <w:rFonts w:cs="Arial"/>
                <w:color w:val="000000"/>
                <w:szCs w:val="20"/>
                <w:lang w:eastAsia="en-AU"/>
              </w:rPr>
              <w:t>CareSuper</w:t>
            </w:r>
            <w:proofErr w:type="spellEnd"/>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43476DAF" w14:textId="77777777" w:rsidR="003C34CD" w:rsidRPr="003C2ACA" w:rsidRDefault="003C34CD" w:rsidP="00EB190E">
            <w:pPr>
              <w:spacing w:after="120"/>
              <w:rPr>
                <w:rFonts w:cs="Arial"/>
                <w:szCs w:val="20"/>
              </w:rPr>
            </w:pPr>
            <w:r w:rsidRPr="003C2ACA">
              <w:rPr>
                <w:rFonts w:cs="Arial"/>
                <w:color w:val="000000"/>
                <w:szCs w:val="20"/>
                <w:lang w:eastAsia="en-AU"/>
              </w:rPr>
              <w:t>3.59%</w:t>
            </w:r>
          </w:p>
        </w:tc>
      </w:tr>
      <w:tr w:rsidR="003C34CD" w:rsidRPr="003C2ACA" w14:paraId="4487CAED"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28859AF9" w14:textId="77777777" w:rsidR="003C34CD" w:rsidRPr="003C2ACA" w:rsidRDefault="003C34CD" w:rsidP="00EB190E">
            <w:pPr>
              <w:spacing w:after="120"/>
              <w:rPr>
                <w:rFonts w:cs="Arial"/>
                <w:szCs w:val="20"/>
              </w:rPr>
            </w:pPr>
            <w:r w:rsidRPr="003C2ACA">
              <w:rPr>
                <w:rFonts w:cs="Arial"/>
                <w:color w:val="000000"/>
                <w:szCs w:val="20"/>
                <w:lang w:eastAsia="en-AU"/>
              </w:rPr>
              <w:t>Media 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2897042C" w14:textId="77777777" w:rsidR="003C34CD" w:rsidRPr="003C2ACA" w:rsidRDefault="003C34CD" w:rsidP="00EB190E">
            <w:pPr>
              <w:spacing w:after="120"/>
              <w:rPr>
                <w:rFonts w:cs="Arial"/>
                <w:szCs w:val="20"/>
              </w:rPr>
            </w:pPr>
            <w:r w:rsidRPr="003C2ACA">
              <w:rPr>
                <w:rFonts w:cs="Arial"/>
                <w:color w:val="000000"/>
                <w:szCs w:val="20"/>
                <w:lang w:eastAsia="en-AU"/>
              </w:rPr>
              <w:t>3.29%</w:t>
            </w:r>
          </w:p>
        </w:tc>
      </w:tr>
      <w:tr w:rsidR="003C34CD" w:rsidRPr="003C2ACA" w14:paraId="094617EF"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2880AFC1" w14:textId="77777777" w:rsidR="003C34CD" w:rsidRPr="003C2ACA" w:rsidRDefault="003C34CD" w:rsidP="00EB190E">
            <w:pPr>
              <w:spacing w:after="120"/>
              <w:rPr>
                <w:rFonts w:cs="Arial"/>
                <w:szCs w:val="20"/>
              </w:rPr>
            </w:pPr>
            <w:r w:rsidRPr="003C2ACA">
              <w:rPr>
                <w:rFonts w:cs="Arial"/>
                <w:color w:val="000000"/>
                <w:szCs w:val="20"/>
                <w:lang w:eastAsia="en-AU"/>
              </w:rPr>
              <w:t>Vision 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6BE347CB" w14:textId="77777777" w:rsidR="003C34CD" w:rsidRPr="003C2ACA" w:rsidRDefault="003C34CD" w:rsidP="00EB190E">
            <w:pPr>
              <w:spacing w:after="120"/>
              <w:rPr>
                <w:rFonts w:cs="Arial"/>
                <w:szCs w:val="20"/>
              </w:rPr>
            </w:pPr>
            <w:r w:rsidRPr="003C2ACA">
              <w:rPr>
                <w:rFonts w:cs="Arial"/>
                <w:color w:val="000000"/>
                <w:szCs w:val="20"/>
                <w:lang w:eastAsia="en-AU"/>
              </w:rPr>
              <w:t>2.90%</w:t>
            </w:r>
          </w:p>
        </w:tc>
      </w:tr>
      <w:tr w:rsidR="003C34CD" w:rsidRPr="003C2ACA" w14:paraId="269FDC4B"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6110CF90" w14:textId="77777777" w:rsidR="003C34CD" w:rsidRPr="003C2ACA" w:rsidRDefault="003C34CD" w:rsidP="00EB190E">
            <w:pPr>
              <w:spacing w:after="120"/>
              <w:rPr>
                <w:rFonts w:cs="Arial"/>
                <w:szCs w:val="20"/>
              </w:rPr>
            </w:pPr>
            <w:proofErr w:type="spellStart"/>
            <w:r w:rsidRPr="003C2ACA">
              <w:rPr>
                <w:rFonts w:cs="Arial"/>
                <w:color w:val="000000"/>
                <w:szCs w:val="20"/>
                <w:lang w:eastAsia="en-AU"/>
              </w:rPr>
              <w:t>Sunsuper</w:t>
            </w:r>
            <w:proofErr w:type="spellEnd"/>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5CF7B9CD" w14:textId="77777777" w:rsidR="003C34CD" w:rsidRPr="003C2ACA" w:rsidRDefault="003C34CD" w:rsidP="00EB190E">
            <w:pPr>
              <w:spacing w:after="120"/>
              <w:rPr>
                <w:rFonts w:cs="Arial"/>
                <w:szCs w:val="20"/>
              </w:rPr>
            </w:pPr>
            <w:r w:rsidRPr="003C2ACA">
              <w:rPr>
                <w:rFonts w:cs="Arial"/>
                <w:color w:val="000000"/>
                <w:szCs w:val="20"/>
                <w:lang w:eastAsia="en-AU"/>
              </w:rPr>
              <w:t>1.87%</w:t>
            </w:r>
          </w:p>
        </w:tc>
      </w:tr>
      <w:tr w:rsidR="003C34CD" w:rsidRPr="003C2ACA" w14:paraId="0D6A58F1"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5DD2F586" w14:textId="77777777" w:rsidR="003C34CD" w:rsidRPr="003C2ACA" w:rsidRDefault="003C34CD" w:rsidP="00EB190E">
            <w:pPr>
              <w:spacing w:after="120"/>
              <w:rPr>
                <w:rFonts w:cs="Arial"/>
                <w:szCs w:val="20"/>
              </w:rPr>
            </w:pPr>
            <w:r w:rsidRPr="003C2ACA">
              <w:rPr>
                <w:rFonts w:cs="Arial"/>
                <w:color w:val="000000"/>
                <w:szCs w:val="20"/>
                <w:lang w:eastAsia="en-AU"/>
              </w:rPr>
              <w:t>UniSuper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0121EC13" w14:textId="77777777" w:rsidR="003C34CD" w:rsidRPr="003C2ACA" w:rsidRDefault="003C34CD" w:rsidP="00EB190E">
            <w:pPr>
              <w:spacing w:after="120"/>
              <w:rPr>
                <w:rFonts w:cs="Arial"/>
                <w:szCs w:val="20"/>
              </w:rPr>
            </w:pPr>
            <w:r w:rsidRPr="003C2ACA">
              <w:rPr>
                <w:rFonts w:cs="Arial"/>
                <w:color w:val="000000"/>
                <w:szCs w:val="20"/>
                <w:lang w:eastAsia="en-AU"/>
              </w:rPr>
              <w:t>1.71%</w:t>
            </w:r>
          </w:p>
        </w:tc>
      </w:tr>
      <w:tr w:rsidR="003C34CD" w:rsidRPr="003C2ACA" w14:paraId="3059E66B"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43E2C655" w14:textId="77777777" w:rsidR="003C34CD" w:rsidRPr="003C2ACA" w:rsidRDefault="003C34CD" w:rsidP="00EB190E">
            <w:pPr>
              <w:spacing w:after="120"/>
              <w:rPr>
                <w:rFonts w:cs="Arial"/>
                <w:szCs w:val="20"/>
              </w:rPr>
            </w:pPr>
            <w:r w:rsidRPr="003C2ACA">
              <w:rPr>
                <w:rFonts w:cs="Arial"/>
                <w:color w:val="000000"/>
                <w:szCs w:val="20"/>
                <w:lang w:eastAsia="en-AU"/>
              </w:rPr>
              <w:t>Maritime 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6DDF735F" w14:textId="77777777" w:rsidR="003C34CD" w:rsidRPr="003C2ACA" w:rsidRDefault="003C34CD" w:rsidP="00EB190E">
            <w:pPr>
              <w:spacing w:after="120"/>
              <w:rPr>
                <w:rFonts w:cs="Arial"/>
                <w:szCs w:val="20"/>
              </w:rPr>
            </w:pPr>
            <w:r w:rsidRPr="003C2ACA">
              <w:rPr>
                <w:rFonts w:cs="Arial"/>
                <w:color w:val="000000"/>
                <w:szCs w:val="20"/>
                <w:lang w:eastAsia="en-AU"/>
              </w:rPr>
              <w:t>1.70%</w:t>
            </w:r>
          </w:p>
        </w:tc>
      </w:tr>
      <w:tr w:rsidR="003C34CD" w:rsidRPr="003C2ACA" w14:paraId="351CC6E5"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3E967B9" w14:textId="77777777" w:rsidR="003C34CD" w:rsidRPr="003C2ACA" w:rsidRDefault="003C34CD" w:rsidP="00EB190E">
            <w:pPr>
              <w:spacing w:after="120"/>
              <w:rPr>
                <w:rFonts w:cs="Arial"/>
                <w:szCs w:val="20"/>
              </w:rPr>
            </w:pPr>
            <w:r w:rsidRPr="003C2ACA">
              <w:rPr>
                <w:rFonts w:cs="Arial"/>
                <w:color w:val="000000"/>
                <w:szCs w:val="20"/>
                <w:lang w:eastAsia="en-AU"/>
              </w:rPr>
              <w:t>LUCRF</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2C3CD74F" w14:textId="77777777" w:rsidR="003C34CD" w:rsidRPr="003C2ACA" w:rsidRDefault="003C34CD" w:rsidP="00EB190E">
            <w:pPr>
              <w:spacing w:after="120"/>
              <w:rPr>
                <w:rFonts w:cs="Arial"/>
                <w:szCs w:val="20"/>
              </w:rPr>
            </w:pPr>
            <w:r w:rsidRPr="003C2ACA">
              <w:rPr>
                <w:rFonts w:cs="Arial"/>
                <w:color w:val="000000"/>
                <w:szCs w:val="20"/>
                <w:lang w:eastAsia="en-AU"/>
              </w:rPr>
              <w:t>1.61%</w:t>
            </w:r>
          </w:p>
        </w:tc>
      </w:tr>
      <w:tr w:rsidR="003C34CD" w:rsidRPr="003C2ACA" w14:paraId="4D0398B9"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2C0706D3" w14:textId="77777777" w:rsidR="003C34CD" w:rsidRPr="003C2ACA" w:rsidRDefault="003C34CD" w:rsidP="00EB190E">
            <w:pPr>
              <w:spacing w:after="120"/>
              <w:rPr>
                <w:rFonts w:cs="Arial"/>
                <w:szCs w:val="20"/>
              </w:rPr>
            </w:pPr>
            <w:r w:rsidRPr="003C2ACA">
              <w:rPr>
                <w:rFonts w:cs="Arial"/>
                <w:color w:val="000000"/>
                <w:szCs w:val="20"/>
                <w:lang w:eastAsia="en-AU"/>
              </w:rPr>
              <w:t>TWUSUPER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249D9902" w14:textId="77777777" w:rsidR="003C34CD" w:rsidRPr="003C2ACA" w:rsidRDefault="003C34CD" w:rsidP="00EB190E">
            <w:pPr>
              <w:spacing w:after="120"/>
              <w:rPr>
                <w:rFonts w:cs="Arial"/>
                <w:szCs w:val="20"/>
              </w:rPr>
            </w:pPr>
            <w:r w:rsidRPr="003C2ACA">
              <w:rPr>
                <w:rFonts w:cs="Arial"/>
                <w:color w:val="000000"/>
                <w:szCs w:val="20"/>
                <w:lang w:eastAsia="en-AU"/>
              </w:rPr>
              <w:t>1.51%</w:t>
            </w:r>
          </w:p>
        </w:tc>
      </w:tr>
      <w:tr w:rsidR="003C34CD" w:rsidRPr="003C2ACA" w14:paraId="28AE7F26"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1E06D77D" w14:textId="77777777" w:rsidR="003C34CD" w:rsidRPr="003C2ACA" w:rsidRDefault="003C34CD" w:rsidP="00EB190E">
            <w:pPr>
              <w:spacing w:after="120"/>
              <w:rPr>
                <w:rFonts w:cs="Arial"/>
                <w:szCs w:val="20"/>
              </w:rPr>
            </w:pPr>
            <w:proofErr w:type="spellStart"/>
            <w:r w:rsidRPr="003C2ACA">
              <w:rPr>
                <w:rFonts w:cs="Arial"/>
                <w:color w:val="000000"/>
                <w:szCs w:val="20"/>
                <w:lang w:eastAsia="en-AU"/>
              </w:rPr>
              <w:t>Statewide</w:t>
            </w:r>
            <w:proofErr w:type="spellEnd"/>
            <w:r w:rsidRPr="003C2ACA">
              <w:rPr>
                <w:rFonts w:cs="Arial"/>
                <w:color w:val="000000"/>
                <w:szCs w:val="20"/>
                <w:lang w:eastAsia="en-AU"/>
              </w:rPr>
              <w:t xml:space="preserve"> 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07858791" w14:textId="77777777" w:rsidR="003C34CD" w:rsidRPr="003C2ACA" w:rsidRDefault="003C34CD" w:rsidP="00EB190E">
            <w:pPr>
              <w:spacing w:after="120"/>
              <w:rPr>
                <w:rFonts w:cs="Arial"/>
                <w:szCs w:val="20"/>
              </w:rPr>
            </w:pPr>
            <w:r w:rsidRPr="003C2ACA">
              <w:rPr>
                <w:rFonts w:cs="Arial"/>
                <w:color w:val="000000"/>
                <w:szCs w:val="20"/>
                <w:lang w:eastAsia="en-AU"/>
              </w:rPr>
              <w:t>1.26%</w:t>
            </w:r>
          </w:p>
        </w:tc>
      </w:tr>
      <w:tr w:rsidR="003C34CD" w:rsidRPr="003C2ACA" w14:paraId="273A2196"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4950947E" w14:textId="77777777" w:rsidR="003C34CD" w:rsidRPr="003C2ACA" w:rsidRDefault="003C34CD" w:rsidP="00EB190E">
            <w:pPr>
              <w:spacing w:after="120"/>
              <w:rPr>
                <w:rFonts w:cs="Arial"/>
                <w:szCs w:val="20"/>
              </w:rPr>
            </w:pPr>
            <w:proofErr w:type="spellStart"/>
            <w:r w:rsidRPr="003C2ACA">
              <w:rPr>
                <w:rFonts w:cs="Arial"/>
                <w:color w:val="000000"/>
                <w:szCs w:val="20"/>
                <w:lang w:eastAsia="en-AU"/>
              </w:rPr>
              <w:t>AUSfund</w:t>
            </w:r>
            <w:proofErr w:type="spellEnd"/>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335D8EC0" w14:textId="77777777" w:rsidR="003C34CD" w:rsidRPr="003C2ACA" w:rsidRDefault="003C34CD" w:rsidP="00EB190E">
            <w:pPr>
              <w:spacing w:after="120"/>
              <w:rPr>
                <w:rFonts w:cs="Arial"/>
                <w:szCs w:val="20"/>
              </w:rPr>
            </w:pPr>
            <w:r w:rsidRPr="003C2ACA">
              <w:rPr>
                <w:rFonts w:cs="Arial"/>
                <w:color w:val="000000"/>
                <w:szCs w:val="20"/>
                <w:lang w:eastAsia="en-AU"/>
              </w:rPr>
              <w:t>0.99%</w:t>
            </w:r>
          </w:p>
        </w:tc>
      </w:tr>
      <w:tr w:rsidR="003C34CD" w:rsidRPr="003C2ACA" w14:paraId="630B998F"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7C27360E" w14:textId="77777777" w:rsidR="003C34CD" w:rsidRPr="003C2ACA" w:rsidRDefault="003C34CD" w:rsidP="00EB190E">
            <w:pPr>
              <w:spacing w:after="120"/>
              <w:rPr>
                <w:rFonts w:cs="Arial"/>
                <w:szCs w:val="20"/>
              </w:rPr>
            </w:pPr>
            <w:r w:rsidRPr="003C2ACA">
              <w:rPr>
                <w:rFonts w:cs="Arial"/>
                <w:color w:val="000000"/>
                <w:szCs w:val="20"/>
                <w:lang w:eastAsia="en-AU"/>
              </w:rPr>
              <w:t>Energy 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0751AAA1" w14:textId="77777777" w:rsidR="003C34CD" w:rsidRPr="003C2ACA" w:rsidRDefault="003C34CD" w:rsidP="00EB190E">
            <w:pPr>
              <w:spacing w:after="120"/>
              <w:rPr>
                <w:rFonts w:cs="Arial"/>
                <w:szCs w:val="20"/>
              </w:rPr>
            </w:pPr>
            <w:r w:rsidRPr="003C2ACA">
              <w:rPr>
                <w:rFonts w:cs="Arial"/>
                <w:color w:val="000000"/>
                <w:szCs w:val="20"/>
                <w:lang w:eastAsia="en-AU"/>
              </w:rPr>
              <w:t>0.96%</w:t>
            </w:r>
          </w:p>
        </w:tc>
      </w:tr>
      <w:tr w:rsidR="003C34CD" w:rsidRPr="003C2ACA" w14:paraId="1F742B29"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4F0EF032" w14:textId="77777777" w:rsidR="003C34CD" w:rsidRPr="003C2ACA" w:rsidRDefault="003C34CD" w:rsidP="00EB190E">
            <w:pPr>
              <w:spacing w:after="120"/>
              <w:rPr>
                <w:rFonts w:cs="Arial"/>
                <w:szCs w:val="20"/>
              </w:rPr>
            </w:pPr>
            <w:r w:rsidRPr="003C2ACA">
              <w:rPr>
                <w:rFonts w:cs="Arial"/>
                <w:color w:val="000000"/>
                <w:szCs w:val="20"/>
                <w:lang w:eastAsia="en-AU"/>
              </w:rPr>
              <w:t>Mine 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0B218190" w14:textId="77777777" w:rsidR="003C34CD" w:rsidRPr="003C2ACA" w:rsidRDefault="003C34CD" w:rsidP="00EB190E">
            <w:pPr>
              <w:spacing w:after="120"/>
              <w:rPr>
                <w:rFonts w:cs="Arial"/>
                <w:szCs w:val="20"/>
              </w:rPr>
            </w:pPr>
            <w:r w:rsidRPr="003C2ACA">
              <w:rPr>
                <w:rFonts w:cs="Arial"/>
                <w:color w:val="000000"/>
                <w:szCs w:val="20"/>
                <w:lang w:eastAsia="en-AU"/>
              </w:rPr>
              <w:t>0.89%</w:t>
            </w:r>
          </w:p>
        </w:tc>
      </w:tr>
      <w:tr w:rsidR="003C34CD" w:rsidRPr="003C2ACA" w14:paraId="130464C9"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46A88010" w14:textId="77777777" w:rsidR="003C34CD" w:rsidRPr="003C2ACA" w:rsidRDefault="003C34CD" w:rsidP="00EB190E">
            <w:pPr>
              <w:spacing w:after="120"/>
              <w:rPr>
                <w:rFonts w:cs="Arial"/>
                <w:szCs w:val="20"/>
              </w:rPr>
            </w:pPr>
            <w:r w:rsidRPr="003C2ACA">
              <w:rPr>
                <w:rFonts w:cs="Arial"/>
                <w:color w:val="000000"/>
                <w:szCs w:val="20"/>
                <w:lang w:eastAsia="en-AU"/>
              </w:rPr>
              <w:t>Catholic 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4945BA2E" w14:textId="77777777" w:rsidR="003C34CD" w:rsidRPr="003C2ACA" w:rsidRDefault="003C34CD" w:rsidP="00EB190E">
            <w:pPr>
              <w:spacing w:after="120"/>
              <w:rPr>
                <w:rFonts w:cs="Arial"/>
                <w:szCs w:val="20"/>
              </w:rPr>
            </w:pPr>
            <w:r w:rsidRPr="003C2ACA">
              <w:rPr>
                <w:rFonts w:cs="Arial"/>
                <w:color w:val="000000"/>
                <w:szCs w:val="20"/>
                <w:lang w:eastAsia="en-AU"/>
              </w:rPr>
              <w:t>0.86%</w:t>
            </w:r>
          </w:p>
        </w:tc>
      </w:tr>
      <w:tr w:rsidR="003C34CD" w:rsidRPr="003C2ACA" w14:paraId="0EE48D1B"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2A9B1FFA" w14:textId="77777777" w:rsidR="003C34CD" w:rsidRPr="003C2ACA" w:rsidRDefault="003C34CD" w:rsidP="00EB190E">
            <w:pPr>
              <w:spacing w:after="120"/>
              <w:rPr>
                <w:rFonts w:cs="Arial"/>
                <w:szCs w:val="20"/>
              </w:rPr>
            </w:pPr>
            <w:proofErr w:type="spellStart"/>
            <w:r w:rsidRPr="003C2ACA">
              <w:rPr>
                <w:rFonts w:cs="Arial"/>
                <w:color w:val="000000"/>
                <w:szCs w:val="20"/>
                <w:lang w:eastAsia="en-AU"/>
              </w:rPr>
              <w:t>Tasplan</w:t>
            </w:r>
            <w:proofErr w:type="spellEnd"/>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1C269310" w14:textId="77777777" w:rsidR="003C34CD" w:rsidRPr="003C2ACA" w:rsidRDefault="003C34CD" w:rsidP="00EB190E">
            <w:pPr>
              <w:spacing w:after="120"/>
              <w:rPr>
                <w:rFonts w:cs="Arial"/>
                <w:szCs w:val="20"/>
              </w:rPr>
            </w:pPr>
            <w:r w:rsidRPr="003C2ACA">
              <w:rPr>
                <w:rFonts w:cs="Arial"/>
                <w:color w:val="000000"/>
                <w:szCs w:val="20"/>
                <w:lang w:eastAsia="en-AU"/>
              </w:rPr>
              <w:t>0.49%</w:t>
            </w:r>
          </w:p>
        </w:tc>
      </w:tr>
      <w:tr w:rsidR="003C34CD" w:rsidRPr="003C2ACA" w14:paraId="0DD51FB9"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7105F270" w14:textId="77777777" w:rsidR="003C34CD" w:rsidRPr="003C2ACA" w:rsidRDefault="003C34CD" w:rsidP="00EB190E">
            <w:pPr>
              <w:spacing w:after="120"/>
              <w:rPr>
                <w:rFonts w:cs="Arial"/>
                <w:szCs w:val="20"/>
              </w:rPr>
            </w:pPr>
            <w:r w:rsidRPr="003C2ACA">
              <w:rPr>
                <w:rFonts w:cs="Arial"/>
                <w:color w:val="000000"/>
                <w:szCs w:val="20"/>
                <w:lang w:eastAsia="en-AU"/>
              </w:rPr>
              <w:t>BUSSQ</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0C32A448" w14:textId="77777777" w:rsidR="003C34CD" w:rsidRPr="003C2ACA" w:rsidRDefault="003C34CD" w:rsidP="00EB190E">
            <w:pPr>
              <w:spacing w:after="120"/>
              <w:rPr>
                <w:rFonts w:cs="Arial"/>
                <w:szCs w:val="20"/>
              </w:rPr>
            </w:pPr>
            <w:r w:rsidRPr="003C2ACA">
              <w:rPr>
                <w:rFonts w:cs="Arial"/>
                <w:color w:val="000000"/>
                <w:szCs w:val="20"/>
                <w:lang w:eastAsia="en-AU"/>
              </w:rPr>
              <w:t>0.36%</w:t>
            </w:r>
          </w:p>
        </w:tc>
      </w:tr>
      <w:tr w:rsidR="003C34CD" w:rsidRPr="003C2ACA" w14:paraId="1DAE09E3"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442EAD36" w14:textId="77777777" w:rsidR="003C34CD" w:rsidRPr="003C2ACA" w:rsidRDefault="003C34CD" w:rsidP="00EB190E">
            <w:pPr>
              <w:spacing w:after="120"/>
              <w:rPr>
                <w:rFonts w:cs="Arial"/>
                <w:szCs w:val="20"/>
              </w:rPr>
            </w:pPr>
            <w:r w:rsidRPr="003C2ACA">
              <w:rPr>
                <w:rFonts w:cs="Arial"/>
                <w:color w:val="000000"/>
                <w:szCs w:val="20"/>
                <w:lang w:eastAsia="en-AU"/>
              </w:rPr>
              <w:t>WA 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4DB7C283" w14:textId="77777777" w:rsidR="003C34CD" w:rsidRPr="003C2ACA" w:rsidRDefault="003C34CD" w:rsidP="00EB190E">
            <w:pPr>
              <w:spacing w:after="120"/>
              <w:rPr>
                <w:rFonts w:cs="Arial"/>
                <w:szCs w:val="20"/>
              </w:rPr>
            </w:pPr>
            <w:r w:rsidRPr="003C2ACA">
              <w:rPr>
                <w:rFonts w:cs="Arial"/>
                <w:color w:val="000000"/>
                <w:szCs w:val="20"/>
                <w:lang w:eastAsia="en-AU"/>
              </w:rPr>
              <w:t>0.35%</w:t>
            </w:r>
          </w:p>
        </w:tc>
      </w:tr>
      <w:tr w:rsidR="003C34CD" w:rsidRPr="003C2ACA" w14:paraId="485C7E1B"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38BE0B54" w14:textId="77777777" w:rsidR="003C34CD" w:rsidRPr="003C2ACA" w:rsidRDefault="003C34CD" w:rsidP="00EB190E">
            <w:pPr>
              <w:spacing w:after="120"/>
              <w:rPr>
                <w:rFonts w:cs="Arial"/>
                <w:szCs w:val="20"/>
              </w:rPr>
            </w:pPr>
            <w:r w:rsidRPr="003C2ACA">
              <w:rPr>
                <w:rFonts w:cs="Arial"/>
                <w:color w:val="000000"/>
                <w:szCs w:val="20"/>
                <w:lang w:eastAsia="en-AU"/>
              </w:rPr>
              <w:t>Rei 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6DC56264" w14:textId="77777777" w:rsidR="003C34CD" w:rsidRPr="003C2ACA" w:rsidRDefault="003C34CD" w:rsidP="00EB190E">
            <w:pPr>
              <w:spacing w:after="120"/>
              <w:rPr>
                <w:rFonts w:cs="Arial"/>
                <w:szCs w:val="20"/>
              </w:rPr>
            </w:pPr>
            <w:r w:rsidRPr="003C2ACA">
              <w:rPr>
                <w:rFonts w:cs="Arial"/>
                <w:color w:val="000000"/>
                <w:szCs w:val="20"/>
                <w:lang w:eastAsia="en-AU"/>
              </w:rPr>
              <w:t>0.33%</w:t>
            </w:r>
          </w:p>
        </w:tc>
      </w:tr>
      <w:tr w:rsidR="003C34CD" w:rsidRPr="003C2ACA" w14:paraId="42C6B40C"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1F5E9B51" w14:textId="77777777" w:rsidR="003C34CD" w:rsidRPr="003C2ACA" w:rsidRDefault="003C34CD" w:rsidP="00EB190E">
            <w:pPr>
              <w:spacing w:after="120"/>
              <w:rPr>
                <w:rFonts w:cs="Arial"/>
                <w:szCs w:val="20"/>
              </w:rPr>
            </w:pPr>
            <w:r w:rsidRPr="003C2ACA">
              <w:rPr>
                <w:rFonts w:cs="Arial"/>
                <w:color w:val="000000"/>
                <w:szCs w:val="20"/>
                <w:lang w:eastAsia="en-AU"/>
              </w:rPr>
              <w:t>NGS 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0B792D2C" w14:textId="77777777" w:rsidR="003C34CD" w:rsidRPr="003C2ACA" w:rsidRDefault="003C34CD" w:rsidP="00EB190E">
            <w:pPr>
              <w:spacing w:after="120"/>
              <w:rPr>
                <w:rFonts w:cs="Arial"/>
                <w:szCs w:val="20"/>
              </w:rPr>
            </w:pPr>
            <w:r w:rsidRPr="003C2ACA">
              <w:rPr>
                <w:rFonts w:cs="Arial"/>
                <w:color w:val="000000"/>
                <w:szCs w:val="20"/>
                <w:lang w:eastAsia="en-AU"/>
              </w:rPr>
              <w:t>0.30%</w:t>
            </w:r>
          </w:p>
        </w:tc>
      </w:tr>
      <w:tr w:rsidR="003C34CD" w:rsidRPr="003C2ACA" w14:paraId="17CDCC15"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5BF5F9A3" w14:textId="77777777" w:rsidR="003C34CD" w:rsidRPr="003C2ACA" w:rsidRDefault="003C34CD" w:rsidP="00EB190E">
            <w:pPr>
              <w:spacing w:after="120"/>
              <w:ind w:right="-108"/>
              <w:rPr>
                <w:rFonts w:cs="Arial"/>
                <w:szCs w:val="20"/>
              </w:rPr>
            </w:pPr>
            <w:r w:rsidRPr="003C2ACA">
              <w:rPr>
                <w:rFonts w:cs="Arial"/>
                <w:color w:val="000000"/>
                <w:szCs w:val="20"/>
                <w:lang w:eastAsia="en-AU"/>
              </w:rPr>
              <w:t>Australian Catholic Super &amp; Retirement Fund</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0676D4C9" w14:textId="77777777" w:rsidR="003C34CD" w:rsidRPr="003C2ACA" w:rsidRDefault="003C34CD" w:rsidP="00EB190E">
            <w:pPr>
              <w:spacing w:after="120"/>
              <w:rPr>
                <w:rFonts w:cs="Arial"/>
                <w:szCs w:val="20"/>
              </w:rPr>
            </w:pPr>
            <w:r w:rsidRPr="003C2ACA">
              <w:rPr>
                <w:rFonts w:cs="Arial"/>
                <w:color w:val="000000"/>
                <w:szCs w:val="20"/>
                <w:lang w:eastAsia="en-AU"/>
              </w:rPr>
              <w:t>0.09%</w:t>
            </w:r>
          </w:p>
        </w:tc>
      </w:tr>
      <w:tr w:rsidR="003C34CD" w:rsidRPr="003C2ACA" w14:paraId="110317E6" w14:textId="77777777" w:rsidTr="00EB190E">
        <w:tc>
          <w:tcPr>
            <w:tcW w:w="4622"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4D1B09C9" w14:textId="77777777" w:rsidR="003C34CD" w:rsidRPr="003C2ACA" w:rsidRDefault="003C34CD" w:rsidP="00EB190E">
            <w:pPr>
              <w:spacing w:after="120"/>
              <w:rPr>
                <w:rFonts w:cs="Arial"/>
                <w:szCs w:val="20"/>
              </w:rPr>
            </w:pPr>
            <w:r w:rsidRPr="003C2ACA">
              <w:rPr>
                <w:rFonts w:cs="Arial"/>
                <w:color w:val="000000"/>
                <w:szCs w:val="20"/>
                <w:lang w:eastAsia="en-AU"/>
              </w:rPr>
              <w:t>Intrust Super</w:t>
            </w:r>
          </w:p>
        </w:tc>
        <w:tc>
          <w:tcPr>
            <w:tcW w:w="4719"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bottom"/>
            <w:hideMark/>
          </w:tcPr>
          <w:p w14:paraId="21533ACA" w14:textId="77777777" w:rsidR="003C34CD" w:rsidRPr="003C2ACA" w:rsidRDefault="003C34CD" w:rsidP="00EB190E">
            <w:pPr>
              <w:spacing w:after="120"/>
              <w:rPr>
                <w:rFonts w:cs="Arial"/>
                <w:szCs w:val="20"/>
              </w:rPr>
            </w:pPr>
            <w:r w:rsidRPr="003C2ACA">
              <w:rPr>
                <w:rFonts w:cs="Arial"/>
                <w:color w:val="000000"/>
                <w:szCs w:val="20"/>
                <w:lang w:eastAsia="en-AU"/>
              </w:rPr>
              <w:t>0.08%</w:t>
            </w:r>
          </w:p>
        </w:tc>
      </w:tr>
      <w:tr w:rsidR="003C34CD" w:rsidRPr="003C2ACA" w14:paraId="0CEAD52F" w14:textId="77777777" w:rsidTr="00EB190E">
        <w:tc>
          <w:tcPr>
            <w:tcW w:w="462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3EB89517" w14:textId="77777777" w:rsidR="003C34CD" w:rsidRPr="003C2ACA" w:rsidRDefault="003C34CD" w:rsidP="00EB190E">
            <w:pPr>
              <w:spacing w:after="120"/>
              <w:rPr>
                <w:rFonts w:cs="Arial"/>
                <w:szCs w:val="20"/>
              </w:rPr>
            </w:pPr>
            <w:r w:rsidRPr="003C2ACA">
              <w:rPr>
                <w:rFonts w:cs="Arial"/>
                <w:color w:val="000000"/>
                <w:szCs w:val="20"/>
                <w:lang w:eastAsia="en-AU"/>
              </w:rPr>
              <w:t>Mercy Super</w:t>
            </w:r>
          </w:p>
        </w:tc>
        <w:tc>
          <w:tcPr>
            <w:tcW w:w="4719" w:type="dxa"/>
            <w:tcBorders>
              <w:top w:val="nil"/>
              <w:left w:val="nil"/>
              <w:bottom w:val="single" w:sz="8" w:space="0" w:color="BFBFBF"/>
              <w:right w:val="single" w:sz="8" w:space="0" w:color="BFBFBF"/>
            </w:tcBorders>
            <w:tcMar>
              <w:top w:w="0" w:type="dxa"/>
              <w:left w:w="108" w:type="dxa"/>
              <w:bottom w:w="0" w:type="dxa"/>
              <w:right w:w="108" w:type="dxa"/>
            </w:tcMar>
            <w:vAlign w:val="bottom"/>
            <w:hideMark/>
          </w:tcPr>
          <w:p w14:paraId="4A3C7895" w14:textId="77777777" w:rsidR="003C34CD" w:rsidRPr="003C2ACA" w:rsidRDefault="003C34CD" w:rsidP="00EB190E">
            <w:pPr>
              <w:spacing w:after="120"/>
              <w:rPr>
                <w:rFonts w:cs="Arial"/>
                <w:szCs w:val="20"/>
              </w:rPr>
            </w:pPr>
            <w:r w:rsidRPr="003C2ACA">
              <w:rPr>
                <w:rFonts w:cs="Arial"/>
                <w:color w:val="000000"/>
                <w:szCs w:val="20"/>
                <w:lang w:eastAsia="en-AU"/>
              </w:rPr>
              <w:t>0.07%</w:t>
            </w:r>
          </w:p>
        </w:tc>
      </w:tr>
    </w:tbl>
    <w:p w14:paraId="60A8C505" w14:textId="5E89DF8C" w:rsidR="0040027C" w:rsidRPr="00A12DEC" w:rsidRDefault="003C34CD" w:rsidP="003C2ACA">
      <w:pPr>
        <w:pStyle w:val="SourceNotes0"/>
        <w:ind w:left="142"/>
        <w:rPr>
          <w:szCs w:val="24"/>
        </w:rPr>
      </w:pPr>
      <w:r w:rsidRPr="008B5054">
        <w:rPr>
          <w:rFonts w:ascii="Arial" w:hAnsi="Arial" w:cs="Arial"/>
        </w:rPr>
        <w:t>Source: IFM</w:t>
      </w:r>
    </w:p>
    <w:sectPr w:rsidR="0040027C" w:rsidRPr="00A12DEC" w:rsidSect="00A37E36">
      <w:headerReference w:type="even" r:id="rId13"/>
      <w:headerReference w:type="default" r:id="rId14"/>
      <w:footerReference w:type="default" r:id="rId15"/>
      <w:headerReference w:type="first" r:id="rId16"/>
      <w:footerReference w:type="first" r:id="rId17"/>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CAA7" w14:textId="77777777" w:rsidR="00EB190E" w:rsidRDefault="00EB190E" w:rsidP="00FD6043">
      <w:r>
        <w:separator/>
      </w:r>
    </w:p>
  </w:endnote>
  <w:endnote w:type="continuationSeparator" w:id="0">
    <w:p w14:paraId="0F6F7075" w14:textId="77777777" w:rsidR="00EB190E" w:rsidRDefault="00EB190E"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E00002AF" w:usb1="50006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20B3" w14:textId="77777777" w:rsidR="00EB190E" w:rsidRPr="002F3006" w:rsidRDefault="00EB190E"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F0B5" w14:textId="77777777" w:rsidR="00EB190E" w:rsidRPr="00113EB0" w:rsidRDefault="00EB190E"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B2C74" w14:textId="77777777" w:rsidR="00EB190E" w:rsidRDefault="00EB190E" w:rsidP="00FD6043">
      <w:r>
        <w:separator/>
      </w:r>
    </w:p>
  </w:footnote>
  <w:footnote w:type="continuationSeparator" w:id="0">
    <w:p w14:paraId="7D190027" w14:textId="77777777" w:rsidR="00EB190E" w:rsidRDefault="00EB190E" w:rsidP="00FD6043">
      <w:r>
        <w:continuationSeparator/>
      </w:r>
    </w:p>
  </w:footnote>
  <w:footnote w:id="1">
    <w:p w14:paraId="51C024AC" w14:textId="77777777" w:rsidR="00EB190E" w:rsidRPr="008C53A1" w:rsidRDefault="00EB190E" w:rsidP="003C34CD">
      <w:pPr>
        <w:pStyle w:val="FootnoteText"/>
        <w:tabs>
          <w:tab w:val="left" w:pos="142"/>
        </w:tabs>
        <w:rPr>
          <w:rFonts w:cs="Arial"/>
          <w:szCs w:val="16"/>
        </w:rPr>
      </w:pPr>
      <w:r w:rsidRPr="008C53A1">
        <w:rPr>
          <w:rStyle w:val="FootnoteReference"/>
          <w:rFonts w:cs="Arial"/>
          <w:szCs w:val="16"/>
        </w:rPr>
        <w:footnoteRef/>
      </w:r>
      <w:r w:rsidRPr="008C53A1">
        <w:rPr>
          <w:rFonts w:cs="Arial"/>
          <w:szCs w:val="16"/>
        </w:rPr>
        <w:t xml:space="preserve"> This document has been classified restricted until examination by the Committee of Ministers.</w:t>
      </w:r>
    </w:p>
  </w:footnote>
  <w:footnote w:id="2">
    <w:p w14:paraId="15B81224" w14:textId="070E8CB9" w:rsidR="00EB190E" w:rsidRPr="00FE751C" w:rsidRDefault="00EB190E" w:rsidP="003C34CD">
      <w:pPr>
        <w:pStyle w:val="FootnoteText"/>
        <w:tabs>
          <w:tab w:val="left" w:pos="142"/>
        </w:tabs>
      </w:pPr>
      <w:r>
        <w:rPr>
          <w:rStyle w:val="FootnoteReference"/>
        </w:rPr>
        <w:footnoteRef/>
      </w:r>
      <w:r>
        <w:t xml:space="preserve"> Organisation for Economic Cooperation and Development.</w:t>
      </w:r>
    </w:p>
  </w:footnote>
  <w:footnote w:id="3">
    <w:p w14:paraId="519CBE5A" w14:textId="54394FF3" w:rsidR="00EB190E" w:rsidRPr="00FE52E4" w:rsidRDefault="00EB190E" w:rsidP="003C34CD">
      <w:pPr>
        <w:pStyle w:val="FootnoteText"/>
        <w:tabs>
          <w:tab w:val="left" w:pos="142"/>
        </w:tabs>
      </w:pPr>
      <w:r>
        <w:rPr>
          <w:rStyle w:val="FootnoteReference"/>
        </w:rPr>
        <w:footnoteRef/>
      </w:r>
      <w:r>
        <w:t xml:space="preserve"> </w:t>
      </w:r>
      <w:r w:rsidRPr="00FE52E4">
        <w:t xml:space="preserve">Subject to the positive due diligence from the Council of Europe. </w:t>
      </w:r>
    </w:p>
  </w:footnote>
  <w:footnote w:id="4">
    <w:p w14:paraId="053F6348" w14:textId="3B522962" w:rsidR="00EB190E" w:rsidRDefault="00EB190E" w:rsidP="003C34CD">
      <w:pPr>
        <w:pStyle w:val="FootnoteText"/>
        <w:tabs>
          <w:tab w:val="left" w:pos="142"/>
        </w:tabs>
      </w:pPr>
      <w:r>
        <w:rPr>
          <w:rStyle w:val="FootnoteReference"/>
        </w:rPr>
        <w:footnoteRef/>
      </w:r>
      <w:r>
        <w:t xml:space="preserve"> </w:t>
      </w:r>
      <w:r>
        <w:rPr>
          <w:rStyle w:val="FootnoteReference"/>
        </w:rPr>
        <w:t xml:space="preserve"> </w:t>
      </w:r>
      <w:r>
        <w:t>Introduced by the United States Department of Treasury and the US Internal Revenue Service (IRS), the purpose of FATCA is to encourage better tax compliance by preventing US Persons from using foreign banks and other financial organisations in order to avoid US taxation on their income and assets.</w:t>
      </w:r>
    </w:p>
  </w:footnote>
  <w:footnote w:id="5">
    <w:p w14:paraId="6BD079CD" w14:textId="5A0A7B2D" w:rsidR="00EB190E" w:rsidRDefault="00EB190E" w:rsidP="003C34CD">
      <w:pPr>
        <w:pStyle w:val="FootnoteText"/>
        <w:tabs>
          <w:tab w:val="left" w:pos="142"/>
        </w:tabs>
      </w:pPr>
      <w:r>
        <w:rPr>
          <w:rStyle w:val="FootnoteReference"/>
        </w:rPr>
        <w:footnoteRef/>
      </w:r>
      <w:r>
        <w:t xml:space="preserve"> The Common Reporting Standard (CRS), introduced by the Organisation for Economic Co-operation and Development (OECD), is an information-gathering and reporting requirement for Financial Institutions in participating countries. </w:t>
      </w:r>
      <w:proofErr w:type="gramStart"/>
      <w:r>
        <w:t>Similar to</w:t>
      </w:r>
      <w:proofErr w:type="gramEnd"/>
      <w:r>
        <w:t xml:space="preserve"> FATCA, its aim is to help fight tax evasion and to protect the integrity of participating countries’ tax systems.</w:t>
      </w:r>
    </w:p>
  </w:footnote>
  <w:footnote w:id="6">
    <w:p w14:paraId="37DD939A" w14:textId="5F2460BC" w:rsidR="00EB190E" w:rsidRPr="006B6246" w:rsidRDefault="00EB190E" w:rsidP="003C34CD">
      <w:pPr>
        <w:pStyle w:val="FootnoteText"/>
        <w:tabs>
          <w:tab w:val="left" w:pos="142"/>
        </w:tabs>
        <w:rPr>
          <w:rFonts w:eastAsiaTheme="minorHAnsi" w:cs="Calibri"/>
          <w:szCs w:val="18"/>
          <w:vertAlign w:val="superscript"/>
        </w:rPr>
      </w:pPr>
      <w:r w:rsidRPr="006B6246">
        <w:rPr>
          <w:rStyle w:val="FootnoteReference"/>
          <w:szCs w:val="18"/>
        </w:rPr>
        <w:footnoteRef/>
      </w:r>
      <w:r w:rsidRPr="006B6246">
        <w:rPr>
          <w:szCs w:val="18"/>
        </w:rPr>
        <w:t xml:space="preserve"> To preserve confidentiality, IFM is unable to provide details of Limited Partners without the Limited Partners’ express prior consent. Limited Partners who have given this consent </w:t>
      </w:r>
      <w:proofErr w:type="gramStart"/>
      <w:r w:rsidRPr="006B6246">
        <w:rPr>
          <w:szCs w:val="18"/>
        </w:rPr>
        <w:t>are:</w:t>
      </w:r>
      <w:proofErr w:type="gramEnd"/>
      <w:r w:rsidRPr="006B6246">
        <w:rPr>
          <w:szCs w:val="18"/>
        </w:rPr>
        <w:t xml:space="preserve"> Australian Catholic Superannuation, CBUS (Australian Industry Super Fund for the building, construction and allied industries), HESTA (Australian industry superannuation fund for workers in health and community service sectors) and the Local Authorities Superannuation Fund.</w:t>
      </w:r>
    </w:p>
  </w:footnote>
  <w:footnote w:id="7">
    <w:p w14:paraId="4A744499" w14:textId="11A00203" w:rsidR="00EB190E" w:rsidRPr="003C34CD" w:rsidRDefault="00EB190E" w:rsidP="003C34CD">
      <w:pPr>
        <w:pStyle w:val="FootnoteText"/>
        <w:tabs>
          <w:tab w:val="left" w:pos="142"/>
        </w:tabs>
        <w:rPr>
          <w:rStyle w:val="FootnoteTextChar"/>
          <w:lang w:val="en-GB"/>
        </w:rPr>
      </w:pPr>
      <w:r w:rsidRPr="006B6246">
        <w:rPr>
          <w:rStyle w:val="FootnoteReference"/>
          <w:szCs w:val="18"/>
        </w:rPr>
        <w:footnoteRef/>
      </w:r>
      <w:r w:rsidRPr="003C34CD">
        <w:rPr>
          <w:rStyle w:val="FootnoteTextChar"/>
          <w:lang w:val="en-GB"/>
        </w:rPr>
        <w:t xml:space="preserve"> US persons are not eligible investors. </w:t>
      </w:r>
    </w:p>
  </w:footnote>
  <w:footnote w:id="8">
    <w:p w14:paraId="697890A0" w14:textId="0E43AE43" w:rsidR="00EB190E" w:rsidRPr="00CC4313" w:rsidRDefault="00EB190E" w:rsidP="003C34CD">
      <w:pPr>
        <w:pStyle w:val="FootnoteText"/>
        <w:tabs>
          <w:tab w:val="left" w:pos="142"/>
        </w:tabs>
        <w:rPr>
          <w:rStyle w:val="Hyperlink"/>
          <w:szCs w:val="18"/>
        </w:rPr>
      </w:pPr>
      <w:r>
        <w:rPr>
          <w:rStyle w:val="FootnoteReference"/>
        </w:rPr>
        <w:footnoteRef/>
      </w:r>
      <w:r>
        <w:t xml:space="preserve"> </w:t>
      </w:r>
      <w:r w:rsidRPr="00D96B33">
        <w:t xml:space="preserve">See </w:t>
      </w:r>
      <w:hyperlink r:id="rId1" w:history="1">
        <w:r w:rsidRPr="00D96B33">
          <w:rPr>
            <w:rStyle w:val="Hyperlink"/>
            <w:szCs w:val="18"/>
          </w:rPr>
          <w:t>https://www.oecd.org/tax/transparency/exchange-of-information-on-request/ratings/</w:t>
        </w:r>
      </w:hyperlink>
      <w:r w:rsidRPr="00D96B33">
        <w:rPr>
          <w:rStyle w:val="Hyperlink"/>
          <w:szCs w:val="18"/>
        </w:rPr>
        <w:t xml:space="preserve"> for </w:t>
      </w:r>
      <w:r w:rsidRPr="00D96B33">
        <w:rPr>
          <w:lang w:val="en"/>
        </w:rPr>
        <w:t>the list of jurisdictions qualified as Largely Compliant.</w:t>
      </w:r>
    </w:p>
  </w:footnote>
  <w:footnote w:id="9">
    <w:p w14:paraId="51512B4E" w14:textId="5580EC9F" w:rsidR="00EB190E" w:rsidRPr="004214F7" w:rsidRDefault="00EB190E" w:rsidP="003C34CD">
      <w:pPr>
        <w:pStyle w:val="FootnoteText"/>
        <w:tabs>
          <w:tab w:val="left" w:pos="142"/>
        </w:tabs>
      </w:pPr>
      <w:r>
        <w:rPr>
          <w:rStyle w:val="FootnoteReference"/>
        </w:rPr>
        <w:footnoteRef/>
      </w:r>
      <w:r>
        <w:t xml:space="preserve"> The overall rating levels are, by decreasing order: Compliant, Largely Compliant, Provisionally Largely Compliant, Partially Compliant, and Non-Compliant.</w:t>
      </w:r>
    </w:p>
  </w:footnote>
  <w:footnote w:id="10">
    <w:p w14:paraId="31F73FBB" w14:textId="34815D34" w:rsidR="00EB190E" w:rsidRPr="00D96B33" w:rsidRDefault="00EB190E" w:rsidP="003C34CD">
      <w:pPr>
        <w:pStyle w:val="FootnoteText"/>
        <w:tabs>
          <w:tab w:val="left" w:pos="142"/>
        </w:tabs>
        <w:rPr>
          <w:lang w:val="fr-FR"/>
        </w:rPr>
      </w:pPr>
      <w:r w:rsidRPr="00D96B33">
        <w:rPr>
          <w:rStyle w:val="FootnoteReference"/>
        </w:rPr>
        <w:footnoteRef/>
      </w:r>
      <w:r>
        <w:rPr>
          <w:lang w:val="fr-FR"/>
        </w:rPr>
        <w:t xml:space="preserve"> </w:t>
      </w:r>
      <w:r w:rsidRPr="00D96B33">
        <w:rPr>
          <w:lang w:val="fr-FR"/>
        </w:rPr>
        <w:t xml:space="preserve">Source: OECD, </w:t>
      </w:r>
      <w:hyperlink r:id="rId2" w:history="1">
        <w:r w:rsidRPr="00D96B33">
          <w:rPr>
            <w:rStyle w:val="Hyperlink"/>
            <w:lang w:val="fr-FR"/>
          </w:rPr>
          <w:t>https://www.oecd.org/tax/transparency/exchange-of-information-on-request/ratings/details-ratings-second-round-EOIR-peer-reviews.pdf</w:t>
        </w:r>
      </w:hyperlink>
    </w:p>
  </w:footnote>
  <w:footnote w:id="11">
    <w:p w14:paraId="7554AE17" w14:textId="03859C60" w:rsidR="00EB190E" w:rsidRPr="002A4E64" w:rsidRDefault="00EB190E" w:rsidP="003C34CD">
      <w:pPr>
        <w:pStyle w:val="FootnoteText"/>
        <w:tabs>
          <w:tab w:val="left" w:pos="142"/>
        </w:tabs>
        <w:rPr>
          <w:lang w:val="fr-FR"/>
        </w:rPr>
      </w:pPr>
      <w:r w:rsidRPr="00D96B33">
        <w:rPr>
          <w:rStyle w:val="FootnoteReference"/>
        </w:rPr>
        <w:footnoteRef/>
      </w:r>
      <w:r w:rsidRPr="002A4E64">
        <w:rPr>
          <w:lang w:val="fr-FR"/>
        </w:rPr>
        <w:t xml:space="preserve"> </w:t>
      </w:r>
      <w:hyperlink r:id="rId3" w:history="1">
        <w:r w:rsidRPr="007E4B28">
          <w:rPr>
            <w:rStyle w:val="Hyperlink"/>
            <w:lang w:val="fr-FR"/>
          </w:rPr>
          <w:t>https://www.consilium.europa.eu/media/38450/st07441-en19-eu-list-oop.pdf</w:t>
        </w:r>
      </w:hyperlink>
    </w:p>
  </w:footnote>
  <w:footnote w:id="12">
    <w:p w14:paraId="4CA79B4C" w14:textId="7D82038D" w:rsidR="00EB190E" w:rsidRPr="0033710C" w:rsidRDefault="00EB190E" w:rsidP="003C34CD">
      <w:pPr>
        <w:pStyle w:val="FootnoteText"/>
        <w:tabs>
          <w:tab w:val="left" w:pos="142"/>
        </w:tabs>
        <w:rPr>
          <w:lang w:val="en"/>
        </w:rPr>
      </w:pPr>
      <w:r>
        <w:rPr>
          <w:rStyle w:val="FootnoteReference"/>
        </w:rPr>
        <w:footnoteRef/>
      </w:r>
      <w:r>
        <w:t xml:space="preserve"> Together with the </w:t>
      </w:r>
      <w:r>
        <w:rPr>
          <w:lang w:val="en"/>
        </w:rPr>
        <w:t xml:space="preserve">Bahamas and </w:t>
      </w:r>
      <w:r w:rsidRPr="00795FFD">
        <w:rPr>
          <w:lang w:val="en"/>
        </w:rPr>
        <w:t>British Virgin Islands</w:t>
      </w:r>
      <w:r>
        <w:rPr>
          <w:lang w:val="en"/>
        </w:rPr>
        <w:t xml:space="preserve">. </w:t>
      </w:r>
    </w:p>
  </w:footnote>
  <w:footnote w:id="13">
    <w:p w14:paraId="54FD7EA9" w14:textId="594BFA0A" w:rsidR="00EB190E" w:rsidRPr="00ED5810" w:rsidRDefault="00EB190E" w:rsidP="003C34CD">
      <w:pPr>
        <w:pStyle w:val="FootnoteText"/>
        <w:tabs>
          <w:tab w:val="left" w:pos="142"/>
        </w:tabs>
      </w:pPr>
      <w:r>
        <w:rPr>
          <w:rStyle w:val="FootnoteReference"/>
        </w:rPr>
        <w:footnoteRef/>
      </w:r>
      <w:r>
        <w:t xml:space="preserve"> </w:t>
      </w:r>
      <w:hyperlink r:id="rId4" w:history="1">
        <w:r w:rsidRPr="007E4B28">
          <w:rPr>
            <w:rStyle w:val="Hyperlink"/>
            <w:rFonts w:eastAsiaTheme="minorHAnsi"/>
            <w:lang w:val="en"/>
          </w:rPr>
          <w:t>https://ec.europa.eu/taxation_customs/sites/taxation/files/eu_list_update_18_02_2020_en.pdf</w:t>
        </w:r>
      </w:hyperlink>
      <w:r w:rsidRPr="003C34CD">
        <w:rPr>
          <w:rStyle w:val="FootnoteTextChar"/>
          <w:rFonts w:eastAsiaTheme="minorHAnsi"/>
          <w:lang w:val="en"/>
        </w:rPr>
        <w:t xml:space="preserve"> </w:t>
      </w:r>
    </w:p>
  </w:footnote>
  <w:footnote w:id="14">
    <w:p w14:paraId="1BF1013F" w14:textId="0063673D" w:rsidR="00EB190E" w:rsidRPr="000F179E" w:rsidRDefault="00EB190E" w:rsidP="003C34CD">
      <w:pPr>
        <w:pStyle w:val="FootnoteText"/>
        <w:tabs>
          <w:tab w:val="left" w:pos="142"/>
        </w:tabs>
      </w:pPr>
      <w:r>
        <w:rPr>
          <w:rStyle w:val="FootnoteReference"/>
        </w:rPr>
        <w:footnoteRef/>
      </w:r>
      <w:r>
        <w:t xml:space="preserve"> </w:t>
      </w:r>
      <w:hyperlink r:id="rId5" w:history="1">
        <w:r w:rsidRPr="007E4B28">
          <w:rPr>
            <w:rStyle w:val="Hyperlink"/>
            <w:rFonts w:eastAsiaTheme="minorHAnsi"/>
          </w:rPr>
          <w:t>https://www.consilium.europa.eu/media/42596/st06129-en20.pdf</w:t>
        </w:r>
      </w:hyperlink>
      <w:r>
        <w:rPr>
          <w:lang w:eastAsia="zh-CN"/>
        </w:rPr>
        <w:t xml:space="preserve"> </w:t>
      </w:r>
    </w:p>
  </w:footnote>
  <w:footnote w:id="15">
    <w:p w14:paraId="07C99E4A" w14:textId="4A2CA0B3" w:rsidR="00EB190E" w:rsidRPr="00F6069B" w:rsidRDefault="00EB190E" w:rsidP="003C34CD">
      <w:pPr>
        <w:pStyle w:val="FootnoteText"/>
        <w:tabs>
          <w:tab w:val="left" w:pos="142"/>
        </w:tabs>
      </w:pPr>
      <w:r w:rsidRPr="00E25790">
        <w:rPr>
          <w:rStyle w:val="FootnoteReference"/>
        </w:rPr>
        <w:footnoteRef/>
      </w:r>
      <w:r w:rsidRPr="00F6069B">
        <w:t xml:space="preserve"> </w:t>
      </w:r>
      <w:hyperlink r:id="rId6" w:history="1">
        <w:r w:rsidR="00C803A5" w:rsidRPr="007E4B28">
          <w:rPr>
            <w:rStyle w:val="Hyperlink"/>
          </w:rPr>
          <w:t>http://www.fatf-gafi.org/media/fatf/documents/reports/mer-fsrb/CFATF-Cayman-Islands-Mutual-Evaluation.pdf</w:t>
        </w:r>
      </w:hyperlink>
    </w:p>
  </w:footnote>
  <w:footnote w:id="16">
    <w:p w14:paraId="5CCA2C89" w14:textId="461F8705" w:rsidR="00EB190E" w:rsidRPr="00751C82" w:rsidRDefault="00EB190E" w:rsidP="003C34CD">
      <w:pPr>
        <w:pStyle w:val="FootnoteText"/>
        <w:tabs>
          <w:tab w:val="left" w:pos="142"/>
        </w:tabs>
      </w:pPr>
      <w:r>
        <w:rPr>
          <w:rStyle w:val="FootnoteReference"/>
        </w:rPr>
        <w:footnoteRef/>
      </w:r>
      <w:r>
        <w:t xml:space="preserve"> </w:t>
      </w:r>
      <w:r w:rsidRPr="00751C82">
        <w:t xml:space="preserve">The reason for the non-compliance (tax efficiency </w:t>
      </w:r>
      <w:r>
        <w:t xml:space="preserve">and / </w:t>
      </w:r>
      <w:r w:rsidRPr="00751C82">
        <w:t xml:space="preserve">or the </w:t>
      </w:r>
      <w:r>
        <w:t>Cayman Islands domicile) should be specified for future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FD80" w14:textId="004CE0CD" w:rsidR="00EB190E" w:rsidRPr="00E54322" w:rsidRDefault="00EB190E" w:rsidP="00E54322">
    <w:pPr>
      <w:pStyle w:val="Header"/>
    </w:pPr>
    <w:proofErr w:type="gramStart"/>
    <w:r w:rsidRPr="00E54322">
      <w:t>CM(</w:t>
    </w:r>
    <w:proofErr w:type="gramEnd"/>
    <w:r>
      <w:t>2020</w:t>
    </w:r>
    <w:r w:rsidRPr="00E54322">
      <w:t>)</w:t>
    </w:r>
    <w:r>
      <w:t>51</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06F9" w14:textId="78AAFC98" w:rsidR="00EB190E" w:rsidRPr="00E54322" w:rsidRDefault="00EB190E"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Pr="00E54322">
      <w:t>CM(</w:t>
    </w:r>
    <w:proofErr w:type="gramEnd"/>
    <w:r>
      <w:t>2020</w:t>
    </w:r>
    <w:r w:rsidRPr="00E54322">
      <w:t>)</w:t>
    </w:r>
    <w:r>
      <w:t>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424D" w14:textId="77777777" w:rsidR="00EB190E" w:rsidRDefault="00EB190E" w:rsidP="00123CDD">
    <w:pPr>
      <w:pStyle w:val="Header"/>
      <w:spacing w:after="2280"/>
    </w:pPr>
    <w:r>
      <w:rPr>
        <w:noProof/>
      </w:rPr>
      <w:drawing>
        <wp:anchor distT="0" distB="0" distL="114300" distR="114300" simplePos="0" relativeHeight="251658240" behindDoc="1" locked="0" layoutInCell="0" allowOverlap="0" wp14:anchorId="20C970A0" wp14:editId="6AF26325">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2A4F6F4"/>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1C6CDB0A"/>
    <w:lvl w:ilvl="0">
      <w:start w:val="1"/>
      <w:numFmt w:val="bullet"/>
      <w:pStyle w:val="ListBullet"/>
      <w:lvlText w:val=""/>
      <w:lvlJc w:val="left"/>
      <w:pPr>
        <w:tabs>
          <w:tab w:val="num" w:pos="1636"/>
        </w:tabs>
        <w:ind w:left="1636" w:hanging="360"/>
      </w:pPr>
      <w:rPr>
        <w:rFonts w:ascii="Symbol" w:hAnsi="Symbol" w:hint="default"/>
      </w:rPr>
    </w:lvl>
  </w:abstractNum>
  <w:abstractNum w:abstractNumId="2" w15:restartNumberingAfterBreak="0">
    <w:nsid w:val="07B977BC"/>
    <w:multiLevelType w:val="hybridMultilevel"/>
    <w:tmpl w:val="1CF6911E"/>
    <w:lvl w:ilvl="0" w:tplc="989E68C2">
      <w:start w:val="1"/>
      <w:numFmt w:val="upperLetter"/>
      <w:pStyle w:val="Heading2"/>
      <w:lvlText w:val="%1."/>
      <w:lvlJc w:val="left"/>
      <w:pPr>
        <w:ind w:left="360" w:hanging="360"/>
      </w:pPr>
      <w:rPr>
        <w:sz w:val="20"/>
        <w:szCs w:val="2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34794340"/>
    <w:multiLevelType w:val="multilevel"/>
    <w:tmpl w:val="1DCA2294"/>
    <w:lvl w:ilvl="0">
      <w:start w:val="1"/>
      <w:numFmt w:val="upperLetter"/>
      <w:pStyle w:val="Sourcenotes"/>
      <w:lvlText w:val="%1."/>
      <w:lvlJc w:val="left"/>
      <w:pPr>
        <w:ind w:left="851" w:hanging="851"/>
      </w:pPr>
      <w:rPr>
        <w:rFonts w:hint="default"/>
      </w:rPr>
    </w:lvl>
    <w:lvl w:ilvl="1">
      <w:start w:val="1"/>
      <w:numFmt w:val="decimal"/>
      <w:pStyle w:val="TableRow"/>
      <w:lvlText w:val="%1.%2."/>
      <w:lvlJc w:val="left"/>
      <w:pPr>
        <w:ind w:left="851" w:hanging="851"/>
      </w:pPr>
      <w:rPr>
        <w:rFonts w:hint="default"/>
      </w:rPr>
    </w:lvl>
    <w:lvl w:ilvl="2">
      <w:start w:val="1"/>
      <w:numFmt w:val="decimal"/>
      <w:lvlRestart w:val="1"/>
      <w:pStyle w:val="Heading5-Numbered"/>
      <w:lvlText w:val="%3.%2.%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A91E35"/>
    <w:multiLevelType w:val="multilevel"/>
    <w:tmpl w:val="2A54515A"/>
    <w:lvl w:ilvl="0">
      <w:start w:val="1"/>
      <w:numFmt w:val="upperRoman"/>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upperLetter"/>
      <w:lvlText w:val="%3."/>
      <w:lvlJc w:val="right"/>
      <w:pPr>
        <w:ind w:left="0" w:firstLine="0"/>
      </w:pPr>
      <w:rPr>
        <w:rFonts w:hint="default"/>
      </w:rPr>
    </w:lvl>
    <w:lvl w:ilvl="3">
      <w:start w:val="1"/>
      <w:numFmt w:val="upperLetter"/>
      <w:lvlText w:val="%4."/>
      <w:lvlJc w:val="left"/>
      <w:pPr>
        <w:ind w:left="0" w:firstLine="0"/>
      </w:pPr>
      <w:rPr>
        <w:rFonts w:hint="default"/>
      </w:rPr>
    </w:lvl>
    <w:lvl w:ilvl="4">
      <w:start w:val="1"/>
      <w:numFmt w:val="decimal"/>
      <w:lvlText w:val="%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3AB039A4"/>
    <w:multiLevelType w:val="hybridMultilevel"/>
    <w:tmpl w:val="FD86C6A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71621838"/>
    <w:multiLevelType w:val="hybridMultilevel"/>
    <w:tmpl w:val="7E74C90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21C7489"/>
    <w:multiLevelType w:val="hybridMultilevel"/>
    <w:tmpl w:val="86167528"/>
    <w:lvl w:ilvl="0" w:tplc="04FC8310">
      <w:start w:val="1"/>
      <w:numFmt w:val="decimal"/>
      <w:pStyle w:val="Paragraph"/>
      <w:lvlText w:val="%1."/>
      <w:lvlJc w:val="left"/>
      <w:pPr>
        <w:ind w:left="709" w:firstLine="0"/>
      </w:pPr>
      <w:rPr>
        <w:rFonts w:hint="default"/>
        <w:b w:val="0"/>
        <w:i w:val="0"/>
        <w:color w:val="auto"/>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D45233"/>
    <w:multiLevelType w:val="hybridMultilevel"/>
    <w:tmpl w:val="9EB06990"/>
    <w:lvl w:ilvl="0" w:tplc="10B8E672">
      <w:start w:val="1"/>
      <w:numFmt w:val="decimal"/>
      <w:pStyle w:val="Numberedparagraph"/>
      <w:lvlText w:val="%1."/>
      <w:lvlJc w:val="left"/>
      <w:pPr>
        <w:ind w:left="142" w:firstLine="0"/>
      </w:pPr>
      <w:rPr>
        <w:rFonts w:ascii="Arial" w:hAnsi="Arial" w:cs="Arial" w:hint="default"/>
        <w:b w:val="0"/>
        <w:i w:val="0"/>
        <w:color w:val="auto"/>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2"/>
  </w:num>
  <w:num w:numId="5">
    <w:abstractNumId w:val="4"/>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CF"/>
    <w:rsid w:val="0001238D"/>
    <w:rsid w:val="00035FDF"/>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47FB"/>
    <w:rsid w:val="001E7C29"/>
    <w:rsid w:val="001F297D"/>
    <w:rsid w:val="001F4F04"/>
    <w:rsid w:val="00214299"/>
    <w:rsid w:val="002250DD"/>
    <w:rsid w:val="0023437D"/>
    <w:rsid w:val="00242ABB"/>
    <w:rsid w:val="00251353"/>
    <w:rsid w:val="00262B36"/>
    <w:rsid w:val="00265917"/>
    <w:rsid w:val="002660DB"/>
    <w:rsid w:val="00270954"/>
    <w:rsid w:val="00272E67"/>
    <w:rsid w:val="002746C8"/>
    <w:rsid w:val="002861FB"/>
    <w:rsid w:val="00291980"/>
    <w:rsid w:val="00293EE6"/>
    <w:rsid w:val="002C0872"/>
    <w:rsid w:val="002C20BA"/>
    <w:rsid w:val="002C43B5"/>
    <w:rsid w:val="002C4704"/>
    <w:rsid w:val="002D0655"/>
    <w:rsid w:val="002D11B8"/>
    <w:rsid w:val="002E4089"/>
    <w:rsid w:val="002F3006"/>
    <w:rsid w:val="002F405C"/>
    <w:rsid w:val="002F6BB7"/>
    <w:rsid w:val="00303712"/>
    <w:rsid w:val="00305CE5"/>
    <w:rsid w:val="00317D0C"/>
    <w:rsid w:val="003354C4"/>
    <w:rsid w:val="00335CAF"/>
    <w:rsid w:val="003364D1"/>
    <w:rsid w:val="0037200F"/>
    <w:rsid w:val="00373957"/>
    <w:rsid w:val="00381C50"/>
    <w:rsid w:val="00385587"/>
    <w:rsid w:val="00392D1D"/>
    <w:rsid w:val="003A4B31"/>
    <w:rsid w:val="003A5509"/>
    <w:rsid w:val="003B2C8C"/>
    <w:rsid w:val="003B345B"/>
    <w:rsid w:val="003C2ACA"/>
    <w:rsid w:val="003C34CD"/>
    <w:rsid w:val="003D3B17"/>
    <w:rsid w:val="003D48AE"/>
    <w:rsid w:val="003D6AC2"/>
    <w:rsid w:val="003F3D4B"/>
    <w:rsid w:val="0040027C"/>
    <w:rsid w:val="00400868"/>
    <w:rsid w:val="004256CB"/>
    <w:rsid w:val="004329B7"/>
    <w:rsid w:val="00443709"/>
    <w:rsid w:val="00447D22"/>
    <w:rsid w:val="004553F6"/>
    <w:rsid w:val="00480D8B"/>
    <w:rsid w:val="00490E49"/>
    <w:rsid w:val="004A37E1"/>
    <w:rsid w:val="004C0C2F"/>
    <w:rsid w:val="004C0F76"/>
    <w:rsid w:val="004C11B3"/>
    <w:rsid w:val="0050115D"/>
    <w:rsid w:val="0054041B"/>
    <w:rsid w:val="00550B6C"/>
    <w:rsid w:val="00574663"/>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E6FA7"/>
    <w:rsid w:val="006F0318"/>
    <w:rsid w:val="006F6B48"/>
    <w:rsid w:val="00712E65"/>
    <w:rsid w:val="007150DE"/>
    <w:rsid w:val="00721866"/>
    <w:rsid w:val="00735569"/>
    <w:rsid w:val="007541C7"/>
    <w:rsid w:val="00761627"/>
    <w:rsid w:val="00773CFE"/>
    <w:rsid w:val="00780B1B"/>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B765C"/>
    <w:rsid w:val="008C12CC"/>
    <w:rsid w:val="00916BF5"/>
    <w:rsid w:val="009215B8"/>
    <w:rsid w:val="00923554"/>
    <w:rsid w:val="009270C4"/>
    <w:rsid w:val="00940F14"/>
    <w:rsid w:val="009432D0"/>
    <w:rsid w:val="00950D67"/>
    <w:rsid w:val="009527D7"/>
    <w:rsid w:val="00955512"/>
    <w:rsid w:val="00963962"/>
    <w:rsid w:val="00974C41"/>
    <w:rsid w:val="009B3AB7"/>
    <w:rsid w:val="009C5258"/>
    <w:rsid w:val="009D28F3"/>
    <w:rsid w:val="009F2FCF"/>
    <w:rsid w:val="00A12DEC"/>
    <w:rsid w:val="00A22D53"/>
    <w:rsid w:val="00A37E36"/>
    <w:rsid w:val="00A474E5"/>
    <w:rsid w:val="00A842D4"/>
    <w:rsid w:val="00A93CA3"/>
    <w:rsid w:val="00AB6552"/>
    <w:rsid w:val="00AB67F8"/>
    <w:rsid w:val="00AB7727"/>
    <w:rsid w:val="00AC30A2"/>
    <w:rsid w:val="00AC73AA"/>
    <w:rsid w:val="00AE76B8"/>
    <w:rsid w:val="00AF6B5B"/>
    <w:rsid w:val="00B06133"/>
    <w:rsid w:val="00B129D8"/>
    <w:rsid w:val="00B227AE"/>
    <w:rsid w:val="00B41B03"/>
    <w:rsid w:val="00B41EC3"/>
    <w:rsid w:val="00B63F08"/>
    <w:rsid w:val="00B81BAC"/>
    <w:rsid w:val="00B849E0"/>
    <w:rsid w:val="00B90246"/>
    <w:rsid w:val="00B920E4"/>
    <w:rsid w:val="00BA79A3"/>
    <w:rsid w:val="00BB7DCE"/>
    <w:rsid w:val="00BD25C0"/>
    <w:rsid w:val="00BF78B3"/>
    <w:rsid w:val="00C049EE"/>
    <w:rsid w:val="00C109FD"/>
    <w:rsid w:val="00C14C2C"/>
    <w:rsid w:val="00C3113B"/>
    <w:rsid w:val="00C409C2"/>
    <w:rsid w:val="00C74E6F"/>
    <w:rsid w:val="00C803A5"/>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B190E"/>
    <w:rsid w:val="00EE34E3"/>
    <w:rsid w:val="00F01885"/>
    <w:rsid w:val="00F168A4"/>
    <w:rsid w:val="00F2380B"/>
    <w:rsid w:val="00F24713"/>
    <w:rsid w:val="00F40699"/>
    <w:rsid w:val="00F433D6"/>
    <w:rsid w:val="00F61D34"/>
    <w:rsid w:val="00F76BBD"/>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DFF976"/>
  <w15:docId w15:val="{39CAAADF-11B3-44A3-B822-1746BF08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F58C3"/>
    <w:rPr>
      <w:rFonts w:ascii="Arial" w:hAnsi="Arial"/>
      <w:szCs w:val="22"/>
      <w:lang w:eastAsia="en-US"/>
    </w:rPr>
  </w:style>
  <w:style w:type="paragraph" w:styleId="Heading2">
    <w:name w:val="heading 2"/>
    <w:basedOn w:val="Normal"/>
    <w:next w:val="Normal"/>
    <w:link w:val="Heading2Char"/>
    <w:uiPriority w:val="9"/>
    <w:unhideWhenUsed/>
    <w:qFormat/>
    <w:rsid w:val="003C34CD"/>
    <w:pPr>
      <w:numPr>
        <w:numId w:val="4"/>
      </w:numPr>
      <w:spacing w:before="240" w:after="240"/>
      <w:ind w:left="0" w:firstLine="0"/>
      <w:outlineLvl w:val="1"/>
    </w:pPr>
    <w:rPr>
      <w:rFonts w:asciiTheme="minorHAnsi" w:eastAsia="Times New Roman" w:hAnsiTheme="minorHAnsi" w:cs="Arial"/>
      <w:b/>
      <w:sz w:val="22"/>
      <w:lang w:eastAsia="fr-FR"/>
    </w:rPr>
  </w:style>
  <w:style w:type="paragraph" w:styleId="Heading3">
    <w:name w:val="heading 3"/>
    <w:basedOn w:val="Heading4"/>
    <w:next w:val="Normal"/>
    <w:link w:val="Heading3Char"/>
    <w:uiPriority w:val="9"/>
    <w:unhideWhenUsed/>
    <w:qFormat/>
    <w:rsid w:val="003C34CD"/>
    <w:pPr>
      <w:keepNext w:val="0"/>
      <w:keepLines w:val="0"/>
      <w:spacing w:before="240" w:after="240"/>
      <w:outlineLvl w:val="2"/>
    </w:pPr>
    <w:rPr>
      <w:rFonts w:asciiTheme="minorHAnsi" w:hAnsiTheme="minorHAnsi" w:cs="Arial"/>
      <w:b/>
      <w:iCs w:val="0"/>
      <w:caps/>
      <w:color w:val="auto"/>
      <w:sz w:val="22"/>
      <w:lang w:eastAsia="fr-FR"/>
    </w:rPr>
  </w:style>
  <w:style w:type="paragraph" w:styleId="Heading4">
    <w:name w:val="heading 4"/>
    <w:basedOn w:val="Normal"/>
    <w:next w:val="Normal"/>
    <w:link w:val="Heading4Char"/>
    <w:uiPriority w:val="9"/>
    <w:semiHidden/>
    <w:unhideWhenUsed/>
    <w:qFormat/>
    <w:rsid w:val="003C34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qFormat/>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unhideWhenUsed/>
    <w:rsid w:val="00853C90"/>
    <w:rPr>
      <w:vertAlign w:val="superscript"/>
    </w:rPr>
  </w:style>
  <w:style w:type="character" w:customStyle="1" w:styleId="Heading2Char">
    <w:name w:val="Heading 2 Char"/>
    <w:basedOn w:val="DefaultParagraphFont"/>
    <w:link w:val="Heading2"/>
    <w:uiPriority w:val="9"/>
    <w:rsid w:val="003C34CD"/>
    <w:rPr>
      <w:rFonts w:asciiTheme="minorHAnsi" w:eastAsia="Times New Roman" w:hAnsiTheme="minorHAnsi" w:cs="Arial"/>
      <w:b/>
      <w:sz w:val="22"/>
      <w:szCs w:val="22"/>
      <w:lang w:eastAsia="fr-FR"/>
    </w:rPr>
  </w:style>
  <w:style w:type="character" w:customStyle="1" w:styleId="Heading3Char">
    <w:name w:val="Heading 3 Char"/>
    <w:basedOn w:val="DefaultParagraphFont"/>
    <w:link w:val="Heading3"/>
    <w:uiPriority w:val="9"/>
    <w:rsid w:val="003C34CD"/>
    <w:rPr>
      <w:rFonts w:asciiTheme="minorHAnsi" w:eastAsiaTheme="majorEastAsia" w:hAnsiTheme="minorHAnsi" w:cs="Arial"/>
      <w:b/>
      <w:i/>
      <w:caps/>
      <w:sz w:val="22"/>
      <w:szCs w:val="22"/>
      <w:lang w:eastAsia="fr-FR"/>
    </w:rPr>
  </w:style>
  <w:style w:type="paragraph" w:customStyle="1" w:styleId="Numberedparagraph">
    <w:name w:val="Numbered paragraph"/>
    <w:basedOn w:val="Normal"/>
    <w:qFormat/>
    <w:rsid w:val="003C34CD"/>
    <w:pPr>
      <w:keepLines/>
      <w:numPr>
        <w:numId w:val="1"/>
      </w:numPr>
      <w:tabs>
        <w:tab w:val="left" w:pos="851"/>
      </w:tabs>
      <w:spacing w:after="120"/>
      <w:ind w:left="0"/>
      <w:jc w:val="both"/>
    </w:pPr>
    <w:rPr>
      <w:rFonts w:asciiTheme="minorHAnsi" w:eastAsia="Times New Roman" w:hAnsiTheme="minorHAnsi" w:cs="Arial"/>
      <w:sz w:val="22"/>
      <w:lang w:eastAsia="fr-FR"/>
    </w:rPr>
  </w:style>
  <w:style w:type="paragraph" w:styleId="ListParagraph">
    <w:name w:val="List Paragraph"/>
    <w:basedOn w:val="Normal"/>
    <w:uiPriority w:val="34"/>
    <w:qFormat/>
    <w:rsid w:val="003C34CD"/>
    <w:pPr>
      <w:ind w:left="720"/>
      <w:contextualSpacing/>
      <w:jc w:val="both"/>
    </w:pPr>
    <w:rPr>
      <w:rFonts w:ascii="Calibri" w:eastAsia="Times New Roman" w:hAnsi="Calibri"/>
      <w:sz w:val="22"/>
    </w:rPr>
  </w:style>
  <w:style w:type="paragraph" w:styleId="Caption">
    <w:name w:val="caption"/>
    <w:basedOn w:val="Normal"/>
    <w:next w:val="Normal"/>
    <w:unhideWhenUsed/>
    <w:qFormat/>
    <w:rsid w:val="003C34CD"/>
    <w:pPr>
      <w:keepNext/>
      <w:spacing w:before="240" w:after="120"/>
    </w:pPr>
    <w:rPr>
      <w:rFonts w:ascii="Calibri" w:eastAsia="Times New Roman" w:hAnsi="Calibri"/>
      <w:b/>
      <w:bCs/>
      <w:sz w:val="22"/>
      <w:szCs w:val="18"/>
    </w:rPr>
  </w:style>
  <w:style w:type="paragraph" w:customStyle="1" w:styleId="Paragraph">
    <w:name w:val="Paragraph #"/>
    <w:basedOn w:val="Normal"/>
    <w:link w:val="ParagraphChar"/>
    <w:qFormat/>
    <w:rsid w:val="003C34CD"/>
    <w:pPr>
      <w:numPr>
        <w:numId w:val="2"/>
      </w:numPr>
      <w:tabs>
        <w:tab w:val="left" w:pos="850"/>
        <w:tab w:val="left" w:pos="1191"/>
        <w:tab w:val="left" w:pos="1531"/>
      </w:tabs>
      <w:spacing w:before="120" w:after="120"/>
      <w:ind w:left="0"/>
      <w:jc w:val="both"/>
    </w:pPr>
    <w:rPr>
      <w:rFonts w:asciiTheme="minorHAnsi" w:eastAsia="Times New Roman" w:hAnsiTheme="minorHAnsi" w:cstheme="minorHAnsi"/>
      <w:sz w:val="22"/>
    </w:rPr>
  </w:style>
  <w:style w:type="character" w:customStyle="1" w:styleId="ParagraphChar">
    <w:name w:val="Paragraph # Char"/>
    <w:basedOn w:val="DefaultParagraphFont"/>
    <w:link w:val="Paragraph"/>
    <w:rsid w:val="003C34CD"/>
    <w:rPr>
      <w:rFonts w:asciiTheme="minorHAnsi" w:eastAsia="Times New Roman" w:hAnsiTheme="minorHAnsi" w:cstheme="minorHAnsi"/>
      <w:sz w:val="22"/>
      <w:szCs w:val="22"/>
      <w:lang w:eastAsia="en-US"/>
    </w:rPr>
  </w:style>
  <w:style w:type="paragraph" w:customStyle="1" w:styleId="Sourcenotes">
    <w:name w:val="Source &amp; notes"/>
    <w:basedOn w:val="Normal"/>
    <w:uiPriority w:val="9"/>
    <w:qFormat/>
    <w:rsid w:val="003C34CD"/>
    <w:pPr>
      <w:keepLines/>
      <w:numPr>
        <w:numId w:val="7"/>
      </w:numPr>
      <w:spacing w:before="120" w:after="240"/>
      <w:ind w:left="680" w:right="680" w:firstLine="0"/>
      <w:contextualSpacing/>
      <w:jc w:val="both"/>
    </w:pPr>
    <w:rPr>
      <w:rFonts w:ascii="Times New Roman" w:eastAsia="SimSun" w:hAnsi="Times New Roman" w:cs="Arial"/>
      <w:sz w:val="18"/>
      <w:szCs w:val="18"/>
    </w:rPr>
  </w:style>
  <w:style w:type="paragraph" w:customStyle="1" w:styleId="TableRow">
    <w:name w:val="Table Row"/>
    <w:basedOn w:val="Normal"/>
    <w:uiPriority w:val="10"/>
    <w:qFormat/>
    <w:rsid w:val="003C34CD"/>
    <w:pPr>
      <w:keepNext/>
      <w:keepLines/>
      <w:numPr>
        <w:ilvl w:val="1"/>
        <w:numId w:val="7"/>
      </w:numPr>
      <w:tabs>
        <w:tab w:val="left" w:pos="340"/>
        <w:tab w:val="left" w:pos="680"/>
      </w:tabs>
      <w:spacing w:before="20" w:after="20"/>
      <w:ind w:left="0" w:firstLine="0"/>
    </w:pPr>
    <w:rPr>
      <w:rFonts w:ascii="Arial Narrow" w:eastAsia="SimSun" w:hAnsi="Arial Narrow" w:cs="Arial"/>
      <w:sz w:val="17"/>
      <w:szCs w:val="18"/>
    </w:rPr>
  </w:style>
  <w:style w:type="paragraph" w:customStyle="1" w:styleId="SourceNotes0">
    <w:name w:val="Source &amp; Notes"/>
    <w:basedOn w:val="Normal"/>
    <w:link w:val="SourceNotesChar"/>
    <w:qFormat/>
    <w:rsid w:val="003C34CD"/>
    <w:pPr>
      <w:autoSpaceDE w:val="0"/>
      <w:autoSpaceDN w:val="0"/>
      <w:adjustRightInd w:val="0"/>
      <w:jc w:val="both"/>
    </w:pPr>
    <w:rPr>
      <w:rFonts w:ascii="Calibri" w:eastAsia="Times New Roman" w:hAnsi="Calibri"/>
      <w:sz w:val="18"/>
      <w:szCs w:val="18"/>
    </w:rPr>
  </w:style>
  <w:style w:type="character" w:customStyle="1" w:styleId="SourceNotesChar">
    <w:name w:val="Source &amp; Notes Char"/>
    <w:basedOn w:val="DefaultParagraphFont"/>
    <w:link w:val="SourceNotes0"/>
    <w:rsid w:val="003C34CD"/>
    <w:rPr>
      <w:rFonts w:eastAsia="Times New Roman"/>
      <w:sz w:val="18"/>
      <w:szCs w:val="18"/>
      <w:lang w:eastAsia="en-US"/>
    </w:rPr>
  </w:style>
  <w:style w:type="paragraph" w:styleId="ListBullet">
    <w:name w:val="List Bullet"/>
    <w:basedOn w:val="Normal"/>
    <w:uiPriority w:val="99"/>
    <w:unhideWhenUsed/>
    <w:rsid w:val="003C34CD"/>
    <w:pPr>
      <w:numPr>
        <w:numId w:val="3"/>
      </w:numPr>
      <w:spacing w:before="120" w:after="120"/>
      <w:jc w:val="both"/>
    </w:pPr>
    <w:rPr>
      <w:rFonts w:ascii="Calibri" w:eastAsia="Times New Roman" w:hAnsi="Calibri"/>
      <w:sz w:val="22"/>
      <w:lang w:eastAsia="zh-CN"/>
    </w:rPr>
  </w:style>
  <w:style w:type="paragraph" w:customStyle="1" w:styleId="Heading5-Numbered">
    <w:name w:val="Heading 5 - Numbered"/>
    <w:basedOn w:val="Heading4"/>
    <w:qFormat/>
    <w:rsid w:val="003C34CD"/>
    <w:pPr>
      <w:keepNext w:val="0"/>
      <w:keepLines w:val="0"/>
      <w:numPr>
        <w:ilvl w:val="2"/>
        <w:numId w:val="7"/>
      </w:numPr>
      <w:tabs>
        <w:tab w:val="num" w:pos="360"/>
        <w:tab w:val="left" w:pos="851"/>
      </w:tabs>
      <w:spacing w:before="240" w:after="240"/>
    </w:pPr>
    <w:rPr>
      <w:rFonts w:asciiTheme="minorHAnsi" w:eastAsia="Times New Roman" w:hAnsiTheme="minorHAnsi" w:cs="Arial"/>
      <w:b/>
      <w:iCs w:val="0"/>
      <w:color w:val="auto"/>
      <w:sz w:val="22"/>
      <w:u w:val="single"/>
      <w:lang w:eastAsia="fr-FR"/>
    </w:rPr>
  </w:style>
  <w:style w:type="paragraph" w:styleId="ListNumber2">
    <w:name w:val="List Number 2"/>
    <w:basedOn w:val="Normal"/>
    <w:uiPriority w:val="99"/>
    <w:semiHidden/>
    <w:unhideWhenUsed/>
    <w:rsid w:val="003C34CD"/>
    <w:pPr>
      <w:numPr>
        <w:numId w:val="6"/>
      </w:numPr>
      <w:contextualSpacing/>
      <w:jc w:val="both"/>
    </w:pPr>
    <w:rPr>
      <w:rFonts w:ascii="Calibri" w:eastAsia="Times New Roman" w:hAnsi="Calibri"/>
      <w:sz w:val="22"/>
    </w:rPr>
  </w:style>
  <w:style w:type="paragraph" w:customStyle="1" w:styleId="Heading2-Numbered">
    <w:name w:val="Heading 2 - Numbered"/>
    <w:basedOn w:val="Heading2"/>
    <w:link w:val="Heading2-NumberedChar"/>
    <w:qFormat/>
    <w:rsid w:val="003C34CD"/>
    <w:pPr>
      <w:keepNext/>
      <w:numPr>
        <w:numId w:val="0"/>
      </w:numPr>
      <w:tabs>
        <w:tab w:val="left" w:pos="850"/>
        <w:tab w:val="left" w:pos="1191"/>
        <w:tab w:val="left" w:pos="1531"/>
      </w:tabs>
      <w:ind w:left="851" w:hanging="851"/>
      <w:jc w:val="both"/>
    </w:pPr>
    <w:rPr>
      <w:bCs/>
      <w:caps/>
    </w:rPr>
  </w:style>
  <w:style w:type="character" w:customStyle="1" w:styleId="Heading2-NumberedChar">
    <w:name w:val="Heading 2 - Numbered Char"/>
    <w:basedOn w:val="Heading2Char"/>
    <w:link w:val="Heading2-Numbered"/>
    <w:rsid w:val="003C34CD"/>
    <w:rPr>
      <w:rFonts w:asciiTheme="minorHAnsi" w:eastAsia="Times New Roman" w:hAnsiTheme="minorHAnsi" w:cs="Arial"/>
      <w:b/>
      <w:bCs/>
      <w:caps/>
      <w:sz w:val="22"/>
      <w:szCs w:val="22"/>
      <w:lang w:eastAsia="fr-FR"/>
    </w:rPr>
  </w:style>
  <w:style w:type="paragraph" w:customStyle="1" w:styleId="Paragraph0">
    <w:name w:val="Paragraph"/>
    <w:basedOn w:val="Paragraph"/>
    <w:link w:val="ParagraphChar0"/>
    <w:qFormat/>
    <w:rsid w:val="003C34CD"/>
    <w:pPr>
      <w:numPr>
        <w:numId w:val="0"/>
      </w:numPr>
    </w:pPr>
  </w:style>
  <w:style w:type="character" w:customStyle="1" w:styleId="ParagraphChar0">
    <w:name w:val="Paragraph Char"/>
    <w:basedOn w:val="ParagraphChar"/>
    <w:link w:val="Paragraph0"/>
    <w:rsid w:val="003C34CD"/>
    <w:rPr>
      <w:rFonts w:asciiTheme="minorHAnsi" w:eastAsia="Times New Roman" w:hAnsiTheme="minorHAnsi" w:cstheme="minorHAnsi"/>
      <w:sz w:val="22"/>
      <w:szCs w:val="22"/>
      <w:lang w:eastAsia="en-US"/>
    </w:rPr>
  </w:style>
  <w:style w:type="character" w:customStyle="1" w:styleId="Heading4Char">
    <w:name w:val="Heading 4 Char"/>
    <w:basedOn w:val="DefaultParagraphFont"/>
    <w:link w:val="Heading4"/>
    <w:uiPriority w:val="9"/>
    <w:semiHidden/>
    <w:rsid w:val="003C34CD"/>
    <w:rPr>
      <w:rFonts w:asciiTheme="majorHAnsi" w:eastAsiaTheme="majorEastAsia" w:hAnsiTheme="majorHAnsi" w:cstheme="majorBidi"/>
      <w:i/>
      <w:iCs/>
      <w:color w:val="365F91" w:themeColor="accent1" w:themeShade="BF"/>
      <w:szCs w:val="22"/>
      <w:lang w:eastAsia="en-US"/>
    </w:rPr>
  </w:style>
  <w:style w:type="character" w:styleId="UnresolvedMention">
    <w:name w:val="Unresolved Mention"/>
    <w:basedOn w:val="DefaultParagraphFont"/>
    <w:uiPriority w:val="99"/>
    <w:semiHidden/>
    <w:unhideWhenUsed/>
    <w:rsid w:val="00EB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tax/transparency/about-the-global-forum/member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fatf-gafi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ecd.org/tax/transparency/exchange-of-information-on-reques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8450/st07441-en19-eu-list-oop.pdf" TargetMode="External"/><Relationship Id="rId2" Type="http://schemas.openxmlformats.org/officeDocument/2006/relationships/hyperlink" Target="https://www.oecd.org/tax/transparency/exchange-of-information-on-request/ratings/details-ratings-second-round-EOIR-peer-reviews.pdf" TargetMode="External"/><Relationship Id="rId1" Type="http://schemas.openxmlformats.org/officeDocument/2006/relationships/hyperlink" Target="https://protect2.fireeye.com/url?k=062e4eec-5a350764-062e652f-002590f45c88-a44f4e797a489a4b&amp;q=1&amp;u=https%3A%2F%2Feur02.safelinks.protection.outlook.com%2F%3Furl%3Dhttps%253A%252F%252Fprotect2.fireeye.com%252Furl%253Fk%253Df6512f2f-aa4a66a7-f65104ec-002590f45c88-f9f5553ca32b77f9%2526q%253D1%2526u%253Dhttps%25253A%25252F%25252Feur02.safelinks.protection.outlook.com%25252F%25253Furl%25253Dhttps%2525253A%2525252F%2525252Fwww.oecd.org%2525252Ftax%2525252Ftransparency%2525252Fexchange-of-information-on-request%2525252Fratings%2525252F%252526data%25253D02%2525257C01%2525257CLeticia.ANDRES-SANCHEZ%25252540oecd.org%2525257C01b325b6edb8447f4bac08d73de6d676%2525257Cac41c7d41f61460db0f4fc925a2b471c%2525257C0%2525257C1%2525257C637045933964118490%252526sdata%25253D0dL503NLIZCd9mh3Uo%2525252BgYAlC4lw3jZbT0zG4q%2525252FfJWs0%2525253D%252526reserved%25253D0%26data%3D02%257C01%257CLeticia.ANDRES-SANCHEZ%2540oecd.org%257Cd4633b0e04254441e20108d73e892927%257Cac41c7d41f61460db0f4fc925a2b471c%257C0%257C0%257C637046631151584016%26sdata%3De33cVu4YRWJmdIusqEHORqDuhPuVb5sl4y%252Fmxf7mKNA%253D%26reserved%3D0" TargetMode="External"/><Relationship Id="rId6" Type="http://schemas.openxmlformats.org/officeDocument/2006/relationships/hyperlink" Target="http://www.fatf-gafi.org/media/fatf/documents/reports/mer-fsrb/CFATF-Cayman-Islands-Mutual-Evaluation.pdf" TargetMode="External"/><Relationship Id="rId5" Type="http://schemas.openxmlformats.org/officeDocument/2006/relationships/hyperlink" Target="https://www.consilium.europa.eu/media/42596/st06129-en20.pdf" TargetMode="External"/><Relationship Id="rId4" Type="http://schemas.openxmlformats.org/officeDocument/2006/relationships/hyperlink" Target="https://ec.europa.eu/taxation_customs/sites/taxation/files/eu_list_update_18_02_2020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C07D8AF-54C2-4507-AC14-5070412A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4924</Words>
  <Characters>27088</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31949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VARINOT Catherine</dc:creator>
  <cp:lastModifiedBy>HATTERSLEY Christine</cp:lastModifiedBy>
  <cp:revision>2</cp:revision>
  <cp:lastPrinted>2020-03-04T16:28:00Z</cp:lastPrinted>
  <dcterms:created xsi:type="dcterms:W3CDTF">2020-03-06T08:42:00Z</dcterms:created>
  <dcterms:modified xsi:type="dcterms:W3CDTF">2020-03-06T08:42:00Z</dcterms:modified>
</cp:coreProperties>
</file>