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rsidR="002D11B8" w:rsidRPr="00AE4FE1" w:rsidRDefault="00AE4FE1" w:rsidP="00736698">
            <w:pPr>
              <w:ind w:left="-40"/>
              <w:jc w:val="center"/>
              <w:rPr>
                <w:rFonts w:ascii="Arial Narrow" w:hAnsi="Arial Narrow" w:cs="Arial"/>
                <w:b/>
                <w:sz w:val="24"/>
                <w:szCs w:val="24"/>
              </w:rPr>
            </w:pPr>
            <w:r w:rsidRPr="00AE4FE1">
              <w:rPr>
                <w:rFonts w:ascii="Arial Narrow" w:hAnsi="Arial Narrow" w:cs="Calibri"/>
                <w:b/>
                <w:sz w:val="24"/>
                <w:szCs w:val="24"/>
              </w:rPr>
              <w:t>CM(2019)30-a</w:t>
            </w:r>
            <w:bookmarkStart w:id="0" w:name="_GoBack"/>
            <w:bookmarkEnd w:id="0"/>
            <w:r w:rsidRPr="00AE4FE1">
              <w:rPr>
                <w:rFonts w:ascii="Arial Narrow" w:hAnsi="Arial Narrow" w:cs="Calibri"/>
                <w:b/>
                <w:sz w:val="24"/>
                <w:szCs w:val="24"/>
              </w:rPr>
              <w:t>dd</w:t>
            </w:r>
          </w:p>
        </w:tc>
        <w:tc>
          <w:tcPr>
            <w:tcW w:w="1250" w:type="pct"/>
            <w:shd w:val="clear" w:color="auto" w:fill="auto"/>
            <w:vAlign w:val="center"/>
          </w:tcPr>
          <w:p w:rsidR="002D11B8" w:rsidRPr="00F96689" w:rsidRDefault="00944A4B" w:rsidP="00944A4B">
            <w:pPr>
              <w:jc w:val="right"/>
              <w:rPr>
                <w:rFonts w:ascii="Arial Narrow" w:hAnsi="Arial Narrow" w:cs="Arial"/>
                <w:sz w:val="16"/>
                <w:szCs w:val="16"/>
              </w:rPr>
            </w:pPr>
            <w:r>
              <w:rPr>
                <w:rFonts w:ascii="Arial Narrow" w:hAnsi="Arial Narrow" w:cs="Calibri"/>
                <w:sz w:val="16"/>
                <w:szCs w:val="16"/>
              </w:rPr>
              <w:t xml:space="preserve">25 janvier </w:t>
            </w:r>
            <w:r w:rsidR="00440CB1">
              <w:rPr>
                <w:rFonts w:ascii="Arial Narrow" w:hAnsi="Arial Narrow" w:cs="Calibri"/>
                <w:sz w:val="16"/>
                <w:szCs w:val="16"/>
              </w:rPr>
              <w:t>2019</w:t>
            </w:r>
            <w:r w:rsidR="00853C90" w:rsidRPr="00B920E4">
              <w:rPr>
                <w:rStyle w:val="FootnoteReference"/>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rsidTr="00491E67">
        <w:tc>
          <w:tcPr>
            <w:tcW w:w="9399" w:type="dxa"/>
            <w:shd w:val="clear" w:color="auto" w:fill="auto"/>
            <w:tcMar>
              <w:top w:w="227" w:type="dxa"/>
              <w:bottom w:w="227" w:type="dxa"/>
            </w:tcMar>
            <w:vAlign w:val="center"/>
          </w:tcPr>
          <w:p w:rsidR="00E24C57" w:rsidRPr="00AD0EFC" w:rsidRDefault="003D6AC2" w:rsidP="00491E67">
            <w:pPr>
              <w:widowControl w:val="0"/>
              <w:autoSpaceDE w:val="0"/>
              <w:autoSpaceDN w:val="0"/>
              <w:adjustRightInd w:val="0"/>
              <w:rPr>
                <w:rFonts w:ascii="Arial Narrow" w:hAnsi="Arial Narrow" w:cs="Calibri"/>
                <w:b/>
                <w:bCs/>
                <w:sz w:val="32"/>
                <w:szCs w:val="32"/>
              </w:rPr>
            </w:pPr>
            <w:r w:rsidRPr="00AD0EFC">
              <w:rPr>
                <w:rFonts w:ascii="Arial Narrow" w:hAnsi="Arial Narrow" w:cs="Calibri"/>
                <w:b/>
                <w:bCs/>
                <w:sz w:val="32"/>
                <w:szCs w:val="32"/>
              </w:rPr>
              <w:t>1</w:t>
            </w:r>
            <w:r w:rsidR="000B5C6D">
              <w:rPr>
                <w:rFonts w:ascii="Arial Narrow" w:hAnsi="Arial Narrow" w:cs="Calibri"/>
                <w:b/>
                <w:bCs/>
                <w:sz w:val="32"/>
                <w:szCs w:val="32"/>
              </w:rPr>
              <w:t>3</w:t>
            </w:r>
            <w:r w:rsidR="00736698">
              <w:rPr>
                <w:rFonts w:ascii="Arial Narrow" w:hAnsi="Arial Narrow" w:cs="Calibri"/>
                <w:b/>
                <w:bCs/>
                <w:sz w:val="32"/>
                <w:szCs w:val="32"/>
              </w:rPr>
              <w:t>37</w:t>
            </w:r>
            <w:r w:rsidR="004D1C0F" w:rsidRPr="00AD0EFC">
              <w:rPr>
                <w:rFonts w:ascii="Arial Narrow" w:hAnsi="Arial Narrow" w:cs="Calibri"/>
                <w:b/>
                <w:bCs/>
                <w:sz w:val="32"/>
                <w:szCs w:val="32"/>
                <w:vertAlign w:val="superscript"/>
              </w:rPr>
              <w:t>e</w:t>
            </w:r>
            <w:r w:rsidR="004D1C0F" w:rsidRPr="00AD0EFC">
              <w:rPr>
                <w:rFonts w:ascii="Arial Narrow" w:hAnsi="Arial Narrow" w:cs="Calibri"/>
                <w:b/>
                <w:bCs/>
                <w:sz w:val="32"/>
                <w:szCs w:val="32"/>
              </w:rPr>
              <w:t xml:space="preserve"> réunion</w:t>
            </w:r>
            <w:r w:rsidRPr="00AD0EFC">
              <w:rPr>
                <w:rFonts w:ascii="Arial Narrow" w:hAnsi="Arial Narrow" w:cs="Calibri"/>
                <w:b/>
                <w:bCs/>
                <w:sz w:val="32"/>
                <w:szCs w:val="32"/>
              </w:rPr>
              <w:t xml:space="preserve">, </w:t>
            </w:r>
            <w:r w:rsidR="00736698">
              <w:rPr>
                <w:rFonts w:ascii="Arial Narrow" w:hAnsi="Arial Narrow" w:cs="Calibri"/>
                <w:b/>
                <w:bCs/>
                <w:sz w:val="32"/>
                <w:szCs w:val="32"/>
              </w:rPr>
              <w:t>13 février</w:t>
            </w:r>
            <w:r w:rsidRPr="00AD0EFC">
              <w:rPr>
                <w:rFonts w:ascii="Arial Narrow" w:hAnsi="Arial Narrow" w:cs="Calibri"/>
                <w:b/>
                <w:bCs/>
                <w:sz w:val="32"/>
                <w:szCs w:val="32"/>
              </w:rPr>
              <w:t xml:space="preserve"> </w:t>
            </w:r>
            <w:r w:rsidR="00440CB1">
              <w:rPr>
                <w:rFonts w:ascii="Arial Narrow" w:hAnsi="Arial Narrow" w:cs="Calibri"/>
                <w:b/>
                <w:bCs/>
                <w:sz w:val="32"/>
                <w:szCs w:val="32"/>
              </w:rPr>
              <w:t>2019</w:t>
            </w:r>
          </w:p>
          <w:p w:rsidR="00242ABB" w:rsidRPr="00AD0EFC" w:rsidRDefault="00736698" w:rsidP="00491E67">
            <w:pPr>
              <w:rPr>
                <w:rFonts w:ascii="Arial Narrow" w:hAnsi="Arial Narrow" w:cs="Calibri"/>
                <w:sz w:val="22"/>
              </w:rPr>
            </w:pPr>
            <w:r w:rsidRPr="00736698">
              <w:rPr>
                <w:rFonts w:ascii="Arial Narrow" w:hAnsi="Arial Narrow" w:cs="Calibri"/>
                <w:sz w:val="22"/>
              </w:rPr>
              <w:t>11 Programme, Budget et Administration</w:t>
            </w:r>
          </w:p>
          <w:p w:rsidR="0037200F" w:rsidRPr="00AD0EFC" w:rsidRDefault="00CE6FD2" w:rsidP="00491E67">
            <w:pPr>
              <w:rPr>
                <w:rFonts w:ascii="Arial Narrow" w:hAnsi="Arial Narrow" w:cs="Calibri"/>
                <w:i/>
                <w:szCs w:val="20"/>
              </w:rPr>
            </w:pPr>
            <w:r w:rsidRPr="00AD0EFC">
              <w:rPr>
                <w:rFonts w:ascii="Arial Narrow" w:hAnsi="Arial Narrow" w:cs="Calibri"/>
                <w:i/>
                <w:szCs w:val="20"/>
              </w:rPr>
              <w:t xml:space="preserve"> </w:t>
            </w:r>
          </w:p>
          <w:p w:rsidR="003D6AC2" w:rsidRPr="00AD0EFC" w:rsidRDefault="00736698" w:rsidP="00491E67">
            <w:pPr>
              <w:rPr>
                <w:rFonts w:ascii="Arial Narrow" w:hAnsi="Arial Narrow" w:cs="Calibri"/>
                <w:b/>
                <w:sz w:val="28"/>
                <w:szCs w:val="28"/>
              </w:rPr>
            </w:pPr>
            <w:r w:rsidRPr="00736698">
              <w:rPr>
                <w:rFonts w:ascii="Arial Narrow" w:hAnsi="Arial Narrow" w:cs="Calibri"/>
                <w:b/>
                <w:sz w:val="28"/>
                <w:szCs w:val="28"/>
              </w:rPr>
              <w:t>11.</w:t>
            </w:r>
            <w:r>
              <w:rPr>
                <w:rFonts w:ascii="Arial Narrow" w:hAnsi="Arial Narrow" w:cs="Calibri"/>
                <w:b/>
                <w:sz w:val="28"/>
                <w:szCs w:val="28"/>
              </w:rPr>
              <w:t>1</w:t>
            </w:r>
            <w:r w:rsidRPr="00736698">
              <w:rPr>
                <w:rFonts w:ascii="Arial Narrow" w:hAnsi="Arial Narrow" w:cs="Calibri"/>
                <w:b/>
                <w:sz w:val="28"/>
                <w:szCs w:val="28"/>
              </w:rPr>
              <w:t xml:space="preserve"> Désignation de l’Auditeur Externe</w:t>
            </w:r>
          </w:p>
          <w:p w:rsidR="000A307B" w:rsidRPr="00736698" w:rsidRDefault="000F785D" w:rsidP="00491E67">
            <w:pPr>
              <w:rPr>
                <w:rFonts w:ascii="Arial Narrow" w:hAnsi="Arial Narrow" w:cs="Calibri"/>
                <w:sz w:val="22"/>
              </w:rPr>
            </w:pPr>
            <w:r w:rsidRPr="000F785D">
              <w:rPr>
                <w:rFonts w:ascii="Arial Narrow" w:hAnsi="Arial Narrow" w:cs="Calibri"/>
                <w:sz w:val="22"/>
              </w:rPr>
              <w:t>Avis consultatif du Comité consultatif d’Audit et d’Évaluation</w:t>
            </w:r>
          </w:p>
        </w:tc>
      </w:tr>
    </w:tbl>
    <w:p w:rsidR="00491E67" w:rsidRPr="00AD0EFC" w:rsidRDefault="00491E67" w:rsidP="0037200F">
      <w:pPr>
        <w:rPr>
          <w:rFonts w:eastAsia="Times New Roman"/>
          <w:szCs w:val="24"/>
        </w:rPr>
      </w:pPr>
      <w:r w:rsidRPr="00AD0EFC">
        <w:rPr>
          <w:rFonts w:eastAsia="Times New Roman"/>
          <w:szCs w:val="24"/>
        </w:rPr>
        <w:t xml:space="preserve"> </w:t>
      </w:r>
    </w:p>
    <w:p w:rsidR="00491E67" w:rsidRDefault="00491E67" w:rsidP="0037200F">
      <w:pPr>
        <w:rPr>
          <w:rFonts w:eastAsia="Times New Roman"/>
          <w:szCs w:val="24"/>
        </w:rPr>
      </w:pPr>
      <w:r w:rsidRPr="00AD0EFC">
        <w:rPr>
          <w:rFonts w:eastAsia="Times New Roman"/>
          <w:szCs w:val="24"/>
        </w:rPr>
        <w:t xml:space="preserve"> </w:t>
      </w:r>
    </w:p>
    <w:p w:rsidR="000F785D" w:rsidRPr="00F056A2" w:rsidRDefault="000F785D" w:rsidP="000F785D">
      <w:pPr>
        <w:pStyle w:val="CMNormal"/>
        <w:jc w:val="both"/>
        <w:rPr>
          <w:b/>
          <w:lang w:val="fr-FR"/>
        </w:rPr>
      </w:pPr>
      <w:r w:rsidRPr="00F056A2">
        <w:rPr>
          <w:b/>
          <w:lang w:val="fr-FR"/>
        </w:rPr>
        <w:t>Objet</w:t>
      </w:r>
    </w:p>
    <w:p w:rsidR="000F785D" w:rsidRPr="00F056A2" w:rsidRDefault="000F785D" w:rsidP="000F785D">
      <w:pPr>
        <w:pStyle w:val="CMNormal"/>
        <w:jc w:val="both"/>
        <w:rPr>
          <w:b/>
          <w:lang w:val="fr-FR"/>
        </w:rPr>
      </w:pPr>
    </w:p>
    <w:p w:rsidR="000F785D" w:rsidRPr="00071456" w:rsidRDefault="000F785D" w:rsidP="000F785D">
      <w:pPr>
        <w:pStyle w:val="CMNormal"/>
        <w:numPr>
          <w:ilvl w:val="0"/>
          <w:numId w:val="14"/>
        </w:numPr>
        <w:ind w:left="0" w:firstLine="0"/>
        <w:rPr>
          <w:color w:val="auto"/>
          <w:lang w:val="fr-FR"/>
        </w:rPr>
      </w:pPr>
      <w:r w:rsidRPr="00F056A2">
        <w:rPr>
          <w:lang w:val="fr-FR"/>
        </w:rPr>
        <w:t xml:space="preserve">Le présent document, destiné au Comité des Ministres, expose l’avis consultatif du Comité consultatif d’Audit et d’Évaluation (CCAE) sur la conformité de la candidature au mandat d’Auditeur externe du Conseil de l’Europe pour cinq ans non renouvelables, couvrant les exercices financiers 2019 à 2023 inclus. L’avis est donné conformément à la procédure de désignation </w:t>
      </w:r>
      <w:r w:rsidRPr="00071456">
        <w:rPr>
          <w:color w:val="auto"/>
          <w:lang w:val="fr-FR"/>
        </w:rPr>
        <w:t>de l’Auditeur externe décrite dans les dispositions annexes du Règlement financier du Conseil de l’Europe, telles qu’adoptées par le Comité des Ministres à la 1117</w:t>
      </w:r>
      <w:r w:rsidRPr="00071456">
        <w:rPr>
          <w:color w:val="auto"/>
          <w:vertAlign w:val="superscript"/>
          <w:lang w:val="fr-FR"/>
        </w:rPr>
        <w:t>e</w:t>
      </w:r>
      <w:r w:rsidR="00CC0968" w:rsidRPr="00071456">
        <w:rPr>
          <w:color w:val="auto"/>
          <w:lang w:val="fr-FR"/>
        </w:rPr>
        <w:t> </w:t>
      </w:r>
      <w:r w:rsidRPr="00071456">
        <w:rPr>
          <w:color w:val="auto"/>
          <w:lang w:val="fr-FR"/>
        </w:rPr>
        <w:t>réunion au niveau des Délégués, le 29 juin 2011. Il est indiqué notamment au paragraphe 3 que « le Comité consultatif d’Audit et d’Évaluation donnera un avis consultatif au Comité des Ministres sur la conformité des candidatures reçues avec les critères de sélection ».</w:t>
      </w:r>
    </w:p>
    <w:p w:rsidR="000F785D" w:rsidRPr="00F056A2" w:rsidRDefault="000F785D" w:rsidP="000F785D">
      <w:pPr>
        <w:pStyle w:val="CMNormal"/>
        <w:rPr>
          <w:lang w:val="fr-FR"/>
        </w:rPr>
      </w:pPr>
    </w:p>
    <w:p w:rsidR="000F785D" w:rsidRPr="00F056A2" w:rsidRDefault="000F785D" w:rsidP="000F785D">
      <w:pPr>
        <w:pStyle w:val="CMNormal"/>
        <w:rPr>
          <w:b/>
          <w:lang w:val="fr-FR"/>
        </w:rPr>
      </w:pPr>
      <w:r w:rsidRPr="00F056A2">
        <w:rPr>
          <w:b/>
          <w:lang w:val="fr-FR"/>
        </w:rPr>
        <w:t>Conformité de la candidature reçue avec les critères de sélection</w:t>
      </w:r>
    </w:p>
    <w:p w:rsidR="000F785D" w:rsidRPr="00F056A2" w:rsidRDefault="000F785D" w:rsidP="000F785D">
      <w:pPr>
        <w:pStyle w:val="CMNormal"/>
        <w:rPr>
          <w:b/>
          <w:lang w:val="fr-FR"/>
        </w:rPr>
      </w:pPr>
    </w:p>
    <w:p w:rsidR="000F785D" w:rsidRPr="00F056A2" w:rsidRDefault="000F785D" w:rsidP="000F785D">
      <w:pPr>
        <w:pStyle w:val="CMNormal"/>
        <w:numPr>
          <w:ilvl w:val="0"/>
          <w:numId w:val="14"/>
        </w:numPr>
        <w:ind w:left="0" w:firstLine="0"/>
        <w:rPr>
          <w:lang w:val="fr-FR"/>
        </w:rPr>
      </w:pPr>
      <w:r w:rsidRPr="00F056A2">
        <w:rPr>
          <w:lang w:val="fr-FR"/>
        </w:rPr>
        <w:t xml:space="preserve">Il ressort des informations communiquées par le candidat, figurant dans le document </w:t>
      </w:r>
      <w:bookmarkStart w:id="1" w:name="_ML_000000000001_VALID"/>
      <w:r w:rsidR="00AE4FE1" w:rsidRPr="00AE4FE1">
        <w:rPr>
          <w:lang w:val="fr-FR"/>
        </w:rPr>
        <w:fldChar w:fldCharType="begin"/>
      </w:r>
      <w:r w:rsidR="00AE4FE1" w:rsidRPr="00AE4FE1">
        <w:rPr>
          <w:lang w:val="fr-FR"/>
        </w:rPr>
        <w:instrText xml:space="preserve"> HYPERLINK "https://search.coe.int/cm/Pages/result_details.aspx?Reference=CM(2019)30" \o "Appointment of the External Auditor - Candidature" </w:instrText>
      </w:r>
      <w:r w:rsidR="00AE4FE1" w:rsidRPr="00AE4FE1">
        <w:rPr>
          <w:lang w:val="fr-FR"/>
        </w:rPr>
      </w:r>
      <w:r w:rsidR="00AE4FE1" w:rsidRPr="00AE4FE1">
        <w:rPr>
          <w:lang w:val="fr-FR"/>
        </w:rPr>
        <w:fldChar w:fldCharType="separate"/>
      </w:r>
      <w:bookmarkEnd w:id="1"/>
      <w:r w:rsidR="00AE4FE1" w:rsidRPr="00AE4FE1">
        <w:rPr>
          <w:rStyle w:val="Hyperlink"/>
          <w:color w:val="000000"/>
          <w:lang w:val="fr-FR"/>
        </w:rPr>
        <w:t>CM(2019)30</w:t>
      </w:r>
      <w:r w:rsidR="00AE4FE1" w:rsidRPr="00AE4FE1">
        <w:rPr>
          <w:lang w:val="fr-FR"/>
        </w:rPr>
        <w:fldChar w:fldCharType="end"/>
      </w:r>
      <w:r w:rsidRPr="00F056A2">
        <w:rPr>
          <w:lang w:val="fr-FR"/>
        </w:rPr>
        <w:t>, que les critères de l’appel à candidatures sont réunis.</w:t>
      </w:r>
    </w:p>
    <w:p w:rsidR="000F785D" w:rsidRPr="00F056A2" w:rsidRDefault="000F785D" w:rsidP="000F785D">
      <w:pPr>
        <w:pStyle w:val="CMNormal"/>
        <w:rPr>
          <w:lang w:val="fr-FR"/>
        </w:rPr>
      </w:pPr>
      <w:r w:rsidRPr="00F056A2">
        <w:rPr>
          <w:lang w:val="fr-FR"/>
        </w:rPr>
        <w:t xml:space="preserve"> </w:t>
      </w:r>
    </w:p>
    <w:p w:rsidR="000F785D" w:rsidRPr="00F056A2" w:rsidRDefault="000F785D" w:rsidP="000F785D">
      <w:pPr>
        <w:pStyle w:val="CMNormal"/>
        <w:numPr>
          <w:ilvl w:val="0"/>
          <w:numId w:val="14"/>
        </w:numPr>
        <w:ind w:left="0" w:firstLine="0"/>
        <w:rPr>
          <w:lang w:val="fr-FR"/>
        </w:rPr>
      </w:pPr>
      <w:r w:rsidRPr="00F056A2">
        <w:rPr>
          <w:lang w:val="fr-FR"/>
        </w:rPr>
        <w:t xml:space="preserve">L’analyse des différents aspects, effectuée par le CCAE, est reproduite à l’annexe. Le tableau n’a pas pour objet de remplacer ni de synthétiser la proposition du candidat résumée dans le document </w:t>
      </w:r>
      <w:bookmarkStart w:id="2" w:name="_ML_000000000002_VALID"/>
      <w:r w:rsidR="00AE4FE1" w:rsidRPr="00AE4FE1">
        <w:rPr>
          <w:lang w:val="fr-FR"/>
        </w:rPr>
        <w:fldChar w:fldCharType="begin"/>
      </w:r>
      <w:r w:rsidR="00AE4FE1" w:rsidRPr="00AE4FE1">
        <w:rPr>
          <w:lang w:val="fr-FR"/>
        </w:rPr>
        <w:instrText xml:space="preserve"> HYPERLINK "https://search.coe.int/cm/Pages/result_details.aspx?Reference=CM(2019)30" \o "Appointment of the External Auditor - Candidature" </w:instrText>
      </w:r>
      <w:r w:rsidR="00AE4FE1" w:rsidRPr="00AE4FE1">
        <w:rPr>
          <w:lang w:val="fr-FR"/>
        </w:rPr>
      </w:r>
      <w:r w:rsidR="00AE4FE1" w:rsidRPr="00AE4FE1">
        <w:rPr>
          <w:lang w:val="fr-FR"/>
        </w:rPr>
        <w:fldChar w:fldCharType="separate"/>
      </w:r>
      <w:bookmarkEnd w:id="2"/>
      <w:r w:rsidR="00AE4FE1" w:rsidRPr="00AE4FE1">
        <w:rPr>
          <w:rStyle w:val="Hyperlink"/>
          <w:color w:val="000000"/>
          <w:lang w:val="fr-FR"/>
        </w:rPr>
        <w:t>CM(2019)30</w:t>
      </w:r>
      <w:r w:rsidR="00AE4FE1" w:rsidRPr="00AE4FE1">
        <w:rPr>
          <w:lang w:val="fr-FR"/>
        </w:rPr>
        <w:fldChar w:fldCharType="end"/>
      </w:r>
      <w:r w:rsidRPr="00F056A2">
        <w:rPr>
          <w:lang w:val="fr-FR"/>
        </w:rPr>
        <w:t>, mais de guider le Comité des Ministres et d’attirer l’attention sur les aspects prioritaires.</w:t>
      </w:r>
    </w:p>
    <w:p w:rsidR="000F785D" w:rsidRPr="00F056A2" w:rsidRDefault="000F785D" w:rsidP="000F785D">
      <w:pPr>
        <w:pStyle w:val="CMNormal"/>
        <w:rPr>
          <w:lang w:val="fr-FR"/>
        </w:rPr>
      </w:pPr>
    </w:p>
    <w:p w:rsidR="000F785D" w:rsidRPr="00F056A2" w:rsidRDefault="000F785D" w:rsidP="000F785D">
      <w:pPr>
        <w:pStyle w:val="CMNormal"/>
        <w:numPr>
          <w:ilvl w:val="0"/>
          <w:numId w:val="14"/>
        </w:numPr>
        <w:ind w:left="0" w:firstLine="0"/>
        <w:rPr>
          <w:lang w:val="fr-FR"/>
        </w:rPr>
      </w:pPr>
      <w:r w:rsidRPr="00F056A2">
        <w:rPr>
          <w:lang w:val="fr-FR"/>
        </w:rPr>
        <w:t xml:space="preserve">Le CCAE accueille favorablement la candidature de la Cour des comptes française. Il note avec regret cependant qu’aucune autre candidature n’a été reçue. </w:t>
      </w:r>
    </w:p>
    <w:p w:rsidR="000F785D" w:rsidRPr="000F785D" w:rsidRDefault="000F785D" w:rsidP="000F785D">
      <w:pPr>
        <w:pStyle w:val="ListParagraph"/>
        <w:rPr>
          <w:lang w:val="fr-FR"/>
        </w:rPr>
      </w:pPr>
    </w:p>
    <w:p w:rsidR="000F785D" w:rsidRPr="00F056A2" w:rsidRDefault="000F785D" w:rsidP="000F785D">
      <w:pPr>
        <w:pStyle w:val="CMNormal"/>
        <w:numPr>
          <w:ilvl w:val="0"/>
          <w:numId w:val="14"/>
        </w:numPr>
        <w:ind w:left="0" w:firstLine="0"/>
        <w:rPr>
          <w:lang w:val="fr-FR"/>
        </w:rPr>
      </w:pPr>
      <w:r w:rsidRPr="00F056A2">
        <w:rPr>
          <w:lang w:val="fr-FR"/>
        </w:rPr>
        <w:t xml:space="preserve">Le dossier de candidature est conforme à toutes les exigences spécifiées dans le document </w:t>
      </w:r>
      <w:bookmarkStart w:id="3" w:name="_ML_000000000003_VALID"/>
      <w:r w:rsidR="00AE4FE1" w:rsidRPr="00AE4FE1">
        <w:rPr>
          <w:lang w:val="fr-FR"/>
        </w:rPr>
        <w:fldChar w:fldCharType="begin"/>
      </w:r>
      <w:r w:rsidR="00AE4FE1" w:rsidRPr="00AE4FE1">
        <w:rPr>
          <w:lang w:val="fr-FR"/>
        </w:rPr>
        <w:instrText xml:space="preserve"> HYPERLINK "https://search.coe.int/cm/Pages/result_details.aspx?Reference=CM(2018)61" \o "Désignation de l’Auditeur Externe [1315e réunion]" </w:instrText>
      </w:r>
      <w:r w:rsidR="00AE4FE1" w:rsidRPr="00AE4FE1">
        <w:rPr>
          <w:lang w:val="fr-FR"/>
        </w:rPr>
      </w:r>
      <w:r w:rsidR="00AE4FE1" w:rsidRPr="00AE4FE1">
        <w:rPr>
          <w:lang w:val="fr-FR"/>
        </w:rPr>
        <w:fldChar w:fldCharType="separate"/>
      </w:r>
      <w:bookmarkEnd w:id="3"/>
      <w:r w:rsidR="00AE4FE1" w:rsidRPr="00AE4FE1">
        <w:rPr>
          <w:rStyle w:val="Hyperlink"/>
          <w:color w:val="000000"/>
          <w:lang w:val="fr-FR"/>
        </w:rPr>
        <w:t>CM(2018)61</w:t>
      </w:r>
      <w:r w:rsidR="00AE4FE1" w:rsidRPr="00AE4FE1">
        <w:rPr>
          <w:lang w:val="fr-FR"/>
        </w:rPr>
        <w:fldChar w:fldCharType="end"/>
      </w:r>
      <w:r w:rsidRPr="00F056A2">
        <w:rPr>
          <w:lang w:val="fr-FR"/>
        </w:rPr>
        <w:t xml:space="preserve">. La Cour des comptes est l’institution supérieure de contrôle des finances publiques de la France. M. Didier </w:t>
      </w:r>
      <w:proofErr w:type="spellStart"/>
      <w:r w:rsidRPr="00F056A2">
        <w:rPr>
          <w:lang w:val="fr-FR"/>
        </w:rPr>
        <w:t>Migaud</w:t>
      </w:r>
      <w:proofErr w:type="spellEnd"/>
      <w:r w:rsidRPr="00F056A2">
        <w:rPr>
          <w:lang w:val="fr-FR"/>
        </w:rPr>
        <w:t xml:space="preserve"> a été installé en 2010 comme Premier président de cette institution à titre permanent. De l’avis du CCAE, la Cour des comptes dispose des ressources et capacités nécessaires pour accomplir le mandat exigeant auquel elle postule. Dotée d’un effectif total de 1 777 personnes, elle prévoit de mobiliser une équipe de 17 personnes (y compris le Premier président) pour mener à bien l’Audit externe du Conseil de l’Europe.</w:t>
      </w:r>
    </w:p>
    <w:p w:rsidR="000F785D" w:rsidRPr="00F056A2" w:rsidRDefault="000F785D" w:rsidP="000F785D">
      <w:pPr>
        <w:pStyle w:val="CMNormal"/>
        <w:rPr>
          <w:lang w:val="fr-FR"/>
        </w:rPr>
      </w:pPr>
    </w:p>
    <w:p w:rsidR="000F785D" w:rsidRDefault="000F785D" w:rsidP="000F785D">
      <w:pPr>
        <w:pStyle w:val="CMNormal"/>
        <w:numPr>
          <w:ilvl w:val="0"/>
          <w:numId w:val="14"/>
        </w:numPr>
        <w:ind w:left="0" w:firstLine="0"/>
        <w:rPr>
          <w:lang w:val="fr-FR"/>
        </w:rPr>
      </w:pPr>
      <w:r w:rsidRPr="00F056A2">
        <w:rPr>
          <w:lang w:val="fr-FR"/>
        </w:rPr>
        <w:t>Conformément au paragraphe 3.1 des dispositions annexes du Règlement financier, le processus de sélection porte principalement sur :</w:t>
      </w:r>
    </w:p>
    <w:p w:rsidR="00CC0968" w:rsidRPr="00F056A2" w:rsidRDefault="00CC0968" w:rsidP="00CC0968">
      <w:pPr>
        <w:pStyle w:val="CMNormal"/>
        <w:rPr>
          <w:lang w:val="fr-FR"/>
        </w:rPr>
      </w:pPr>
    </w:p>
    <w:p w:rsidR="000F785D" w:rsidRPr="00F056A2" w:rsidRDefault="000F785D" w:rsidP="00CC0968">
      <w:pPr>
        <w:pStyle w:val="CMNormal"/>
        <w:numPr>
          <w:ilvl w:val="0"/>
          <w:numId w:val="15"/>
        </w:numPr>
        <w:ind w:hanging="720"/>
        <w:rPr>
          <w:lang w:val="fr-FR"/>
        </w:rPr>
      </w:pPr>
      <w:r w:rsidRPr="00F056A2">
        <w:rPr>
          <w:lang w:val="fr-FR"/>
        </w:rPr>
        <w:t>la qualité des services d’audit ;</w:t>
      </w:r>
    </w:p>
    <w:p w:rsidR="000F785D" w:rsidRPr="00F056A2" w:rsidRDefault="000F785D" w:rsidP="00CC0968">
      <w:pPr>
        <w:pStyle w:val="CMNormal"/>
        <w:numPr>
          <w:ilvl w:val="0"/>
          <w:numId w:val="15"/>
        </w:numPr>
        <w:ind w:hanging="720"/>
        <w:rPr>
          <w:lang w:val="fr-FR"/>
        </w:rPr>
      </w:pPr>
      <w:r w:rsidRPr="00F056A2">
        <w:rPr>
          <w:lang w:val="fr-FR"/>
        </w:rPr>
        <w:t>l’expertise professionnelle ;</w:t>
      </w:r>
    </w:p>
    <w:p w:rsidR="000F785D" w:rsidRPr="00F056A2" w:rsidRDefault="000F785D" w:rsidP="00CC0968">
      <w:pPr>
        <w:pStyle w:val="CMNormal"/>
        <w:numPr>
          <w:ilvl w:val="0"/>
          <w:numId w:val="15"/>
        </w:numPr>
        <w:ind w:hanging="720"/>
        <w:rPr>
          <w:lang w:val="fr-FR"/>
        </w:rPr>
      </w:pPr>
      <w:r w:rsidRPr="00F056A2">
        <w:rPr>
          <w:lang w:val="fr-FR"/>
        </w:rPr>
        <w:t>l’expérience de l’audit d’organisations internationales.</w:t>
      </w:r>
    </w:p>
    <w:p w:rsidR="000F785D" w:rsidRPr="00F056A2" w:rsidRDefault="000F785D" w:rsidP="000F785D">
      <w:pPr>
        <w:pStyle w:val="CMNormal"/>
        <w:rPr>
          <w:lang w:val="fr-FR"/>
        </w:rPr>
      </w:pPr>
    </w:p>
    <w:p w:rsidR="00CC0968" w:rsidRPr="00D752B6" w:rsidRDefault="000F785D" w:rsidP="00CC0968">
      <w:pPr>
        <w:pStyle w:val="CMNormal"/>
        <w:numPr>
          <w:ilvl w:val="0"/>
          <w:numId w:val="14"/>
        </w:numPr>
        <w:ind w:left="0" w:firstLine="0"/>
        <w:rPr>
          <w:lang w:val="fr-FR"/>
        </w:rPr>
      </w:pPr>
      <w:r w:rsidRPr="00F056A2">
        <w:rPr>
          <w:lang w:val="fr-FR"/>
        </w:rPr>
        <w:t>La conclusion globale du CCAE est que la Cour des comptes française possède les capacités requises pour la fourniture d’une prestation de qualité. Conformément à la norme ISSAI 40 sur le contrôle qualité pour les Institutions supérieures de contrôle des finances publiques, la Cour des comptes française a mis en place des procédures de contrôle qualité pertinentes pour réaliser un travail de qualité et pour fournir l’assurance raisonnable de l’efficacité du dispositif de contrôle interne et des processus de gestion d</w:t>
      </w:r>
      <w:r>
        <w:rPr>
          <w:lang w:val="fr-FR"/>
        </w:rPr>
        <w:t>es</w:t>
      </w:r>
      <w:r w:rsidRPr="00F056A2">
        <w:rPr>
          <w:lang w:val="fr-FR"/>
        </w:rPr>
        <w:t xml:space="preserve"> risque</w:t>
      </w:r>
      <w:r>
        <w:rPr>
          <w:lang w:val="fr-FR"/>
        </w:rPr>
        <w:t>s</w:t>
      </w:r>
      <w:r w:rsidRPr="00F056A2">
        <w:rPr>
          <w:lang w:val="fr-FR"/>
        </w:rPr>
        <w:t xml:space="preserve"> et de gouvernance de l’Organisation. </w:t>
      </w:r>
      <w:r w:rsidR="00CC0968">
        <w:rPr>
          <w:lang w:val="fr-FR"/>
        </w:rPr>
        <w:br w:type="page"/>
      </w:r>
    </w:p>
    <w:p w:rsidR="000F785D" w:rsidRPr="00F056A2" w:rsidRDefault="000F785D" w:rsidP="000F785D">
      <w:pPr>
        <w:pStyle w:val="CMNormal"/>
        <w:numPr>
          <w:ilvl w:val="0"/>
          <w:numId w:val="14"/>
        </w:numPr>
        <w:ind w:left="0" w:firstLine="0"/>
        <w:rPr>
          <w:lang w:val="fr-FR"/>
        </w:rPr>
      </w:pPr>
      <w:r w:rsidRPr="00F056A2">
        <w:rPr>
          <w:lang w:val="fr-FR"/>
        </w:rPr>
        <w:lastRenderedPageBreak/>
        <w:t xml:space="preserve">Pour ce qui concerne l’audit externe d’organisations internationales, des dispositions annexes s’appliquent en particulier aux règles d’éthique, correspondant aux déclarations signées par les auditeurs et certifiées à l’issue de chaque audit. En plus de contribuer à la qualité des travaux, ces dispositions aident à garantir la conformité avec les principes déontologiques. </w:t>
      </w:r>
    </w:p>
    <w:p w:rsidR="000F785D" w:rsidRPr="00F056A2" w:rsidRDefault="000F785D" w:rsidP="000F785D">
      <w:pPr>
        <w:pStyle w:val="CMNormal"/>
        <w:rPr>
          <w:lang w:val="fr-FR"/>
        </w:rPr>
      </w:pPr>
    </w:p>
    <w:p w:rsidR="000F785D" w:rsidRPr="00F056A2" w:rsidRDefault="000F785D" w:rsidP="000F785D">
      <w:pPr>
        <w:pStyle w:val="CMNormal"/>
        <w:numPr>
          <w:ilvl w:val="0"/>
          <w:numId w:val="14"/>
        </w:numPr>
        <w:ind w:left="0" w:firstLine="0"/>
        <w:rPr>
          <w:lang w:val="fr-FR"/>
        </w:rPr>
      </w:pPr>
      <w:r w:rsidRPr="00F056A2">
        <w:rPr>
          <w:lang w:val="fr-FR"/>
        </w:rPr>
        <w:t xml:space="preserve">La certification des comptes est effectuée conformément aux normes internationales (ISA, ISSAI). </w:t>
      </w:r>
    </w:p>
    <w:p w:rsidR="000F785D" w:rsidRPr="00F056A2" w:rsidRDefault="000F785D" w:rsidP="000F785D"/>
    <w:p w:rsidR="000F785D" w:rsidRPr="00F056A2" w:rsidRDefault="000F785D" w:rsidP="000F785D">
      <w:pPr>
        <w:pStyle w:val="CMNormal"/>
        <w:numPr>
          <w:ilvl w:val="0"/>
          <w:numId w:val="14"/>
        </w:numPr>
        <w:ind w:left="0" w:firstLine="0"/>
        <w:rPr>
          <w:lang w:val="fr-FR"/>
        </w:rPr>
      </w:pPr>
      <w:r w:rsidRPr="00F056A2">
        <w:rPr>
          <w:lang w:val="fr-FR"/>
        </w:rPr>
        <w:t xml:space="preserve">L’approche stratégique globale et la méthode envisagées pour tout le processus d’audit sont convaincantes. Il est noté que la Cour des comptes écoutera les commentaires de représentants des États membres et en tiendra compte dans la préparation de son programme de travail. L’approche stratégique se fonde sur la compréhension de l’Organisation, sur l’évaluation du contrôle interne, sur une analyse des risques et sur l’identification de risques significatifs. L’indépendance, l’identification de domaines à risque, la traçabilité des audits, le suivi des recommandations et le contrôle qualité sont autant de facteurs qui garantissent la qualité des travaux. </w:t>
      </w:r>
    </w:p>
    <w:p w:rsidR="000F785D" w:rsidRPr="00F056A2" w:rsidRDefault="000F785D" w:rsidP="000F785D">
      <w:pPr>
        <w:pStyle w:val="CMNormal"/>
        <w:rPr>
          <w:lang w:val="fr-FR"/>
        </w:rPr>
      </w:pPr>
    </w:p>
    <w:p w:rsidR="000F785D" w:rsidRPr="00F056A2" w:rsidRDefault="000F785D" w:rsidP="000F785D">
      <w:pPr>
        <w:pStyle w:val="CMNormal"/>
        <w:numPr>
          <w:ilvl w:val="0"/>
          <w:numId w:val="14"/>
        </w:numPr>
        <w:ind w:left="0" w:firstLine="0"/>
        <w:rPr>
          <w:lang w:val="fr-FR"/>
        </w:rPr>
      </w:pPr>
      <w:r w:rsidRPr="00F056A2">
        <w:rPr>
          <w:lang w:val="fr-FR"/>
        </w:rPr>
        <w:t xml:space="preserve">Au début du mandat, la Cour des comptes présentera une stratégie pluriannuelle et, chaque année, un programme de travail communiqué au management du Conseil de l’Europe ainsi qu’au Comité du Budget, au </w:t>
      </w:r>
      <w:r w:rsidR="00071456">
        <w:rPr>
          <w:lang w:val="fr-FR"/>
        </w:rPr>
        <w:t>Comité des Ministres</w:t>
      </w:r>
      <w:r w:rsidRPr="00F056A2">
        <w:rPr>
          <w:lang w:val="fr-FR"/>
        </w:rPr>
        <w:t xml:space="preserve"> et au CCAE. La communication active avec ces différents organes mérite tout particulièrement d’être soulignée.</w:t>
      </w:r>
    </w:p>
    <w:p w:rsidR="000F785D" w:rsidRPr="00F056A2" w:rsidRDefault="000F785D" w:rsidP="000F785D">
      <w:pPr>
        <w:pStyle w:val="CMNormal"/>
        <w:rPr>
          <w:lang w:val="fr-FR"/>
        </w:rPr>
      </w:pPr>
    </w:p>
    <w:p w:rsidR="000F785D" w:rsidRPr="00F056A2" w:rsidRDefault="000F785D" w:rsidP="000F785D">
      <w:pPr>
        <w:pStyle w:val="CMNormal"/>
        <w:numPr>
          <w:ilvl w:val="0"/>
          <w:numId w:val="14"/>
        </w:numPr>
        <w:ind w:left="0" w:firstLine="0"/>
        <w:rPr>
          <w:lang w:val="fr-FR"/>
        </w:rPr>
      </w:pPr>
      <w:r w:rsidRPr="00F056A2">
        <w:rPr>
          <w:lang w:val="fr-FR"/>
        </w:rPr>
        <w:t xml:space="preserve">Pour ce qui concerne les audits financiers, la Cour des comptes vérifie les états financiers et les comptes de gestion budgétaire chaque année et émet son avis indiquant s’ils sont conformes et donnent une image fidèle et sincère de la situation financière </w:t>
      </w:r>
      <w:r w:rsidR="00267AFC">
        <w:rPr>
          <w:lang w:val="fr-FR"/>
        </w:rPr>
        <w:t>ainsi que</w:t>
      </w:r>
      <w:r w:rsidRPr="00F056A2">
        <w:rPr>
          <w:lang w:val="fr-FR"/>
        </w:rPr>
        <w:t xml:space="preserve"> s’ils ont été établis conformément aux règles et aux normes comptables applicables.</w:t>
      </w:r>
    </w:p>
    <w:p w:rsidR="000F785D" w:rsidRPr="00F056A2" w:rsidRDefault="000F785D" w:rsidP="000F785D">
      <w:pPr>
        <w:pStyle w:val="CMNormal"/>
        <w:rPr>
          <w:lang w:val="fr-FR"/>
        </w:rPr>
      </w:pPr>
    </w:p>
    <w:p w:rsidR="000F785D" w:rsidRPr="00F056A2" w:rsidRDefault="000F785D" w:rsidP="000F785D">
      <w:pPr>
        <w:pStyle w:val="CMNormal"/>
        <w:numPr>
          <w:ilvl w:val="0"/>
          <w:numId w:val="14"/>
        </w:numPr>
        <w:ind w:left="0" w:firstLine="0"/>
        <w:rPr>
          <w:lang w:val="fr-FR"/>
        </w:rPr>
      </w:pPr>
      <w:r w:rsidRPr="00F056A2">
        <w:rPr>
          <w:lang w:val="fr-FR"/>
        </w:rPr>
        <w:t>Les audits de performance se concentrent sur l’aspect économique, l’efficience et l’efficacité du fonctionnement du Conseil de l’Europe, conformément aux normes INTOSAI. La Cour des comptes française, qui préside</w:t>
      </w:r>
      <w:r w:rsidR="00071456">
        <w:rPr>
          <w:lang w:val="fr-FR"/>
        </w:rPr>
        <w:t xml:space="preserve"> actuellement</w:t>
      </w:r>
      <w:r w:rsidRPr="00F056A2">
        <w:rPr>
          <w:lang w:val="fr-FR"/>
        </w:rPr>
        <w:t xml:space="preserve"> le groupe de travail de l’INTOSAI sur l’évaluation de programmes et de politiques, participe aux travaux méthodologiques réalisés dans ce domaine depuis plus de vingt ans. Les résultats de tous les travaux d’audit sont examinés et transmis dans les délais impartis. </w:t>
      </w:r>
    </w:p>
    <w:p w:rsidR="000F785D" w:rsidRPr="000F785D" w:rsidRDefault="000F785D" w:rsidP="000F785D">
      <w:pPr>
        <w:pStyle w:val="ListParagraph"/>
        <w:rPr>
          <w:lang w:val="fr-FR"/>
        </w:rPr>
      </w:pPr>
    </w:p>
    <w:p w:rsidR="000F785D" w:rsidRPr="00F056A2" w:rsidRDefault="000F785D" w:rsidP="000F785D">
      <w:pPr>
        <w:pStyle w:val="CMNormal"/>
        <w:numPr>
          <w:ilvl w:val="0"/>
          <w:numId w:val="14"/>
        </w:numPr>
        <w:ind w:left="0" w:firstLine="0"/>
        <w:rPr>
          <w:lang w:val="fr-FR"/>
        </w:rPr>
      </w:pPr>
      <w:r w:rsidRPr="00F056A2">
        <w:rPr>
          <w:lang w:val="fr-FR"/>
        </w:rPr>
        <w:t>La Cour des comptes dispose d’une solide expertise professionnelle au vu des qualifications de son équipe indiquées dans le dossier de candidature. Tous ses agents possèdent les compétences professionnelles et linguistiques nécessaires pour s’acquitter de leur mission avec professionnalisme. Des auditeurs confirmés et spécialisés dans les domaines de la comptabilité, des finances et de la performance participent aux audits en fonction des questions soulevées. La Cour des comptes peut faire appel également, en cas de besoin, à des spécialistes externes compétents. Son équipe possède en outre une vaste expérience de l’audit d’organisations internationales. Elle a à sa tête un directeur appuyé par un responsable d’audit et par plusieurs auditeurs. Le Premier président valide les programmes et rapports d’audit.</w:t>
      </w:r>
    </w:p>
    <w:p w:rsidR="000F785D" w:rsidRPr="00F056A2" w:rsidRDefault="000F785D" w:rsidP="000F785D">
      <w:pPr>
        <w:pStyle w:val="CMNormal"/>
        <w:rPr>
          <w:lang w:val="fr-FR"/>
        </w:rPr>
      </w:pPr>
    </w:p>
    <w:p w:rsidR="000F785D" w:rsidRPr="00F056A2" w:rsidRDefault="000F785D" w:rsidP="000F785D">
      <w:pPr>
        <w:pStyle w:val="CMNormal"/>
        <w:numPr>
          <w:ilvl w:val="0"/>
          <w:numId w:val="14"/>
        </w:numPr>
        <w:ind w:left="0" w:firstLine="0"/>
        <w:rPr>
          <w:lang w:val="fr-FR"/>
        </w:rPr>
      </w:pPr>
      <w:r w:rsidRPr="00F056A2">
        <w:rPr>
          <w:lang w:val="fr-FR"/>
        </w:rPr>
        <w:t xml:space="preserve">La Cour des comptes possède une riche expérience en matière d’audit d’organisations internationales. Forte de son solide réseau international, elle participe activement aux travaux de l’INTOSAI et de l’EUROSAI. Elle accomplit actuellement divers mandats dans des organisations internationales et a déjà rempli par le passé de nombreux mandats, notamment celui du Conseil de l’Europe. En effet, la Cour des comptes a assuré la fonction d’Auditeur externe du Conseil de l’Europe au cours de la période 2009-2013. </w:t>
      </w:r>
      <w:r>
        <w:rPr>
          <w:lang w:val="fr-FR"/>
        </w:rPr>
        <w:t>La proposition faite</w:t>
      </w:r>
      <w:r w:rsidRPr="00F056A2">
        <w:rPr>
          <w:lang w:val="fr-FR"/>
        </w:rPr>
        <w:t xml:space="preserve"> pour les honoraires d’audit, portant sur 370 jours par an, s’élève à environ 150.000 EUR, dont 105 jours d’audit par an fournis à titre gracieux.</w:t>
      </w:r>
    </w:p>
    <w:p w:rsidR="000F785D" w:rsidRPr="00F056A2" w:rsidRDefault="000F785D" w:rsidP="000F785D">
      <w:pPr>
        <w:pStyle w:val="CMNormal"/>
        <w:rPr>
          <w:lang w:val="fr-FR"/>
        </w:rPr>
      </w:pPr>
    </w:p>
    <w:p w:rsidR="000F785D" w:rsidRPr="00F056A2" w:rsidRDefault="000F785D" w:rsidP="000F785D">
      <w:pPr>
        <w:pStyle w:val="CMNormal"/>
        <w:numPr>
          <w:ilvl w:val="0"/>
          <w:numId w:val="14"/>
        </w:numPr>
        <w:ind w:left="0" w:firstLine="0"/>
        <w:rPr>
          <w:lang w:val="fr-FR"/>
        </w:rPr>
      </w:pPr>
      <w:r w:rsidRPr="00F056A2">
        <w:rPr>
          <w:lang w:val="fr-FR"/>
        </w:rPr>
        <w:t>Bien que la candidature susmentionnée soit d’un excellent niveau, le CCAE déplore qu’un seul dossier n’ait été reçu. Il recommande que l’Organisation mène une enquête auprès des États membres afin de savoir pourquoi aucune autre candidature n’a été reçue et d’en tirer tout enseignement qui s’impose en vue du prochain appel d’offres, qui aura lieu dans cinq ans.</w:t>
      </w:r>
    </w:p>
    <w:p w:rsidR="000F785D" w:rsidRPr="00F056A2" w:rsidRDefault="000F785D" w:rsidP="000F785D">
      <w:pPr>
        <w:pStyle w:val="CMNormal"/>
        <w:rPr>
          <w:lang w:val="fr-FR"/>
        </w:rPr>
      </w:pPr>
    </w:p>
    <w:p w:rsidR="000F785D" w:rsidRPr="00F056A2" w:rsidRDefault="000F785D" w:rsidP="000F785D">
      <w:pPr>
        <w:pStyle w:val="CMNormal"/>
        <w:rPr>
          <w:lang w:val="fr-FR"/>
        </w:rPr>
      </w:pPr>
    </w:p>
    <w:p w:rsidR="000F785D" w:rsidRPr="00F056A2" w:rsidRDefault="000F785D" w:rsidP="000F785D">
      <w:pPr>
        <w:pStyle w:val="CMNormal"/>
        <w:rPr>
          <w:lang w:val="fr-FR"/>
        </w:rPr>
      </w:pPr>
      <w:r w:rsidRPr="00F056A2">
        <w:rPr>
          <w:lang w:val="fr-FR"/>
        </w:rPr>
        <w:t>Document établi par le Comité consultatif d’Audit et d’Évaluation du Conseil de l’Europe</w:t>
      </w:r>
    </w:p>
    <w:p w:rsidR="000F785D" w:rsidRPr="00F056A2" w:rsidRDefault="000F785D" w:rsidP="000F785D">
      <w:pPr>
        <w:pStyle w:val="CMNormal"/>
        <w:rPr>
          <w:lang w:val="fr-FR"/>
        </w:rPr>
      </w:pPr>
    </w:p>
    <w:p w:rsidR="000F785D" w:rsidRPr="000F6955" w:rsidRDefault="000F785D" w:rsidP="000F785D">
      <w:pPr>
        <w:pStyle w:val="CMNormal"/>
        <w:rPr>
          <w:iCs/>
        </w:rPr>
      </w:pPr>
      <w:r w:rsidRPr="000F6955">
        <w:rPr>
          <w:iCs/>
        </w:rPr>
        <w:t xml:space="preserve">M. Claus </w:t>
      </w:r>
      <w:proofErr w:type="spellStart"/>
      <w:r w:rsidRPr="000F6955">
        <w:rPr>
          <w:iCs/>
        </w:rPr>
        <w:t>Andreasen</w:t>
      </w:r>
      <w:proofErr w:type="spellEnd"/>
      <w:r w:rsidRPr="000F6955">
        <w:rPr>
          <w:iCs/>
        </w:rPr>
        <w:t xml:space="preserve"> </w:t>
      </w:r>
    </w:p>
    <w:p w:rsidR="000F785D" w:rsidRPr="000F6955" w:rsidRDefault="000F785D" w:rsidP="000F785D">
      <w:pPr>
        <w:pStyle w:val="CMNormal"/>
        <w:rPr>
          <w:iCs/>
        </w:rPr>
      </w:pPr>
      <w:r w:rsidRPr="000F6955">
        <w:rPr>
          <w:iCs/>
        </w:rPr>
        <w:t xml:space="preserve">M. Paul </w:t>
      </w:r>
      <w:proofErr w:type="spellStart"/>
      <w:r w:rsidRPr="000F6955">
        <w:rPr>
          <w:iCs/>
        </w:rPr>
        <w:t>Catchick</w:t>
      </w:r>
      <w:proofErr w:type="spellEnd"/>
      <w:r w:rsidRPr="000F6955">
        <w:rPr>
          <w:iCs/>
        </w:rPr>
        <w:t xml:space="preserve"> </w:t>
      </w:r>
    </w:p>
    <w:p w:rsidR="000F785D" w:rsidRPr="00F056A2" w:rsidRDefault="000F785D" w:rsidP="000F785D">
      <w:pPr>
        <w:pStyle w:val="CMNormal"/>
        <w:rPr>
          <w:iCs/>
          <w:lang w:val="fr-FR"/>
        </w:rPr>
      </w:pPr>
      <w:r w:rsidRPr="00F056A2">
        <w:rPr>
          <w:iCs/>
          <w:lang w:val="fr-FR"/>
        </w:rPr>
        <w:t xml:space="preserve">Mme </w:t>
      </w:r>
      <w:proofErr w:type="spellStart"/>
      <w:r w:rsidRPr="00F056A2">
        <w:rPr>
          <w:iCs/>
          <w:lang w:val="fr-FR"/>
        </w:rPr>
        <w:t>Margareta</w:t>
      </w:r>
      <w:proofErr w:type="spellEnd"/>
      <w:r w:rsidRPr="00F056A2">
        <w:rPr>
          <w:iCs/>
          <w:lang w:val="fr-FR"/>
        </w:rPr>
        <w:t xml:space="preserve"> de Goys </w:t>
      </w:r>
    </w:p>
    <w:p w:rsidR="000F785D" w:rsidRPr="00F056A2" w:rsidRDefault="000F785D" w:rsidP="000F785D">
      <w:pPr>
        <w:pStyle w:val="CMNormal"/>
        <w:rPr>
          <w:iCs/>
          <w:lang w:val="fr-FR"/>
        </w:rPr>
      </w:pPr>
      <w:r w:rsidRPr="00F056A2">
        <w:rPr>
          <w:iCs/>
          <w:lang w:val="fr-FR"/>
        </w:rPr>
        <w:t xml:space="preserve">M. Kurt </w:t>
      </w:r>
      <w:proofErr w:type="spellStart"/>
      <w:r w:rsidRPr="00F056A2">
        <w:rPr>
          <w:iCs/>
          <w:lang w:val="fr-FR"/>
        </w:rPr>
        <w:t>Grüter</w:t>
      </w:r>
      <w:proofErr w:type="spellEnd"/>
    </w:p>
    <w:p w:rsidR="000F785D" w:rsidRPr="00F056A2" w:rsidRDefault="000F785D" w:rsidP="000F785D">
      <w:pPr>
        <w:pStyle w:val="CMNormal"/>
        <w:rPr>
          <w:iCs/>
          <w:lang w:val="fr-FR"/>
        </w:rPr>
      </w:pPr>
      <w:r w:rsidRPr="00F056A2">
        <w:rPr>
          <w:iCs/>
          <w:lang w:val="fr-FR"/>
        </w:rPr>
        <w:t>M. Cristobal Martín-Rico, Président</w:t>
      </w:r>
    </w:p>
    <w:p w:rsidR="000F785D" w:rsidRPr="00F056A2" w:rsidRDefault="000F785D" w:rsidP="000F785D">
      <w:pPr>
        <w:pStyle w:val="CMNormal"/>
        <w:rPr>
          <w:b/>
          <w:lang w:val="fr-FR"/>
        </w:rPr>
      </w:pPr>
      <w:r w:rsidRPr="00F056A2">
        <w:rPr>
          <w:iCs/>
          <w:lang w:val="fr-FR"/>
        </w:rPr>
        <w:br w:type="page"/>
      </w:r>
      <w:r w:rsidRPr="00F056A2">
        <w:rPr>
          <w:b/>
          <w:lang w:val="fr-FR"/>
        </w:rPr>
        <w:lastRenderedPageBreak/>
        <w:t>Annexe</w:t>
      </w:r>
    </w:p>
    <w:p w:rsidR="000F785D" w:rsidRPr="00F056A2" w:rsidRDefault="000F785D" w:rsidP="000F785D">
      <w:pPr>
        <w:pStyle w:val="CMNormal"/>
        <w:rPr>
          <w:lang w:val="fr-FR"/>
        </w:rPr>
      </w:pPr>
    </w:p>
    <w:p w:rsidR="000F785D" w:rsidRPr="00F056A2" w:rsidRDefault="000F785D" w:rsidP="000F785D">
      <w:pPr>
        <w:pStyle w:val="CMNormal"/>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762"/>
        <w:gridCol w:w="2551"/>
        <w:gridCol w:w="2539"/>
      </w:tblGrid>
      <w:tr w:rsidR="000F785D" w:rsidRPr="00F056A2" w:rsidTr="00EF2E25">
        <w:trPr>
          <w:cantSplit/>
        </w:trPr>
        <w:tc>
          <w:tcPr>
            <w:tcW w:w="1741" w:type="dxa"/>
            <w:shd w:val="clear" w:color="auto" w:fill="auto"/>
          </w:tcPr>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Institution</w:t>
            </w:r>
          </w:p>
        </w:tc>
        <w:tc>
          <w:tcPr>
            <w:tcW w:w="2762" w:type="dxa"/>
            <w:shd w:val="clear" w:color="auto" w:fill="auto"/>
          </w:tcPr>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Qualité des services d’audit</w:t>
            </w:r>
          </w:p>
        </w:tc>
        <w:tc>
          <w:tcPr>
            <w:tcW w:w="2551" w:type="dxa"/>
            <w:shd w:val="clear" w:color="auto" w:fill="auto"/>
          </w:tcPr>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Expertise professionnelle</w:t>
            </w:r>
          </w:p>
        </w:tc>
        <w:tc>
          <w:tcPr>
            <w:tcW w:w="2539" w:type="dxa"/>
            <w:shd w:val="clear" w:color="auto" w:fill="auto"/>
          </w:tcPr>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Expertise de l’audit d’organisations internationales</w:t>
            </w:r>
          </w:p>
        </w:tc>
      </w:tr>
      <w:tr w:rsidR="000F785D" w:rsidRPr="00F056A2" w:rsidTr="00EF2E25">
        <w:trPr>
          <w:cantSplit/>
        </w:trPr>
        <w:tc>
          <w:tcPr>
            <w:tcW w:w="1741" w:type="dxa"/>
            <w:shd w:val="clear" w:color="auto" w:fill="auto"/>
          </w:tcPr>
          <w:p w:rsidR="000F785D" w:rsidRPr="00F056A2" w:rsidRDefault="000F785D" w:rsidP="00EF2E25">
            <w:pPr>
              <w:pStyle w:val="MediumGrid21"/>
              <w:jc w:val="center"/>
              <w:rPr>
                <w:rFonts w:ascii="Arial" w:hAnsi="Arial" w:cs="Arial"/>
                <w:b/>
                <w:sz w:val="18"/>
                <w:szCs w:val="20"/>
                <w:lang w:val="fr-FR"/>
              </w:rPr>
            </w:pPr>
          </w:p>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Conformité</w:t>
            </w:r>
          </w:p>
          <w:p w:rsidR="000F785D" w:rsidRPr="00F056A2" w:rsidRDefault="000F785D" w:rsidP="00EF2E25">
            <w:pPr>
              <w:pStyle w:val="MediumGrid21"/>
              <w:jc w:val="center"/>
              <w:rPr>
                <w:rFonts w:ascii="Arial" w:hAnsi="Arial" w:cs="Arial"/>
                <w:b/>
                <w:sz w:val="18"/>
                <w:szCs w:val="20"/>
                <w:lang w:val="fr-FR"/>
              </w:rPr>
            </w:pPr>
          </w:p>
        </w:tc>
        <w:tc>
          <w:tcPr>
            <w:tcW w:w="2762" w:type="dxa"/>
            <w:shd w:val="clear" w:color="auto" w:fill="auto"/>
          </w:tcPr>
          <w:p w:rsidR="000F785D" w:rsidRPr="00F056A2" w:rsidRDefault="000F785D" w:rsidP="00EF2E25">
            <w:pPr>
              <w:pStyle w:val="MediumGrid21"/>
              <w:jc w:val="center"/>
              <w:rPr>
                <w:rFonts w:ascii="Arial" w:hAnsi="Arial" w:cs="Arial"/>
                <w:b/>
                <w:sz w:val="18"/>
                <w:szCs w:val="20"/>
                <w:highlight w:val="yellow"/>
                <w:lang w:val="fr-FR"/>
              </w:rPr>
            </w:pPr>
          </w:p>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oui</w:t>
            </w:r>
          </w:p>
          <w:p w:rsidR="000F785D" w:rsidRPr="00F056A2" w:rsidRDefault="000F785D" w:rsidP="00EF2E25">
            <w:pPr>
              <w:pStyle w:val="MediumGrid21"/>
              <w:jc w:val="center"/>
              <w:rPr>
                <w:rFonts w:ascii="Arial" w:hAnsi="Arial" w:cs="Arial"/>
                <w:b/>
                <w:sz w:val="18"/>
                <w:szCs w:val="20"/>
                <w:highlight w:val="yellow"/>
                <w:lang w:val="fr-FR"/>
              </w:rPr>
            </w:pPr>
          </w:p>
        </w:tc>
        <w:tc>
          <w:tcPr>
            <w:tcW w:w="2551" w:type="dxa"/>
            <w:shd w:val="clear" w:color="auto" w:fill="auto"/>
          </w:tcPr>
          <w:p w:rsidR="000F785D" w:rsidRPr="00F056A2" w:rsidRDefault="000F785D" w:rsidP="00EF2E25">
            <w:pPr>
              <w:pStyle w:val="MediumGrid21"/>
              <w:jc w:val="center"/>
              <w:rPr>
                <w:rFonts w:ascii="Arial" w:hAnsi="Arial" w:cs="Arial"/>
                <w:b/>
                <w:sz w:val="18"/>
                <w:szCs w:val="20"/>
                <w:lang w:val="fr-FR"/>
              </w:rPr>
            </w:pPr>
          </w:p>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oui</w:t>
            </w:r>
          </w:p>
          <w:p w:rsidR="000F785D" w:rsidRPr="00F056A2" w:rsidRDefault="000F785D" w:rsidP="00EF2E25">
            <w:pPr>
              <w:pStyle w:val="MediumGrid21"/>
              <w:jc w:val="center"/>
              <w:rPr>
                <w:rFonts w:ascii="Arial" w:hAnsi="Arial" w:cs="Arial"/>
                <w:b/>
                <w:sz w:val="18"/>
                <w:szCs w:val="20"/>
                <w:highlight w:val="yellow"/>
                <w:lang w:val="fr-FR"/>
              </w:rPr>
            </w:pPr>
          </w:p>
        </w:tc>
        <w:tc>
          <w:tcPr>
            <w:tcW w:w="2539" w:type="dxa"/>
            <w:shd w:val="clear" w:color="auto" w:fill="auto"/>
          </w:tcPr>
          <w:p w:rsidR="000F785D" w:rsidRPr="00F056A2" w:rsidRDefault="000F785D" w:rsidP="00EF2E25">
            <w:pPr>
              <w:pStyle w:val="MediumGrid21"/>
              <w:jc w:val="center"/>
              <w:rPr>
                <w:rFonts w:ascii="Arial" w:hAnsi="Arial" w:cs="Arial"/>
                <w:b/>
                <w:sz w:val="18"/>
                <w:szCs w:val="20"/>
                <w:highlight w:val="yellow"/>
                <w:lang w:val="fr-FR"/>
              </w:rPr>
            </w:pPr>
          </w:p>
          <w:p w:rsidR="000F785D" w:rsidRPr="00F056A2" w:rsidRDefault="000F785D" w:rsidP="00EF2E25">
            <w:pPr>
              <w:pStyle w:val="MediumGrid21"/>
              <w:jc w:val="center"/>
              <w:rPr>
                <w:rFonts w:ascii="Arial" w:hAnsi="Arial" w:cs="Arial"/>
                <w:b/>
                <w:sz w:val="18"/>
                <w:szCs w:val="20"/>
                <w:lang w:val="fr-FR"/>
              </w:rPr>
            </w:pPr>
            <w:r w:rsidRPr="00F056A2">
              <w:rPr>
                <w:rFonts w:ascii="Arial" w:hAnsi="Arial" w:cs="Arial"/>
                <w:b/>
                <w:sz w:val="18"/>
                <w:szCs w:val="20"/>
                <w:lang w:val="fr-FR"/>
              </w:rPr>
              <w:t>oui</w:t>
            </w:r>
          </w:p>
          <w:p w:rsidR="000F785D" w:rsidRPr="00F056A2" w:rsidRDefault="000F785D" w:rsidP="00EF2E25">
            <w:pPr>
              <w:pStyle w:val="MediumGrid21"/>
              <w:jc w:val="center"/>
              <w:rPr>
                <w:rFonts w:ascii="Arial" w:hAnsi="Arial" w:cs="Arial"/>
                <w:b/>
                <w:sz w:val="18"/>
                <w:szCs w:val="20"/>
                <w:highlight w:val="yellow"/>
                <w:lang w:val="fr-FR"/>
              </w:rPr>
            </w:pPr>
          </w:p>
        </w:tc>
      </w:tr>
      <w:tr w:rsidR="000F785D" w:rsidRPr="00F056A2" w:rsidTr="00EF2E25">
        <w:trPr>
          <w:cantSplit/>
        </w:trPr>
        <w:tc>
          <w:tcPr>
            <w:tcW w:w="1741" w:type="dxa"/>
            <w:shd w:val="clear" w:color="auto" w:fill="auto"/>
          </w:tcPr>
          <w:p w:rsidR="000F785D" w:rsidRPr="00F056A2" w:rsidRDefault="000F785D" w:rsidP="00EF2E25">
            <w:pPr>
              <w:pStyle w:val="MediumGrid21"/>
              <w:rPr>
                <w:rFonts w:ascii="Arial" w:hAnsi="Arial" w:cs="Arial"/>
                <w:b/>
                <w:sz w:val="18"/>
                <w:szCs w:val="20"/>
                <w:lang w:val="fr-FR"/>
              </w:rPr>
            </w:pPr>
          </w:p>
          <w:p w:rsidR="000F785D" w:rsidRPr="00F056A2" w:rsidRDefault="000F785D" w:rsidP="00EF2E25">
            <w:pPr>
              <w:pStyle w:val="MediumGrid21"/>
              <w:rPr>
                <w:rFonts w:ascii="Arial" w:hAnsi="Arial" w:cs="Arial"/>
                <w:b/>
                <w:sz w:val="18"/>
                <w:szCs w:val="20"/>
                <w:lang w:val="fr-FR"/>
              </w:rPr>
            </w:pPr>
            <w:r w:rsidRPr="00F056A2">
              <w:rPr>
                <w:rFonts w:ascii="Arial" w:hAnsi="Arial" w:cs="Arial"/>
                <w:b/>
                <w:sz w:val="18"/>
                <w:szCs w:val="20"/>
                <w:lang w:val="fr-FR"/>
              </w:rPr>
              <w:t>Cour des comptes de la</w:t>
            </w:r>
          </w:p>
          <w:p w:rsidR="000F785D" w:rsidRPr="00F056A2" w:rsidRDefault="000F785D" w:rsidP="00EF2E25">
            <w:pPr>
              <w:pStyle w:val="MediumGrid21"/>
              <w:rPr>
                <w:rFonts w:ascii="Arial" w:hAnsi="Arial" w:cs="Arial"/>
                <w:b/>
                <w:sz w:val="18"/>
                <w:szCs w:val="20"/>
                <w:lang w:val="fr-FR"/>
              </w:rPr>
            </w:pPr>
            <w:r w:rsidRPr="00F056A2">
              <w:rPr>
                <w:rFonts w:ascii="Arial" w:hAnsi="Arial" w:cs="Arial"/>
                <w:b/>
                <w:sz w:val="18"/>
                <w:szCs w:val="20"/>
                <w:lang w:val="fr-FR"/>
              </w:rPr>
              <w:t>France</w:t>
            </w:r>
          </w:p>
        </w:tc>
        <w:tc>
          <w:tcPr>
            <w:tcW w:w="2762" w:type="dxa"/>
            <w:shd w:val="clear" w:color="auto" w:fill="auto"/>
          </w:tcPr>
          <w:p w:rsidR="000F785D" w:rsidRPr="00F056A2" w:rsidRDefault="000F785D" w:rsidP="00EF2E25">
            <w:pPr>
              <w:pStyle w:val="MediumGrid21"/>
              <w:jc w:val="center"/>
              <w:rPr>
                <w:rFonts w:ascii="Arial" w:hAnsi="Arial" w:cs="Arial"/>
                <w:b/>
                <w:sz w:val="18"/>
                <w:szCs w:val="20"/>
                <w:lang w:val="fr-FR"/>
              </w:rPr>
            </w:pPr>
          </w:p>
          <w:p w:rsidR="000F785D" w:rsidRPr="00F056A2" w:rsidRDefault="000F785D" w:rsidP="000F785D">
            <w:pPr>
              <w:pStyle w:val="MediumGrid21"/>
              <w:numPr>
                <w:ilvl w:val="0"/>
                <w:numId w:val="11"/>
              </w:numPr>
              <w:rPr>
                <w:rFonts w:ascii="Arial" w:hAnsi="Arial" w:cs="Arial"/>
                <w:sz w:val="18"/>
                <w:szCs w:val="20"/>
                <w:lang w:val="fr-FR"/>
              </w:rPr>
            </w:pPr>
            <w:r w:rsidRPr="00F056A2">
              <w:rPr>
                <w:rFonts w:ascii="Arial" w:hAnsi="Arial" w:cs="Arial"/>
                <w:b/>
                <w:sz w:val="18"/>
                <w:szCs w:val="20"/>
                <w:lang w:val="fr-FR"/>
              </w:rPr>
              <w:t>Audit financier </w:t>
            </w:r>
            <w:r w:rsidRPr="00F056A2">
              <w:rPr>
                <w:rFonts w:ascii="Arial" w:hAnsi="Arial" w:cs="Arial"/>
                <w:sz w:val="18"/>
                <w:szCs w:val="20"/>
                <w:lang w:val="fr-FR"/>
              </w:rPr>
              <w:t>: compréhension claire des exigences, référence aux</w:t>
            </w:r>
            <w:r w:rsidRPr="00F056A2">
              <w:rPr>
                <w:rFonts w:ascii="Arial" w:hAnsi="Arial"/>
                <w:sz w:val="18"/>
                <w:lang w:val="fr-FR"/>
              </w:rPr>
              <w:t xml:space="preserve"> normes ISA et ISSAI</w:t>
            </w:r>
          </w:p>
          <w:p w:rsidR="000F785D" w:rsidRPr="00F056A2" w:rsidRDefault="000F785D" w:rsidP="00EF2E25">
            <w:pPr>
              <w:pStyle w:val="MediumGrid21"/>
              <w:rPr>
                <w:rFonts w:ascii="Arial" w:hAnsi="Arial" w:cs="Arial"/>
                <w:sz w:val="18"/>
                <w:szCs w:val="20"/>
                <w:lang w:val="fr-FR"/>
              </w:rPr>
            </w:pPr>
          </w:p>
          <w:p w:rsidR="000F785D" w:rsidRPr="00F056A2" w:rsidRDefault="000F785D" w:rsidP="000F785D">
            <w:pPr>
              <w:pStyle w:val="MediumGrid21"/>
              <w:numPr>
                <w:ilvl w:val="0"/>
                <w:numId w:val="11"/>
              </w:numPr>
              <w:rPr>
                <w:rFonts w:ascii="Arial" w:hAnsi="Arial" w:cs="Arial"/>
                <w:sz w:val="18"/>
                <w:szCs w:val="20"/>
                <w:lang w:val="fr-FR"/>
              </w:rPr>
            </w:pPr>
            <w:r w:rsidRPr="00F056A2">
              <w:rPr>
                <w:rFonts w:ascii="Arial" w:hAnsi="Arial" w:cs="Arial"/>
                <w:b/>
                <w:sz w:val="18"/>
                <w:szCs w:val="20"/>
                <w:lang w:val="fr-FR"/>
              </w:rPr>
              <w:t>Audits de performance :</w:t>
            </w:r>
            <w:r w:rsidRPr="00F056A2">
              <w:rPr>
                <w:rFonts w:ascii="Arial" w:hAnsi="Arial" w:cs="Arial"/>
                <w:sz w:val="18"/>
                <w:szCs w:val="20"/>
                <w:lang w:val="fr-FR"/>
              </w:rPr>
              <w:t xml:space="preserve"> </w:t>
            </w:r>
            <w:r w:rsidR="00267AFC">
              <w:rPr>
                <w:rFonts w:ascii="Arial" w:hAnsi="Arial" w:cs="Arial"/>
                <w:sz w:val="18"/>
                <w:szCs w:val="20"/>
                <w:lang w:val="fr-FR"/>
              </w:rPr>
              <w:t xml:space="preserve">référence aux </w:t>
            </w:r>
            <w:r>
              <w:rPr>
                <w:rFonts w:ascii="Arial" w:hAnsi="Arial"/>
                <w:sz w:val="18"/>
                <w:lang w:val="fr-FR"/>
              </w:rPr>
              <w:t>normes ISSAI et lignes directrices de l’INTOSAI, prise en compte du travail de la DIO et des risques identifiés par le CCAC et le CM</w:t>
            </w:r>
          </w:p>
          <w:p w:rsidR="000F785D" w:rsidRPr="00F056A2" w:rsidRDefault="000F785D" w:rsidP="00EF2E25">
            <w:pPr>
              <w:pStyle w:val="ColorfulList-Accent11"/>
              <w:rPr>
                <w:rFonts w:ascii="Arial" w:hAnsi="Arial" w:cs="Arial"/>
                <w:b/>
                <w:sz w:val="18"/>
                <w:szCs w:val="20"/>
              </w:rPr>
            </w:pPr>
          </w:p>
          <w:p w:rsidR="000F785D" w:rsidRPr="00F056A2" w:rsidRDefault="000F785D" w:rsidP="000F785D">
            <w:pPr>
              <w:pStyle w:val="MediumGrid21"/>
              <w:numPr>
                <w:ilvl w:val="0"/>
                <w:numId w:val="11"/>
              </w:numPr>
              <w:rPr>
                <w:rFonts w:ascii="Arial" w:hAnsi="Arial"/>
                <w:sz w:val="18"/>
                <w:lang w:val="fr-FR"/>
              </w:rPr>
            </w:pPr>
            <w:r w:rsidRPr="00F056A2">
              <w:rPr>
                <w:rFonts w:ascii="Arial" w:hAnsi="Arial" w:cs="Arial"/>
                <w:b/>
                <w:sz w:val="18"/>
                <w:szCs w:val="20"/>
                <w:lang w:val="fr-FR"/>
              </w:rPr>
              <w:t>Coopération avec la DIO :</w:t>
            </w:r>
            <w:r w:rsidRPr="00F056A2">
              <w:rPr>
                <w:rFonts w:ascii="Arial" w:hAnsi="Arial" w:cs="Arial"/>
                <w:sz w:val="18"/>
                <w:szCs w:val="20"/>
                <w:lang w:val="fr-FR"/>
              </w:rPr>
              <w:t xml:space="preserve"> oui, après une évaluation complète de la DIO, conformément à la norme </w:t>
            </w:r>
            <w:r w:rsidRPr="00F056A2">
              <w:rPr>
                <w:rFonts w:ascii="Arial" w:hAnsi="Arial"/>
                <w:sz w:val="18"/>
                <w:lang w:val="fr-FR"/>
              </w:rPr>
              <w:t xml:space="preserve">ISA 610 </w:t>
            </w:r>
          </w:p>
          <w:p w:rsidR="000F785D" w:rsidRPr="00F056A2" w:rsidRDefault="000F785D" w:rsidP="00EF2E25">
            <w:pPr>
              <w:pStyle w:val="MediumGrid21"/>
              <w:rPr>
                <w:rFonts w:ascii="Arial" w:hAnsi="Arial" w:cs="Arial"/>
                <w:b/>
                <w:sz w:val="18"/>
                <w:szCs w:val="20"/>
                <w:lang w:val="fr-FR"/>
              </w:rPr>
            </w:pPr>
          </w:p>
          <w:p w:rsidR="000F785D" w:rsidRPr="00F056A2" w:rsidRDefault="000F785D" w:rsidP="000F785D">
            <w:pPr>
              <w:pStyle w:val="MediumGrid21"/>
              <w:numPr>
                <w:ilvl w:val="0"/>
                <w:numId w:val="11"/>
              </w:numPr>
              <w:rPr>
                <w:rFonts w:ascii="Arial" w:hAnsi="Arial" w:cs="Arial"/>
                <w:sz w:val="18"/>
                <w:szCs w:val="20"/>
                <w:lang w:val="fr-FR"/>
              </w:rPr>
            </w:pPr>
            <w:r w:rsidRPr="00F056A2">
              <w:rPr>
                <w:rFonts w:ascii="Arial" w:hAnsi="Arial" w:cs="Arial"/>
                <w:b/>
                <w:sz w:val="18"/>
                <w:szCs w:val="20"/>
                <w:lang w:val="fr-FR"/>
              </w:rPr>
              <w:t>Évaluation du risque :</w:t>
            </w:r>
            <w:r w:rsidRPr="00F056A2">
              <w:rPr>
                <w:rFonts w:ascii="Arial" w:hAnsi="Arial" w:cs="Arial"/>
                <w:sz w:val="18"/>
                <w:szCs w:val="20"/>
                <w:lang w:val="fr-FR"/>
              </w:rPr>
              <w:t xml:space="preserve"> </w:t>
            </w:r>
            <w:r w:rsidRPr="00F056A2">
              <w:rPr>
                <w:rFonts w:ascii="Arial" w:hAnsi="Arial"/>
                <w:sz w:val="18"/>
                <w:lang w:val="fr-FR"/>
              </w:rPr>
              <w:t xml:space="preserve">oui, servant à planifier les audits financiers et de performance </w:t>
            </w:r>
          </w:p>
          <w:p w:rsidR="000F785D" w:rsidRPr="00F056A2" w:rsidRDefault="000F785D" w:rsidP="00EF2E25">
            <w:pPr>
              <w:pStyle w:val="ColorfulList-Accent11"/>
              <w:rPr>
                <w:rFonts w:ascii="Arial" w:hAnsi="Arial" w:cs="Arial"/>
                <w:b/>
                <w:sz w:val="18"/>
                <w:szCs w:val="20"/>
              </w:rPr>
            </w:pPr>
          </w:p>
          <w:p w:rsidR="000F785D" w:rsidRPr="00F056A2" w:rsidRDefault="000F785D" w:rsidP="000F785D">
            <w:pPr>
              <w:pStyle w:val="MediumGrid21"/>
              <w:numPr>
                <w:ilvl w:val="0"/>
                <w:numId w:val="11"/>
              </w:numPr>
              <w:rPr>
                <w:rFonts w:ascii="Arial" w:hAnsi="Arial" w:cs="Arial"/>
                <w:sz w:val="18"/>
                <w:szCs w:val="20"/>
                <w:lang w:val="fr-FR"/>
              </w:rPr>
            </w:pPr>
            <w:r w:rsidRPr="00F056A2">
              <w:rPr>
                <w:rFonts w:ascii="Arial" w:hAnsi="Arial" w:cs="Arial"/>
                <w:b/>
                <w:sz w:val="18"/>
                <w:szCs w:val="20"/>
                <w:lang w:val="fr-FR"/>
              </w:rPr>
              <w:t>Planification d’audit :</w:t>
            </w:r>
            <w:r w:rsidRPr="00F056A2">
              <w:rPr>
                <w:rFonts w:ascii="Arial" w:hAnsi="Arial" w:cs="Arial"/>
                <w:sz w:val="18"/>
                <w:szCs w:val="20"/>
                <w:lang w:val="fr-FR"/>
              </w:rPr>
              <w:t xml:space="preserve"> </w:t>
            </w:r>
            <w:r w:rsidRPr="00F056A2">
              <w:rPr>
                <w:rFonts w:ascii="Arial" w:hAnsi="Arial"/>
                <w:sz w:val="18"/>
                <w:lang w:val="fr-FR"/>
              </w:rPr>
              <w:t xml:space="preserve">oui, stratégie pluriannuelle au début du mandat et programme de travail annuel établi en octobre pour l’exercice suivant </w:t>
            </w:r>
          </w:p>
          <w:p w:rsidR="000F785D" w:rsidRPr="00F056A2" w:rsidRDefault="000F785D" w:rsidP="00EF2E25">
            <w:pPr>
              <w:pStyle w:val="MediumGrid21"/>
              <w:rPr>
                <w:rFonts w:ascii="Arial" w:hAnsi="Arial" w:cs="Arial"/>
                <w:sz w:val="18"/>
                <w:szCs w:val="20"/>
                <w:lang w:val="fr-FR"/>
              </w:rPr>
            </w:pPr>
          </w:p>
          <w:p w:rsidR="000F785D" w:rsidRPr="00F056A2" w:rsidRDefault="000F785D" w:rsidP="000F785D">
            <w:pPr>
              <w:pStyle w:val="MediumGrid21"/>
              <w:numPr>
                <w:ilvl w:val="0"/>
                <w:numId w:val="11"/>
              </w:numPr>
              <w:rPr>
                <w:rFonts w:ascii="Arial" w:hAnsi="Arial" w:cs="Arial"/>
                <w:sz w:val="18"/>
                <w:szCs w:val="20"/>
                <w:lang w:val="fr-FR"/>
              </w:rPr>
            </w:pPr>
            <w:r w:rsidRPr="00F056A2">
              <w:rPr>
                <w:rFonts w:ascii="Arial" w:hAnsi="Arial" w:cs="Arial"/>
                <w:b/>
                <w:sz w:val="18"/>
                <w:szCs w:val="20"/>
                <w:lang w:val="fr-FR"/>
              </w:rPr>
              <w:t xml:space="preserve">Rapport d’audit : </w:t>
            </w:r>
            <w:r w:rsidRPr="00F056A2">
              <w:rPr>
                <w:rFonts w:ascii="Arial" w:hAnsi="Arial" w:cs="Arial"/>
                <w:sz w:val="18"/>
                <w:szCs w:val="20"/>
                <w:lang w:val="fr-FR"/>
              </w:rPr>
              <w:t xml:space="preserve">après une phase contradictoire, le rapport final est publié et </w:t>
            </w:r>
            <w:r>
              <w:rPr>
                <w:rFonts w:ascii="Arial" w:hAnsi="Arial" w:cs="Arial"/>
                <w:sz w:val="18"/>
                <w:szCs w:val="20"/>
                <w:lang w:val="fr-FR"/>
              </w:rPr>
              <w:t xml:space="preserve">présenté au </w:t>
            </w:r>
            <w:r w:rsidRPr="00F056A2">
              <w:rPr>
                <w:rFonts w:ascii="Arial" w:hAnsi="Arial" w:cs="Arial"/>
                <w:sz w:val="18"/>
                <w:szCs w:val="20"/>
                <w:lang w:val="fr-FR"/>
              </w:rPr>
              <w:t>CCAE</w:t>
            </w:r>
            <w:r>
              <w:rPr>
                <w:rFonts w:ascii="Arial" w:hAnsi="Arial" w:cs="Arial"/>
                <w:sz w:val="18"/>
                <w:szCs w:val="20"/>
                <w:lang w:val="fr-FR"/>
              </w:rPr>
              <w:t xml:space="preserve"> et au CM</w:t>
            </w:r>
          </w:p>
          <w:p w:rsidR="000F785D" w:rsidRPr="00F056A2" w:rsidRDefault="000F785D" w:rsidP="00EF2E25">
            <w:pPr>
              <w:pStyle w:val="MediumGrid21"/>
              <w:rPr>
                <w:rFonts w:ascii="Arial" w:hAnsi="Arial" w:cs="Arial"/>
                <w:sz w:val="18"/>
                <w:szCs w:val="20"/>
                <w:lang w:val="fr-FR"/>
              </w:rPr>
            </w:pPr>
          </w:p>
          <w:p w:rsidR="000F785D" w:rsidRPr="00F056A2" w:rsidRDefault="000F785D" w:rsidP="000F785D">
            <w:pPr>
              <w:pStyle w:val="MediumGrid21"/>
              <w:numPr>
                <w:ilvl w:val="0"/>
                <w:numId w:val="11"/>
              </w:numPr>
              <w:rPr>
                <w:rFonts w:ascii="Arial" w:hAnsi="Arial" w:cs="Arial"/>
                <w:sz w:val="18"/>
                <w:szCs w:val="20"/>
                <w:lang w:val="fr-FR"/>
              </w:rPr>
            </w:pPr>
            <w:r w:rsidRPr="00F056A2">
              <w:rPr>
                <w:rFonts w:ascii="Arial" w:hAnsi="Arial" w:cs="Arial"/>
                <w:b/>
                <w:sz w:val="18"/>
                <w:szCs w:val="20"/>
                <w:lang w:val="fr-FR"/>
              </w:rPr>
              <w:t>Recommandations faisant l’objet d’un suivi :</w:t>
            </w:r>
            <w:r w:rsidRPr="00F056A2">
              <w:rPr>
                <w:rFonts w:ascii="Arial" w:hAnsi="Arial" w:cs="Arial"/>
                <w:sz w:val="18"/>
                <w:szCs w:val="20"/>
                <w:lang w:val="fr-FR"/>
              </w:rPr>
              <w:t xml:space="preserve"> vérification annuelle</w:t>
            </w:r>
            <w:r w:rsidRPr="00F056A2">
              <w:rPr>
                <w:rFonts w:ascii="Arial" w:hAnsi="Arial"/>
                <w:sz w:val="18"/>
                <w:lang w:val="fr-FR"/>
              </w:rPr>
              <w:t xml:space="preserve"> </w:t>
            </w:r>
          </w:p>
          <w:p w:rsidR="000F785D" w:rsidRPr="00F056A2" w:rsidRDefault="000F785D" w:rsidP="00EF2E25">
            <w:pPr>
              <w:pStyle w:val="ColorfulList-Accent11"/>
              <w:rPr>
                <w:rFonts w:ascii="Arial" w:hAnsi="Arial" w:cs="Arial"/>
                <w:b/>
                <w:sz w:val="18"/>
                <w:szCs w:val="20"/>
              </w:rPr>
            </w:pPr>
          </w:p>
          <w:p w:rsidR="000F785D" w:rsidRPr="00F056A2" w:rsidRDefault="000F785D" w:rsidP="000F785D">
            <w:pPr>
              <w:pStyle w:val="MediumGrid21"/>
              <w:numPr>
                <w:ilvl w:val="0"/>
                <w:numId w:val="11"/>
              </w:numPr>
              <w:rPr>
                <w:rFonts w:ascii="Arial" w:hAnsi="Arial" w:cs="Arial"/>
                <w:sz w:val="18"/>
                <w:szCs w:val="20"/>
                <w:lang w:val="fr-FR"/>
              </w:rPr>
            </w:pPr>
            <w:r w:rsidRPr="00F056A2">
              <w:rPr>
                <w:rFonts w:ascii="Arial" w:hAnsi="Arial" w:cs="Arial"/>
                <w:b/>
                <w:sz w:val="18"/>
                <w:szCs w:val="20"/>
                <w:lang w:val="fr-FR"/>
              </w:rPr>
              <w:t>Autre :</w:t>
            </w:r>
            <w:r w:rsidRPr="00F056A2">
              <w:rPr>
                <w:rFonts w:ascii="Arial" w:hAnsi="Arial" w:cs="Arial"/>
                <w:sz w:val="18"/>
                <w:szCs w:val="20"/>
                <w:lang w:val="fr-FR"/>
              </w:rPr>
              <w:t xml:space="preserve"> </w:t>
            </w:r>
            <w:r w:rsidRPr="00F056A2">
              <w:rPr>
                <w:rFonts w:ascii="Arial" w:hAnsi="Arial"/>
                <w:sz w:val="18"/>
                <w:lang w:val="fr-FR"/>
              </w:rPr>
              <w:t xml:space="preserve">transition satisfaisante par rapport à l’auditeur précédent </w:t>
            </w:r>
          </w:p>
          <w:p w:rsidR="000F785D" w:rsidRPr="00F056A2" w:rsidRDefault="000F785D" w:rsidP="00EF2E25">
            <w:pPr>
              <w:pStyle w:val="MediumGrid21"/>
              <w:rPr>
                <w:rFonts w:ascii="Arial" w:hAnsi="Arial" w:cs="Arial"/>
                <w:sz w:val="18"/>
                <w:szCs w:val="20"/>
                <w:lang w:val="fr-FR"/>
              </w:rPr>
            </w:pPr>
          </w:p>
        </w:tc>
        <w:tc>
          <w:tcPr>
            <w:tcW w:w="2551" w:type="dxa"/>
            <w:shd w:val="clear" w:color="auto" w:fill="auto"/>
          </w:tcPr>
          <w:p w:rsidR="000F785D" w:rsidRPr="00F056A2" w:rsidRDefault="000F785D" w:rsidP="00EF2E25">
            <w:pPr>
              <w:pStyle w:val="MediumGrid21"/>
              <w:ind w:left="360"/>
              <w:rPr>
                <w:rFonts w:ascii="Arial" w:hAnsi="Arial" w:cs="Arial"/>
                <w:sz w:val="18"/>
                <w:szCs w:val="20"/>
                <w:lang w:val="fr-FR"/>
              </w:rPr>
            </w:pPr>
          </w:p>
          <w:p w:rsidR="000F785D" w:rsidRPr="00F056A2" w:rsidRDefault="000F785D" w:rsidP="000F785D">
            <w:pPr>
              <w:pStyle w:val="MediumGrid21"/>
              <w:numPr>
                <w:ilvl w:val="0"/>
                <w:numId w:val="12"/>
              </w:numPr>
              <w:rPr>
                <w:rFonts w:ascii="Arial" w:hAnsi="Arial" w:cs="Arial"/>
                <w:sz w:val="18"/>
                <w:szCs w:val="20"/>
                <w:lang w:val="fr-FR"/>
              </w:rPr>
            </w:pPr>
            <w:r w:rsidRPr="00F056A2">
              <w:rPr>
                <w:rFonts w:ascii="Arial" w:hAnsi="Arial" w:cs="Arial"/>
                <w:b/>
                <w:sz w:val="18"/>
                <w:szCs w:val="20"/>
                <w:lang w:val="fr-FR"/>
              </w:rPr>
              <w:t>Équipe :</w:t>
            </w:r>
            <w:r w:rsidRPr="00F056A2">
              <w:rPr>
                <w:rFonts w:ascii="Arial" w:hAnsi="Arial" w:cs="Arial"/>
                <w:sz w:val="18"/>
                <w:szCs w:val="20"/>
                <w:lang w:val="fr-FR"/>
              </w:rPr>
              <w:t xml:space="preserve"> </w:t>
            </w:r>
            <w:r w:rsidRPr="00F056A2">
              <w:rPr>
                <w:rFonts w:ascii="Arial" w:hAnsi="Arial"/>
                <w:sz w:val="18"/>
                <w:lang w:val="fr-FR"/>
              </w:rPr>
              <w:t xml:space="preserve">audits effectués par un directeur, un responsable (manager) </w:t>
            </w:r>
            <w:r w:rsidR="00267AFC">
              <w:rPr>
                <w:rFonts w:ascii="Arial" w:hAnsi="Arial"/>
                <w:sz w:val="18"/>
                <w:lang w:val="fr-FR"/>
              </w:rPr>
              <w:t xml:space="preserve">et </w:t>
            </w:r>
            <w:r w:rsidRPr="00F056A2">
              <w:rPr>
                <w:rFonts w:ascii="Arial" w:hAnsi="Arial"/>
                <w:sz w:val="18"/>
                <w:lang w:val="fr-FR"/>
              </w:rPr>
              <w:t xml:space="preserve">cinq auditeurs pour les audits financiers ou six auditeurs pour les audits de performance, deux agents en appui et des consultants ad hoc, si nécessaire </w:t>
            </w:r>
          </w:p>
          <w:p w:rsidR="000F785D" w:rsidRPr="00F056A2" w:rsidRDefault="000F785D" w:rsidP="00EF2E25">
            <w:pPr>
              <w:pStyle w:val="MediumGrid21"/>
              <w:ind w:left="360"/>
              <w:rPr>
                <w:rFonts w:ascii="Arial" w:hAnsi="Arial" w:cs="Arial"/>
                <w:sz w:val="18"/>
                <w:szCs w:val="20"/>
                <w:lang w:val="fr-FR"/>
              </w:rPr>
            </w:pPr>
          </w:p>
          <w:p w:rsidR="000F785D" w:rsidRPr="00F056A2" w:rsidRDefault="000F785D" w:rsidP="000F785D">
            <w:pPr>
              <w:pStyle w:val="MediumGrid21"/>
              <w:numPr>
                <w:ilvl w:val="0"/>
                <w:numId w:val="12"/>
              </w:numPr>
              <w:rPr>
                <w:rFonts w:ascii="Arial" w:hAnsi="Arial"/>
                <w:sz w:val="18"/>
                <w:lang w:val="fr-FR"/>
              </w:rPr>
            </w:pPr>
            <w:r w:rsidRPr="00F056A2">
              <w:rPr>
                <w:rFonts w:ascii="Arial" w:hAnsi="Arial" w:cs="Arial"/>
                <w:b/>
                <w:sz w:val="18"/>
                <w:szCs w:val="20"/>
                <w:lang w:val="fr-FR"/>
              </w:rPr>
              <w:t>Qualifications :</w:t>
            </w:r>
            <w:r w:rsidRPr="00F056A2">
              <w:rPr>
                <w:rFonts w:ascii="Arial" w:hAnsi="Arial" w:cs="Arial"/>
                <w:sz w:val="18"/>
                <w:szCs w:val="20"/>
                <w:lang w:val="fr-FR"/>
              </w:rPr>
              <w:t xml:space="preserve"> niveau universitaire et supérieur en comptabilité </w:t>
            </w:r>
            <w:r w:rsidRPr="00F056A2">
              <w:rPr>
                <w:rFonts w:ascii="Arial" w:hAnsi="Arial"/>
                <w:sz w:val="18"/>
                <w:lang w:val="fr-FR"/>
              </w:rPr>
              <w:t xml:space="preserve">et expertise dans ce domaine et dans les domaines de performance. Bonne connaissance des IPSAS </w:t>
            </w:r>
          </w:p>
          <w:p w:rsidR="000F785D" w:rsidRPr="00F056A2" w:rsidRDefault="000F785D" w:rsidP="00EF2E25">
            <w:pPr>
              <w:pStyle w:val="MediumGrid21"/>
              <w:rPr>
                <w:rFonts w:ascii="Arial" w:hAnsi="Arial"/>
                <w:sz w:val="18"/>
                <w:lang w:val="fr-FR"/>
              </w:rPr>
            </w:pPr>
          </w:p>
          <w:p w:rsidR="000F785D" w:rsidRPr="00F056A2" w:rsidRDefault="000F785D" w:rsidP="000F785D">
            <w:pPr>
              <w:pStyle w:val="MediumGrid21"/>
              <w:numPr>
                <w:ilvl w:val="0"/>
                <w:numId w:val="12"/>
              </w:numPr>
              <w:rPr>
                <w:rFonts w:ascii="Arial" w:hAnsi="Arial" w:cs="Arial"/>
                <w:sz w:val="18"/>
                <w:szCs w:val="20"/>
                <w:lang w:val="fr-FR"/>
              </w:rPr>
            </w:pPr>
            <w:r w:rsidRPr="00F056A2">
              <w:rPr>
                <w:rFonts w:ascii="Arial" w:hAnsi="Arial" w:cs="Arial"/>
                <w:b/>
                <w:sz w:val="18"/>
                <w:szCs w:val="20"/>
                <w:lang w:val="fr-FR"/>
              </w:rPr>
              <w:t xml:space="preserve">Supervision : </w:t>
            </w:r>
            <w:r w:rsidRPr="00F056A2">
              <w:rPr>
                <w:rFonts w:ascii="Arial" w:hAnsi="Arial"/>
                <w:sz w:val="18"/>
                <w:lang w:val="fr-FR"/>
              </w:rPr>
              <w:t>équipe ayant à sa tête un directeur supervisé par le Premier président</w:t>
            </w:r>
          </w:p>
          <w:p w:rsidR="000F785D" w:rsidRPr="00F056A2" w:rsidRDefault="000F785D" w:rsidP="00EF2E25">
            <w:pPr>
              <w:pStyle w:val="ColorfulList-Accent11"/>
              <w:rPr>
                <w:rFonts w:ascii="Arial" w:hAnsi="Arial" w:cs="Arial"/>
                <w:b/>
                <w:sz w:val="18"/>
                <w:szCs w:val="20"/>
              </w:rPr>
            </w:pPr>
          </w:p>
          <w:p w:rsidR="000F785D" w:rsidRPr="00F056A2" w:rsidRDefault="000F785D" w:rsidP="000F785D">
            <w:pPr>
              <w:pStyle w:val="MediumGrid21"/>
              <w:numPr>
                <w:ilvl w:val="0"/>
                <w:numId w:val="12"/>
              </w:numPr>
              <w:rPr>
                <w:rFonts w:ascii="Arial" w:hAnsi="Arial" w:cs="Arial"/>
                <w:sz w:val="18"/>
                <w:szCs w:val="20"/>
                <w:lang w:val="fr-FR"/>
              </w:rPr>
            </w:pPr>
            <w:r w:rsidRPr="00F056A2">
              <w:rPr>
                <w:rFonts w:ascii="Arial" w:hAnsi="Arial" w:cs="Arial"/>
                <w:b/>
                <w:sz w:val="18"/>
                <w:szCs w:val="20"/>
                <w:lang w:val="fr-FR"/>
              </w:rPr>
              <w:t>Langue :</w:t>
            </w:r>
            <w:r w:rsidRPr="00F056A2">
              <w:rPr>
                <w:rFonts w:ascii="Arial" w:hAnsi="Arial" w:cs="Arial"/>
                <w:sz w:val="18"/>
                <w:szCs w:val="20"/>
                <w:lang w:val="fr-FR"/>
              </w:rPr>
              <w:t xml:space="preserve"> </w:t>
            </w:r>
            <w:r w:rsidRPr="00F056A2">
              <w:rPr>
                <w:rFonts w:ascii="Arial" w:hAnsi="Arial"/>
                <w:sz w:val="18"/>
                <w:lang w:val="fr-FR"/>
              </w:rPr>
              <w:t xml:space="preserve">tout le personnel travaille en français (langue maternelle) et parle couramment l’anglais (pas de niveau inférieur à C1) </w:t>
            </w:r>
          </w:p>
          <w:p w:rsidR="000F785D" w:rsidRPr="00F056A2" w:rsidRDefault="000F785D" w:rsidP="00EF2E25">
            <w:pPr>
              <w:pStyle w:val="ColorfulList-Accent11"/>
              <w:rPr>
                <w:rFonts w:ascii="Arial" w:hAnsi="Arial" w:cs="Arial"/>
                <w:sz w:val="18"/>
                <w:szCs w:val="20"/>
              </w:rPr>
            </w:pPr>
          </w:p>
          <w:p w:rsidR="000F785D" w:rsidRPr="00F056A2" w:rsidRDefault="000F785D" w:rsidP="00EF2E25">
            <w:pPr>
              <w:pStyle w:val="MediumGrid21"/>
              <w:rPr>
                <w:rFonts w:ascii="Arial" w:hAnsi="Arial" w:cs="Arial"/>
                <w:sz w:val="18"/>
                <w:szCs w:val="20"/>
                <w:lang w:val="fr-FR"/>
              </w:rPr>
            </w:pPr>
          </w:p>
          <w:p w:rsidR="000F785D" w:rsidRPr="00F056A2" w:rsidRDefault="000F785D" w:rsidP="00EF2E25">
            <w:pPr>
              <w:pStyle w:val="MediumGrid21"/>
              <w:jc w:val="center"/>
              <w:rPr>
                <w:rFonts w:ascii="Arial" w:hAnsi="Arial" w:cs="Arial"/>
                <w:b/>
                <w:sz w:val="18"/>
                <w:szCs w:val="20"/>
                <w:u w:val="single"/>
                <w:lang w:val="fr-FR"/>
              </w:rPr>
            </w:pPr>
            <w:r w:rsidRPr="00F056A2">
              <w:rPr>
                <w:rFonts w:ascii="Arial" w:hAnsi="Arial" w:cs="Arial"/>
                <w:b/>
                <w:sz w:val="18"/>
                <w:szCs w:val="20"/>
                <w:u w:val="single"/>
                <w:lang w:val="fr-FR"/>
              </w:rPr>
              <w:t>STATISTIQUES</w:t>
            </w:r>
          </w:p>
          <w:p w:rsidR="000F785D" w:rsidRPr="00F056A2" w:rsidRDefault="000F785D" w:rsidP="00EF2E25">
            <w:pPr>
              <w:pStyle w:val="MediumGrid21"/>
              <w:jc w:val="center"/>
              <w:rPr>
                <w:rFonts w:ascii="Arial" w:hAnsi="Arial" w:cs="Arial"/>
                <w:sz w:val="18"/>
                <w:szCs w:val="20"/>
                <w:u w:val="single"/>
                <w:lang w:val="fr-FR"/>
              </w:rPr>
            </w:pP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Audit financier         185 jours</w:t>
            </w:r>
          </w:p>
          <w:p w:rsidR="000F785D" w:rsidRDefault="000F785D" w:rsidP="00EF2E25">
            <w:pPr>
              <w:pStyle w:val="MediumGrid21"/>
              <w:rPr>
                <w:rFonts w:ascii="Arial" w:hAnsi="Arial" w:cs="Arial"/>
                <w:sz w:val="18"/>
                <w:szCs w:val="20"/>
                <w:lang w:val="fr-FR"/>
              </w:rPr>
            </w:pPr>
            <w:r w:rsidRPr="00F056A2">
              <w:rPr>
                <w:rFonts w:ascii="Arial" w:hAnsi="Arial" w:cs="Arial"/>
                <w:sz w:val="18"/>
                <w:szCs w:val="20"/>
                <w:lang w:val="fr-FR"/>
              </w:rPr>
              <w:t xml:space="preserve">Audit de </w:t>
            </w: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 xml:space="preserve">performance* </w:t>
            </w:r>
            <w:r>
              <w:rPr>
                <w:rFonts w:ascii="Arial" w:hAnsi="Arial" w:cs="Arial"/>
                <w:sz w:val="18"/>
                <w:szCs w:val="20"/>
                <w:lang w:val="fr-FR"/>
              </w:rPr>
              <w:t xml:space="preserve">           </w:t>
            </w:r>
            <w:r w:rsidRPr="00F056A2">
              <w:rPr>
                <w:rFonts w:ascii="Arial" w:hAnsi="Arial" w:cs="Arial"/>
                <w:sz w:val="18"/>
                <w:szCs w:val="20"/>
                <w:lang w:val="fr-FR"/>
              </w:rPr>
              <w:t>80 jours</w:t>
            </w: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Travail hors site**   105 jours</w:t>
            </w:r>
          </w:p>
          <w:p w:rsidR="000F785D" w:rsidRPr="00F056A2" w:rsidRDefault="000F785D" w:rsidP="00EF2E25">
            <w:pPr>
              <w:pStyle w:val="MediumGrid21"/>
              <w:rPr>
                <w:rFonts w:ascii="Arial" w:hAnsi="Arial" w:cs="Arial"/>
                <w:b/>
                <w:sz w:val="18"/>
                <w:szCs w:val="20"/>
                <w:lang w:val="fr-FR"/>
              </w:rPr>
            </w:pPr>
            <w:r w:rsidRPr="00F056A2">
              <w:rPr>
                <w:rFonts w:ascii="Arial" w:hAnsi="Arial" w:cs="Arial"/>
                <w:b/>
                <w:sz w:val="18"/>
                <w:szCs w:val="20"/>
                <w:lang w:val="fr-FR"/>
              </w:rPr>
              <w:t>Total                      370 jours</w:t>
            </w:r>
          </w:p>
          <w:p w:rsidR="000F785D" w:rsidRPr="00F056A2" w:rsidRDefault="000F785D" w:rsidP="00EF2E25">
            <w:pPr>
              <w:pStyle w:val="MediumGrid21"/>
              <w:rPr>
                <w:rFonts w:ascii="Arial" w:hAnsi="Arial" w:cs="Arial"/>
                <w:sz w:val="18"/>
                <w:szCs w:val="20"/>
                <w:lang w:val="fr-FR"/>
              </w:rPr>
            </w:pP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Coût                 149 662 EUR</w:t>
            </w:r>
          </w:p>
          <w:p w:rsidR="000F785D" w:rsidRPr="00F056A2" w:rsidRDefault="000F785D" w:rsidP="00EF2E25">
            <w:pPr>
              <w:pStyle w:val="MediumGrid21"/>
              <w:rPr>
                <w:rFonts w:ascii="Arial" w:hAnsi="Arial" w:cs="Arial"/>
                <w:sz w:val="18"/>
                <w:szCs w:val="20"/>
                <w:lang w:val="fr-FR"/>
              </w:rPr>
            </w:pP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  4 études chaque année</w:t>
            </w: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  prestation à titre gracieux</w:t>
            </w:r>
          </w:p>
          <w:p w:rsidR="000F785D" w:rsidRPr="00F056A2" w:rsidRDefault="000F785D" w:rsidP="00EF2E25">
            <w:pPr>
              <w:pStyle w:val="MediumGrid21"/>
              <w:rPr>
                <w:rFonts w:ascii="Arial" w:hAnsi="Arial" w:cs="Arial"/>
                <w:sz w:val="18"/>
                <w:szCs w:val="20"/>
                <w:lang w:val="fr-FR"/>
              </w:rPr>
            </w:pP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 xml:space="preserve">Taux journalier pour les audits supplémentaires   </w:t>
            </w:r>
            <w:proofErr w:type="spellStart"/>
            <w:r w:rsidRPr="00F056A2">
              <w:rPr>
                <w:rFonts w:ascii="Arial" w:hAnsi="Arial" w:cs="Arial"/>
                <w:sz w:val="18"/>
                <w:szCs w:val="20"/>
                <w:lang w:val="fr-FR"/>
              </w:rPr>
              <w:t>n.d</w:t>
            </w:r>
            <w:proofErr w:type="spellEnd"/>
            <w:r w:rsidRPr="00F056A2">
              <w:rPr>
                <w:rFonts w:ascii="Arial" w:hAnsi="Arial" w:cs="Arial"/>
                <w:sz w:val="18"/>
                <w:szCs w:val="20"/>
                <w:lang w:val="fr-FR"/>
              </w:rPr>
              <w:t>.</w:t>
            </w:r>
          </w:p>
          <w:p w:rsidR="000F785D" w:rsidRPr="00F056A2" w:rsidRDefault="000F785D" w:rsidP="00EF2E25">
            <w:pPr>
              <w:pStyle w:val="MediumGrid21"/>
              <w:rPr>
                <w:rFonts w:ascii="Arial" w:hAnsi="Arial" w:cs="Arial"/>
                <w:sz w:val="18"/>
                <w:szCs w:val="20"/>
                <w:lang w:val="fr-FR"/>
              </w:rPr>
            </w:pPr>
            <w:r w:rsidRPr="00F056A2">
              <w:rPr>
                <w:rFonts w:ascii="Arial" w:hAnsi="Arial" w:cs="Arial"/>
                <w:sz w:val="18"/>
                <w:szCs w:val="20"/>
                <w:lang w:val="fr-FR"/>
              </w:rPr>
              <w:t>Selon que les audits se déroulent à Strasbourg ou dans d’autres pays, frais administratifs fixes</w:t>
            </w:r>
          </w:p>
          <w:p w:rsidR="000F785D" w:rsidRDefault="000F785D" w:rsidP="00EF2E25">
            <w:pPr>
              <w:pStyle w:val="MediumGrid21"/>
              <w:rPr>
                <w:rFonts w:ascii="Arial" w:hAnsi="Arial" w:cs="Arial"/>
                <w:sz w:val="18"/>
                <w:szCs w:val="20"/>
                <w:lang w:val="fr-FR"/>
              </w:rPr>
            </w:pPr>
            <w:r w:rsidRPr="00F056A2">
              <w:rPr>
                <w:rFonts w:ascii="Arial" w:hAnsi="Arial" w:cs="Arial"/>
                <w:sz w:val="18"/>
                <w:szCs w:val="20"/>
                <w:lang w:val="fr-FR"/>
              </w:rPr>
              <w:t>3 248 EUR</w:t>
            </w:r>
          </w:p>
          <w:p w:rsidR="00D752B6" w:rsidRPr="00F056A2" w:rsidRDefault="00D752B6" w:rsidP="00EF2E25">
            <w:pPr>
              <w:pStyle w:val="MediumGrid21"/>
              <w:rPr>
                <w:rFonts w:ascii="Arial" w:hAnsi="Arial" w:cs="Arial"/>
                <w:sz w:val="18"/>
                <w:szCs w:val="20"/>
                <w:lang w:val="fr-FR"/>
              </w:rPr>
            </w:pPr>
          </w:p>
        </w:tc>
        <w:tc>
          <w:tcPr>
            <w:tcW w:w="2539" w:type="dxa"/>
            <w:shd w:val="clear" w:color="auto" w:fill="auto"/>
          </w:tcPr>
          <w:p w:rsidR="000F785D" w:rsidRPr="00F056A2" w:rsidRDefault="000F785D" w:rsidP="00EF2E25">
            <w:pPr>
              <w:pStyle w:val="MediumGrid21"/>
              <w:rPr>
                <w:rFonts w:ascii="Arial" w:hAnsi="Arial" w:cs="Arial"/>
                <w:sz w:val="18"/>
                <w:szCs w:val="20"/>
                <w:lang w:val="fr-FR"/>
              </w:rPr>
            </w:pPr>
          </w:p>
          <w:p w:rsidR="000F785D" w:rsidRPr="00F056A2" w:rsidRDefault="000F785D" w:rsidP="000F785D">
            <w:pPr>
              <w:pStyle w:val="MediumGrid21"/>
              <w:numPr>
                <w:ilvl w:val="0"/>
                <w:numId w:val="13"/>
              </w:numPr>
              <w:rPr>
                <w:rFonts w:ascii="Arial" w:hAnsi="Arial" w:cs="Arial"/>
                <w:sz w:val="18"/>
                <w:szCs w:val="20"/>
                <w:lang w:val="fr-FR"/>
              </w:rPr>
            </w:pPr>
            <w:r w:rsidRPr="00F056A2">
              <w:rPr>
                <w:rFonts w:ascii="Arial" w:hAnsi="Arial" w:cs="Arial"/>
                <w:b/>
                <w:sz w:val="18"/>
                <w:szCs w:val="20"/>
                <w:lang w:val="fr-FR"/>
              </w:rPr>
              <w:t>Expérience récente ou actuelle :</w:t>
            </w:r>
            <w:r w:rsidRPr="00F056A2">
              <w:rPr>
                <w:rFonts w:ascii="Arial" w:hAnsi="Arial" w:cs="Arial"/>
                <w:sz w:val="18"/>
                <w:szCs w:val="20"/>
                <w:lang w:val="fr-FR"/>
              </w:rPr>
              <w:t xml:space="preserve"> quelques exemples –</w:t>
            </w:r>
          </w:p>
          <w:p w:rsidR="000F785D" w:rsidRPr="00F056A2" w:rsidRDefault="000F785D" w:rsidP="00EF2E25">
            <w:pPr>
              <w:pStyle w:val="MediumGrid21"/>
              <w:ind w:left="360"/>
              <w:rPr>
                <w:rFonts w:ascii="Arial" w:hAnsi="Arial"/>
                <w:sz w:val="18"/>
                <w:lang w:val="fr-FR"/>
              </w:rPr>
            </w:pPr>
            <w:r w:rsidRPr="00F056A2">
              <w:rPr>
                <w:rFonts w:ascii="Arial" w:hAnsi="Arial"/>
                <w:sz w:val="18"/>
                <w:lang w:val="fr-FR"/>
              </w:rPr>
              <w:t xml:space="preserve">CPI (2012-2019) </w:t>
            </w:r>
          </w:p>
          <w:p w:rsidR="000F785D" w:rsidRPr="00F056A2" w:rsidRDefault="000F785D" w:rsidP="00EF2E25">
            <w:pPr>
              <w:pStyle w:val="MediumGrid21"/>
              <w:ind w:left="360"/>
              <w:rPr>
                <w:rFonts w:ascii="Arial" w:hAnsi="Arial"/>
                <w:sz w:val="18"/>
                <w:lang w:val="fr-FR"/>
              </w:rPr>
            </w:pPr>
            <w:r w:rsidRPr="00F056A2">
              <w:rPr>
                <w:rFonts w:ascii="Arial" w:hAnsi="Arial"/>
                <w:sz w:val="18"/>
                <w:lang w:val="fr-FR"/>
              </w:rPr>
              <w:t>PAM (2016-2021)</w:t>
            </w:r>
          </w:p>
          <w:p w:rsidR="000F785D" w:rsidRPr="00F056A2" w:rsidRDefault="000F785D" w:rsidP="00EF2E25">
            <w:pPr>
              <w:pStyle w:val="MediumGrid21"/>
              <w:ind w:left="360"/>
              <w:rPr>
                <w:rFonts w:ascii="Arial" w:hAnsi="Arial" w:cs="Arial"/>
                <w:sz w:val="18"/>
                <w:szCs w:val="20"/>
                <w:lang w:val="fr-FR"/>
              </w:rPr>
            </w:pPr>
          </w:p>
          <w:p w:rsidR="000F785D" w:rsidRPr="00F056A2" w:rsidRDefault="000F785D" w:rsidP="000F785D">
            <w:pPr>
              <w:pStyle w:val="MediumGrid21"/>
              <w:numPr>
                <w:ilvl w:val="0"/>
                <w:numId w:val="13"/>
              </w:numPr>
              <w:rPr>
                <w:rFonts w:ascii="Arial" w:hAnsi="Arial" w:cs="Arial"/>
                <w:sz w:val="18"/>
                <w:szCs w:val="20"/>
                <w:lang w:val="fr-FR"/>
              </w:rPr>
            </w:pPr>
            <w:r w:rsidRPr="00F056A2">
              <w:rPr>
                <w:rFonts w:ascii="Arial" w:hAnsi="Arial" w:cs="Arial"/>
                <w:b/>
                <w:sz w:val="18"/>
                <w:szCs w:val="20"/>
                <w:lang w:val="fr-FR"/>
              </w:rPr>
              <w:t>Expérience antérieure :</w:t>
            </w:r>
          </w:p>
          <w:p w:rsidR="000F785D" w:rsidRPr="00F056A2" w:rsidRDefault="000F785D" w:rsidP="00EF2E25">
            <w:pPr>
              <w:pStyle w:val="MediumGrid21"/>
              <w:ind w:left="360"/>
              <w:rPr>
                <w:rFonts w:ascii="Arial" w:hAnsi="Arial"/>
                <w:sz w:val="18"/>
                <w:lang w:val="fr-FR"/>
              </w:rPr>
            </w:pPr>
            <w:r w:rsidRPr="00F056A2">
              <w:rPr>
                <w:rFonts w:ascii="Arial" w:hAnsi="Arial"/>
                <w:sz w:val="18"/>
                <w:lang w:val="fr-FR"/>
              </w:rPr>
              <w:t>quelques exemples –</w:t>
            </w:r>
          </w:p>
          <w:p w:rsidR="000F785D" w:rsidRPr="00F056A2" w:rsidRDefault="000F785D" w:rsidP="00EF2E25">
            <w:pPr>
              <w:pStyle w:val="MediumGrid21"/>
              <w:ind w:left="360"/>
              <w:rPr>
                <w:rFonts w:ascii="Arial" w:hAnsi="Arial"/>
                <w:b/>
                <w:sz w:val="18"/>
                <w:lang w:val="fr-FR"/>
              </w:rPr>
            </w:pPr>
            <w:r w:rsidRPr="00F056A2">
              <w:rPr>
                <w:rFonts w:ascii="Arial" w:hAnsi="Arial"/>
                <w:b/>
                <w:sz w:val="18"/>
                <w:lang w:val="fr-FR"/>
              </w:rPr>
              <w:t>CdE (2009-2013)</w:t>
            </w:r>
          </w:p>
          <w:p w:rsidR="000F785D" w:rsidRPr="00F056A2" w:rsidRDefault="000F785D" w:rsidP="00EF2E25">
            <w:pPr>
              <w:pStyle w:val="MediumGrid21"/>
              <w:ind w:left="360"/>
              <w:rPr>
                <w:rFonts w:ascii="Arial" w:hAnsi="Arial"/>
                <w:sz w:val="18"/>
                <w:lang w:val="fr-FR"/>
              </w:rPr>
            </w:pPr>
            <w:r w:rsidRPr="00F056A2">
              <w:rPr>
                <w:rFonts w:ascii="Arial" w:hAnsi="Arial"/>
                <w:sz w:val="18"/>
                <w:lang w:val="fr-FR"/>
              </w:rPr>
              <w:t>Nations Unies (1986-1989 et 2001-2009)</w:t>
            </w:r>
          </w:p>
          <w:p w:rsidR="000F785D" w:rsidRPr="00F056A2" w:rsidRDefault="000F785D" w:rsidP="00EF2E25">
            <w:pPr>
              <w:pStyle w:val="MediumGrid21"/>
              <w:ind w:left="360"/>
              <w:rPr>
                <w:rFonts w:ascii="Arial" w:hAnsi="Arial"/>
                <w:sz w:val="18"/>
                <w:lang w:val="fr-FR"/>
              </w:rPr>
            </w:pPr>
            <w:r w:rsidRPr="00F056A2">
              <w:rPr>
                <w:rFonts w:ascii="Arial" w:hAnsi="Arial"/>
                <w:sz w:val="18"/>
                <w:lang w:val="fr-FR"/>
              </w:rPr>
              <w:t>Interpol (2005-2010) UNESCO 2006-2017) OTICE (2009-2017) OCDE (2008-2017)</w:t>
            </w:r>
          </w:p>
          <w:p w:rsidR="000F785D" w:rsidRPr="00F056A2" w:rsidRDefault="000F785D" w:rsidP="00EF2E25">
            <w:pPr>
              <w:pStyle w:val="MediumGrid21"/>
              <w:ind w:left="360"/>
              <w:rPr>
                <w:rFonts w:ascii="Arial" w:hAnsi="Arial" w:cs="Arial"/>
                <w:b/>
                <w:sz w:val="18"/>
                <w:szCs w:val="20"/>
                <w:lang w:val="fr-FR"/>
              </w:rPr>
            </w:pPr>
          </w:p>
          <w:p w:rsidR="000F785D" w:rsidRPr="00F056A2" w:rsidRDefault="000F785D" w:rsidP="000F785D">
            <w:pPr>
              <w:pStyle w:val="MediumGrid21"/>
              <w:numPr>
                <w:ilvl w:val="0"/>
                <w:numId w:val="13"/>
              </w:numPr>
              <w:rPr>
                <w:rFonts w:ascii="Arial" w:hAnsi="Arial" w:cs="Arial"/>
                <w:sz w:val="18"/>
                <w:szCs w:val="20"/>
                <w:lang w:val="fr-FR"/>
              </w:rPr>
            </w:pPr>
            <w:r w:rsidRPr="00F056A2">
              <w:rPr>
                <w:rFonts w:ascii="Arial" w:hAnsi="Arial" w:cs="Arial"/>
                <w:b/>
                <w:sz w:val="18"/>
                <w:szCs w:val="20"/>
                <w:lang w:val="fr-FR"/>
              </w:rPr>
              <w:t>Autre :</w:t>
            </w:r>
            <w:r w:rsidRPr="00F056A2">
              <w:rPr>
                <w:rFonts w:ascii="Arial" w:hAnsi="Arial" w:cs="Arial"/>
                <w:sz w:val="18"/>
                <w:szCs w:val="20"/>
                <w:lang w:val="fr-FR"/>
              </w:rPr>
              <w:t xml:space="preserve"> </w:t>
            </w:r>
            <w:r w:rsidRPr="00F056A2">
              <w:rPr>
                <w:rFonts w:ascii="Arial" w:hAnsi="Arial"/>
                <w:sz w:val="18"/>
                <w:lang w:val="fr-FR"/>
              </w:rPr>
              <w:t>participation active aux activités de l’INTOSAI, présidence du groupe de travail sur l’évaluation ; membre des trois comités stratégiques de l’INTOSAI ; membre du groupe d’auditeurs externes des Nations Unies ; Secrétariat général de l’AISCCUF ; membre de plusieurs groupes de travail de l’EUROSAI ; plusieurs engagements spécifiques auprès d’organisations internationales</w:t>
            </w:r>
            <w:r w:rsidR="00267AFC">
              <w:rPr>
                <w:rFonts w:ascii="Arial" w:hAnsi="Arial"/>
                <w:sz w:val="18"/>
                <w:lang w:val="fr-FR"/>
              </w:rPr>
              <w:t>.</w:t>
            </w:r>
          </w:p>
          <w:p w:rsidR="000F785D" w:rsidRPr="00F056A2" w:rsidRDefault="000F785D" w:rsidP="00EF2E25">
            <w:pPr>
              <w:pStyle w:val="MediumGrid21"/>
              <w:ind w:left="360"/>
              <w:rPr>
                <w:rFonts w:ascii="Arial" w:hAnsi="Arial" w:cs="Arial"/>
                <w:sz w:val="18"/>
                <w:szCs w:val="20"/>
                <w:lang w:val="fr-FR"/>
              </w:rPr>
            </w:pPr>
          </w:p>
        </w:tc>
      </w:tr>
    </w:tbl>
    <w:p w:rsidR="000F785D" w:rsidRPr="00F056A2" w:rsidRDefault="000F785D" w:rsidP="000F785D">
      <w:pPr>
        <w:pStyle w:val="CMNormal"/>
        <w:rPr>
          <w:lang w:val="fr-FR"/>
        </w:rPr>
      </w:pPr>
    </w:p>
    <w:p w:rsidR="000F785D" w:rsidRPr="00AD0EFC" w:rsidRDefault="000F785D" w:rsidP="0037200F">
      <w:pPr>
        <w:rPr>
          <w:rFonts w:eastAsia="Times New Roman"/>
          <w:szCs w:val="24"/>
        </w:rPr>
      </w:pPr>
    </w:p>
    <w:sectPr w:rsidR="000F785D" w:rsidRPr="00AD0EFC" w:rsidSect="00544F6A">
      <w:headerReference w:type="even" r:id="rId9"/>
      <w:headerReference w:type="default" r:id="rId10"/>
      <w:footerReference w:type="default" r:id="rId11"/>
      <w:headerReference w:type="first" r:id="rId12"/>
      <w:footerReference w:type="first" r:id="rId13"/>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3C4" w:rsidRDefault="00D763C4" w:rsidP="00FD6043">
      <w:r>
        <w:separator/>
      </w:r>
    </w:p>
  </w:endnote>
  <w:endnote w:type="continuationSeparator" w:id="0">
    <w:p w:rsidR="00D763C4" w:rsidRDefault="00D763C4"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3C4" w:rsidRDefault="00D763C4" w:rsidP="00FD6043">
      <w:r>
        <w:separator/>
      </w:r>
    </w:p>
  </w:footnote>
  <w:footnote w:type="continuationSeparator" w:id="0">
    <w:p w:rsidR="00D763C4" w:rsidRDefault="00D763C4" w:rsidP="00FD6043">
      <w:r>
        <w:continuationSeparator/>
      </w:r>
    </w:p>
  </w:footnote>
  <w:footnote w:id="1">
    <w:p w:rsidR="004D1C0F" w:rsidRPr="00736698" w:rsidRDefault="00853C90" w:rsidP="004728F8">
      <w:pPr>
        <w:pStyle w:val="FootnoteText"/>
        <w:rPr>
          <w:szCs w:val="16"/>
        </w:rPr>
      </w:pPr>
      <w:r w:rsidRPr="00736698">
        <w:rPr>
          <w:rStyle w:val="FootnoteReference"/>
        </w:rPr>
        <w:footnoteRef/>
      </w:r>
      <w:r w:rsidRPr="00736698">
        <w:t xml:space="preserve"> </w:t>
      </w:r>
      <w:r w:rsidR="004728F8" w:rsidRPr="00736698">
        <w:rPr>
          <w:szCs w:val="16"/>
        </w:rPr>
        <w:t>Ce document a été classé en diffusion restreinte jusqu'à la date de son examen par le Comité des Ministres.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9342FF" w:rsidP="00491E67">
    <w:pPr>
      <w:pStyle w:val="Header"/>
    </w:pPr>
    <w:r w:rsidRPr="00491E67">
      <w:t>CM(</w:t>
    </w:r>
    <w:r w:rsidR="00440CB1">
      <w:t>2019</w:t>
    </w:r>
    <w:r w:rsidRPr="00491E67">
      <w:t>)</w:t>
    </w:r>
    <w:r w:rsidR="00852C03">
      <w:t>30</w:t>
    </w:r>
    <w:r w:rsidR="0049451F">
      <w:t>-add</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AE4FE1">
      <w:rPr>
        <w:noProof/>
      </w:rPr>
      <w:t>2</w:t>
    </w:r>
    <w:r w:rsidR="00E15639" w:rsidRPr="00491E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AE4FE1">
      <w:rPr>
        <w:noProof/>
      </w:rPr>
      <w:t>3</w:t>
    </w:r>
    <w:r w:rsidRPr="00491E67">
      <w:fldChar w:fldCharType="end"/>
    </w:r>
    <w:r w:rsidR="00E475F9" w:rsidRPr="00491E67">
      <w:tab/>
    </w:r>
    <w:r w:rsidR="009342FF" w:rsidRPr="00491E67">
      <w:t>CM(</w:t>
    </w:r>
    <w:r w:rsidR="00440CB1">
      <w:t>2019</w:t>
    </w:r>
    <w:r w:rsidR="009342FF" w:rsidRPr="00491E67">
      <w:t>)</w:t>
    </w:r>
    <w:r w:rsidR="00852C03">
      <w:t>30</w:t>
    </w:r>
    <w:r w:rsidR="0049451F">
      <w:t>-add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137BB4" w:rsidP="00123CDD">
    <w:pPr>
      <w:pStyle w:val="Header"/>
      <w:spacing w:after="2280"/>
    </w:pPr>
    <w:r>
      <w:rPr>
        <w:noProof/>
        <w:lang w:val="en-GB" w:eastAsia="en-GB"/>
      </w:rPr>
      <w:drawing>
        <wp:anchor distT="0" distB="0" distL="114300" distR="114300" simplePos="0" relativeHeight="251657728" behindDoc="1" locked="0" layoutInCell="0" allowOverlap="0">
          <wp:simplePos x="0" y="0"/>
          <wp:positionH relativeFrom="page">
            <wp:posOffset>407406</wp:posOffset>
          </wp:positionH>
          <wp:positionV relativeFrom="page">
            <wp:posOffset>22064</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808"/>
    <w:multiLevelType w:val="hybridMultilevel"/>
    <w:tmpl w:val="A3881BAE"/>
    <w:lvl w:ilvl="0" w:tplc="2D00AAD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2E47242"/>
    <w:multiLevelType w:val="hybridMultilevel"/>
    <w:tmpl w:val="33BC12BE"/>
    <w:lvl w:ilvl="0" w:tplc="C554A3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D04E7"/>
    <w:multiLevelType w:val="hybridMultilevel"/>
    <w:tmpl w:val="646E28F6"/>
    <w:lvl w:ilvl="0" w:tplc="C67C0564">
      <w:numFmt w:val="bullet"/>
      <w:lvlText w:val="-"/>
      <w:lvlJc w:val="left"/>
      <w:pPr>
        <w:ind w:left="720" w:hanging="360"/>
      </w:pPr>
      <w:rPr>
        <w:rFonts w:ascii="Arial" w:eastAsia="Times New Roman" w:hAnsi="Aria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E7315A"/>
    <w:multiLevelType w:val="hybridMultilevel"/>
    <w:tmpl w:val="0BA4CC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Helvetica"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Helvetica"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Helvetica"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28B5C3A"/>
    <w:multiLevelType w:val="hybridMultilevel"/>
    <w:tmpl w:val="1646C160"/>
    <w:lvl w:ilvl="0" w:tplc="4036DD7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013A68"/>
    <w:multiLevelType w:val="hybridMultilevel"/>
    <w:tmpl w:val="3F5E8A60"/>
    <w:lvl w:ilvl="0" w:tplc="FF0AE4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4906CC"/>
    <w:multiLevelType w:val="hybridMultilevel"/>
    <w:tmpl w:val="7D4EA1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Helvetica"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Helvetica"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Helvetica"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92678C8"/>
    <w:multiLevelType w:val="hybridMultilevel"/>
    <w:tmpl w:val="9622337E"/>
    <w:lvl w:ilvl="0" w:tplc="F8543B12">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nsid w:val="4D3822E6"/>
    <w:multiLevelType w:val="hybridMultilevel"/>
    <w:tmpl w:val="B4B870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700035"/>
    <w:multiLevelType w:val="hybridMultilevel"/>
    <w:tmpl w:val="5EEA948A"/>
    <w:lvl w:ilvl="0" w:tplc="F8D0031C">
      <w:start w:val="1"/>
      <w:numFmt w:val="decimal"/>
      <w:lvlText w:val="%1."/>
      <w:lvlJc w:val="left"/>
      <w:pPr>
        <w:ind w:left="0" w:hanging="360"/>
      </w:pPr>
      <w:rPr>
        <w:rFonts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nsid w:val="61775C0A"/>
    <w:multiLevelType w:val="hybridMultilevel"/>
    <w:tmpl w:val="7F767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755E3F"/>
    <w:multiLevelType w:val="hybridMultilevel"/>
    <w:tmpl w:val="00D69414"/>
    <w:lvl w:ilvl="0" w:tplc="999A28D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3D90CA8"/>
    <w:multiLevelType w:val="hybridMultilevel"/>
    <w:tmpl w:val="5EEA948A"/>
    <w:lvl w:ilvl="0" w:tplc="F8D0031C">
      <w:start w:val="1"/>
      <w:numFmt w:val="decimal"/>
      <w:lvlText w:val="%1."/>
      <w:lvlJc w:val="left"/>
      <w:pPr>
        <w:ind w:left="0" w:hanging="360"/>
      </w:pPr>
      <w:rPr>
        <w:rFonts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74ED68A1"/>
    <w:multiLevelType w:val="hybridMultilevel"/>
    <w:tmpl w:val="B4B870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CF759F"/>
    <w:multiLevelType w:val="hybridMultilevel"/>
    <w:tmpl w:val="3A96E5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Helvetica"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Helvetica"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Helvetica"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9"/>
  </w:num>
  <w:num w:numId="4">
    <w:abstractNumId w:val="8"/>
  </w:num>
  <w:num w:numId="5">
    <w:abstractNumId w:val="0"/>
  </w:num>
  <w:num w:numId="6">
    <w:abstractNumId w:val="4"/>
  </w:num>
  <w:num w:numId="7">
    <w:abstractNumId w:val="1"/>
  </w:num>
  <w:num w:numId="8">
    <w:abstractNumId w:val="7"/>
  </w:num>
  <w:num w:numId="9">
    <w:abstractNumId w:val="11"/>
  </w:num>
  <w:num w:numId="10">
    <w:abstractNumId w:val="13"/>
  </w:num>
  <w:num w:numId="11">
    <w:abstractNumId w:val="3"/>
  </w:num>
  <w:num w:numId="12">
    <w:abstractNumId w:val="14"/>
  </w:num>
  <w:num w:numId="13">
    <w:abstractNumId w:val="6"/>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C4"/>
    <w:rsid w:val="00027022"/>
    <w:rsid w:val="00027B2B"/>
    <w:rsid w:val="00035FDF"/>
    <w:rsid w:val="00042A16"/>
    <w:rsid w:val="00071456"/>
    <w:rsid w:val="00071EA7"/>
    <w:rsid w:val="00072CBD"/>
    <w:rsid w:val="00082CEE"/>
    <w:rsid w:val="000A307B"/>
    <w:rsid w:val="000B5C6D"/>
    <w:rsid w:val="000C52A6"/>
    <w:rsid w:val="000C5E2A"/>
    <w:rsid w:val="000E50A4"/>
    <w:rsid w:val="000F4CF2"/>
    <w:rsid w:val="000F58C3"/>
    <w:rsid w:val="000F5ADA"/>
    <w:rsid w:val="000F708C"/>
    <w:rsid w:val="000F785D"/>
    <w:rsid w:val="0010091D"/>
    <w:rsid w:val="00106141"/>
    <w:rsid w:val="00110729"/>
    <w:rsid w:val="00113EB0"/>
    <w:rsid w:val="00123CDD"/>
    <w:rsid w:val="00134D9A"/>
    <w:rsid w:val="00135BDB"/>
    <w:rsid w:val="00137BB4"/>
    <w:rsid w:val="00137BDB"/>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67AFC"/>
    <w:rsid w:val="002855AA"/>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0CB1"/>
    <w:rsid w:val="00443709"/>
    <w:rsid w:val="00447D22"/>
    <w:rsid w:val="004553F6"/>
    <w:rsid w:val="004728F8"/>
    <w:rsid w:val="00480D8B"/>
    <w:rsid w:val="00491E67"/>
    <w:rsid w:val="0049451F"/>
    <w:rsid w:val="004A37E1"/>
    <w:rsid w:val="004C0C2F"/>
    <w:rsid w:val="004C11B3"/>
    <w:rsid w:val="004D1C0F"/>
    <w:rsid w:val="004F1D8B"/>
    <w:rsid w:val="0050115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F0318"/>
    <w:rsid w:val="006F6B48"/>
    <w:rsid w:val="00700585"/>
    <w:rsid w:val="00712E65"/>
    <w:rsid w:val="007150DE"/>
    <w:rsid w:val="00735569"/>
    <w:rsid w:val="00736698"/>
    <w:rsid w:val="007435A5"/>
    <w:rsid w:val="00761627"/>
    <w:rsid w:val="00773CFE"/>
    <w:rsid w:val="007A543D"/>
    <w:rsid w:val="007B3DD0"/>
    <w:rsid w:val="007C0AD1"/>
    <w:rsid w:val="007D7B20"/>
    <w:rsid w:val="007E168C"/>
    <w:rsid w:val="007F6C46"/>
    <w:rsid w:val="00800A19"/>
    <w:rsid w:val="008042E6"/>
    <w:rsid w:val="00805F04"/>
    <w:rsid w:val="00810D5A"/>
    <w:rsid w:val="008144EF"/>
    <w:rsid w:val="00814AA2"/>
    <w:rsid w:val="0082394F"/>
    <w:rsid w:val="00852C03"/>
    <w:rsid w:val="00853C90"/>
    <w:rsid w:val="008575F2"/>
    <w:rsid w:val="0087380A"/>
    <w:rsid w:val="008B07D4"/>
    <w:rsid w:val="008C12CC"/>
    <w:rsid w:val="00915AB1"/>
    <w:rsid w:val="00916BF5"/>
    <w:rsid w:val="009215B8"/>
    <w:rsid w:val="00923554"/>
    <w:rsid w:val="009270C4"/>
    <w:rsid w:val="009342FF"/>
    <w:rsid w:val="00940F14"/>
    <w:rsid w:val="00944A4B"/>
    <w:rsid w:val="00950D67"/>
    <w:rsid w:val="009527D7"/>
    <w:rsid w:val="00955512"/>
    <w:rsid w:val="00963962"/>
    <w:rsid w:val="00974C41"/>
    <w:rsid w:val="00990722"/>
    <w:rsid w:val="009B3AB7"/>
    <w:rsid w:val="009C5258"/>
    <w:rsid w:val="009D28F3"/>
    <w:rsid w:val="009D28F7"/>
    <w:rsid w:val="00A12DEC"/>
    <w:rsid w:val="00A13FA3"/>
    <w:rsid w:val="00A161B3"/>
    <w:rsid w:val="00A22D53"/>
    <w:rsid w:val="00A474E5"/>
    <w:rsid w:val="00A842D4"/>
    <w:rsid w:val="00A93CA3"/>
    <w:rsid w:val="00AA5E37"/>
    <w:rsid w:val="00AB6552"/>
    <w:rsid w:val="00AB67F8"/>
    <w:rsid w:val="00AB7727"/>
    <w:rsid w:val="00AC73AA"/>
    <w:rsid w:val="00AD0EFC"/>
    <w:rsid w:val="00AE4FE1"/>
    <w:rsid w:val="00AE76B8"/>
    <w:rsid w:val="00B06133"/>
    <w:rsid w:val="00B129D8"/>
    <w:rsid w:val="00B227AE"/>
    <w:rsid w:val="00B41B03"/>
    <w:rsid w:val="00B41EC3"/>
    <w:rsid w:val="00B509CE"/>
    <w:rsid w:val="00B63F08"/>
    <w:rsid w:val="00B81BAC"/>
    <w:rsid w:val="00B849E0"/>
    <w:rsid w:val="00B90246"/>
    <w:rsid w:val="00B920E4"/>
    <w:rsid w:val="00BA79A3"/>
    <w:rsid w:val="00BB7DCE"/>
    <w:rsid w:val="00BD25C0"/>
    <w:rsid w:val="00BE09AA"/>
    <w:rsid w:val="00C049EE"/>
    <w:rsid w:val="00C109FD"/>
    <w:rsid w:val="00C14C2C"/>
    <w:rsid w:val="00C409C2"/>
    <w:rsid w:val="00C74E6F"/>
    <w:rsid w:val="00C8348A"/>
    <w:rsid w:val="00C92F89"/>
    <w:rsid w:val="00CC0968"/>
    <w:rsid w:val="00CC39DC"/>
    <w:rsid w:val="00CE1FF8"/>
    <w:rsid w:val="00CE4890"/>
    <w:rsid w:val="00CE6FD2"/>
    <w:rsid w:val="00D0182E"/>
    <w:rsid w:val="00D0265B"/>
    <w:rsid w:val="00D24A57"/>
    <w:rsid w:val="00D476E9"/>
    <w:rsid w:val="00D53526"/>
    <w:rsid w:val="00D554E6"/>
    <w:rsid w:val="00D70628"/>
    <w:rsid w:val="00D752B6"/>
    <w:rsid w:val="00D763C4"/>
    <w:rsid w:val="00DA7643"/>
    <w:rsid w:val="00DB029C"/>
    <w:rsid w:val="00DC162E"/>
    <w:rsid w:val="00DC4A39"/>
    <w:rsid w:val="00DE0A21"/>
    <w:rsid w:val="00DF6796"/>
    <w:rsid w:val="00E1258A"/>
    <w:rsid w:val="00E125C6"/>
    <w:rsid w:val="00E15639"/>
    <w:rsid w:val="00E1656D"/>
    <w:rsid w:val="00E173B5"/>
    <w:rsid w:val="00E24C57"/>
    <w:rsid w:val="00E475F9"/>
    <w:rsid w:val="00E50974"/>
    <w:rsid w:val="00E86611"/>
    <w:rsid w:val="00E940BF"/>
    <w:rsid w:val="00EA643A"/>
    <w:rsid w:val="00EE34E3"/>
    <w:rsid w:val="00EF0BE4"/>
    <w:rsid w:val="00F01885"/>
    <w:rsid w:val="00F168A4"/>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Footnote Text Char Char,Footnote Text Char1 Char Char,Footnote Text Char Char Char Char,Footnote Text Char2 Char Char Char Char Char,Footnote Text Char1 Char Char Char Char Char Char,Schriftart: 9 pt,n,Footnote"/>
    <w:basedOn w:val="Normal"/>
    <w:link w:val="FootnoteTextChar"/>
    <w:unhideWhenUsed/>
    <w:qFormat/>
    <w:rsid w:val="009C5258"/>
    <w:rPr>
      <w:sz w:val="16"/>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 Char,Footnote Text Char1 Char Char Char Char Char Char Char"/>
    <w:link w:val="FootnoteText"/>
    <w:uiPriority w:val="99"/>
    <w:rsid w:val="009C5258"/>
    <w:rPr>
      <w:rFonts w:ascii="Arial" w:hAnsi="Arial"/>
      <w:sz w:val="16"/>
      <w:lang w:val="fr-FR" w:eastAsia="en-US"/>
    </w:rPr>
  </w:style>
  <w:style w:type="character" w:styleId="FootnoteReference">
    <w:name w:val="footnote reference"/>
    <w:aliases w:val="Footnote Reference Char Car Char Char Car Char Car Char Car Char Car Char Char Car Car Char Char Char Char Char Car Char Char Char Char,Footnotes refss,callout,Footnotes refss Car Char Car Char,callout Car Char Car Char"/>
    <w:link w:val="FootnoteReferenceCharCarCharCharCarCharCarCharCarCharCarCharCharCarCarCharCharCharCharCharCarCharChar"/>
    <w:uiPriority w:val="99"/>
    <w:unhideWhenUsed/>
    <w:rsid w:val="00853C90"/>
    <w:rPr>
      <w:vertAlign w:val="superscript"/>
    </w:rPr>
  </w:style>
  <w:style w:type="paragraph" w:customStyle="1" w:styleId="FootnoteReferenceCharCarCharCharCarCharCarCharCarCharCarCharCharCarCarCharCharCharCharCharCarCharChar">
    <w:name w:val="Footnote Reference Char Car Char Char Car Char Car Char Car Char Car Char Char Car Car Char Char Char Char Char Car Char Char"/>
    <w:basedOn w:val="Normal"/>
    <w:link w:val="FootnoteReference"/>
    <w:uiPriority w:val="99"/>
    <w:rsid w:val="00736698"/>
    <w:pPr>
      <w:spacing w:after="160" w:line="240" w:lineRule="exact"/>
    </w:pPr>
    <w:rPr>
      <w:rFonts w:ascii="Calibri" w:hAnsi="Calibri"/>
      <w:szCs w:val="20"/>
      <w:vertAlign w:val="superscript"/>
      <w:lang w:val="en-GB" w:eastAsia="en-GB"/>
    </w:rPr>
  </w:style>
  <w:style w:type="paragraph" w:styleId="BodyText">
    <w:name w:val="Body Text"/>
    <w:aliases w:val=" Char,Char,Body Text Char1,Body Text Char1 Char Char,Body Text Char Char Char Char,Body Text Char1 Char Char Char Char,Body Text Char1 Char1 Char Char,Body Text Char1 Char1,Body Text Char Char Char1,Body Text Char Char"/>
    <w:basedOn w:val="Normal"/>
    <w:link w:val="BodyTextChar"/>
    <w:rsid w:val="00736698"/>
    <w:pPr>
      <w:jc w:val="both"/>
    </w:pPr>
    <w:rPr>
      <w:rFonts w:eastAsia="Times New Roman" w:cs="Arial"/>
      <w:szCs w:val="24"/>
      <w:lang w:val="en-GB" w:eastAsia="fr-FR"/>
    </w:rPr>
  </w:style>
  <w:style w:type="character" w:customStyle="1" w:styleId="BodyTextChar">
    <w:name w:val="Body Text Char"/>
    <w:aliases w:val=" Char Char,Char Char,Body Text Char1 Char,Body Text Char1 Char Char Char,Body Text Char Char Char Char Char,Body Text Char1 Char Char Char Char Char,Body Text Char1 Char1 Char Char Char,Body Text Char1 Char1 Char,Body Text Char Char Char"/>
    <w:basedOn w:val="DefaultParagraphFont"/>
    <w:link w:val="BodyText"/>
    <w:rsid w:val="00736698"/>
    <w:rPr>
      <w:rFonts w:ascii="Arial" w:eastAsia="Times New Roman" w:hAnsi="Arial" w:cs="Arial"/>
      <w:szCs w:val="24"/>
      <w:lang w:eastAsia="fr-FR"/>
    </w:rPr>
  </w:style>
  <w:style w:type="paragraph" w:styleId="ListParagraph">
    <w:name w:val="List Paragraph"/>
    <w:basedOn w:val="Normal"/>
    <w:link w:val="ListParagraphChar"/>
    <w:qFormat/>
    <w:rsid w:val="00736698"/>
    <w:pPr>
      <w:ind w:left="720"/>
      <w:contextualSpacing/>
    </w:pPr>
    <w:rPr>
      <w:rFonts w:ascii="Times New Roman" w:eastAsia="Times New Roman" w:hAnsi="Times New Roman"/>
      <w:szCs w:val="20"/>
      <w:lang w:val="en-US"/>
    </w:rPr>
  </w:style>
  <w:style w:type="character" w:customStyle="1" w:styleId="ListParagraphChar">
    <w:name w:val="List Paragraph Char"/>
    <w:link w:val="ListParagraph"/>
    <w:uiPriority w:val="1"/>
    <w:locked/>
    <w:rsid w:val="00736698"/>
    <w:rPr>
      <w:rFonts w:ascii="Times New Roman" w:eastAsia="Times New Roman" w:hAnsi="Times New Roman"/>
      <w:lang w:val="en-US" w:eastAsia="en-US"/>
    </w:rPr>
  </w:style>
  <w:style w:type="paragraph" w:customStyle="1" w:styleId="TableParagraph">
    <w:name w:val="Table Paragraph"/>
    <w:basedOn w:val="Normal"/>
    <w:uiPriority w:val="1"/>
    <w:qFormat/>
    <w:rsid w:val="00736698"/>
    <w:pPr>
      <w:widowControl w:val="0"/>
      <w:autoSpaceDE w:val="0"/>
      <w:autoSpaceDN w:val="0"/>
      <w:adjustRightInd w:val="0"/>
    </w:pPr>
    <w:rPr>
      <w:rFonts w:eastAsia="Times New Roman" w:cs="Arial"/>
      <w:sz w:val="24"/>
      <w:szCs w:val="24"/>
      <w:lang w:eastAsia="fr-FR"/>
    </w:rPr>
  </w:style>
  <w:style w:type="paragraph" w:customStyle="1" w:styleId="CMNormal">
    <w:name w:val="CM_Normal"/>
    <w:basedOn w:val="Normal"/>
    <w:rsid w:val="000F785D"/>
    <w:rPr>
      <w:rFonts w:eastAsia="Times New Roman" w:cs="Arial"/>
      <w:color w:val="000000"/>
      <w:szCs w:val="20"/>
      <w:lang w:val="en-GB" w:eastAsia="fr-FR"/>
    </w:rPr>
  </w:style>
  <w:style w:type="paragraph" w:customStyle="1" w:styleId="ColorfulList-Accent11">
    <w:name w:val="Colorful List - Accent 11"/>
    <w:basedOn w:val="Normal"/>
    <w:uiPriority w:val="34"/>
    <w:qFormat/>
    <w:rsid w:val="000F785D"/>
    <w:pPr>
      <w:ind w:left="708"/>
    </w:pPr>
    <w:rPr>
      <w:rFonts w:ascii="Times New Roman" w:eastAsia="Times New Roman" w:hAnsi="Times New Roman"/>
      <w:sz w:val="24"/>
      <w:szCs w:val="24"/>
    </w:rPr>
  </w:style>
  <w:style w:type="paragraph" w:customStyle="1" w:styleId="MediumGrid21">
    <w:name w:val="Medium Grid 21"/>
    <w:uiPriority w:val="1"/>
    <w:qFormat/>
    <w:rsid w:val="000F785D"/>
    <w:rPr>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Footnote Text Char Char,Footnote Text Char1 Char Char,Footnote Text Char Char Char Char,Footnote Text Char2 Char Char Char Char Char,Footnote Text Char1 Char Char Char Char Char Char,Schriftart: 9 pt,n,Footnote"/>
    <w:basedOn w:val="Normal"/>
    <w:link w:val="FootnoteTextChar"/>
    <w:unhideWhenUsed/>
    <w:qFormat/>
    <w:rsid w:val="009C5258"/>
    <w:rPr>
      <w:sz w:val="16"/>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 Char,Footnote Text Char1 Char Char Char Char Char Char Char"/>
    <w:link w:val="FootnoteText"/>
    <w:uiPriority w:val="99"/>
    <w:rsid w:val="009C5258"/>
    <w:rPr>
      <w:rFonts w:ascii="Arial" w:hAnsi="Arial"/>
      <w:sz w:val="16"/>
      <w:lang w:val="fr-FR" w:eastAsia="en-US"/>
    </w:rPr>
  </w:style>
  <w:style w:type="character" w:styleId="FootnoteReference">
    <w:name w:val="footnote reference"/>
    <w:aliases w:val="Footnote Reference Char Car Char Char Car Char Car Char Car Char Car Char Char Car Car Char Char Char Char Char Car Char Char Char Char,Footnotes refss,callout,Footnotes refss Car Char Car Char,callout Car Char Car Char"/>
    <w:link w:val="FootnoteReferenceCharCarCharCharCarCharCarCharCarCharCarCharCharCarCarCharCharCharCharCharCarCharChar"/>
    <w:uiPriority w:val="99"/>
    <w:unhideWhenUsed/>
    <w:rsid w:val="00853C90"/>
    <w:rPr>
      <w:vertAlign w:val="superscript"/>
    </w:rPr>
  </w:style>
  <w:style w:type="paragraph" w:customStyle="1" w:styleId="FootnoteReferenceCharCarCharCharCarCharCarCharCarCharCarCharCharCarCarCharCharCharCharCharCarCharChar">
    <w:name w:val="Footnote Reference Char Car Char Char Car Char Car Char Car Char Car Char Char Car Car Char Char Char Char Char Car Char Char"/>
    <w:basedOn w:val="Normal"/>
    <w:link w:val="FootnoteReference"/>
    <w:uiPriority w:val="99"/>
    <w:rsid w:val="00736698"/>
    <w:pPr>
      <w:spacing w:after="160" w:line="240" w:lineRule="exact"/>
    </w:pPr>
    <w:rPr>
      <w:rFonts w:ascii="Calibri" w:hAnsi="Calibri"/>
      <w:szCs w:val="20"/>
      <w:vertAlign w:val="superscript"/>
      <w:lang w:val="en-GB" w:eastAsia="en-GB"/>
    </w:rPr>
  </w:style>
  <w:style w:type="paragraph" w:styleId="BodyText">
    <w:name w:val="Body Text"/>
    <w:aliases w:val=" Char,Char,Body Text Char1,Body Text Char1 Char Char,Body Text Char Char Char Char,Body Text Char1 Char Char Char Char,Body Text Char1 Char1 Char Char,Body Text Char1 Char1,Body Text Char Char Char1,Body Text Char Char"/>
    <w:basedOn w:val="Normal"/>
    <w:link w:val="BodyTextChar"/>
    <w:rsid w:val="00736698"/>
    <w:pPr>
      <w:jc w:val="both"/>
    </w:pPr>
    <w:rPr>
      <w:rFonts w:eastAsia="Times New Roman" w:cs="Arial"/>
      <w:szCs w:val="24"/>
      <w:lang w:val="en-GB" w:eastAsia="fr-FR"/>
    </w:rPr>
  </w:style>
  <w:style w:type="character" w:customStyle="1" w:styleId="BodyTextChar">
    <w:name w:val="Body Text Char"/>
    <w:aliases w:val=" Char Char,Char Char,Body Text Char1 Char,Body Text Char1 Char Char Char,Body Text Char Char Char Char Char,Body Text Char1 Char Char Char Char Char,Body Text Char1 Char1 Char Char Char,Body Text Char1 Char1 Char,Body Text Char Char Char"/>
    <w:basedOn w:val="DefaultParagraphFont"/>
    <w:link w:val="BodyText"/>
    <w:rsid w:val="00736698"/>
    <w:rPr>
      <w:rFonts w:ascii="Arial" w:eastAsia="Times New Roman" w:hAnsi="Arial" w:cs="Arial"/>
      <w:szCs w:val="24"/>
      <w:lang w:eastAsia="fr-FR"/>
    </w:rPr>
  </w:style>
  <w:style w:type="paragraph" w:styleId="ListParagraph">
    <w:name w:val="List Paragraph"/>
    <w:basedOn w:val="Normal"/>
    <w:link w:val="ListParagraphChar"/>
    <w:qFormat/>
    <w:rsid w:val="00736698"/>
    <w:pPr>
      <w:ind w:left="720"/>
      <w:contextualSpacing/>
    </w:pPr>
    <w:rPr>
      <w:rFonts w:ascii="Times New Roman" w:eastAsia="Times New Roman" w:hAnsi="Times New Roman"/>
      <w:szCs w:val="20"/>
      <w:lang w:val="en-US"/>
    </w:rPr>
  </w:style>
  <w:style w:type="character" w:customStyle="1" w:styleId="ListParagraphChar">
    <w:name w:val="List Paragraph Char"/>
    <w:link w:val="ListParagraph"/>
    <w:uiPriority w:val="1"/>
    <w:locked/>
    <w:rsid w:val="00736698"/>
    <w:rPr>
      <w:rFonts w:ascii="Times New Roman" w:eastAsia="Times New Roman" w:hAnsi="Times New Roman"/>
      <w:lang w:val="en-US" w:eastAsia="en-US"/>
    </w:rPr>
  </w:style>
  <w:style w:type="paragraph" w:customStyle="1" w:styleId="TableParagraph">
    <w:name w:val="Table Paragraph"/>
    <w:basedOn w:val="Normal"/>
    <w:uiPriority w:val="1"/>
    <w:qFormat/>
    <w:rsid w:val="00736698"/>
    <w:pPr>
      <w:widowControl w:val="0"/>
      <w:autoSpaceDE w:val="0"/>
      <w:autoSpaceDN w:val="0"/>
      <w:adjustRightInd w:val="0"/>
    </w:pPr>
    <w:rPr>
      <w:rFonts w:eastAsia="Times New Roman" w:cs="Arial"/>
      <w:sz w:val="24"/>
      <w:szCs w:val="24"/>
      <w:lang w:eastAsia="fr-FR"/>
    </w:rPr>
  </w:style>
  <w:style w:type="paragraph" w:customStyle="1" w:styleId="CMNormal">
    <w:name w:val="CM_Normal"/>
    <w:basedOn w:val="Normal"/>
    <w:rsid w:val="000F785D"/>
    <w:rPr>
      <w:rFonts w:eastAsia="Times New Roman" w:cs="Arial"/>
      <w:color w:val="000000"/>
      <w:szCs w:val="20"/>
      <w:lang w:val="en-GB" w:eastAsia="fr-FR"/>
    </w:rPr>
  </w:style>
  <w:style w:type="paragraph" w:customStyle="1" w:styleId="ColorfulList-Accent11">
    <w:name w:val="Colorful List - Accent 11"/>
    <w:basedOn w:val="Normal"/>
    <w:uiPriority w:val="34"/>
    <w:qFormat/>
    <w:rsid w:val="000F785D"/>
    <w:pPr>
      <w:ind w:left="708"/>
    </w:pPr>
    <w:rPr>
      <w:rFonts w:ascii="Times New Roman" w:eastAsia="Times New Roman" w:hAnsi="Times New Roman"/>
      <w:sz w:val="24"/>
      <w:szCs w:val="24"/>
    </w:rPr>
  </w:style>
  <w:style w:type="paragraph" w:customStyle="1" w:styleId="MediumGrid21">
    <w:name w:val="Medium Grid 21"/>
    <w:uiPriority w:val="1"/>
    <w:qFormat/>
    <w:rsid w:val="000F785D"/>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2FAE5E5-E540-4116-97E4-EBEE2FA8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1604</Words>
  <Characters>9144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10727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HATTERSLEY Christine</cp:lastModifiedBy>
  <cp:revision>9</cp:revision>
  <cp:lastPrinted>2019-01-22T08:48:00Z</cp:lastPrinted>
  <dcterms:created xsi:type="dcterms:W3CDTF">2019-01-21T11:41:00Z</dcterms:created>
  <dcterms:modified xsi:type="dcterms:W3CDTF">2019-01-24T17:10:00Z</dcterms:modified>
</cp:coreProperties>
</file>