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vertAnchor="page" w:horzAnchor="margin" w:tblpY="2229"/>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388"/>
        <w:gridCol w:w="2389"/>
        <w:gridCol w:w="2389"/>
        <w:gridCol w:w="2389"/>
      </w:tblGrid>
      <w:tr w:rsidR="00E475F9" w:rsidRPr="00637CBE" w:rsidTr="00E54322">
        <w:trPr>
          <w:trHeight w:val="737"/>
        </w:trPr>
        <w:tc>
          <w:tcPr>
            <w:tcW w:w="1250" w:type="pct"/>
            <w:shd w:val="clear" w:color="auto" w:fill="auto"/>
            <w:vAlign w:val="center"/>
          </w:tcPr>
          <w:p w:rsidR="002D11B8" w:rsidRPr="00B920E4" w:rsidRDefault="003D6AC2" w:rsidP="00E54322">
            <w:pPr>
              <w:widowControl w:val="0"/>
              <w:autoSpaceDE w:val="0"/>
              <w:autoSpaceDN w:val="0"/>
              <w:adjustRightInd w:val="0"/>
              <w:rPr>
                <w:rFonts w:ascii="Arial Narrow" w:hAnsi="Arial Narrow" w:cs="Calibri"/>
                <w:szCs w:val="20"/>
              </w:rPr>
            </w:pPr>
            <w:r w:rsidRPr="003D6AC2">
              <w:rPr>
                <w:rFonts w:ascii="Arial Narrow" w:hAnsi="Arial Narrow" w:cs="Calibri"/>
                <w:b/>
                <w:bCs/>
                <w:szCs w:val="20"/>
              </w:rPr>
              <w:t>MINISTERS’ DEPUTIES</w:t>
            </w:r>
          </w:p>
        </w:tc>
        <w:tc>
          <w:tcPr>
            <w:tcW w:w="1250" w:type="pct"/>
            <w:shd w:val="clear" w:color="auto" w:fill="auto"/>
            <w:vAlign w:val="center"/>
          </w:tcPr>
          <w:p w:rsidR="002D11B8" w:rsidRPr="009C5258" w:rsidRDefault="003D6AC2" w:rsidP="00E54322">
            <w:pPr>
              <w:ind w:left="-108"/>
              <w:jc w:val="center"/>
              <w:rPr>
                <w:rFonts w:ascii="Arial Narrow" w:hAnsi="Arial Narrow" w:cs="Arial"/>
                <w:szCs w:val="20"/>
              </w:rPr>
            </w:pPr>
            <w:r w:rsidRPr="003D6AC2">
              <w:rPr>
                <w:rFonts w:ascii="Arial Narrow" w:hAnsi="Arial Narrow" w:cs="Calibri"/>
                <w:szCs w:val="20"/>
              </w:rPr>
              <w:t>CM Documents</w:t>
            </w:r>
          </w:p>
        </w:tc>
        <w:tc>
          <w:tcPr>
            <w:tcW w:w="1250" w:type="pct"/>
            <w:shd w:val="clear" w:color="auto" w:fill="auto"/>
            <w:vAlign w:val="center"/>
          </w:tcPr>
          <w:p w:rsidR="002D11B8" w:rsidRPr="00DF6495" w:rsidRDefault="00DF6495" w:rsidP="005E3DE3">
            <w:pPr>
              <w:ind w:left="-40"/>
              <w:jc w:val="center"/>
              <w:rPr>
                <w:rFonts w:ascii="Arial Narrow" w:hAnsi="Arial Narrow" w:cs="Arial"/>
                <w:b/>
                <w:sz w:val="24"/>
                <w:szCs w:val="24"/>
              </w:rPr>
            </w:pPr>
            <w:r w:rsidRPr="00DF6495">
              <w:rPr>
                <w:rFonts w:ascii="Arial Narrow" w:hAnsi="Arial Narrow" w:cs="Calibri"/>
                <w:b/>
                <w:sz w:val="24"/>
                <w:szCs w:val="24"/>
              </w:rPr>
              <w:t>CM(2018)1</w:t>
            </w:r>
            <w:r w:rsidR="005E3DE3">
              <w:rPr>
                <w:rFonts w:ascii="Arial Narrow" w:hAnsi="Arial Narrow" w:cs="Calibri"/>
                <w:b/>
                <w:sz w:val="24"/>
                <w:szCs w:val="24"/>
              </w:rPr>
              <w:t>58</w:t>
            </w:r>
          </w:p>
        </w:tc>
        <w:tc>
          <w:tcPr>
            <w:tcW w:w="1250" w:type="pct"/>
            <w:shd w:val="clear" w:color="auto" w:fill="auto"/>
            <w:vAlign w:val="center"/>
          </w:tcPr>
          <w:p w:rsidR="002D11B8" w:rsidRPr="00637CBE" w:rsidRDefault="00681B3C" w:rsidP="00E87338">
            <w:pPr>
              <w:jc w:val="right"/>
              <w:rPr>
                <w:rFonts w:ascii="Arial Narrow" w:hAnsi="Arial Narrow" w:cs="Arial"/>
                <w:sz w:val="16"/>
                <w:szCs w:val="16"/>
              </w:rPr>
            </w:pPr>
            <w:r>
              <w:rPr>
                <w:rFonts w:ascii="Arial Narrow" w:hAnsi="Arial Narrow" w:cs="Arial"/>
                <w:sz w:val="16"/>
                <w:szCs w:val="16"/>
              </w:rPr>
              <w:t>30</w:t>
            </w:r>
            <w:bookmarkStart w:id="0" w:name="_GoBack"/>
            <w:bookmarkEnd w:id="0"/>
            <w:r w:rsidR="00E87338">
              <w:rPr>
                <w:rFonts w:ascii="Arial Narrow" w:hAnsi="Arial Narrow" w:cs="Arial"/>
                <w:sz w:val="16"/>
                <w:szCs w:val="16"/>
              </w:rPr>
              <w:t xml:space="preserve"> October </w:t>
            </w:r>
            <w:r w:rsidR="00E44562">
              <w:rPr>
                <w:rFonts w:ascii="Arial Narrow" w:hAnsi="Arial Narrow" w:cs="Arial"/>
                <w:sz w:val="16"/>
                <w:szCs w:val="16"/>
              </w:rPr>
              <w:t>2018</w:t>
            </w:r>
            <w:r w:rsidR="00853C90" w:rsidRPr="00637CBE">
              <w:rPr>
                <w:rStyle w:val="FootnoteReference"/>
                <w:rFonts w:ascii="Arial Narrow" w:hAnsi="Arial Narrow" w:cs="Calibri"/>
                <w:sz w:val="16"/>
                <w:szCs w:val="16"/>
              </w:rPr>
              <w:footnoteReference w:id="1"/>
            </w:r>
          </w:p>
        </w:tc>
      </w:tr>
    </w:tbl>
    <w:p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555"/>
      </w:tblGrid>
      <w:tr w:rsidR="00E24C57" w:rsidRPr="00A12DEC" w:rsidTr="00E54322">
        <w:tc>
          <w:tcPr>
            <w:tcW w:w="9399" w:type="dxa"/>
            <w:shd w:val="clear" w:color="auto" w:fill="auto"/>
            <w:tcMar>
              <w:top w:w="227" w:type="dxa"/>
              <w:bottom w:w="227" w:type="dxa"/>
            </w:tcMar>
            <w:vAlign w:val="center"/>
          </w:tcPr>
          <w:p w:rsidR="00E24C57" w:rsidRPr="00A12DEC" w:rsidRDefault="003D6AC2" w:rsidP="00E54322">
            <w:pPr>
              <w:widowControl w:val="0"/>
              <w:autoSpaceDE w:val="0"/>
              <w:autoSpaceDN w:val="0"/>
              <w:adjustRightInd w:val="0"/>
              <w:rPr>
                <w:rFonts w:ascii="Arial Narrow" w:hAnsi="Arial Narrow" w:cs="Calibri"/>
                <w:b/>
                <w:bCs/>
                <w:sz w:val="32"/>
                <w:szCs w:val="32"/>
              </w:rPr>
            </w:pPr>
            <w:r w:rsidRPr="003D6AC2">
              <w:rPr>
                <w:rFonts w:ascii="Arial Narrow" w:hAnsi="Arial Narrow" w:cs="Calibri"/>
                <w:b/>
                <w:bCs/>
                <w:sz w:val="32"/>
                <w:szCs w:val="32"/>
              </w:rPr>
              <w:t>1</w:t>
            </w:r>
            <w:r w:rsidR="00FC033E">
              <w:rPr>
                <w:rFonts w:ascii="Arial Narrow" w:hAnsi="Arial Narrow" w:cs="Calibri"/>
                <w:b/>
                <w:bCs/>
                <w:sz w:val="32"/>
                <w:szCs w:val="32"/>
              </w:rPr>
              <w:t>3</w:t>
            </w:r>
            <w:r w:rsidR="0099654D">
              <w:rPr>
                <w:rFonts w:ascii="Arial Narrow" w:hAnsi="Arial Narrow" w:cs="Calibri"/>
                <w:b/>
                <w:bCs/>
                <w:sz w:val="32"/>
                <w:szCs w:val="32"/>
              </w:rPr>
              <w:t>30</w:t>
            </w:r>
            <w:r w:rsidR="00E44562" w:rsidRPr="00E44562">
              <w:rPr>
                <w:rFonts w:ascii="Arial Narrow" w:hAnsi="Arial Narrow" w:cs="Calibri"/>
                <w:b/>
                <w:bCs/>
                <w:sz w:val="32"/>
                <w:szCs w:val="32"/>
                <w:vertAlign w:val="superscript"/>
              </w:rPr>
              <w:t>th</w:t>
            </w:r>
            <w:r w:rsidR="00E44562">
              <w:rPr>
                <w:rFonts w:ascii="Arial Narrow" w:hAnsi="Arial Narrow" w:cs="Calibri"/>
                <w:b/>
                <w:bCs/>
                <w:sz w:val="32"/>
                <w:szCs w:val="32"/>
              </w:rPr>
              <w:t> </w:t>
            </w:r>
            <w:r>
              <w:rPr>
                <w:rFonts w:ascii="Arial Narrow" w:hAnsi="Arial Narrow" w:cs="Calibri"/>
                <w:b/>
                <w:bCs/>
                <w:sz w:val="32"/>
                <w:szCs w:val="32"/>
              </w:rPr>
              <w:t>m</w:t>
            </w:r>
            <w:r w:rsidRPr="003D6AC2">
              <w:rPr>
                <w:rFonts w:ascii="Arial Narrow" w:hAnsi="Arial Narrow" w:cs="Calibri"/>
                <w:b/>
                <w:bCs/>
                <w:sz w:val="32"/>
                <w:szCs w:val="32"/>
              </w:rPr>
              <w:t xml:space="preserve">eeting, </w:t>
            </w:r>
            <w:r w:rsidR="0099654D">
              <w:rPr>
                <w:rFonts w:ascii="Arial Narrow" w:hAnsi="Arial Narrow" w:cs="Calibri"/>
                <w:b/>
                <w:bCs/>
                <w:sz w:val="32"/>
                <w:szCs w:val="32"/>
              </w:rPr>
              <w:t>28 November</w:t>
            </w:r>
            <w:r w:rsidR="00E44562">
              <w:rPr>
                <w:rFonts w:ascii="Arial Narrow" w:hAnsi="Arial Narrow" w:cs="Calibri"/>
                <w:b/>
                <w:bCs/>
                <w:sz w:val="32"/>
                <w:szCs w:val="32"/>
              </w:rPr>
              <w:t xml:space="preserve"> </w:t>
            </w:r>
            <w:r w:rsidRPr="003D6AC2">
              <w:rPr>
                <w:rFonts w:ascii="Arial Narrow" w:hAnsi="Arial Narrow" w:cs="Calibri"/>
                <w:b/>
                <w:bCs/>
                <w:sz w:val="32"/>
                <w:szCs w:val="32"/>
              </w:rPr>
              <w:t>201</w:t>
            </w:r>
            <w:r w:rsidR="00E44562">
              <w:rPr>
                <w:rFonts w:ascii="Arial Narrow" w:hAnsi="Arial Narrow" w:cs="Calibri"/>
                <w:b/>
                <w:bCs/>
                <w:sz w:val="32"/>
                <w:szCs w:val="32"/>
              </w:rPr>
              <w:t>8</w:t>
            </w:r>
          </w:p>
          <w:p w:rsidR="00242ABB" w:rsidRPr="003D6AC2" w:rsidRDefault="003D6AC2" w:rsidP="00E54322">
            <w:pPr>
              <w:rPr>
                <w:rFonts w:ascii="Arial Narrow" w:hAnsi="Arial Narrow" w:cs="Calibri"/>
                <w:sz w:val="22"/>
              </w:rPr>
            </w:pPr>
            <w:r w:rsidRPr="003D6AC2">
              <w:rPr>
                <w:rFonts w:ascii="Arial Narrow" w:hAnsi="Arial Narrow" w:cs="Calibri"/>
                <w:sz w:val="22"/>
              </w:rPr>
              <w:t>1</w:t>
            </w:r>
            <w:r w:rsidR="00D65738">
              <w:rPr>
                <w:rFonts w:ascii="Arial Narrow" w:hAnsi="Arial Narrow" w:cs="Calibri"/>
                <w:sz w:val="22"/>
              </w:rPr>
              <w:t>0</w:t>
            </w:r>
            <w:r w:rsidRPr="003D6AC2">
              <w:rPr>
                <w:rFonts w:ascii="Arial Narrow" w:hAnsi="Arial Narrow" w:cs="Calibri"/>
                <w:sz w:val="22"/>
              </w:rPr>
              <w:t xml:space="preserve"> </w:t>
            </w:r>
            <w:r w:rsidR="00D65738">
              <w:rPr>
                <w:rFonts w:ascii="Arial Narrow" w:hAnsi="Arial Narrow" w:cs="Calibri"/>
                <w:sz w:val="22"/>
              </w:rPr>
              <w:t>Leg</w:t>
            </w:r>
            <w:r w:rsidRPr="003D6AC2">
              <w:rPr>
                <w:rFonts w:ascii="Arial Narrow" w:hAnsi="Arial Narrow" w:cs="Calibri"/>
                <w:sz w:val="22"/>
              </w:rPr>
              <w:t>al questions</w:t>
            </w:r>
          </w:p>
          <w:p w:rsidR="0037200F" w:rsidRPr="00A12DEC" w:rsidRDefault="00CE6FD2" w:rsidP="00E54322">
            <w:pPr>
              <w:rPr>
                <w:rFonts w:ascii="Arial Narrow" w:hAnsi="Arial Narrow" w:cs="Calibri"/>
                <w:i/>
                <w:szCs w:val="20"/>
              </w:rPr>
            </w:pPr>
            <w:r w:rsidRPr="00A12DEC">
              <w:rPr>
                <w:rFonts w:ascii="Arial Narrow" w:hAnsi="Arial Narrow" w:cs="Calibri"/>
                <w:i/>
                <w:szCs w:val="20"/>
              </w:rPr>
              <w:t xml:space="preserve"> </w:t>
            </w:r>
          </w:p>
          <w:p w:rsidR="003D6AC2" w:rsidRPr="00385587" w:rsidRDefault="003D6AC2" w:rsidP="00F14BD8">
            <w:pPr>
              <w:rPr>
                <w:rFonts w:ascii="Arial Narrow" w:hAnsi="Arial Narrow" w:cs="Calibri"/>
                <w:b/>
                <w:sz w:val="28"/>
                <w:szCs w:val="28"/>
              </w:rPr>
            </w:pPr>
            <w:r w:rsidRPr="00385587">
              <w:rPr>
                <w:rFonts w:ascii="Arial Narrow" w:hAnsi="Arial Narrow" w:cs="Calibri"/>
                <w:b/>
                <w:sz w:val="28"/>
                <w:szCs w:val="28"/>
              </w:rPr>
              <w:t>1</w:t>
            </w:r>
            <w:r w:rsidR="00D65738">
              <w:rPr>
                <w:rFonts w:ascii="Arial Narrow" w:hAnsi="Arial Narrow" w:cs="Calibri"/>
                <w:b/>
                <w:sz w:val="28"/>
                <w:szCs w:val="28"/>
              </w:rPr>
              <w:t>0</w:t>
            </w:r>
            <w:r w:rsidR="008D34B6">
              <w:rPr>
                <w:rFonts w:ascii="Arial Narrow" w:hAnsi="Arial Narrow" w:cs="Calibri"/>
                <w:b/>
                <w:sz w:val="28"/>
                <w:szCs w:val="28"/>
              </w:rPr>
              <w:t>.</w:t>
            </w:r>
            <w:r w:rsidR="005E3DE3">
              <w:rPr>
                <w:rFonts w:ascii="Arial Narrow" w:hAnsi="Arial Narrow" w:cs="Calibri"/>
                <w:b/>
                <w:sz w:val="28"/>
                <w:szCs w:val="28"/>
              </w:rPr>
              <w:t>1</w:t>
            </w:r>
            <w:r w:rsidRPr="00385587">
              <w:rPr>
                <w:rFonts w:ascii="Arial Narrow" w:hAnsi="Arial Narrow" w:cs="Calibri"/>
                <w:b/>
                <w:sz w:val="28"/>
                <w:szCs w:val="28"/>
              </w:rPr>
              <w:t xml:space="preserve"> </w:t>
            </w:r>
            <w:r w:rsidR="005E3DE3" w:rsidRPr="005E3DE3">
              <w:rPr>
                <w:rFonts w:ascii="Arial Narrow" w:hAnsi="Arial Narrow" w:cs="Calibri"/>
                <w:b/>
                <w:sz w:val="28"/>
                <w:szCs w:val="28"/>
              </w:rPr>
              <w:t>Council of Europe Convention on Laundering, Search, Seizure and Confiscation of the Proceeds from Crime and on the Financing of Terrorism (CETS No. 198)</w:t>
            </w:r>
          </w:p>
          <w:p w:rsidR="00242ABB" w:rsidRPr="0086755D" w:rsidRDefault="005E3DE3" w:rsidP="00E54322">
            <w:pPr>
              <w:rPr>
                <w:rFonts w:ascii="Arial Narrow" w:hAnsi="Arial Narrow" w:cs="Calibri"/>
                <w:b/>
                <w:sz w:val="28"/>
                <w:szCs w:val="28"/>
              </w:rPr>
            </w:pPr>
            <w:r w:rsidRPr="0086755D">
              <w:rPr>
                <w:rFonts w:ascii="Arial Narrow" w:hAnsi="Arial Narrow" w:cs="Calibri"/>
                <w:b/>
                <w:sz w:val="28"/>
                <w:szCs w:val="28"/>
              </w:rPr>
              <w:t>Conference of the Parties</w:t>
            </w:r>
          </w:p>
          <w:p w:rsidR="005E3DE3" w:rsidRDefault="005E3DE3" w:rsidP="005E3DE3">
            <w:pPr>
              <w:rPr>
                <w:rFonts w:ascii="Arial Narrow" w:hAnsi="Arial Narrow" w:cs="Calibri"/>
                <w:sz w:val="22"/>
              </w:rPr>
            </w:pPr>
            <w:r>
              <w:rPr>
                <w:rFonts w:ascii="Arial Narrow" w:hAnsi="Arial Narrow" w:cs="Calibri"/>
                <w:sz w:val="22"/>
              </w:rPr>
              <w:t>S</w:t>
            </w:r>
            <w:r w:rsidR="0086755D">
              <w:rPr>
                <w:rFonts w:ascii="Arial Narrow" w:hAnsi="Arial Narrow" w:cs="Calibri"/>
                <w:sz w:val="22"/>
              </w:rPr>
              <w:t xml:space="preserve">econd activity report </w:t>
            </w:r>
            <w:r w:rsidR="00A839F4" w:rsidRPr="00A839F4">
              <w:rPr>
                <w:rFonts w:ascii="Arial Narrow" w:hAnsi="Arial Narrow" w:cs="Calibri"/>
                <w:sz w:val="22"/>
              </w:rPr>
              <w:t>(covering the period 2015-2017)</w:t>
            </w:r>
          </w:p>
          <w:p w:rsidR="00FC033E" w:rsidRDefault="00FC033E" w:rsidP="00E54322">
            <w:pPr>
              <w:rPr>
                <w:rFonts w:ascii="Arial Narrow" w:hAnsi="Arial Narrow" w:cs="Calibri"/>
                <w:sz w:val="22"/>
              </w:rPr>
            </w:pPr>
          </w:p>
          <w:p w:rsidR="00E457C3" w:rsidRPr="000A307B" w:rsidRDefault="001A0FAC" w:rsidP="0099654D">
            <w:pPr>
              <w:rPr>
                <w:rFonts w:ascii="Arial Narrow" w:hAnsi="Arial Narrow" w:cs="Calibri"/>
                <w:b/>
                <w:szCs w:val="20"/>
              </w:rPr>
            </w:pPr>
            <w:r>
              <w:rPr>
                <w:rFonts w:ascii="Arial Narrow" w:hAnsi="Arial Narrow" w:cs="Calibri"/>
                <w:b/>
                <w:szCs w:val="20"/>
              </w:rPr>
              <w:t xml:space="preserve">Item </w:t>
            </w:r>
            <w:r w:rsidR="00E87338">
              <w:rPr>
                <w:rFonts w:ascii="Arial Narrow" w:hAnsi="Arial Narrow" w:cs="Calibri"/>
                <w:b/>
                <w:szCs w:val="20"/>
              </w:rPr>
              <w:t xml:space="preserve">to be </w:t>
            </w:r>
            <w:r w:rsidR="00FC033E" w:rsidRPr="009B00AF">
              <w:rPr>
                <w:rFonts w:ascii="Arial Narrow" w:hAnsi="Arial Narrow" w:cs="Calibri"/>
                <w:b/>
                <w:szCs w:val="20"/>
              </w:rPr>
              <w:t xml:space="preserve">considered by the GR-J at its meeting on </w:t>
            </w:r>
            <w:r w:rsidR="00E44562">
              <w:rPr>
                <w:rFonts w:ascii="Arial Narrow" w:hAnsi="Arial Narrow" w:cs="Calibri"/>
                <w:b/>
                <w:szCs w:val="20"/>
              </w:rPr>
              <w:t>2</w:t>
            </w:r>
            <w:r w:rsidR="0099654D">
              <w:rPr>
                <w:rFonts w:ascii="Arial Narrow" w:hAnsi="Arial Narrow" w:cs="Calibri"/>
                <w:b/>
                <w:szCs w:val="20"/>
              </w:rPr>
              <w:t xml:space="preserve">2 November </w:t>
            </w:r>
            <w:r w:rsidR="00E44562">
              <w:rPr>
                <w:rFonts w:ascii="Arial Narrow" w:hAnsi="Arial Narrow" w:cs="Calibri"/>
                <w:b/>
                <w:szCs w:val="20"/>
              </w:rPr>
              <w:t>2018</w:t>
            </w:r>
          </w:p>
        </w:tc>
      </w:tr>
    </w:tbl>
    <w:p w:rsidR="00E54322" w:rsidRPr="000D7201" w:rsidRDefault="00E54322" w:rsidP="000D7201">
      <w:pPr>
        <w:rPr>
          <w:rFonts w:eastAsia="Times New Roman" w:cs="Arial"/>
          <w:szCs w:val="20"/>
        </w:rPr>
      </w:pPr>
      <w:r>
        <w:rPr>
          <w:rFonts w:eastAsia="Times New Roman"/>
          <w:szCs w:val="24"/>
        </w:rPr>
        <w:t xml:space="preserve"> </w:t>
      </w:r>
    </w:p>
    <w:p w:rsidR="00DE3102" w:rsidRDefault="00DE3102" w:rsidP="005B4776">
      <w:pPr>
        <w:rPr>
          <w:rFonts w:eastAsia="Times New Roman" w:cs="Arial"/>
          <w:szCs w:val="20"/>
        </w:rPr>
      </w:pPr>
    </w:p>
    <w:p w:rsidR="005E3DE3" w:rsidRPr="005B4776" w:rsidRDefault="005E3DE3" w:rsidP="005B4776">
      <w:pPr>
        <w:pStyle w:val="TOCHeading"/>
        <w:spacing w:before="0" w:line="240" w:lineRule="auto"/>
        <w:jc w:val="left"/>
        <w:rPr>
          <w:rFonts w:ascii="Arial" w:hAnsi="Arial" w:cs="Arial"/>
          <w:color w:val="auto"/>
          <w:sz w:val="20"/>
          <w:szCs w:val="20"/>
        </w:rPr>
      </w:pPr>
      <w:r w:rsidRPr="005B4776">
        <w:rPr>
          <w:rFonts w:ascii="Arial" w:hAnsi="Arial" w:cs="Arial"/>
          <w:color w:val="auto"/>
          <w:sz w:val="20"/>
          <w:szCs w:val="20"/>
        </w:rPr>
        <w:t>Table of contents</w:t>
      </w:r>
    </w:p>
    <w:p w:rsidR="005E3DE3" w:rsidRPr="005B4776" w:rsidRDefault="005E3DE3" w:rsidP="005B4776">
      <w:pPr>
        <w:rPr>
          <w:rFonts w:cs="Arial"/>
          <w:szCs w:val="20"/>
          <w:lang w:val="en-US" w:eastAsia="ja-JP"/>
        </w:rPr>
      </w:pPr>
    </w:p>
    <w:p w:rsidR="005E3DE3" w:rsidRPr="005B4776" w:rsidRDefault="005E3DE3" w:rsidP="0086755D">
      <w:pPr>
        <w:pStyle w:val="TOC2"/>
        <w:tabs>
          <w:tab w:val="clear" w:pos="9034"/>
          <w:tab w:val="left" w:pos="709"/>
          <w:tab w:val="right" w:leader="dot" w:pos="9498"/>
        </w:tabs>
        <w:ind w:left="709" w:right="-226" w:hanging="709"/>
        <w:rPr>
          <w:rFonts w:ascii="Arial" w:eastAsiaTheme="minorEastAsia" w:hAnsi="Arial" w:cs="Arial"/>
          <w:color w:val="auto"/>
          <w:sz w:val="20"/>
          <w:szCs w:val="20"/>
          <w:lang w:val="en-US"/>
        </w:rPr>
      </w:pPr>
      <w:r w:rsidRPr="005B4776">
        <w:rPr>
          <w:rFonts w:ascii="Arial" w:hAnsi="Arial" w:cs="Arial"/>
          <w:color w:val="auto"/>
          <w:sz w:val="20"/>
          <w:szCs w:val="20"/>
        </w:rPr>
        <w:fldChar w:fldCharType="begin"/>
      </w:r>
      <w:r w:rsidRPr="00A839F4">
        <w:rPr>
          <w:rFonts w:ascii="Arial" w:hAnsi="Arial" w:cs="Arial"/>
          <w:color w:val="auto"/>
          <w:sz w:val="20"/>
          <w:szCs w:val="20"/>
          <w:lang w:val="en-US"/>
        </w:rPr>
        <w:instrText xml:space="preserve"> TOC \o "1-3" \h \z \u </w:instrText>
      </w:r>
      <w:r w:rsidRPr="005B4776">
        <w:rPr>
          <w:rFonts w:ascii="Arial" w:hAnsi="Arial" w:cs="Arial"/>
          <w:color w:val="auto"/>
          <w:sz w:val="20"/>
          <w:szCs w:val="20"/>
        </w:rPr>
        <w:fldChar w:fldCharType="separate"/>
      </w:r>
      <w:hyperlink w:anchor="_Toc528243598" w:history="1">
        <w:r w:rsidRPr="00A839F4">
          <w:rPr>
            <w:rStyle w:val="Hyperlink"/>
            <w:rFonts w:ascii="Arial" w:hAnsi="Arial" w:cs="Arial"/>
            <w:sz w:val="20"/>
            <w:szCs w:val="20"/>
            <w:lang w:val="en-US"/>
          </w:rPr>
          <w:t>I.</w:t>
        </w:r>
        <w:r w:rsidRPr="005B4776">
          <w:rPr>
            <w:rFonts w:ascii="Arial" w:eastAsiaTheme="minorEastAsia" w:hAnsi="Arial" w:cs="Arial"/>
            <w:color w:val="auto"/>
            <w:sz w:val="20"/>
            <w:szCs w:val="20"/>
            <w:lang w:val="en-US"/>
          </w:rPr>
          <w:tab/>
        </w:r>
        <w:r w:rsidRPr="00A839F4">
          <w:rPr>
            <w:rStyle w:val="Hyperlink"/>
            <w:rFonts w:ascii="Arial" w:hAnsi="Arial" w:cs="Arial"/>
            <w:sz w:val="20"/>
            <w:szCs w:val="20"/>
            <w:lang w:val="en-US"/>
          </w:rPr>
          <w:t>List of abbreviations</w:t>
        </w:r>
        <w:r w:rsidRPr="00A839F4">
          <w:rPr>
            <w:rFonts w:ascii="Arial" w:hAnsi="Arial" w:cs="Arial"/>
            <w:webHidden/>
            <w:color w:val="auto"/>
            <w:sz w:val="20"/>
            <w:szCs w:val="20"/>
            <w:lang w:val="en-US"/>
          </w:rPr>
          <w:tab/>
        </w:r>
        <w:r w:rsidRPr="005B4776">
          <w:rPr>
            <w:rFonts w:ascii="Arial" w:hAnsi="Arial" w:cs="Arial"/>
            <w:webHidden/>
            <w:color w:val="auto"/>
            <w:sz w:val="20"/>
            <w:szCs w:val="20"/>
          </w:rPr>
          <w:fldChar w:fldCharType="begin"/>
        </w:r>
        <w:r w:rsidRPr="00A839F4">
          <w:rPr>
            <w:rFonts w:ascii="Arial" w:hAnsi="Arial" w:cs="Arial"/>
            <w:webHidden/>
            <w:color w:val="auto"/>
            <w:sz w:val="20"/>
            <w:szCs w:val="20"/>
            <w:lang w:val="en-US"/>
          </w:rPr>
          <w:instrText xml:space="preserve"> PAGEREF _Toc528243</w:instrText>
        </w:r>
        <w:r w:rsidRPr="005B4776">
          <w:rPr>
            <w:rFonts w:ascii="Arial" w:hAnsi="Arial" w:cs="Arial"/>
            <w:webHidden/>
            <w:color w:val="auto"/>
            <w:sz w:val="20"/>
            <w:szCs w:val="20"/>
          </w:rPr>
          <w:instrText xml:space="preserve">598 \h </w:instrText>
        </w:r>
        <w:r w:rsidRPr="005B4776">
          <w:rPr>
            <w:rFonts w:ascii="Arial" w:hAnsi="Arial" w:cs="Arial"/>
            <w:webHidden/>
            <w:color w:val="auto"/>
            <w:sz w:val="20"/>
            <w:szCs w:val="20"/>
          </w:rPr>
        </w:r>
        <w:r w:rsidRPr="005B4776">
          <w:rPr>
            <w:rFonts w:ascii="Arial" w:hAnsi="Arial" w:cs="Arial"/>
            <w:webHidden/>
            <w:color w:val="auto"/>
            <w:sz w:val="20"/>
            <w:szCs w:val="20"/>
          </w:rPr>
          <w:fldChar w:fldCharType="separate"/>
        </w:r>
        <w:r w:rsidR="00D935A7">
          <w:rPr>
            <w:rFonts w:ascii="Arial" w:hAnsi="Arial" w:cs="Arial"/>
            <w:webHidden/>
            <w:color w:val="auto"/>
            <w:sz w:val="20"/>
            <w:szCs w:val="20"/>
            <w:lang w:val="en-US"/>
          </w:rPr>
          <w:t>2</w:t>
        </w:r>
        <w:r w:rsidRPr="005B4776">
          <w:rPr>
            <w:rFonts w:ascii="Arial" w:hAnsi="Arial" w:cs="Arial"/>
            <w:webHidden/>
            <w:color w:val="auto"/>
            <w:sz w:val="20"/>
            <w:szCs w:val="20"/>
          </w:rPr>
          <w:fldChar w:fldCharType="end"/>
        </w:r>
      </w:hyperlink>
    </w:p>
    <w:p w:rsidR="005B4776" w:rsidRDefault="005B4776" w:rsidP="0086755D">
      <w:pPr>
        <w:pStyle w:val="TOC2"/>
        <w:tabs>
          <w:tab w:val="clear" w:pos="9034"/>
          <w:tab w:val="left" w:pos="709"/>
          <w:tab w:val="right" w:leader="dot" w:pos="9498"/>
        </w:tabs>
        <w:ind w:left="709" w:right="-226" w:hanging="709"/>
        <w:rPr>
          <w:rFonts w:ascii="Arial" w:hAnsi="Arial" w:cs="Arial"/>
          <w:color w:val="auto"/>
          <w:sz w:val="20"/>
          <w:szCs w:val="20"/>
        </w:rPr>
      </w:pPr>
    </w:p>
    <w:p w:rsidR="005E3DE3" w:rsidRPr="005B4776" w:rsidRDefault="00681B3C" w:rsidP="0086755D">
      <w:pPr>
        <w:pStyle w:val="TOC2"/>
        <w:tabs>
          <w:tab w:val="clear" w:pos="9034"/>
          <w:tab w:val="left" w:pos="709"/>
          <w:tab w:val="right" w:leader="dot" w:pos="9498"/>
        </w:tabs>
        <w:ind w:left="709" w:right="-226" w:hanging="709"/>
        <w:rPr>
          <w:rFonts w:ascii="Arial" w:eastAsiaTheme="minorEastAsia" w:hAnsi="Arial" w:cs="Arial"/>
          <w:color w:val="auto"/>
          <w:sz w:val="20"/>
          <w:szCs w:val="20"/>
          <w:lang w:val="en-US"/>
        </w:rPr>
      </w:pPr>
      <w:hyperlink w:anchor="_Toc528243599" w:history="1">
        <w:r w:rsidR="005E3DE3" w:rsidRPr="005B4776">
          <w:rPr>
            <w:rStyle w:val="Hyperlink"/>
            <w:rFonts w:ascii="Arial" w:hAnsi="Arial" w:cs="Arial"/>
            <w:sz w:val="20"/>
            <w:szCs w:val="20"/>
          </w:rPr>
          <w:t>II.</w:t>
        </w:r>
        <w:r w:rsidR="005E3DE3" w:rsidRPr="005B4776">
          <w:rPr>
            <w:rFonts w:ascii="Arial" w:eastAsiaTheme="minorEastAsia" w:hAnsi="Arial" w:cs="Arial"/>
            <w:color w:val="auto"/>
            <w:sz w:val="20"/>
            <w:szCs w:val="20"/>
            <w:lang w:val="en-US"/>
          </w:rPr>
          <w:tab/>
        </w:r>
        <w:r w:rsidR="005E3DE3" w:rsidRPr="005B4776">
          <w:rPr>
            <w:rStyle w:val="Hyperlink"/>
            <w:rFonts w:ascii="Arial" w:hAnsi="Arial" w:cs="Arial"/>
            <w:sz w:val="20"/>
            <w:szCs w:val="20"/>
          </w:rPr>
          <w:t>Introduction from the President</w:t>
        </w:r>
        <w:r w:rsidR="005E3DE3" w:rsidRPr="005B4776">
          <w:rPr>
            <w:rFonts w:ascii="Arial" w:hAnsi="Arial" w:cs="Arial"/>
            <w:webHidden/>
            <w:color w:val="auto"/>
            <w:sz w:val="20"/>
            <w:szCs w:val="20"/>
          </w:rPr>
          <w:tab/>
        </w:r>
        <w:r w:rsidR="005E3DE3" w:rsidRPr="005B4776">
          <w:rPr>
            <w:rFonts w:ascii="Arial" w:hAnsi="Arial" w:cs="Arial"/>
            <w:webHidden/>
            <w:color w:val="auto"/>
            <w:sz w:val="20"/>
            <w:szCs w:val="20"/>
          </w:rPr>
          <w:fldChar w:fldCharType="begin"/>
        </w:r>
        <w:r w:rsidR="005E3DE3" w:rsidRPr="005B4776">
          <w:rPr>
            <w:rFonts w:ascii="Arial" w:hAnsi="Arial" w:cs="Arial"/>
            <w:webHidden/>
            <w:color w:val="auto"/>
            <w:sz w:val="20"/>
            <w:szCs w:val="20"/>
          </w:rPr>
          <w:instrText xml:space="preserve"> PAGEREF _Toc528243599 \h </w:instrText>
        </w:r>
        <w:r w:rsidR="005E3DE3" w:rsidRPr="005B4776">
          <w:rPr>
            <w:rFonts w:ascii="Arial" w:hAnsi="Arial" w:cs="Arial"/>
            <w:webHidden/>
            <w:color w:val="auto"/>
            <w:sz w:val="20"/>
            <w:szCs w:val="20"/>
          </w:rPr>
        </w:r>
        <w:r w:rsidR="005E3DE3" w:rsidRPr="005B4776">
          <w:rPr>
            <w:rFonts w:ascii="Arial" w:hAnsi="Arial" w:cs="Arial"/>
            <w:webHidden/>
            <w:color w:val="auto"/>
            <w:sz w:val="20"/>
            <w:szCs w:val="20"/>
          </w:rPr>
          <w:fldChar w:fldCharType="separate"/>
        </w:r>
        <w:r w:rsidR="00D935A7">
          <w:rPr>
            <w:rFonts w:ascii="Arial" w:hAnsi="Arial" w:cs="Arial"/>
            <w:webHidden/>
            <w:color w:val="auto"/>
            <w:sz w:val="20"/>
            <w:szCs w:val="20"/>
          </w:rPr>
          <w:t>3</w:t>
        </w:r>
        <w:r w:rsidR="005E3DE3" w:rsidRPr="005B4776">
          <w:rPr>
            <w:rFonts w:ascii="Arial" w:hAnsi="Arial" w:cs="Arial"/>
            <w:webHidden/>
            <w:color w:val="auto"/>
            <w:sz w:val="20"/>
            <w:szCs w:val="20"/>
          </w:rPr>
          <w:fldChar w:fldCharType="end"/>
        </w:r>
      </w:hyperlink>
    </w:p>
    <w:p w:rsidR="005B4776" w:rsidRDefault="005B4776" w:rsidP="0086755D">
      <w:pPr>
        <w:pStyle w:val="TOC2"/>
        <w:tabs>
          <w:tab w:val="clear" w:pos="9034"/>
          <w:tab w:val="left" w:pos="709"/>
          <w:tab w:val="right" w:leader="dot" w:pos="9498"/>
        </w:tabs>
        <w:ind w:left="709" w:right="-226" w:hanging="709"/>
        <w:rPr>
          <w:rFonts w:ascii="Arial" w:hAnsi="Arial" w:cs="Arial"/>
          <w:color w:val="auto"/>
          <w:sz w:val="20"/>
          <w:szCs w:val="20"/>
        </w:rPr>
      </w:pPr>
    </w:p>
    <w:p w:rsidR="005E3DE3" w:rsidRPr="005B4776" w:rsidRDefault="00681B3C" w:rsidP="0086755D">
      <w:pPr>
        <w:pStyle w:val="TOC2"/>
        <w:tabs>
          <w:tab w:val="clear" w:pos="9034"/>
          <w:tab w:val="left" w:pos="709"/>
          <w:tab w:val="right" w:leader="dot" w:pos="9498"/>
        </w:tabs>
        <w:ind w:left="709" w:right="-226" w:hanging="709"/>
        <w:rPr>
          <w:rFonts w:ascii="Arial" w:eastAsiaTheme="minorEastAsia" w:hAnsi="Arial" w:cs="Arial"/>
          <w:color w:val="auto"/>
          <w:sz w:val="20"/>
          <w:szCs w:val="20"/>
          <w:lang w:val="en-US"/>
        </w:rPr>
      </w:pPr>
      <w:hyperlink w:anchor="_Toc528243600" w:history="1">
        <w:r w:rsidR="005E3DE3" w:rsidRPr="005B4776">
          <w:rPr>
            <w:rStyle w:val="Hyperlink"/>
            <w:rFonts w:ascii="Arial" w:hAnsi="Arial" w:cs="Arial"/>
            <w:sz w:val="20"/>
            <w:szCs w:val="20"/>
          </w:rPr>
          <w:t>III.</w:t>
        </w:r>
        <w:r w:rsidR="005E3DE3" w:rsidRPr="005B4776">
          <w:rPr>
            <w:rFonts w:ascii="Arial" w:eastAsiaTheme="minorEastAsia" w:hAnsi="Arial" w:cs="Arial"/>
            <w:color w:val="auto"/>
            <w:sz w:val="20"/>
            <w:szCs w:val="20"/>
            <w:lang w:val="en-US"/>
          </w:rPr>
          <w:tab/>
        </w:r>
        <w:r w:rsidR="005E3DE3" w:rsidRPr="005B4776">
          <w:rPr>
            <w:rStyle w:val="Hyperlink"/>
            <w:rFonts w:ascii="Arial" w:hAnsi="Arial" w:cs="Arial"/>
            <w:sz w:val="20"/>
            <w:szCs w:val="20"/>
          </w:rPr>
          <w:t>Executive summary</w:t>
        </w:r>
        <w:r w:rsidR="005E3DE3" w:rsidRPr="005B4776">
          <w:rPr>
            <w:rFonts w:ascii="Arial" w:hAnsi="Arial" w:cs="Arial"/>
            <w:webHidden/>
            <w:color w:val="auto"/>
            <w:sz w:val="20"/>
            <w:szCs w:val="20"/>
          </w:rPr>
          <w:tab/>
        </w:r>
        <w:r w:rsidR="005E3DE3" w:rsidRPr="005B4776">
          <w:rPr>
            <w:rFonts w:ascii="Arial" w:hAnsi="Arial" w:cs="Arial"/>
            <w:webHidden/>
            <w:color w:val="auto"/>
            <w:sz w:val="20"/>
            <w:szCs w:val="20"/>
          </w:rPr>
          <w:fldChar w:fldCharType="begin"/>
        </w:r>
        <w:r w:rsidR="005E3DE3" w:rsidRPr="005B4776">
          <w:rPr>
            <w:rFonts w:ascii="Arial" w:hAnsi="Arial" w:cs="Arial"/>
            <w:webHidden/>
            <w:color w:val="auto"/>
            <w:sz w:val="20"/>
            <w:szCs w:val="20"/>
          </w:rPr>
          <w:instrText xml:space="preserve"> PAGEREF _Toc528243600 \h </w:instrText>
        </w:r>
        <w:r w:rsidR="005E3DE3" w:rsidRPr="005B4776">
          <w:rPr>
            <w:rFonts w:ascii="Arial" w:hAnsi="Arial" w:cs="Arial"/>
            <w:webHidden/>
            <w:color w:val="auto"/>
            <w:sz w:val="20"/>
            <w:szCs w:val="20"/>
          </w:rPr>
        </w:r>
        <w:r w:rsidR="005E3DE3" w:rsidRPr="005B4776">
          <w:rPr>
            <w:rFonts w:ascii="Arial" w:hAnsi="Arial" w:cs="Arial"/>
            <w:webHidden/>
            <w:color w:val="auto"/>
            <w:sz w:val="20"/>
            <w:szCs w:val="20"/>
          </w:rPr>
          <w:fldChar w:fldCharType="separate"/>
        </w:r>
        <w:r w:rsidR="00D935A7">
          <w:rPr>
            <w:rFonts w:ascii="Arial" w:hAnsi="Arial" w:cs="Arial"/>
            <w:webHidden/>
            <w:color w:val="auto"/>
            <w:sz w:val="20"/>
            <w:szCs w:val="20"/>
          </w:rPr>
          <w:t>5</w:t>
        </w:r>
        <w:r w:rsidR="005E3DE3" w:rsidRPr="005B4776">
          <w:rPr>
            <w:rFonts w:ascii="Arial" w:hAnsi="Arial" w:cs="Arial"/>
            <w:webHidden/>
            <w:color w:val="auto"/>
            <w:sz w:val="20"/>
            <w:szCs w:val="20"/>
          </w:rPr>
          <w:fldChar w:fldCharType="end"/>
        </w:r>
      </w:hyperlink>
    </w:p>
    <w:p w:rsidR="005B4776" w:rsidRDefault="005B4776" w:rsidP="0086755D">
      <w:pPr>
        <w:pStyle w:val="TOC2"/>
        <w:tabs>
          <w:tab w:val="clear" w:pos="9034"/>
          <w:tab w:val="left" w:pos="709"/>
          <w:tab w:val="right" w:leader="dot" w:pos="9498"/>
        </w:tabs>
        <w:ind w:left="709" w:right="-226" w:hanging="709"/>
        <w:rPr>
          <w:rFonts w:ascii="Arial" w:hAnsi="Arial" w:cs="Arial"/>
          <w:color w:val="auto"/>
          <w:sz w:val="20"/>
          <w:szCs w:val="20"/>
        </w:rPr>
      </w:pPr>
    </w:p>
    <w:p w:rsidR="005E3DE3" w:rsidRPr="005B4776" w:rsidRDefault="00681B3C" w:rsidP="0086755D">
      <w:pPr>
        <w:pStyle w:val="TOC2"/>
        <w:tabs>
          <w:tab w:val="clear" w:pos="9034"/>
          <w:tab w:val="left" w:pos="709"/>
          <w:tab w:val="right" w:leader="dot" w:pos="9498"/>
        </w:tabs>
        <w:ind w:left="709" w:right="-226" w:hanging="709"/>
        <w:rPr>
          <w:rFonts w:ascii="Arial" w:eastAsiaTheme="minorEastAsia" w:hAnsi="Arial" w:cs="Arial"/>
          <w:color w:val="auto"/>
          <w:sz w:val="20"/>
          <w:szCs w:val="20"/>
          <w:lang w:val="en-US"/>
        </w:rPr>
      </w:pPr>
      <w:hyperlink w:anchor="_Toc528243601" w:history="1">
        <w:r w:rsidR="005E3DE3" w:rsidRPr="005B4776">
          <w:rPr>
            <w:rStyle w:val="Hyperlink"/>
            <w:rFonts w:ascii="Arial" w:hAnsi="Arial" w:cs="Arial"/>
            <w:sz w:val="20"/>
            <w:szCs w:val="20"/>
          </w:rPr>
          <w:t>IV.</w:t>
        </w:r>
        <w:r w:rsidR="005E3DE3" w:rsidRPr="005B4776">
          <w:rPr>
            <w:rFonts w:ascii="Arial" w:eastAsiaTheme="minorEastAsia" w:hAnsi="Arial" w:cs="Arial"/>
            <w:color w:val="auto"/>
            <w:sz w:val="20"/>
            <w:szCs w:val="20"/>
            <w:lang w:val="en-US"/>
          </w:rPr>
          <w:tab/>
        </w:r>
        <w:r w:rsidR="005E3DE3" w:rsidRPr="005B4776">
          <w:rPr>
            <w:rStyle w:val="Hyperlink"/>
            <w:rFonts w:ascii="Arial" w:hAnsi="Arial" w:cs="Arial"/>
            <w:sz w:val="20"/>
            <w:szCs w:val="20"/>
          </w:rPr>
          <w:t>Conference of the Parties activities 2015-2017</w:t>
        </w:r>
        <w:r w:rsidR="005E3DE3" w:rsidRPr="005B4776">
          <w:rPr>
            <w:rFonts w:ascii="Arial" w:hAnsi="Arial" w:cs="Arial"/>
            <w:webHidden/>
            <w:color w:val="auto"/>
            <w:sz w:val="20"/>
            <w:szCs w:val="20"/>
          </w:rPr>
          <w:tab/>
        </w:r>
        <w:r w:rsidR="005E3DE3" w:rsidRPr="005B4776">
          <w:rPr>
            <w:rFonts w:ascii="Arial" w:hAnsi="Arial" w:cs="Arial"/>
            <w:webHidden/>
            <w:color w:val="auto"/>
            <w:sz w:val="20"/>
            <w:szCs w:val="20"/>
          </w:rPr>
          <w:fldChar w:fldCharType="begin"/>
        </w:r>
        <w:r w:rsidR="005E3DE3" w:rsidRPr="005B4776">
          <w:rPr>
            <w:rFonts w:ascii="Arial" w:hAnsi="Arial" w:cs="Arial"/>
            <w:webHidden/>
            <w:color w:val="auto"/>
            <w:sz w:val="20"/>
            <w:szCs w:val="20"/>
          </w:rPr>
          <w:instrText xml:space="preserve"> PAGEREF _Toc528243601 \h </w:instrText>
        </w:r>
        <w:r w:rsidR="005E3DE3" w:rsidRPr="005B4776">
          <w:rPr>
            <w:rFonts w:ascii="Arial" w:hAnsi="Arial" w:cs="Arial"/>
            <w:webHidden/>
            <w:color w:val="auto"/>
            <w:sz w:val="20"/>
            <w:szCs w:val="20"/>
          </w:rPr>
        </w:r>
        <w:r w:rsidR="005E3DE3" w:rsidRPr="005B4776">
          <w:rPr>
            <w:rFonts w:ascii="Arial" w:hAnsi="Arial" w:cs="Arial"/>
            <w:webHidden/>
            <w:color w:val="auto"/>
            <w:sz w:val="20"/>
            <w:szCs w:val="20"/>
          </w:rPr>
          <w:fldChar w:fldCharType="separate"/>
        </w:r>
        <w:r w:rsidR="00D935A7">
          <w:rPr>
            <w:rFonts w:ascii="Arial" w:hAnsi="Arial" w:cs="Arial"/>
            <w:webHidden/>
            <w:color w:val="auto"/>
            <w:sz w:val="20"/>
            <w:szCs w:val="20"/>
          </w:rPr>
          <w:t>7</w:t>
        </w:r>
        <w:r w:rsidR="005E3DE3" w:rsidRPr="005B4776">
          <w:rPr>
            <w:rFonts w:ascii="Arial" w:hAnsi="Arial" w:cs="Arial"/>
            <w:webHidden/>
            <w:color w:val="auto"/>
            <w:sz w:val="20"/>
            <w:szCs w:val="20"/>
          </w:rPr>
          <w:fldChar w:fldCharType="end"/>
        </w:r>
      </w:hyperlink>
    </w:p>
    <w:p w:rsidR="005B4776" w:rsidRDefault="005B4776" w:rsidP="0086755D">
      <w:pPr>
        <w:pStyle w:val="TOC2"/>
        <w:tabs>
          <w:tab w:val="clear" w:pos="9034"/>
          <w:tab w:val="left" w:pos="709"/>
          <w:tab w:val="right" w:leader="dot" w:pos="9498"/>
        </w:tabs>
        <w:ind w:left="709" w:right="-226" w:hanging="709"/>
        <w:rPr>
          <w:rFonts w:ascii="Arial" w:hAnsi="Arial" w:cs="Arial"/>
          <w:color w:val="auto"/>
          <w:sz w:val="20"/>
          <w:szCs w:val="20"/>
        </w:rPr>
      </w:pPr>
    </w:p>
    <w:p w:rsidR="005E3DE3" w:rsidRPr="005B4776" w:rsidRDefault="00681B3C" w:rsidP="0086755D">
      <w:pPr>
        <w:pStyle w:val="TOC2"/>
        <w:tabs>
          <w:tab w:val="clear" w:pos="9034"/>
          <w:tab w:val="left" w:pos="709"/>
          <w:tab w:val="right" w:leader="dot" w:pos="9498"/>
        </w:tabs>
        <w:ind w:left="709" w:right="-226" w:hanging="709"/>
        <w:rPr>
          <w:rFonts w:ascii="Arial" w:eastAsiaTheme="minorEastAsia" w:hAnsi="Arial" w:cs="Arial"/>
          <w:color w:val="auto"/>
          <w:sz w:val="20"/>
          <w:szCs w:val="20"/>
          <w:lang w:val="en-US"/>
        </w:rPr>
      </w:pPr>
      <w:hyperlink w:anchor="_Toc528243602" w:history="1">
        <w:r w:rsidR="005E3DE3" w:rsidRPr="005B4776">
          <w:rPr>
            <w:rStyle w:val="Hyperlink"/>
            <w:rFonts w:ascii="Arial" w:hAnsi="Arial" w:cs="Arial"/>
            <w:caps/>
            <w:w w:val="105"/>
            <w:kern w:val="28"/>
            <w:sz w:val="20"/>
            <w:szCs w:val="20"/>
            <w:lang w:val="en-GB" w:eastAsia="zh-CN"/>
          </w:rPr>
          <w:t>1.</w:t>
        </w:r>
        <w:r w:rsidR="005E3DE3" w:rsidRPr="005B4776">
          <w:rPr>
            <w:rFonts w:ascii="Arial" w:eastAsiaTheme="minorEastAsia" w:hAnsi="Arial" w:cs="Arial"/>
            <w:color w:val="auto"/>
            <w:sz w:val="20"/>
            <w:szCs w:val="20"/>
            <w:lang w:val="en-US"/>
          </w:rPr>
          <w:tab/>
        </w:r>
        <w:r w:rsidR="005E3DE3" w:rsidRPr="005B4776">
          <w:rPr>
            <w:rStyle w:val="Hyperlink"/>
            <w:rFonts w:ascii="Arial" w:hAnsi="Arial" w:cs="Arial"/>
            <w:caps/>
            <w:w w:val="105"/>
            <w:kern w:val="28"/>
            <w:sz w:val="20"/>
            <w:szCs w:val="20"/>
            <w:lang w:val="en-GB" w:eastAsia="zh-CN"/>
          </w:rPr>
          <w:t>Introduction and background</w:t>
        </w:r>
        <w:r w:rsidR="005E3DE3" w:rsidRPr="005B4776">
          <w:rPr>
            <w:rFonts w:ascii="Arial" w:hAnsi="Arial" w:cs="Arial"/>
            <w:webHidden/>
            <w:color w:val="auto"/>
            <w:sz w:val="20"/>
            <w:szCs w:val="20"/>
          </w:rPr>
          <w:tab/>
        </w:r>
        <w:r w:rsidR="005E3DE3" w:rsidRPr="005B4776">
          <w:rPr>
            <w:rFonts w:ascii="Arial" w:hAnsi="Arial" w:cs="Arial"/>
            <w:webHidden/>
            <w:color w:val="auto"/>
            <w:sz w:val="20"/>
            <w:szCs w:val="20"/>
          </w:rPr>
          <w:fldChar w:fldCharType="begin"/>
        </w:r>
        <w:r w:rsidR="005E3DE3" w:rsidRPr="005B4776">
          <w:rPr>
            <w:rFonts w:ascii="Arial" w:hAnsi="Arial" w:cs="Arial"/>
            <w:webHidden/>
            <w:color w:val="auto"/>
            <w:sz w:val="20"/>
            <w:szCs w:val="20"/>
          </w:rPr>
          <w:instrText xml:space="preserve"> PAGEREF _Toc528243602 \h </w:instrText>
        </w:r>
        <w:r w:rsidR="005E3DE3" w:rsidRPr="005B4776">
          <w:rPr>
            <w:rFonts w:ascii="Arial" w:hAnsi="Arial" w:cs="Arial"/>
            <w:webHidden/>
            <w:color w:val="auto"/>
            <w:sz w:val="20"/>
            <w:szCs w:val="20"/>
          </w:rPr>
        </w:r>
        <w:r w:rsidR="005E3DE3" w:rsidRPr="005B4776">
          <w:rPr>
            <w:rFonts w:ascii="Arial" w:hAnsi="Arial" w:cs="Arial"/>
            <w:webHidden/>
            <w:color w:val="auto"/>
            <w:sz w:val="20"/>
            <w:szCs w:val="20"/>
          </w:rPr>
          <w:fldChar w:fldCharType="separate"/>
        </w:r>
        <w:r w:rsidR="00D935A7">
          <w:rPr>
            <w:rFonts w:ascii="Arial" w:hAnsi="Arial" w:cs="Arial"/>
            <w:webHidden/>
            <w:color w:val="auto"/>
            <w:sz w:val="20"/>
            <w:szCs w:val="20"/>
          </w:rPr>
          <w:t>7</w:t>
        </w:r>
        <w:r w:rsidR="005E3DE3" w:rsidRPr="005B4776">
          <w:rPr>
            <w:rFonts w:ascii="Arial" w:hAnsi="Arial" w:cs="Arial"/>
            <w:webHidden/>
            <w:color w:val="auto"/>
            <w:sz w:val="20"/>
            <w:szCs w:val="20"/>
          </w:rPr>
          <w:fldChar w:fldCharType="end"/>
        </w:r>
      </w:hyperlink>
    </w:p>
    <w:p w:rsidR="005B4776" w:rsidRDefault="005B4776" w:rsidP="0086755D">
      <w:pPr>
        <w:pStyle w:val="TOC2"/>
        <w:tabs>
          <w:tab w:val="clear" w:pos="9034"/>
          <w:tab w:val="left" w:pos="709"/>
          <w:tab w:val="right" w:leader="dot" w:pos="9498"/>
        </w:tabs>
        <w:ind w:left="709" w:right="-226" w:hanging="709"/>
        <w:rPr>
          <w:rFonts w:ascii="Arial" w:hAnsi="Arial" w:cs="Arial"/>
          <w:color w:val="auto"/>
          <w:sz w:val="20"/>
          <w:szCs w:val="20"/>
        </w:rPr>
      </w:pPr>
    </w:p>
    <w:p w:rsidR="005E3DE3" w:rsidRPr="005B4776" w:rsidRDefault="00681B3C" w:rsidP="0086755D">
      <w:pPr>
        <w:pStyle w:val="TOC2"/>
        <w:tabs>
          <w:tab w:val="clear" w:pos="9034"/>
          <w:tab w:val="left" w:pos="709"/>
          <w:tab w:val="right" w:leader="dot" w:pos="9498"/>
        </w:tabs>
        <w:ind w:left="709" w:right="-226" w:hanging="709"/>
        <w:rPr>
          <w:rFonts w:ascii="Arial" w:eastAsiaTheme="minorEastAsia" w:hAnsi="Arial" w:cs="Arial"/>
          <w:color w:val="auto"/>
          <w:sz w:val="20"/>
          <w:szCs w:val="20"/>
          <w:lang w:val="en-US"/>
        </w:rPr>
      </w:pPr>
      <w:hyperlink w:anchor="_Toc528243603" w:history="1">
        <w:r w:rsidR="005E3DE3" w:rsidRPr="005B4776">
          <w:rPr>
            <w:rStyle w:val="Hyperlink"/>
            <w:rFonts w:ascii="Arial" w:hAnsi="Arial" w:cs="Arial"/>
            <w:caps/>
            <w:w w:val="105"/>
            <w:kern w:val="28"/>
            <w:sz w:val="20"/>
            <w:szCs w:val="20"/>
            <w:lang w:val="en-GB" w:eastAsia="zh-CN"/>
          </w:rPr>
          <w:t>2.</w:t>
        </w:r>
        <w:r w:rsidR="005E3DE3" w:rsidRPr="005B4776">
          <w:rPr>
            <w:rFonts w:ascii="Arial" w:eastAsiaTheme="minorEastAsia" w:hAnsi="Arial" w:cs="Arial"/>
            <w:color w:val="auto"/>
            <w:sz w:val="20"/>
            <w:szCs w:val="20"/>
            <w:lang w:val="en-US"/>
          </w:rPr>
          <w:tab/>
        </w:r>
        <w:r w:rsidR="005E3DE3" w:rsidRPr="005B4776">
          <w:rPr>
            <w:rStyle w:val="Hyperlink"/>
            <w:rFonts w:ascii="Arial" w:hAnsi="Arial" w:cs="Arial"/>
            <w:caps/>
            <w:w w:val="105"/>
            <w:kern w:val="28"/>
            <w:sz w:val="20"/>
            <w:szCs w:val="20"/>
            <w:lang w:val="en-GB" w:eastAsia="zh-CN"/>
          </w:rPr>
          <w:t>Mission and working framework</w:t>
        </w:r>
        <w:r w:rsidR="005E3DE3" w:rsidRPr="005B4776">
          <w:rPr>
            <w:rFonts w:ascii="Arial" w:hAnsi="Arial" w:cs="Arial"/>
            <w:webHidden/>
            <w:color w:val="auto"/>
            <w:sz w:val="20"/>
            <w:szCs w:val="20"/>
          </w:rPr>
          <w:tab/>
        </w:r>
        <w:r w:rsidR="005E3DE3" w:rsidRPr="005B4776">
          <w:rPr>
            <w:rFonts w:ascii="Arial" w:hAnsi="Arial" w:cs="Arial"/>
            <w:webHidden/>
            <w:color w:val="auto"/>
            <w:sz w:val="20"/>
            <w:szCs w:val="20"/>
          </w:rPr>
          <w:fldChar w:fldCharType="begin"/>
        </w:r>
        <w:r w:rsidR="005E3DE3" w:rsidRPr="005B4776">
          <w:rPr>
            <w:rFonts w:ascii="Arial" w:hAnsi="Arial" w:cs="Arial"/>
            <w:webHidden/>
            <w:color w:val="auto"/>
            <w:sz w:val="20"/>
            <w:szCs w:val="20"/>
          </w:rPr>
          <w:instrText xml:space="preserve"> PAGEREF _Toc528243603 \h </w:instrText>
        </w:r>
        <w:r w:rsidR="005E3DE3" w:rsidRPr="005B4776">
          <w:rPr>
            <w:rFonts w:ascii="Arial" w:hAnsi="Arial" w:cs="Arial"/>
            <w:webHidden/>
            <w:color w:val="auto"/>
            <w:sz w:val="20"/>
            <w:szCs w:val="20"/>
          </w:rPr>
        </w:r>
        <w:r w:rsidR="005E3DE3" w:rsidRPr="005B4776">
          <w:rPr>
            <w:rFonts w:ascii="Arial" w:hAnsi="Arial" w:cs="Arial"/>
            <w:webHidden/>
            <w:color w:val="auto"/>
            <w:sz w:val="20"/>
            <w:szCs w:val="20"/>
          </w:rPr>
          <w:fldChar w:fldCharType="separate"/>
        </w:r>
        <w:r w:rsidR="00D935A7">
          <w:rPr>
            <w:rFonts w:ascii="Arial" w:hAnsi="Arial" w:cs="Arial"/>
            <w:webHidden/>
            <w:color w:val="auto"/>
            <w:sz w:val="20"/>
            <w:szCs w:val="20"/>
          </w:rPr>
          <w:t>8</w:t>
        </w:r>
        <w:r w:rsidR="005E3DE3" w:rsidRPr="005B4776">
          <w:rPr>
            <w:rFonts w:ascii="Arial" w:hAnsi="Arial" w:cs="Arial"/>
            <w:webHidden/>
            <w:color w:val="auto"/>
            <w:sz w:val="20"/>
            <w:szCs w:val="20"/>
          </w:rPr>
          <w:fldChar w:fldCharType="end"/>
        </w:r>
      </w:hyperlink>
    </w:p>
    <w:p w:rsidR="005E3DE3" w:rsidRPr="005B4776" w:rsidRDefault="00681B3C" w:rsidP="0086755D">
      <w:pPr>
        <w:pStyle w:val="TOC2"/>
        <w:tabs>
          <w:tab w:val="clear" w:pos="9034"/>
          <w:tab w:val="left" w:pos="709"/>
          <w:tab w:val="right" w:leader="dot" w:pos="9498"/>
        </w:tabs>
        <w:ind w:left="709" w:right="-226" w:hanging="709"/>
        <w:rPr>
          <w:rFonts w:ascii="Arial" w:eastAsiaTheme="minorEastAsia" w:hAnsi="Arial" w:cs="Arial"/>
          <w:color w:val="auto"/>
          <w:sz w:val="20"/>
          <w:szCs w:val="20"/>
          <w:lang w:val="en-US"/>
        </w:rPr>
      </w:pPr>
      <w:hyperlink w:anchor="_Toc528243604" w:history="1">
        <w:r w:rsidR="005E3DE3" w:rsidRPr="005B4776">
          <w:rPr>
            <w:rStyle w:val="Hyperlink"/>
            <w:rFonts w:ascii="Arial" w:hAnsi="Arial" w:cs="Arial"/>
            <w:iCs/>
            <w:sz w:val="20"/>
            <w:szCs w:val="20"/>
            <w:lang w:val="en-GB"/>
          </w:rPr>
          <w:t>2.1</w:t>
        </w:r>
        <w:r w:rsidR="005E3DE3" w:rsidRPr="005B4776">
          <w:rPr>
            <w:rFonts w:ascii="Arial" w:eastAsiaTheme="minorEastAsia" w:hAnsi="Arial" w:cs="Arial"/>
            <w:color w:val="auto"/>
            <w:sz w:val="20"/>
            <w:szCs w:val="20"/>
            <w:lang w:val="en-US"/>
          </w:rPr>
          <w:tab/>
        </w:r>
        <w:r w:rsidR="005E3DE3" w:rsidRPr="005B4776">
          <w:rPr>
            <w:rStyle w:val="Hyperlink"/>
            <w:rFonts w:ascii="Arial" w:hAnsi="Arial" w:cs="Arial"/>
            <w:iCs/>
            <w:sz w:val="20"/>
            <w:szCs w:val="20"/>
            <w:lang w:val="en-GB"/>
          </w:rPr>
          <w:t>The Convention</w:t>
        </w:r>
        <w:r w:rsidR="005E3DE3" w:rsidRPr="005B4776">
          <w:rPr>
            <w:rFonts w:ascii="Arial" w:hAnsi="Arial" w:cs="Arial"/>
            <w:webHidden/>
            <w:color w:val="auto"/>
            <w:sz w:val="20"/>
            <w:szCs w:val="20"/>
          </w:rPr>
          <w:tab/>
        </w:r>
        <w:r w:rsidR="005E3DE3" w:rsidRPr="005B4776">
          <w:rPr>
            <w:rFonts w:ascii="Arial" w:hAnsi="Arial" w:cs="Arial"/>
            <w:webHidden/>
            <w:color w:val="auto"/>
            <w:sz w:val="20"/>
            <w:szCs w:val="20"/>
          </w:rPr>
          <w:fldChar w:fldCharType="begin"/>
        </w:r>
        <w:r w:rsidR="005E3DE3" w:rsidRPr="005B4776">
          <w:rPr>
            <w:rFonts w:ascii="Arial" w:hAnsi="Arial" w:cs="Arial"/>
            <w:webHidden/>
            <w:color w:val="auto"/>
            <w:sz w:val="20"/>
            <w:szCs w:val="20"/>
          </w:rPr>
          <w:instrText xml:space="preserve"> PAGEREF _Toc528243604 \h </w:instrText>
        </w:r>
        <w:r w:rsidR="005E3DE3" w:rsidRPr="005B4776">
          <w:rPr>
            <w:rFonts w:ascii="Arial" w:hAnsi="Arial" w:cs="Arial"/>
            <w:webHidden/>
            <w:color w:val="auto"/>
            <w:sz w:val="20"/>
            <w:szCs w:val="20"/>
          </w:rPr>
        </w:r>
        <w:r w:rsidR="005E3DE3" w:rsidRPr="005B4776">
          <w:rPr>
            <w:rFonts w:ascii="Arial" w:hAnsi="Arial" w:cs="Arial"/>
            <w:webHidden/>
            <w:color w:val="auto"/>
            <w:sz w:val="20"/>
            <w:szCs w:val="20"/>
          </w:rPr>
          <w:fldChar w:fldCharType="separate"/>
        </w:r>
        <w:r w:rsidR="00D935A7">
          <w:rPr>
            <w:rFonts w:ascii="Arial" w:hAnsi="Arial" w:cs="Arial"/>
            <w:webHidden/>
            <w:color w:val="auto"/>
            <w:sz w:val="20"/>
            <w:szCs w:val="20"/>
          </w:rPr>
          <w:t>8</w:t>
        </w:r>
        <w:r w:rsidR="005E3DE3" w:rsidRPr="005B4776">
          <w:rPr>
            <w:rFonts w:ascii="Arial" w:hAnsi="Arial" w:cs="Arial"/>
            <w:webHidden/>
            <w:color w:val="auto"/>
            <w:sz w:val="20"/>
            <w:szCs w:val="20"/>
          </w:rPr>
          <w:fldChar w:fldCharType="end"/>
        </w:r>
      </w:hyperlink>
    </w:p>
    <w:p w:rsidR="005E3DE3" w:rsidRPr="005B4776" w:rsidRDefault="00681B3C" w:rsidP="0086755D">
      <w:pPr>
        <w:pStyle w:val="TOC2"/>
        <w:tabs>
          <w:tab w:val="clear" w:pos="9034"/>
          <w:tab w:val="left" w:pos="709"/>
          <w:tab w:val="right" w:leader="dot" w:pos="9498"/>
        </w:tabs>
        <w:ind w:left="709" w:right="-226" w:hanging="709"/>
        <w:rPr>
          <w:rFonts w:ascii="Arial" w:eastAsiaTheme="minorEastAsia" w:hAnsi="Arial" w:cs="Arial"/>
          <w:color w:val="auto"/>
          <w:sz w:val="20"/>
          <w:szCs w:val="20"/>
          <w:lang w:val="en-US"/>
        </w:rPr>
      </w:pPr>
      <w:hyperlink w:anchor="_Toc528243605" w:history="1">
        <w:r w:rsidR="005E3DE3" w:rsidRPr="005B4776">
          <w:rPr>
            <w:rStyle w:val="Hyperlink"/>
            <w:rFonts w:ascii="Arial" w:hAnsi="Arial" w:cs="Arial"/>
            <w:iCs/>
            <w:sz w:val="20"/>
            <w:szCs w:val="20"/>
            <w:lang w:val="en-GB"/>
          </w:rPr>
          <w:t>2.2</w:t>
        </w:r>
        <w:r w:rsidR="005E3DE3" w:rsidRPr="005B4776">
          <w:rPr>
            <w:rFonts w:ascii="Arial" w:eastAsiaTheme="minorEastAsia" w:hAnsi="Arial" w:cs="Arial"/>
            <w:color w:val="auto"/>
            <w:sz w:val="20"/>
            <w:szCs w:val="20"/>
            <w:lang w:val="en-US"/>
          </w:rPr>
          <w:tab/>
        </w:r>
        <w:r w:rsidR="005E3DE3" w:rsidRPr="005B4776">
          <w:rPr>
            <w:rStyle w:val="Hyperlink"/>
            <w:rFonts w:ascii="Arial" w:hAnsi="Arial" w:cs="Arial"/>
            <w:iCs/>
            <w:sz w:val="20"/>
            <w:szCs w:val="20"/>
            <w:lang w:val="en-GB"/>
          </w:rPr>
          <w:t>Mandate of the Conference of the Parties</w:t>
        </w:r>
        <w:r w:rsidR="005E3DE3" w:rsidRPr="005B4776">
          <w:rPr>
            <w:rFonts w:ascii="Arial" w:hAnsi="Arial" w:cs="Arial"/>
            <w:webHidden/>
            <w:color w:val="auto"/>
            <w:sz w:val="20"/>
            <w:szCs w:val="20"/>
          </w:rPr>
          <w:tab/>
        </w:r>
        <w:r w:rsidR="005E3DE3" w:rsidRPr="005B4776">
          <w:rPr>
            <w:rFonts w:ascii="Arial" w:hAnsi="Arial" w:cs="Arial"/>
            <w:webHidden/>
            <w:color w:val="auto"/>
            <w:sz w:val="20"/>
            <w:szCs w:val="20"/>
          </w:rPr>
          <w:fldChar w:fldCharType="begin"/>
        </w:r>
        <w:r w:rsidR="005E3DE3" w:rsidRPr="005B4776">
          <w:rPr>
            <w:rFonts w:ascii="Arial" w:hAnsi="Arial" w:cs="Arial"/>
            <w:webHidden/>
            <w:color w:val="auto"/>
            <w:sz w:val="20"/>
            <w:szCs w:val="20"/>
          </w:rPr>
          <w:instrText xml:space="preserve"> PAGEREF _Toc528243605 \h </w:instrText>
        </w:r>
        <w:r w:rsidR="005E3DE3" w:rsidRPr="005B4776">
          <w:rPr>
            <w:rFonts w:ascii="Arial" w:hAnsi="Arial" w:cs="Arial"/>
            <w:webHidden/>
            <w:color w:val="auto"/>
            <w:sz w:val="20"/>
            <w:szCs w:val="20"/>
          </w:rPr>
        </w:r>
        <w:r w:rsidR="005E3DE3" w:rsidRPr="005B4776">
          <w:rPr>
            <w:rFonts w:ascii="Arial" w:hAnsi="Arial" w:cs="Arial"/>
            <w:webHidden/>
            <w:color w:val="auto"/>
            <w:sz w:val="20"/>
            <w:szCs w:val="20"/>
          </w:rPr>
          <w:fldChar w:fldCharType="separate"/>
        </w:r>
        <w:r w:rsidR="00D935A7">
          <w:rPr>
            <w:rFonts w:ascii="Arial" w:hAnsi="Arial" w:cs="Arial"/>
            <w:webHidden/>
            <w:color w:val="auto"/>
            <w:sz w:val="20"/>
            <w:szCs w:val="20"/>
          </w:rPr>
          <w:t>10</w:t>
        </w:r>
        <w:r w:rsidR="005E3DE3" w:rsidRPr="005B4776">
          <w:rPr>
            <w:rFonts w:ascii="Arial" w:hAnsi="Arial" w:cs="Arial"/>
            <w:webHidden/>
            <w:color w:val="auto"/>
            <w:sz w:val="20"/>
            <w:szCs w:val="20"/>
          </w:rPr>
          <w:fldChar w:fldCharType="end"/>
        </w:r>
      </w:hyperlink>
    </w:p>
    <w:p w:rsidR="005E3DE3" w:rsidRPr="005B4776" w:rsidRDefault="00681B3C" w:rsidP="0086755D">
      <w:pPr>
        <w:pStyle w:val="TOC2"/>
        <w:tabs>
          <w:tab w:val="clear" w:pos="9034"/>
          <w:tab w:val="left" w:pos="709"/>
          <w:tab w:val="right" w:leader="dot" w:pos="9498"/>
        </w:tabs>
        <w:ind w:left="709" w:right="-226" w:hanging="709"/>
        <w:rPr>
          <w:rFonts w:ascii="Arial" w:eastAsiaTheme="minorEastAsia" w:hAnsi="Arial" w:cs="Arial"/>
          <w:color w:val="auto"/>
          <w:sz w:val="20"/>
          <w:szCs w:val="20"/>
          <w:lang w:val="en-US"/>
        </w:rPr>
      </w:pPr>
      <w:hyperlink w:anchor="_Toc528243606" w:history="1">
        <w:r w:rsidR="005E3DE3" w:rsidRPr="005B4776">
          <w:rPr>
            <w:rStyle w:val="Hyperlink"/>
            <w:rFonts w:ascii="Arial" w:hAnsi="Arial" w:cs="Arial"/>
            <w:iCs/>
            <w:sz w:val="20"/>
            <w:szCs w:val="20"/>
            <w:lang w:val="en-GB"/>
          </w:rPr>
          <w:t>2.3</w:t>
        </w:r>
        <w:r w:rsidR="005E3DE3" w:rsidRPr="005B4776">
          <w:rPr>
            <w:rFonts w:ascii="Arial" w:eastAsiaTheme="minorEastAsia" w:hAnsi="Arial" w:cs="Arial"/>
            <w:color w:val="auto"/>
            <w:sz w:val="20"/>
            <w:szCs w:val="20"/>
            <w:lang w:val="en-US"/>
          </w:rPr>
          <w:tab/>
        </w:r>
        <w:r w:rsidR="005E3DE3" w:rsidRPr="005B4776">
          <w:rPr>
            <w:rStyle w:val="Hyperlink"/>
            <w:rFonts w:ascii="Arial" w:hAnsi="Arial" w:cs="Arial"/>
            <w:iCs/>
            <w:sz w:val="20"/>
            <w:szCs w:val="20"/>
            <w:lang w:val="en-GB"/>
          </w:rPr>
          <w:t>Members, participants and observers</w:t>
        </w:r>
        <w:r w:rsidR="005E3DE3" w:rsidRPr="005B4776">
          <w:rPr>
            <w:rFonts w:ascii="Arial" w:hAnsi="Arial" w:cs="Arial"/>
            <w:webHidden/>
            <w:color w:val="auto"/>
            <w:sz w:val="20"/>
            <w:szCs w:val="20"/>
          </w:rPr>
          <w:tab/>
        </w:r>
        <w:r w:rsidR="005E3DE3" w:rsidRPr="005B4776">
          <w:rPr>
            <w:rFonts w:ascii="Arial" w:hAnsi="Arial" w:cs="Arial"/>
            <w:webHidden/>
            <w:color w:val="auto"/>
            <w:sz w:val="20"/>
            <w:szCs w:val="20"/>
          </w:rPr>
          <w:fldChar w:fldCharType="begin"/>
        </w:r>
        <w:r w:rsidR="005E3DE3" w:rsidRPr="005B4776">
          <w:rPr>
            <w:rFonts w:ascii="Arial" w:hAnsi="Arial" w:cs="Arial"/>
            <w:webHidden/>
            <w:color w:val="auto"/>
            <w:sz w:val="20"/>
            <w:szCs w:val="20"/>
          </w:rPr>
          <w:instrText xml:space="preserve"> PAGEREF _Toc528243606 \h </w:instrText>
        </w:r>
        <w:r w:rsidR="005E3DE3" w:rsidRPr="005B4776">
          <w:rPr>
            <w:rFonts w:ascii="Arial" w:hAnsi="Arial" w:cs="Arial"/>
            <w:webHidden/>
            <w:color w:val="auto"/>
            <w:sz w:val="20"/>
            <w:szCs w:val="20"/>
          </w:rPr>
        </w:r>
        <w:r w:rsidR="005E3DE3" w:rsidRPr="005B4776">
          <w:rPr>
            <w:rFonts w:ascii="Arial" w:hAnsi="Arial" w:cs="Arial"/>
            <w:webHidden/>
            <w:color w:val="auto"/>
            <w:sz w:val="20"/>
            <w:szCs w:val="20"/>
          </w:rPr>
          <w:fldChar w:fldCharType="separate"/>
        </w:r>
        <w:r w:rsidR="00D935A7">
          <w:rPr>
            <w:rFonts w:ascii="Arial" w:hAnsi="Arial" w:cs="Arial"/>
            <w:webHidden/>
            <w:color w:val="auto"/>
            <w:sz w:val="20"/>
            <w:szCs w:val="20"/>
          </w:rPr>
          <w:t>11</w:t>
        </w:r>
        <w:r w:rsidR="005E3DE3" w:rsidRPr="005B4776">
          <w:rPr>
            <w:rFonts w:ascii="Arial" w:hAnsi="Arial" w:cs="Arial"/>
            <w:webHidden/>
            <w:color w:val="auto"/>
            <w:sz w:val="20"/>
            <w:szCs w:val="20"/>
          </w:rPr>
          <w:fldChar w:fldCharType="end"/>
        </w:r>
      </w:hyperlink>
    </w:p>
    <w:p w:rsidR="005E3DE3" w:rsidRPr="005B4776" w:rsidRDefault="00681B3C" w:rsidP="0086755D">
      <w:pPr>
        <w:pStyle w:val="TOC2"/>
        <w:tabs>
          <w:tab w:val="clear" w:pos="9034"/>
          <w:tab w:val="left" w:pos="709"/>
          <w:tab w:val="right" w:leader="dot" w:pos="9498"/>
        </w:tabs>
        <w:ind w:left="709" w:right="-226" w:hanging="709"/>
        <w:rPr>
          <w:rFonts w:ascii="Arial" w:eastAsiaTheme="minorEastAsia" w:hAnsi="Arial" w:cs="Arial"/>
          <w:color w:val="auto"/>
          <w:sz w:val="20"/>
          <w:szCs w:val="20"/>
          <w:lang w:val="en-US"/>
        </w:rPr>
      </w:pPr>
      <w:hyperlink w:anchor="_Toc528243607" w:history="1">
        <w:r w:rsidR="005E3DE3" w:rsidRPr="005B4776">
          <w:rPr>
            <w:rStyle w:val="Hyperlink"/>
            <w:rFonts w:ascii="Arial" w:hAnsi="Arial" w:cs="Arial"/>
            <w:iCs/>
            <w:sz w:val="20"/>
            <w:szCs w:val="20"/>
            <w:lang w:val="en-GB"/>
          </w:rPr>
          <w:t>2.4</w:t>
        </w:r>
        <w:r w:rsidR="005E3DE3" w:rsidRPr="005B4776">
          <w:rPr>
            <w:rFonts w:ascii="Arial" w:eastAsiaTheme="minorEastAsia" w:hAnsi="Arial" w:cs="Arial"/>
            <w:color w:val="auto"/>
            <w:sz w:val="20"/>
            <w:szCs w:val="20"/>
            <w:lang w:val="en-US"/>
          </w:rPr>
          <w:tab/>
        </w:r>
        <w:r w:rsidR="005E3DE3" w:rsidRPr="005B4776">
          <w:rPr>
            <w:rStyle w:val="Hyperlink"/>
            <w:rFonts w:ascii="Arial" w:hAnsi="Arial" w:cs="Arial"/>
            <w:iCs/>
            <w:sz w:val="20"/>
            <w:szCs w:val="20"/>
            <w:lang w:val="en-GB"/>
          </w:rPr>
          <w:t>Governance</w:t>
        </w:r>
        <w:r w:rsidR="005E3DE3" w:rsidRPr="005B4776">
          <w:rPr>
            <w:rFonts w:ascii="Arial" w:hAnsi="Arial" w:cs="Arial"/>
            <w:webHidden/>
            <w:color w:val="auto"/>
            <w:sz w:val="20"/>
            <w:szCs w:val="20"/>
          </w:rPr>
          <w:tab/>
        </w:r>
        <w:r w:rsidR="005E3DE3" w:rsidRPr="005B4776">
          <w:rPr>
            <w:rFonts w:ascii="Arial" w:hAnsi="Arial" w:cs="Arial"/>
            <w:webHidden/>
            <w:color w:val="auto"/>
            <w:sz w:val="20"/>
            <w:szCs w:val="20"/>
          </w:rPr>
          <w:fldChar w:fldCharType="begin"/>
        </w:r>
        <w:r w:rsidR="005E3DE3" w:rsidRPr="005B4776">
          <w:rPr>
            <w:rFonts w:ascii="Arial" w:hAnsi="Arial" w:cs="Arial"/>
            <w:webHidden/>
            <w:color w:val="auto"/>
            <w:sz w:val="20"/>
            <w:szCs w:val="20"/>
          </w:rPr>
          <w:instrText xml:space="preserve"> PAGEREF _Toc528243607 \h </w:instrText>
        </w:r>
        <w:r w:rsidR="005E3DE3" w:rsidRPr="005B4776">
          <w:rPr>
            <w:rFonts w:ascii="Arial" w:hAnsi="Arial" w:cs="Arial"/>
            <w:webHidden/>
            <w:color w:val="auto"/>
            <w:sz w:val="20"/>
            <w:szCs w:val="20"/>
          </w:rPr>
        </w:r>
        <w:r w:rsidR="005E3DE3" w:rsidRPr="005B4776">
          <w:rPr>
            <w:rFonts w:ascii="Arial" w:hAnsi="Arial" w:cs="Arial"/>
            <w:webHidden/>
            <w:color w:val="auto"/>
            <w:sz w:val="20"/>
            <w:szCs w:val="20"/>
          </w:rPr>
          <w:fldChar w:fldCharType="separate"/>
        </w:r>
        <w:r w:rsidR="00D935A7">
          <w:rPr>
            <w:rFonts w:ascii="Arial" w:hAnsi="Arial" w:cs="Arial"/>
            <w:webHidden/>
            <w:color w:val="auto"/>
            <w:sz w:val="20"/>
            <w:szCs w:val="20"/>
          </w:rPr>
          <w:t>13</w:t>
        </w:r>
        <w:r w:rsidR="005E3DE3" w:rsidRPr="005B4776">
          <w:rPr>
            <w:rFonts w:ascii="Arial" w:hAnsi="Arial" w:cs="Arial"/>
            <w:webHidden/>
            <w:color w:val="auto"/>
            <w:sz w:val="20"/>
            <w:szCs w:val="20"/>
          </w:rPr>
          <w:fldChar w:fldCharType="end"/>
        </w:r>
      </w:hyperlink>
    </w:p>
    <w:p w:rsidR="005E3DE3" w:rsidRPr="005B4776" w:rsidRDefault="00681B3C" w:rsidP="0086755D">
      <w:pPr>
        <w:pStyle w:val="TOC2"/>
        <w:tabs>
          <w:tab w:val="clear" w:pos="9034"/>
          <w:tab w:val="left" w:pos="709"/>
          <w:tab w:val="right" w:leader="dot" w:pos="9498"/>
        </w:tabs>
        <w:ind w:left="709" w:right="-226" w:hanging="709"/>
        <w:rPr>
          <w:rFonts w:ascii="Arial" w:eastAsiaTheme="minorEastAsia" w:hAnsi="Arial" w:cs="Arial"/>
          <w:color w:val="auto"/>
          <w:sz w:val="20"/>
          <w:szCs w:val="20"/>
          <w:lang w:val="en-US"/>
        </w:rPr>
      </w:pPr>
      <w:hyperlink w:anchor="_Toc528243608" w:history="1">
        <w:r w:rsidR="005E3DE3" w:rsidRPr="005B4776">
          <w:rPr>
            <w:rStyle w:val="Hyperlink"/>
            <w:rFonts w:ascii="Arial" w:hAnsi="Arial" w:cs="Arial"/>
            <w:iCs/>
            <w:sz w:val="20"/>
            <w:szCs w:val="20"/>
            <w:lang w:val="en-GB"/>
          </w:rPr>
          <w:t>2.5</w:t>
        </w:r>
        <w:r w:rsidR="005E3DE3" w:rsidRPr="005B4776">
          <w:rPr>
            <w:rFonts w:ascii="Arial" w:eastAsiaTheme="minorEastAsia" w:hAnsi="Arial" w:cs="Arial"/>
            <w:color w:val="auto"/>
            <w:sz w:val="20"/>
            <w:szCs w:val="20"/>
            <w:lang w:val="en-US"/>
          </w:rPr>
          <w:tab/>
        </w:r>
        <w:r w:rsidR="005E3DE3" w:rsidRPr="005B4776">
          <w:rPr>
            <w:rStyle w:val="Hyperlink"/>
            <w:rFonts w:ascii="Arial" w:hAnsi="Arial" w:cs="Arial"/>
            <w:iCs/>
            <w:sz w:val="20"/>
            <w:szCs w:val="20"/>
            <w:lang w:val="en-GB"/>
          </w:rPr>
          <w:t>Scientific experts</w:t>
        </w:r>
        <w:r w:rsidR="005E3DE3" w:rsidRPr="005B4776">
          <w:rPr>
            <w:rFonts w:ascii="Arial" w:hAnsi="Arial" w:cs="Arial"/>
            <w:webHidden/>
            <w:color w:val="auto"/>
            <w:sz w:val="20"/>
            <w:szCs w:val="20"/>
          </w:rPr>
          <w:tab/>
        </w:r>
        <w:r w:rsidR="005E3DE3" w:rsidRPr="005B4776">
          <w:rPr>
            <w:rFonts w:ascii="Arial" w:hAnsi="Arial" w:cs="Arial"/>
            <w:webHidden/>
            <w:color w:val="auto"/>
            <w:sz w:val="20"/>
            <w:szCs w:val="20"/>
          </w:rPr>
          <w:fldChar w:fldCharType="begin"/>
        </w:r>
        <w:r w:rsidR="005E3DE3" w:rsidRPr="005B4776">
          <w:rPr>
            <w:rFonts w:ascii="Arial" w:hAnsi="Arial" w:cs="Arial"/>
            <w:webHidden/>
            <w:color w:val="auto"/>
            <w:sz w:val="20"/>
            <w:szCs w:val="20"/>
          </w:rPr>
          <w:instrText xml:space="preserve"> PAGEREF _Toc528243608 \h </w:instrText>
        </w:r>
        <w:r w:rsidR="005E3DE3" w:rsidRPr="005B4776">
          <w:rPr>
            <w:rFonts w:ascii="Arial" w:hAnsi="Arial" w:cs="Arial"/>
            <w:webHidden/>
            <w:color w:val="auto"/>
            <w:sz w:val="20"/>
            <w:szCs w:val="20"/>
          </w:rPr>
        </w:r>
        <w:r w:rsidR="005E3DE3" w:rsidRPr="005B4776">
          <w:rPr>
            <w:rFonts w:ascii="Arial" w:hAnsi="Arial" w:cs="Arial"/>
            <w:webHidden/>
            <w:color w:val="auto"/>
            <w:sz w:val="20"/>
            <w:szCs w:val="20"/>
          </w:rPr>
          <w:fldChar w:fldCharType="separate"/>
        </w:r>
        <w:r w:rsidR="00D935A7">
          <w:rPr>
            <w:rFonts w:ascii="Arial" w:hAnsi="Arial" w:cs="Arial"/>
            <w:webHidden/>
            <w:color w:val="auto"/>
            <w:sz w:val="20"/>
            <w:szCs w:val="20"/>
          </w:rPr>
          <w:t>13</w:t>
        </w:r>
        <w:r w:rsidR="005E3DE3" w:rsidRPr="005B4776">
          <w:rPr>
            <w:rFonts w:ascii="Arial" w:hAnsi="Arial" w:cs="Arial"/>
            <w:webHidden/>
            <w:color w:val="auto"/>
            <w:sz w:val="20"/>
            <w:szCs w:val="20"/>
          </w:rPr>
          <w:fldChar w:fldCharType="end"/>
        </w:r>
      </w:hyperlink>
    </w:p>
    <w:p w:rsidR="005E3DE3" w:rsidRPr="005B4776" w:rsidRDefault="00681B3C" w:rsidP="0086755D">
      <w:pPr>
        <w:pStyle w:val="TOC2"/>
        <w:tabs>
          <w:tab w:val="clear" w:pos="9034"/>
          <w:tab w:val="left" w:pos="709"/>
          <w:tab w:val="right" w:leader="dot" w:pos="9498"/>
        </w:tabs>
        <w:ind w:left="709" w:right="-226" w:hanging="709"/>
        <w:rPr>
          <w:rFonts w:ascii="Arial" w:eastAsiaTheme="minorEastAsia" w:hAnsi="Arial" w:cs="Arial"/>
          <w:color w:val="auto"/>
          <w:sz w:val="20"/>
          <w:szCs w:val="20"/>
          <w:lang w:val="en-US"/>
        </w:rPr>
      </w:pPr>
      <w:hyperlink w:anchor="_Toc528243609" w:history="1">
        <w:r w:rsidR="005E3DE3" w:rsidRPr="005B4776">
          <w:rPr>
            <w:rStyle w:val="Hyperlink"/>
            <w:rFonts w:ascii="Arial" w:hAnsi="Arial" w:cs="Arial"/>
            <w:iCs/>
            <w:sz w:val="20"/>
            <w:szCs w:val="20"/>
            <w:lang w:val="en-GB"/>
          </w:rPr>
          <w:t>2.6</w:t>
        </w:r>
        <w:r w:rsidR="005E3DE3" w:rsidRPr="005B4776">
          <w:rPr>
            <w:rFonts w:ascii="Arial" w:eastAsiaTheme="minorEastAsia" w:hAnsi="Arial" w:cs="Arial"/>
            <w:color w:val="auto"/>
            <w:sz w:val="20"/>
            <w:szCs w:val="20"/>
            <w:lang w:val="en-US"/>
          </w:rPr>
          <w:tab/>
        </w:r>
        <w:r w:rsidR="005E3DE3" w:rsidRPr="005B4776">
          <w:rPr>
            <w:rStyle w:val="Hyperlink"/>
            <w:rFonts w:ascii="Arial" w:hAnsi="Arial" w:cs="Arial"/>
            <w:iCs/>
            <w:sz w:val="20"/>
            <w:szCs w:val="20"/>
            <w:lang w:val="en-GB"/>
          </w:rPr>
          <w:t>Gender balance</w:t>
        </w:r>
        <w:r w:rsidR="005E3DE3" w:rsidRPr="005B4776">
          <w:rPr>
            <w:rFonts w:ascii="Arial" w:hAnsi="Arial" w:cs="Arial"/>
            <w:webHidden/>
            <w:color w:val="auto"/>
            <w:sz w:val="20"/>
            <w:szCs w:val="20"/>
          </w:rPr>
          <w:tab/>
        </w:r>
        <w:r w:rsidR="005E3DE3" w:rsidRPr="005B4776">
          <w:rPr>
            <w:rFonts w:ascii="Arial" w:hAnsi="Arial" w:cs="Arial"/>
            <w:webHidden/>
            <w:color w:val="auto"/>
            <w:sz w:val="20"/>
            <w:szCs w:val="20"/>
          </w:rPr>
          <w:fldChar w:fldCharType="begin"/>
        </w:r>
        <w:r w:rsidR="005E3DE3" w:rsidRPr="005B4776">
          <w:rPr>
            <w:rFonts w:ascii="Arial" w:hAnsi="Arial" w:cs="Arial"/>
            <w:webHidden/>
            <w:color w:val="auto"/>
            <w:sz w:val="20"/>
            <w:szCs w:val="20"/>
          </w:rPr>
          <w:instrText xml:space="preserve"> PAGEREF _Toc528243609 \h </w:instrText>
        </w:r>
        <w:r w:rsidR="005E3DE3" w:rsidRPr="005B4776">
          <w:rPr>
            <w:rFonts w:ascii="Arial" w:hAnsi="Arial" w:cs="Arial"/>
            <w:webHidden/>
            <w:color w:val="auto"/>
            <w:sz w:val="20"/>
            <w:szCs w:val="20"/>
          </w:rPr>
        </w:r>
        <w:r w:rsidR="005E3DE3" w:rsidRPr="005B4776">
          <w:rPr>
            <w:rFonts w:ascii="Arial" w:hAnsi="Arial" w:cs="Arial"/>
            <w:webHidden/>
            <w:color w:val="auto"/>
            <w:sz w:val="20"/>
            <w:szCs w:val="20"/>
          </w:rPr>
          <w:fldChar w:fldCharType="separate"/>
        </w:r>
        <w:r w:rsidR="00D935A7">
          <w:rPr>
            <w:rFonts w:ascii="Arial" w:hAnsi="Arial" w:cs="Arial"/>
            <w:webHidden/>
            <w:color w:val="auto"/>
            <w:sz w:val="20"/>
            <w:szCs w:val="20"/>
          </w:rPr>
          <w:t>14</w:t>
        </w:r>
        <w:r w:rsidR="005E3DE3" w:rsidRPr="005B4776">
          <w:rPr>
            <w:rFonts w:ascii="Arial" w:hAnsi="Arial" w:cs="Arial"/>
            <w:webHidden/>
            <w:color w:val="auto"/>
            <w:sz w:val="20"/>
            <w:szCs w:val="20"/>
          </w:rPr>
          <w:fldChar w:fldCharType="end"/>
        </w:r>
      </w:hyperlink>
    </w:p>
    <w:p w:rsidR="005B4776" w:rsidRDefault="005B4776" w:rsidP="0086755D">
      <w:pPr>
        <w:pStyle w:val="TOC2"/>
        <w:tabs>
          <w:tab w:val="clear" w:pos="9034"/>
          <w:tab w:val="left" w:pos="709"/>
          <w:tab w:val="right" w:leader="dot" w:pos="9498"/>
        </w:tabs>
        <w:ind w:left="709" w:right="-226" w:hanging="709"/>
        <w:rPr>
          <w:rFonts w:ascii="Arial" w:hAnsi="Arial" w:cs="Arial"/>
          <w:color w:val="auto"/>
          <w:sz w:val="20"/>
          <w:szCs w:val="20"/>
        </w:rPr>
      </w:pPr>
    </w:p>
    <w:p w:rsidR="005E3DE3" w:rsidRPr="005B4776" w:rsidRDefault="00681B3C" w:rsidP="0086755D">
      <w:pPr>
        <w:pStyle w:val="TOC2"/>
        <w:tabs>
          <w:tab w:val="clear" w:pos="9034"/>
          <w:tab w:val="left" w:pos="709"/>
          <w:tab w:val="right" w:leader="dot" w:pos="9498"/>
        </w:tabs>
        <w:ind w:left="709" w:right="-226" w:hanging="709"/>
        <w:rPr>
          <w:rFonts w:ascii="Arial" w:eastAsiaTheme="minorEastAsia" w:hAnsi="Arial" w:cs="Arial"/>
          <w:color w:val="auto"/>
          <w:sz w:val="20"/>
          <w:szCs w:val="20"/>
          <w:lang w:val="en-US"/>
        </w:rPr>
      </w:pPr>
      <w:hyperlink w:anchor="_Toc528243610" w:history="1">
        <w:r w:rsidR="005E3DE3" w:rsidRPr="005B4776">
          <w:rPr>
            <w:rStyle w:val="Hyperlink"/>
            <w:rFonts w:ascii="Arial" w:hAnsi="Arial" w:cs="Arial"/>
            <w:caps/>
            <w:w w:val="105"/>
            <w:kern w:val="28"/>
            <w:sz w:val="20"/>
            <w:szCs w:val="20"/>
            <w:lang w:val="en-GB" w:eastAsia="zh-CN"/>
          </w:rPr>
          <w:t>3.</w:t>
        </w:r>
        <w:r w:rsidR="005E3DE3" w:rsidRPr="005B4776">
          <w:rPr>
            <w:rFonts w:ascii="Arial" w:eastAsiaTheme="minorEastAsia" w:hAnsi="Arial" w:cs="Arial"/>
            <w:color w:val="auto"/>
            <w:sz w:val="20"/>
            <w:szCs w:val="20"/>
            <w:lang w:val="en-US"/>
          </w:rPr>
          <w:tab/>
        </w:r>
        <w:r w:rsidR="005E3DE3" w:rsidRPr="005B4776">
          <w:rPr>
            <w:rStyle w:val="Hyperlink"/>
            <w:rFonts w:ascii="Arial" w:hAnsi="Arial" w:cs="Arial"/>
            <w:caps/>
            <w:w w:val="105"/>
            <w:kern w:val="28"/>
            <w:sz w:val="20"/>
            <w:szCs w:val="20"/>
            <w:lang w:val="en-GB" w:eastAsia="zh-CN"/>
          </w:rPr>
          <w:t>Monitoring of the implementation of the convention by the Conference of the Parties</w:t>
        </w:r>
        <w:r w:rsidR="005E3DE3" w:rsidRPr="005B4776">
          <w:rPr>
            <w:rFonts w:ascii="Arial" w:hAnsi="Arial" w:cs="Arial"/>
            <w:webHidden/>
            <w:color w:val="auto"/>
            <w:sz w:val="20"/>
            <w:szCs w:val="20"/>
          </w:rPr>
          <w:tab/>
        </w:r>
        <w:r w:rsidR="005E3DE3" w:rsidRPr="005B4776">
          <w:rPr>
            <w:rFonts w:ascii="Arial" w:hAnsi="Arial" w:cs="Arial"/>
            <w:webHidden/>
            <w:color w:val="auto"/>
            <w:sz w:val="20"/>
            <w:szCs w:val="20"/>
          </w:rPr>
          <w:fldChar w:fldCharType="begin"/>
        </w:r>
        <w:r w:rsidR="005E3DE3" w:rsidRPr="005B4776">
          <w:rPr>
            <w:rFonts w:ascii="Arial" w:hAnsi="Arial" w:cs="Arial"/>
            <w:webHidden/>
            <w:color w:val="auto"/>
            <w:sz w:val="20"/>
            <w:szCs w:val="20"/>
          </w:rPr>
          <w:instrText xml:space="preserve"> PAGEREF _Toc528243610 \h </w:instrText>
        </w:r>
        <w:r w:rsidR="005E3DE3" w:rsidRPr="005B4776">
          <w:rPr>
            <w:rFonts w:ascii="Arial" w:hAnsi="Arial" w:cs="Arial"/>
            <w:webHidden/>
            <w:color w:val="auto"/>
            <w:sz w:val="20"/>
            <w:szCs w:val="20"/>
          </w:rPr>
        </w:r>
        <w:r w:rsidR="005E3DE3" w:rsidRPr="005B4776">
          <w:rPr>
            <w:rFonts w:ascii="Arial" w:hAnsi="Arial" w:cs="Arial"/>
            <w:webHidden/>
            <w:color w:val="auto"/>
            <w:sz w:val="20"/>
            <w:szCs w:val="20"/>
          </w:rPr>
          <w:fldChar w:fldCharType="separate"/>
        </w:r>
        <w:r w:rsidR="00D935A7">
          <w:rPr>
            <w:rFonts w:ascii="Arial" w:hAnsi="Arial" w:cs="Arial"/>
            <w:webHidden/>
            <w:color w:val="auto"/>
            <w:sz w:val="20"/>
            <w:szCs w:val="20"/>
          </w:rPr>
          <w:t>14</w:t>
        </w:r>
        <w:r w:rsidR="005E3DE3" w:rsidRPr="005B4776">
          <w:rPr>
            <w:rFonts w:ascii="Arial" w:hAnsi="Arial" w:cs="Arial"/>
            <w:webHidden/>
            <w:color w:val="auto"/>
            <w:sz w:val="20"/>
            <w:szCs w:val="20"/>
          </w:rPr>
          <w:fldChar w:fldCharType="end"/>
        </w:r>
      </w:hyperlink>
    </w:p>
    <w:p w:rsidR="005E3DE3" w:rsidRPr="005B4776" w:rsidRDefault="00681B3C" w:rsidP="0086755D">
      <w:pPr>
        <w:pStyle w:val="TOC2"/>
        <w:tabs>
          <w:tab w:val="clear" w:pos="9034"/>
          <w:tab w:val="left" w:pos="709"/>
          <w:tab w:val="right" w:leader="dot" w:pos="9498"/>
        </w:tabs>
        <w:ind w:left="709" w:right="-226" w:hanging="709"/>
        <w:rPr>
          <w:rFonts w:ascii="Arial" w:eastAsiaTheme="minorEastAsia" w:hAnsi="Arial" w:cs="Arial"/>
          <w:color w:val="auto"/>
          <w:sz w:val="20"/>
          <w:szCs w:val="20"/>
          <w:lang w:val="en-US"/>
        </w:rPr>
      </w:pPr>
      <w:hyperlink w:anchor="_Toc528243611" w:history="1">
        <w:r w:rsidR="005E3DE3" w:rsidRPr="005B4776">
          <w:rPr>
            <w:rStyle w:val="Hyperlink"/>
            <w:rFonts w:ascii="Arial" w:hAnsi="Arial" w:cs="Arial"/>
            <w:iCs/>
            <w:sz w:val="20"/>
            <w:szCs w:val="20"/>
            <w:lang w:val="en-GB"/>
          </w:rPr>
          <w:t>3.1</w:t>
        </w:r>
        <w:r w:rsidR="005E3DE3" w:rsidRPr="005B4776">
          <w:rPr>
            <w:rFonts w:ascii="Arial" w:eastAsiaTheme="minorEastAsia" w:hAnsi="Arial" w:cs="Arial"/>
            <w:color w:val="auto"/>
            <w:sz w:val="20"/>
            <w:szCs w:val="20"/>
            <w:lang w:val="en-US"/>
          </w:rPr>
          <w:tab/>
        </w:r>
        <w:r w:rsidR="005E3DE3" w:rsidRPr="005B4776">
          <w:rPr>
            <w:rStyle w:val="Hyperlink"/>
            <w:rFonts w:ascii="Arial" w:hAnsi="Arial" w:cs="Arial"/>
            <w:iCs/>
            <w:sz w:val="20"/>
            <w:szCs w:val="20"/>
            <w:lang w:val="en-GB"/>
          </w:rPr>
          <w:t>Assessments and follow-up reports</w:t>
        </w:r>
        <w:r w:rsidR="005E3DE3" w:rsidRPr="005B4776">
          <w:rPr>
            <w:rFonts w:ascii="Arial" w:hAnsi="Arial" w:cs="Arial"/>
            <w:webHidden/>
            <w:color w:val="auto"/>
            <w:sz w:val="20"/>
            <w:szCs w:val="20"/>
          </w:rPr>
          <w:tab/>
        </w:r>
        <w:r w:rsidR="005E3DE3" w:rsidRPr="005B4776">
          <w:rPr>
            <w:rFonts w:ascii="Arial" w:hAnsi="Arial" w:cs="Arial"/>
            <w:webHidden/>
            <w:color w:val="auto"/>
            <w:sz w:val="20"/>
            <w:szCs w:val="20"/>
          </w:rPr>
          <w:fldChar w:fldCharType="begin"/>
        </w:r>
        <w:r w:rsidR="005E3DE3" w:rsidRPr="005B4776">
          <w:rPr>
            <w:rFonts w:ascii="Arial" w:hAnsi="Arial" w:cs="Arial"/>
            <w:webHidden/>
            <w:color w:val="auto"/>
            <w:sz w:val="20"/>
            <w:szCs w:val="20"/>
          </w:rPr>
          <w:instrText xml:space="preserve"> PAGEREF _Toc528243611 \h </w:instrText>
        </w:r>
        <w:r w:rsidR="005E3DE3" w:rsidRPr="005B4776">
          <w:rPr>
            <w:rFonts w:ascii="Arial" w:hAnsi="Arial" w:cs="Arial"/>
            <w:webHidden/>
            <w:color w:val="auto"/>
            <w:sz w:val="20"/>
            <w:szCs w:val="20"/>
          </w:rPr>
        </w:r>
        <w:r w:rsidR="005E3DE3" w:rsidRPr="005B4776">
          <w:rPr>
            <w:rFonts w:ascii="Arial" w:hAnsi="Arial" w:cs="Arial"/>
            <w:webHidden/>
            <w:color w:val="auto"/>
            <w:sz w:val="20"/>
            <w:szCs w:val="20"/>
          </w:rPr>
          <w:fldChar w:fldCharType="separate"/>
        </w:r>
        <w:r w:rsidR="00D935A7">
          <w:rPr>
            <w:rFonts w:ascii="Arial" w:hAnsi="Arial" w:cs="Arial"/>
            <w:webHidden/>
            <w:color w:val="auto"/>
            <w:sz w:val="20"/>
            <w:szCs w:val="20"/>
          </w:rPr>
          <w:t>14</w:t>
        </w:r>
        <w:r w:rsidR="005E3DE3" w:rsidRPr="005B4776">
          <w:rPr>
            <w:rFonts w:ascii="Arial" w:hAnsi="Arial" w:cs="Arial"/>
            <w:webHidden/>
            <w:color w:val="auto"/>
            <w:sz w:val="20"/>
            <w:szCs w:val="20"/>
          </w:rPr>
          <w:fldChar w:fldCharType="end"/>
        </w:r>
      </w:hyperlink>
    </w:p>
    <w:p w:rsidR="005E3DE3" w:rsidRPr="005B4776" w:rsidRDefault="00681B3C" w:rsidP="0086755D">
      <w:pPr>
        <w:pStyle w:val="TOC2"/>
        <w:tabs>
          <w:tab w:val="clear" w:pos="9034"/>
          <w:tab w:val="left" w:pos="709"/>
          <w:tab w:val="right" w:leader="dot" w:pos="9498"/>
        </w:tabs>
        <w:ind w:left="709" w:right="-226" w:hanging="709"/>
        <w:rPr>
          <w:rFonts w:ascii="Arial" w:eastAsiaTheme="minorEastAsia" w:hAnsi="Arial" w:cs="Arial"/>
          <w:color w:val="auto"/>
          <w:sz w:val="20"/>
          <w:szCs w:val="20"/>
          <w:lang w:val="en-US"/>
        </w:rPr>
      </w:pPr>
      <w:hyperlink w:anchor="_Toc528243612" w:history="1">
        <w:r w:rsidR="005E3DE3" w:rsidRPr="005B4776">
          <w:rPr>
            <w:rStyle w:val="Hyperlink"/>
            <w:rFonts w:ascii="Arial" w:hAnsi="Arial" w:cs="Arial"/>
            <w:iCs/>
            <w:sz w:val="20"/>
            <w:szCs w:val="20"/>
            <w:lang w:val="en-GB"/>
          </w:rPr>
          <w:t>3.2</w:t>
        </w:r>
        <w:r w:rsidR="005E3DE3" w:rsidRPr="005B4776">
          <w:rPr>
            <w:rFonts w:ascii="Arial" w:eastAsiaTheme="minorEastAsia" w:hAnsi="Arial" w:cs="Arial"/>
            <w:color w:val="auto"/>
            <w:sz w:val="20"/>
            <w:szCs w:val="20"/>
            <w:lang w:val="en-US"/>
          </w:rPr>
          <w:tab/>
        </w:r>
        <w:r w:rsidR="005E3DE3" w:rsidRPr="005B4776">
          <w:rPr>
            <w:rStyle w:val="Hyperlink"/>
            <w:rFonts w:ascii="Arial" w:hAnsi="Arial" w:cs="Arial"/>
            <w:iCs/>
            <w:sz w:val="20"/>
            <w:szCs w:val="20"/>
            <w:lang w:val="en-GB"/>
          </w:rPr>
          <w:t>Survey: Gathering Examples of Practical Application of the</w:t>
        </w:r>
        <w:r w:rsidR="005E3DE3" w:rsidRPr="005B4776">
          <w:rPr>
            <w:rStyle w:val="Hyperlink"/>
            <w:rFonts w:ascii="Arial" w:eastAsia="Calibri" w:hAnsi="Arial" w:cs="Arial"/>
            <w:sz w:val="20"/>
            <w:szCs w:val="20"/>
            <w:lang w:val="en-GB"/>
          </w:rPr>
          <w:t xml:space="preserve"> Convention</w:t>
        </w:r>
        <w:r w:rsidR="005E3DE3" w:rsidRPr="005B4776">
          <w:rPr>
            <w:rFonts w:ascii="Arial" w:hAnsi="Arial" w:cs="Arial"/>
            <w:webHidden/>
            <w:color w:val="auto"/>
            <w:sz w:val="20"/>
            <w:szCs w:val="20"/>
          </w:rPr>
          <w:tab/>
        </w:r>
        <w:r w:rsidR="005E3DE3" w:rsidRPr="005B4776">
          <w:rPr>
            <w:rFonts w:ascii="Arial" w:hAnsi="Arial" w:cs="Arial"/>
            <w:webHidden/>
            <w:color w:val="auto"/>
            <w:sz w:val="20"/>
            <w:szCs w:val="20"/>
          </w:rPr>
          <w:fldChar w:fldCharType="begin"/>
        </w:r>
        <w:r w:rsidR="005E3DE3" w:rsidRPr="005B4776">
          <w:rPr>
            <w:rFonts w:ascii="Arial" w:hAnsi="Arial" w:cs="Arial"/>
            <w:webHidden/>
            <w:color w:val="auto"/>
            <w:sz w:val="20"/>
            <w:szCs w:val="20"/>
          </w:rPr>
          <w:instrText xml:space="preserve"> PAGEREF _Toc528243612 \h </w:instrText>
        </w:r>
        <w:r w:rsidR="005E3DE3" w:rsidRPr="005B4776">
          <w:rPr>
            <w:rFonts w:ascii="Arial" w:hAnsi="Arial" w:cs="Arial"/>
            <w:webHidden/>
            <w:color w:val="auto"/>
            <w:sz w:val="20"/>
            <w:szCs w:val="20"/>
          </w:rPr>
        </w:r>
        <w:r w:rsidR="005E3DE3" w:rsidRPr="005B4776">
          <w:rPr>
            <w:rFonts w:ascii="Arial" w:hAnsi="Arial" w:cs="Arial"/>
            <w:webHidden/>
            <w:color w:val="auto"/>
            <w:sz w:val="20"/>
            <w:szCs w:val="20"/>
          </w:rPr>
          <w:fldChar w:fldCharType="separate"/>
        </w:r>
        <w:r w:rsidR="00D935A7">
          <w:rPr>
            <w:rFonts w:ascii="Arial" w:hAnsi="Arial" w:cs="Arial"/>
            <w:webHidden/>
            <w:color w:val="auto"/>
            <w:sz w:val="20"/>
            <w:szCs w:val="20"/>
          </w:rPr>
          <w:t>21</w:t>
        </w:r>
        <w:r w:rsidR="005E3DE3" w:rsidRPr="005B4776">
          <w:rPr>
            <w:rFonts w:ascii="Arial" w:hAnsi="Arial" w:cs="Arial"/>
            <w:webHidden/>
            <w:color w:val="auto"/>
            <w:sz w:val="20"/>
            <w:szCs w:val="20"/>
          </w:rPr>
          <w:fldChar w:fldCharType="end"/>
        </w:r>
      </w:hyperlink>
    </w:p>
    <w:p w:rsidR="005B4776" w:rsidRDefault="005B4776" w:rsidP="0086755D">
      <w:pPr>
        <w:pStyle w:val="TOC2"/>
        <w:tabs>
          <w:tab w:val="clear" w:pos="9034"/>
          <w:tab w:val="left" w:pos="709"/>
          <w:tab w:val="right" w:leader="dot" w:pos="9498"/>
        </w:tabs>
        <w:ind w:left="709" w:right="-226" w:hanging="709"/>
        <w:rPr>
          <w:rFonts w:ascii="Arial" w:hAnsi="Arial" w:cs="Arial"/>
          <w:color w:val="auto"/>
          <w:sz w:val="20"/>
          <w:szCs w:val="20"/>
        </w:rPr>
      </w:pPr>
    </w:p>
    <w:p w:rsidR="005E3DE3" w:rsidRPr="005B4776" w:rsidRDefault="00681B3C" w:rsidP="0086755D">
      <w:pPr>
        <w:pStyle w:val="TOC2"/>
        <w:tabs>
          <w:tab w:val="clear" w:pos="9034"/>
          <w:tab w:val="left" w:pos="709"/>
          <w:tab w:val="right" w:leader="dot" w:pos="9498"/>
        </w:tabs>
        <w:ind w:left="709" w:right="-226" w:hanging="709"/>
        <w:rPr>
          <w:rFonts w:ascii="Arial" w:eastAsiaTheme="minorEastAsia" w:hAnsi="Arial" w:cs="Arial"/>
          <w:color w:val="auto"/>
          <w:sz w:val="20"/>
          <w:szCs w:val="20"/>
          <w:lang w:val="en-US"/>
        </w:rPr>
      </w:pPr>
      <w:hyperlink w:anchor="_Toc528243613" w:history="1">
        <w:r w:rsidR="005E3DE3" w:rsidRPr="005B4776">
          <w:rPr>
            <w:rStyle w:val="Hyperlink"/>
            <w:rFonts w:ascii="Arial" w:hAnsi="Arial" w:cs="Arial"/>
            <w:caps/>
            <w:w w:val="105"/>
            <w:kern w:val="28"/>
            <w:sz w:val="20"/>
            <w:szCs w:val="20"/>
            <w:lang w:val="en-GB" w:eastAsia="zh-CN"/>
          </w:rPr>
          <w:t>4.</w:t>
        </w:r>
        <w:r w:rsidR="005E3DE3" w:rsidRPr="005B4776">
          <w:rPr>
            <w:rFonts w:ascii="Arial" w:eastAsiaTheme="minorEastAsia" w:hAnsi="Arial" w:cs="Arial"/>
            <w:color w:val="auto"/>
            <w:sz w:val="20"/>
            <w:szCs w:val="20"/>
            <w:lang w:val="en-US"/>
          </w:rPr>
          <w:tab/>
        </w:r>
        <w:r w:rsidR="005E3DE3" w:rsidRPr="005B4776">
          <w:rPr>
            <w:rStyle w:val="Hyperlink"/>
            <w:rFonts w:ascii="Arial" w:eastAsia="MS Mincho" w:hAnsi="Arial" w:cs="Arial"/>
            <w:sz w:val="20"/>
            <w:szCs w:val="20"/>
            <w:lang w:val="en-GB" w:eastAsia="ar-SA"/>
          </w:rPr>
          <w:t>CONFERENCE OF THE PARTIES</w:t>
        </w:r>
        <w:r w:rsidR="005E3DE3" w:rsidRPr="005B4776">
          <w:rPr>
            <w:rStyle w:val="Hyperlink"/>
            <w:rFonts w:ascii="Arial" w:hAnsi="Arial" w:cs="Arial"/>
            <w:caps/>
            <w:w w:val="105"/>
            <w:kern w:val="28"/>
            <w:sz w:val="20"/>
            <w:szCs w:val="20"/>
            <w:lang w:val="en-GB" w:eastAsia="zh-CN"/>
          </w:rPr>
          <w:t xml:space="preserve"> rapporteurs</w:t>
        </w:r>
        <w:r w:rsidR="005E3DE3" w:rsidRPr="005B4776">
          <w:rPr>
            <w:rFonts w:ascii="Arial" w:hAnsi="Arial" w:cs="Arial"/>
            <w:webHidden/>
            <w:color w:val="auto"/>
            <w:sz w:val="20"/>
            <w:szCs w:val="20"/>
          </w:rPr>
          <w:tab/>
        </w:r>
        <w:r w:rsidR="005E3DE3" w:rsidRPr="005B4776">
          <w:rPr>
            <w:rFonts w:ascii="Arial" w:hAnsi="Arial" w:cs="Arial"/>
            <w:webHidden/>
            <w:color w:val="auto"/>
            <w:sz w:val="20"/>
            <w:szCs w:val="20"/>
          </w:rPr>
          <w:fldChar w:fldCharType="begin"/>
        </w:r>
        <w:r w:rsidR="005E3DE3" w:rsidRPr="005B4776">
          <w:rPr>
            <w:rFonts w:ascii="Arial" w:hAnsi="Arial" w:cs="Arial"/>
            <w:webHidden/>
            <w:color w:val="auto"/>
            <w:sz w:val="20"/>
            <w:szCs w:val="20"/>
          </w:rPr>
          <w:instrText xml:space="preserve"> PAGEREF _Toc528243613 \h </w:instrText>
        </w:r>
        <w:r w:rsidR="005E3DE3" w:rsidRPr="005B4776">
          <w:rPr>
            <w:rFonts w:ascii="Arial" w:hAnsi="Arial" w:cs="Arial"/>
            <w:webHidden/>
            <w:color w:val="auto"/>
            <w:sz w:val="20"/>
            <w:szCs w:val="20"/>
          </w:rPr>
        </w:r>
        <w:r w:rsidR="005E3DE3" w:rsidRPr="005B4776">
          <w:rPr>
            <w:rFonts w:ascii="Arial" w:hAnsi="Arial" w:cs="Arial"/>
            <w:webHidden/>
            <w:color w:val="auto"/>
            <w:sz w:val="20"/>
            <w:szCs w:val="20"/>
          </w:rPr>
          <w:fldChar w:fldCharType="separate"/>
        </w:r>
        <w:r w:rsidR="00D935A7">
          <w:rPr>
            <w:rFonts w:ascii="Arial" w:hAnsi="Arial" w:cs="Arial"/>
            <w:webHidden/>
            <w:color w:val="auto"/>
            <w:sz w:val="20"/>
            <w:szCs w:val="20"/>
          </w:rPr>
          <w:t>21</w:t>
        </w:r>
        <w:r w:rsidR="005E3DE3" w:rsidRPr="005B4776">
          <w:rPr>
            <w:rFonts w:ascii="Arial" w:hAnsi="Arial" w:cs="Arial"/>
            <w:webHidden/>
            <w:color w:val="auto"/>
            <w:sz w:val="20"/>
            <w:szCs w:val="20"/>
          </w:rPr>
          <w:fldChar w:fldCharType="end"/>
        </w:r>
      </w:hyperlink>
    </w:p>
    <w:p w:rsidR="005E3DE3" w:rsidRPr="005B4776" w:rsidRDefault="00681B3C" w:rsidP="0086755D">
      <w:pPr>
        <w:pStyle w:val="TOC2"/>
        <w:tabs>
          <w:tab w:val="clear" w:pos="9034"/>
          <w:tab w:val="left" w:pos="709"/>
          <w:tab w:val="right" w:leader="dot" w:pos="9498"/>
        </w:tabs>
        <w:ind w:left="709" w:right="-226" w:hanging="709"/>
        <w:rPr>
          <w:rFonts w:ascii="Arial" w:eastAsiaTheme="minorEastAsia" w:hAnsi="Arial" w:cs="Arial"/>
          <w:color w:val="auto"/>
          <w:sz w:val="20"/>
          <w:szCs w:val="20"/>
          <w:lang w:val="en-US"/>
        </w:rPr>
      </w:pPr>
      <w:hyperlink w:anchor="_Toc528243614" w:history="1">
        <w:r w:rsidR="005E3DE3" w:rsidRPr="005B4776">
          <w:rPr>
            <w:rStyle w:val="Hyperlink"/>
            <w:rFonts w:ascii="Arial" w:hAnsi="Arial" w:cs="Arial"/>
            <w:iCs/>
            <w:sz w:val="20"/>
            <w:szCs w:val="20"/>
            <w:lang w:val="en-GB"/>
          </w:rPr>
          <w:t>4.1</w:t>
        </w:r>
        <w:r w:rsidR="005E3DE3" w:rsidRPr="005B4776">
          <w:rPr>
            <w:rFonts w:ascii="Arial" w:eastAsiaTheme="minorEastAsia" w:hAnsi="Arial" w:cs="Arial"/>
            <w:color w:val="auto"/>
            <w:sz w:val="20"/>
            <w:szCs w:val="20"/>
            <w:lang w:val="en-US"/>
          </w:rPr>
          <w:tab/>
        </w:r>
        <w:r w:rsidR="005E3DE3" w:rsidRPr="005B4776">
          <w:rPr>
            <w:rStyle w:val="Hyperlink"/>
            <w:rFonts w:ascii="Arial" w:hAnsi="Arial" w:cs="Arial"/>
            <w:iCs/>
            <w:sz w:val="20"/>
            <w:szCs w:val="20"/>
            <w:lang w:val="en-GB"/>
          </w:rPr>
          <w:t>Role of rapporteurs</w:t>
        </w:r>
        <w:r w:rsidR="005E3DE3" w:rsidRPr="005B4776">
          <w:rPr>
            <w:rFonts w:ascii="Arial" w:hAnsi="Arial" w:cs="Arial"/>
            <w:webHidden/>
            <w:color w:val="auto"/>
            <w:sz w:val="20"/>
            <w:szCs w:val="20"/>
          </w:rPr>
          <w:tab/>
        </w:r>
        <w:r w:rsidR="005E3DE3" w:rsidRPr="005B4776">
          <w:rPr>
            <w:rFonts w:ascii="Arial" w:hAnsi="Arial" w:cs="Arial"/>
            <w:webHidden/>
            <w:color w:val="auto"/>
            <w:sz w:val="20"/>
            <w:szCs w:val="20"/>
          </w:rPr>
          <w:fldChar w:fldCharType="begin"/>
        </w:r>
        <w:r w:rsidR="005E3DE3" w:rsidRPr="005B4776">
          <w:rPr>
            <w:rFonts w:ascii="Arial" w:hAnsi="Arial" w:cs="Arial"/>
            <w:webHidden/>
            <w:color w:val="auto"/>
            <w:sz w:val="20"/>
            <w:szCs w:val="20"/>
          </w:rPr>
          <w:instrText xml:space="preserve"> PAGEREF _Toc528243614 \h </w:instrText>
        </w:r>
        <w:r w:rsidR="005E3DE3" w:rsidRPr="005B4776">
          <w:rPr>
            <w:rFonts w:ascii="Arial" w:hAnsi="Arial" w:cs="Arial"/>
            <w:webHidden/>
            <w:color w:val="auto"/>
            <w:sz w:val="20"/>
            <w:szCs w:val="20"/>
          </w:rPr>
        </w:r>
        <w:r w:rsidR="005E3DE3" w:rsidRPr="005B4776">
          <w:rPr>
            <w:rFonts w:ascii="Arial" w:hAnsi="Arial" w:cs="Arial"/>
            <w:webHidden/>
            <w:color w:val="auto"/>
            <w:sz w:val="20"/>
            <w:szCs w:val="20"/>
          </w:rPr>
          <w:fldChar w:fldCharType="separate"/>
        </w:r>
        <w:r w:rsidR="00D935A7">
          <w:rPr>
            <w:rFonts w:ascii="Arial" w:hAnsi="Arial" w:cs="Arial"/>
            <w:webHidden/>
            <w:color w:val="auto"/>
            <w:sz w:val="20"/>
            <w:szCs w:val="20"/>
          </w:rPr>
          <w:t>21</w:t>
        </w:r>
        <w:r w:rsidR="005E3DE3" w:rsidRPr="005B4776">
          <w:rPr>
            <w:rFonts w:ascii="Arial" w:hAnsi="Arial" w:cs="Arial"/>
            <w:webHidden/>
            <w:color w:val="auto"/>
            <w:sz w:val="20"/>
            <w:szCs w:val="20"/>
          </w:rPr>
          <w:fldChar w:fldCharType="end"/>
        </w:r>
      </w:hyperlink>
    </w:p>
    <w:p w:rsidR="005E3DE3" w:rsidRPr="005B4776" w:rsidRDefault="00681B3C" w:rsidP="0086755D">
      <w:pPr>
        <w:pStyle w:val="TOC2"/>
        <w:tabs>
          <w:tab w:val="clear" w:pos="9034"/>
          <w:tab w:val="left" w:pos="709"/>
          <w:tab w:val="right" w:leader="dot" w:pos="9498"/>
        </w:tabs>
        <w:ind w:left="709" w:right="-226" w:hanging="709"/>
        <w:rPr>
          <w:rFonts w:ascii="Arial" w:eastAsiaTheme="minorEastAsia" w:hAnsi="Arial" w:cs="Arial"/>
          <w:color w:val="auto"/>
          <w:sz w:val="20"/>
          <w:szCs w:val="20"/>
          <w:lang w:val="en-US"/>
        </w:rPr>
      </w:pPr>
      <w:hyperlink w:anchor="_Toc528243615" w:history="1">
        <w:r w:rsidR="005E3DE3" w:rsidRPr="005B4776">
          <w:rPr>
            <w:rStyle w:val="Hyperlink"/>
            <w:rFonts w:ascii="Arial" w:hAnsi="Arial" w:cs="Arial"/>
            <w:iCs/>
            <w:sz w:val="20"/>
            <w:szCs w:val="20"/>
            <w:lang w:val="en-GB"/>
          </w:rPr>
          <w:t>4.2</w:t>
        </w:r>
        <w:r w:rsidR="005E3DE3" w:rsidRPr="005B4776">
          <w:rPr>
            <w:rFonts w:ascii="Arial" w:eastAsiaTheme="minorEastAsia" w:hAnsi="Arial" w:cs="Arial"/>
            <w:color w:val="auto"/>
            <w:sz w:val="20"/>
            <w:szCs w:val="20"/>
            <w:lang w:val="en-US"/>
          </w:rPr>
          <w:tab/>
        </w:r>
        <w:r w:rsidR="005E3DE3" w:rsidRPr="005B4776">
          <w:rPr>
            <w:rStyle w:val="Hyperlink"/>
            <w:rFonts w:ascii="Arial" w:hAnsi="Arial" w:cs="Arial"/>
            <w:iCs/>
            <w:sz w:val="20"/>
            <w:szCs w:val="20"/>
            <w:lang w:val="en-GB"/>
          </w:rPr>
          <w:t>Other activities</w:t>
        </w:r>
        <w:r w:rsidR="005E3DE3" w:rsidRPr="005B4776">
          <w:rPr>
            <w:rFonts w:ascii="Arial" w:hAnsi="Arial" w:cs="Arial"/>
            <w:webHidden/>
            <w:color w:val="auto"/>
            <w:sz w:val="20"/>
            <w:szCs w:val="20"/>
          </w:rPr>
          <w:tab/>
        </w:r>
        <w:r w:rsidR="005E3DE3" w:rsidRPr="005B4776">
          <w:rPr>
            <w:rFonts w:ascii="Arial" w:hAnsi="Arial" w:cs="Arial"/>
            <w:webHidden/>
            <w:color w:val="auto"/>
            <w:sz w:val="20"/>
            <w:szCs w:val="20"/>
          </w:rPr>
          <w:fldChar w:fldCharType="begin"/>
        </w:r>
        <w:r w:rsidR="005E3DE3" w:rsidRPr="005B4776">
          <w:rPr>
            <w:rFonts w:ascii="Arial" w:hAnsi="Arial" w:cs="Arial"/>
            <w:webHidden/>
            <w:color w:val="auto"/>
            <w:sz w:val="20"/>
            <w:szCs w:val="20"/>
          </w:rPr>
          <w:instrText xml:space="preserve"> PAGEREF _Toc528243615 \h </w:instrText>
        </w:r>
        <w:r w:rsidR="005E3DE3" w:rsidRPr="005B4776">
          <w:rPr>
            <w:rFonts w:ascii="Arial" w:hAnsi="Arial" w:cs="Arial"/>
            <w:webHidden/>
            <w:color w:val="auto"/>
            <w:sz w:val="20"/>
            <w:szCs w:val="20"/>
          </w:rPr>
        </w:r>
        <w:r w:rsidR="005E3DE3" w:rsidRPr="005B4776">
          <w:rPr>
            <w:rFonts w:ascii="Arial" w:hAnsi="Arial" w:cs="Arial"/>
            <w:webHidden/>
            <w:color w:val="auto"/>
            <w:sz w:val="20"/>
            <w:szCs w:val="20"/>
          </w:rPr>
          <w:fldChar w:fldCharType="separate"/>
        </w:r>
        <w:r w:rsidR="00D935A7">
          <w:rPr>
            <w:rFonts w:ascii="Arial" w:hAnsi="Arial" w:cs="Arial"/>
            <w:webHidden/>
            <w:color w:val="auto"/>
            <w:sz w:val="20"/>
            <w:szCs w:val="20"/>
          </w:rPr>
          <w:t>22</w:t>
        </w:r>
        <w:r w:rsidR="005E3DE3" w:rsidRPr="005B4776">
          <w:rPr>
            <w:rFonts w:ascii="Arial" w:hAnsi="Arial" w:cs="Arial"/>
            <w:webHidden/>
            <w:color w:val="auto"/>
            <w:sz w:val="20"/>
            <w:szCs w:val="20"/>
          </w:rPr>
          <w:fldChar w:fldCharType="end"/>
        </w:r>
      </w:hyperlink>
    </w:p>
    <w:p w:rsidR="005B4776" w:rsidRDefault="005B4776" w:rsidP="0086755D">
      <w:pPr>
        <w:pStyle w:val="TOC2"/>
        <w:tabs>
          <w:tab w:val="clear" w:pos="9034"/>
          <w:tab w:val="left" w:pos="709"/>
          <w:tab w:val="right" w:leader="dot" w:pos="9498"/>
        </w:tabs>
        <w:ind w:left="709" w:right="-226" w:hanging="709"/>
        <w:rPr>
          <w:rFonts w:ascii="Arial" w:hAnsi="Arial" w:cs="Arial"/>
          <w:color w:val="auto"/>
          <w:sz w:val="20"/>
          <w:szCs w:val="20"/>
        </w:rPr>
      </w:pPr>
    </w:p>
    <w:p w:rsidR="005E3DE3" w:rsidRPr="005B4776" w:rsidRDefault="00681B3C" w:rsidP="0086755D">
      <w:pPr>
        <w:pStyle w:val="TOC2"/>
        <w:tabs>
          <w:tab w:val="clear" w:pos="9034"/>
          <w:tab w:val="left" w:pos="709"/>
          <w:tab w:val="right" w:leader="dot" w:pos="9498"/>
        </w:tabs>
        <w:ind w:right="-226"/>
        <w:rPr>
          <w:rFonts w:ascii="Arial" w:eastAsiaTheme="minorEastAsia" w:hAnsi="Arial" w:cs="Arial"/>
          <w:color w:val="auto"/>
          <w:sz w:val="20"/>
          <w:szCs w:val="20"/>
          <w:lang w:val="en-US"/>
        </w:rPr>
      </w:pPr>
      <w:hyperlink w:anchor="_Toc528243616" w:history="1">
        <w:r w:rsidR="005E3DE3" w:rsidRPr="005B4776">
          <w:rPr>
            <w:rStyle w:val="Hyperlink"/>
            <w:rFonts w:ascii="Arial" w:hAnsi="Arial" w:cs="Arial"/>
            <w:caps/>
            <w:w w:val="105"/>
            <w:kern w:val="28"/>
            <w:sz w:val="20"/>
            <w:szCs w:val="20"/>
            <w:lang w:val="en-GB" w:eastAsia="zh-CN"/>
          </w:rPr>
          <w:t>5.</w:t>
        </w:r>
        <w:r w:rsidR="005E3DE3" w:rsidRPr="005B4776">
          <w:rPr>
            <w:rFonts w:ascii="Arial" w:eastAsiaTheme="minorEastAsia" w:hAnsi="Arial" w:cs="Arial"/>
            <w:color w:val="auto"/>
            <w:sz w:val="20"/>
            <w:szCs w:val="20"/>
            <w:lang w:val="en-US"/>
          </w:rPr>
          <w:tab/>
        </w:r>
        <w:r w:rsidR="005E3DE3" w:rsidRPr="005B4776">
          <w:rPr>
            <w:rStyle w:val="Hyperlink"/>
            <w:rFonts w:ascii="Arial" w:hAnsi="Arial" w:cs="Arial"/>
            <w:caps/>
            <w:w w:val="105"/>
            <w:kern w:val="28"/>
            <w:sz w:val="20"/>
            <w:szCs w:val="20"/>
            <w:lang w:val="en-GB" w:eastAsia="zh-CN"/>
          </w:rPr>
          <w:t>Recent developments</w:t>
        </w:r>
        <w:r w:rsidR="005E3DE3" w:rsidRPr="005B4776">
          <w:rPr>
            <w:rFonts w:ascii="Arial" w:hAnsi="Arial" w:cs="Arial"/>
            <w:webHidden/>
            <w:color w:val="auto"/>
            <w:sz w:val="20"/>
            <w:szCs w:val="20"/>
          </w:rPr>
          <w:tab/>
        </w:r>
        <w:r w:rsidR="005E3DE3" w:rsidRPr="005B4776">
          <w:rPr>
            <w:rFonts w:ascii="Arial" w:hAnsi="Arial" w:cs="Arial"/>
            <w:webHidden/>
            <w:color w:val="auto"/>
            <w:sz w:val="20"/>
            <w:szCs w:val="20"/>
          </w:rPr>
          <w:fldChar w:fldCharType="begin"/>
        </w:r>
        <w:r w:rsidR="005E3DE3" w:rsidRPr="005B4776">
          <w:rPr>
            <w:rFonts w:ascii="Arial" w:hAnsi="Arial" w:cs="Arial"/>
            <w:webHidden/>
            <w:color w:val="auto"/>
            <w:sz w:val="20"/>
            <w:szCs w:val="20"/>
          </w:rPr>
          <w:instrText xml:space="preserve"> PAGEREF _Toc528243616 \h </w:instrText>
        </w:r>
        <w:r w:rsidR="005E3DE3" w:rsidRPr="005B4776">
          <w:rPr>
            <w:rFonts w:ascii="Arial" w:hAnsi="Arial" w:cs="Arial"/>
            <w:webHidden/>
            <w:color w:val="auto"/>
            <w:sz w:val="20"/>
            <w:szCs w:val="20"/>
          </w:rPr>
        </w:r>
        <w:r w:rsidR="005E3DE3" w:rsidRPr="005B4776">
          <w:rPr>
            <w:rFonts w:ascii="Arial" w:hAnsi="Arial" w:cs="Arial"/>
            <w:webHidden/>
            <w:color w:val="auto"/>
            <w:sz w:val="20"/>
            <w:szCs w:val="20"/>
          </w:rPr>
          <w:fldChar w:fldCharType="separate"/>
        </w:r>
        <w:r w:rsidR="00D935A7">
          <w:rPr>
            <w:rFonts w:ascii="Arial" w:hAnsi="Arial" w:cs="Arial"/>
            <w:webHidden/>
            <w:color w:val="auto"/>
            <w:sz w:val="20"/>
            <w:szCs w:val="20"/>
          </w:rPr>
          <w:t>24</w:t>
        </w:r>
        <w:r w:rsidR="005E3DE3" w:rsidRPr="005B4776">
          <w:rPr>
            <w:rFonts w:ascii="Arial" w:hAnsi="Arial" w:cs="Arial"/>
            <w:webHidden/>
            <w:color w:val="auto"/>
            <w:sz w:val="20"/>
            <w:szCs w:val="20"/>
          </w:rPr>
          <w:fldChar w:fldCharType="end"/>
        </w:r>
      </w:hyperlink>
    </w:p>
    <w:p w:rsidR="005E3DE3" w:rsidRPr="005B4776" w:rsidRDefault="00681B3C" w:rsidP="0086755D">
      <w:pPr>
        <w:pStyle w:val="TOC2"/>
        <w:tabs>
          <w:tab w:val="clear" w:pos="9034"/>
          <w:tab w:val="left" w:pos="709"/>
          <w:tab w:val="right" w:leader="dot" w:pos="9498"/>
        </w:tabs>
        <w:ind w:right="-226"/>
        <w:rPr>
          <w:rFonts w:ascii="Arial" w:eastAsiaTheme="minorEastAsia" w:hAnsi="Arial" w:cs="Arial"/>
          <w:color w:val="auto"/>
          <w:sz w:val="20"/>
          <w:szCs w:val="20"/>
          <w:lang w:val="en-US"/>
        </w:rPr>
      </w:pPr>
      <w:hyperlink w:anchor="_Toc528243617" w:history="1">
        <w:r w:rsidR="005E3DE3" w:rsidRPr="005B4776">
          <w:rPr>
            <w:rStyle w:val="Hyperlink"/>
            <w:rFonts w:ascii="Arial" w:hAnsi="Arial" w:cs="Arial"/>
            <w:iCs/>
            <w:sz w:val="20"/>
            <w:szCs w:val="20"/>
            <w:lang w:val="en-GB"/>
          </w:rPr>
          <w:t>5.1</w:t>
        </w:r>
        <w:r w:rsidR="005E3DE3" w:rsidRPr="005B4776">
          <w:rPr>
            <w:rFonts w:ascii="Arial" w:eastAsiaTheme="minorEastAsia" w:hAnsi="Arial" w:cs="Arial"/>
            <w:color w:val="auto"/>
            <w:sz w:val="20"/>
            <w:szCs w:val="20"/>
            <w:lang w:val="en-US"/>
          </w:rPr>
          <w:tab/>
        </w:r>
        <w:r w:rsidR="005E3DE3" w:rsidRPr="005B4776">
          <w:rPr>
            <w:rStyle w:val="Hyperlink"/>
            <w:rFonts w:ascii="Arial" w:hAnsi="Arial" w:cs="Arial"/>
            <w:iCs/>
            <w:sz w:val="20"/>
            <w:szCs w:val="20"/>
            <w:lang w:val="en-GB"/>
          </w:rPr>
          <w:t>Review of declarations and reservations</w:t>
        </w:r>
        <w:r w:rsidR="005E3DE3" w:rsidRPr="005B4776">
          <w:rPr>
            <w:rFonts w:ascii="Arial" w:hAnsi="Arial" w:cs="Arial"/>
            <w:webHidden/>
            <w:color w:val="auto"/>
            <w:sz w:val="20"/>
            <w:szCs w:val="20"/>
          </w:rPr>
          <w:tab/>
        </w:r>
        <w:r w:rsidR="005E3DE3" w:rsidRPr="005B4776">
          <w:rPr>
            <w:rFonts w:ascii="Arial" w:hAnsi="Arial" w:cs="Arial"/>
            <w:webHidden/>
            <w:color w:val="auto"/>
            <w:sz w:val="20"/>
            <w:szCs w:val="20"/>
          </w:rPr>
          <w:fldChar w:fldCharType="begin"/>
        </w:r>
        <w:r w:rsidR="005E3DE3" w:rsidRPr="005B4776">
          <w:rPr>
            <w:rFonts w:ascii="Arial" w:hAnsi="Arial" w:cs="Arial"/>
            <w:webHidden/>
            <w:color w:val="auto"/>
            <w:sz w:val="20"/>
            <w:szCs w:val="20"/>
          </w:rPr>
          <w:instrText xml:space="preserve"> PAGEREF _Toc528243617 \h </w:instrText>
        </w:r>
        <w:r w:rsidR="005E3DE3" w:rsidRPr="005B4776">
          <w:rPr>
            <w:rFonts w:ascii="Arial" w:hAnsi="Arial" w:cs="Arial"/>
            <w:webHidden/>
            <w:color w:val="auto"/>
            <w:sz w:val="20"/>
            <w:szCs w:val="20"/>
          </w:rPr>
        </w:r>
        <w:r w:rsidR="005E3DE3" w:rsidRPr="005B4776">
          <w:rPr>
            <w:rFonts w:ascii="Arial" w:hAnsi="Arial" w:cs="Arial"/>
            <w:webHidden/>
            <w:color w:val="auto"/>
            <w:sz w:val="20"/>
            <w:szCs w:val="20"/>
          </w:rPr>
          <w:fldChar w:fldCharType="separate"/>
        </w:r>
        <w:r w:rsidR="00D935A7">
          <w:rPr>
            <w:rFonts w:ascii="Arial" w:hAnsi="Arial" w:cs="Arial"/>
            <w:webHidden/>
            <w:color w:val="auto"/>
            <w:sz w:val="20"/>
            <w:szCs w:val="20"/>
          </w:rPr>
          <w:t>24</w:t>
        </w:r>
        <w:r w:rsidR="005E3DE3" w:rsidRPr="005B4776">
          <w:rPr>
            <w:rFonts w:ascii="Arial" w:hAnsi="Arial" w:cs="Arial"/>
            <w:webHidden/>
            <w:color w:val="auto"/>
            <w:sz w:val="20"/>
            <w:szCs w:val="20"/>
          </w:rPr>
          <w:fldChar w:fldCharType="end"/>
        </w:r>
      </w:hyperlink>
    </w:p>
    <w:p w:rsidR="005B4776" w:rsidRDefault="005B4776" w:rsidP="0086755D">
      <w:pPr>
        <w:pStyle w:val="TOC2"/>
        <w:tabs>
          <w:tab w:val="clear" w:pos="9034"/>
          <w:tab w:val="left" w:pos="709"/>
          <w:tab w:val="right" w:leader="dot" w:pos="9498"/>
        </w:tabs>
        <w:ind w:right="-226"/>
        <w:rPr>
          <w:rFonts w:ascii="Arial" w:hAnsi="Arial" w:cs="Arial"/>
          <w:color w:val="auto"/>
          <w:sz w:val="20"/>
          <w:szCs w:val="20"/>
        </w:rPr>
      </w:pPr>
    </w:p>
    <w:p w:rsidR="005E3DE3" w:rsidRPr="005B4776" w:rsidRDefault="00681B3C" w:rsidP="0086755D">
      <w:pPr>
        <w:pStyle w:val="TOC2"/>
        <w:tabs>
          <w:tab w:val="clear" w:pos="9034"/>
          <w:tab w:val="left" w:pos="709"/>
          <w:tab w:val="right" w:leader="dot" w:pos="9498"/>
        </w:tabs>
        <w:ind w:right="-226"/>
        <w:rPr>
          <w:rFonts w:ascii="Arial" w:eastAsiaTheme="minorEastAsia" w:hAnsi="Arial" w:cs="Arial"/>
          <w:color w:val="auto"/>
          <w:sz w:val="20"/>
          <w:szCs w:val="20"/>
          <w:lang w:val="en-US"/>
        </w:rPr>
      </w:pPr>
      <w:hyperlink w:anchor="_Toc528243618" w:history="1">
        <w:r w:rsidR="005E3DE3" w:rsidRPr="005B4776">
          <w:rPr>
            <w:rStyle w:val="Hyperlink"/>
            <w:rFonts w:ascii="Arial" w:hAnsi="Arial" w:cs="Arial"/>
            <w:caps/>
            <w:w w:val="105"/>
            <w:kern w:val="28"/>
            <w:sz w:val="20"/>
            <w:szCs w:val="20"/>
            <w:lang w:val="en-GB" w:eastAsia="zh-CN"/>
          </w:rPr>
          <w:t>6.</w:t>
        </w:r>
        <w:r w:rsidR="005E3DE3" w:rsidRPr="005B4776">
          <w:rPr>
            <w:rFonts w:ascii="Arial" w:eastAsiaTheme="minorEastAsia" w:hAnsi="Arial" w:cs="Arial"/>
            <w:color w:val="auto"/>
            <w:sz w:val="20"/>
            <w:szCs w:val="20"/>
            <w:lang w:val="en-US"/>
          </w:rPr>
          <w:tab/>
        </w:r>
        <w:r w:rsidR="005E3DE3" w:rsidRPr="005B4776">
          <w:rPr>
            <w:rStyle w:val="Hyperlink"/>
            <w:rFonts w:ascii="Arial" w:hAnsi="Arial" w:cs="Arial"/>
            <w:caps/>
            <w:w w:val="105"/>
            <w:kern w:val="28"/>
            <w:sz w:val="20"/>
            <w:szCs w:val="20"/>
            <w:lang w:val="en-GB" w:eastAsia="zh-CN"/>
          </w:rPr>
          <w:t>Way forward and conclusions</w:t>
        </w:r>
        <w:r w:rsidR="005E3DE3" w:rsidRPr="005B4776">
          <w:rPr>
            <w:rFonts w:ascii="Arial" w:hAnsi="Arial" w:cs="Arial"/>
            <w:webHidden/>
            <w:color w:val="auto"/>
            <w:sz w:val="20"/>
            <w:szCs w:val="20"/>
          </w:rPr>
          <w:tab/>
        </w:r>
        <w:r w:rsidR="005E3DE3" w:rsidRPr="005B4776">
          <w:rPr>
            <w:rFonts w:ascii="Arial" w:hAnsi="Arial" w:cs="Arial"/>
            <w:webHidden/>
            <w:color w:val="auto"/>
            <w:sz w:val="20"/>
            <w:szCs w:val="20"/>
          </w:rPr>
          <w:fldChar w:fldCharType="begin"/>
        </w:r>
        <w:r w:rsidR="005E3DE3" w:rsidRPr="005B4776">
          <w:rPr>
            <w:rFonts w:ascii="Arial" w:hAnsi="Arial" w:cs="Arial"/>
            <w:webHidden/>
            <w:color w:val="auto"/>
            <w:sz w:val="20"/>
            <w:szCs w:val="20"/>
          </w:rPr>
          <w:instrText xml:space="preserve"> PAGEREF _Toc528243618 \h </w:instrText>
        </w:r>
        <w:r w:rsidR="005E3DE3" w:rsidRPr="005B4776">
          <w:rPr>
            <w:rFonts w:ascii="Arial" w:hAnsi="Arial" w:cs="Arial"/>
            <w:webHidden/>
            <w:color w:val="auto"/>
            <w:sz w:val="20"/>
            <w:szCs w:val="20"/>
          </w:rPr>
        </w:r>
        <w:r w:rsidR="005E3DE3" w:rsidRPr="005B4776">
          <w:rPr>
            <w:rFonts w:ascii="Arial" w:hAnsi="Arial" w:cs="Arial"/>
            <w:webHidden/>
            <w:color w:val="auto"/>
            <w:sz w:val="20"/>
            <w:szCs w:val="20"/>
          </w:rPr>
          <w:fldChar w:fldCharType="separate"/>
        </w:r>
        <w:r w:rsidR="00D935A7">
          <w:rPr>
            <w:rFonts w:ascii="Arial" w:hAnsi="Arial" w:cs="Arial"/>
            <w:webHidden/>
            <w:color w:val="auto"/>
            <w:sz w:val="20"/>
            <w:szCs w:val="20"/>
          </w:rPr>
          <w:t>25</w:t>
        </w:r>
        <w:r w:rsidR="005E3DE3" w:rsidRPr="005B4776">
          <w:rPr>
            <w:rFonts w:ascii="Arial" w:hAnsi="Arial" w:cs="Arial"/>
            <w:webHidden/>
            <w:color w:val="auto"/>
            <w:sz w:val="20"/>
            <w:szCs w:val="20"/>
          </w:rPr>
          <w:fldChar w:fldCharType="end"/>
        </w:r>
      </w:hyperlink>
    </w:p>
    <w:p w:rsidR="005B4776" w:rsidRDefault="005B4776" w:rsidP="0086755D">
      <w:pPr>
        <w:pStyle w:val="TOC2"/>
        <w:tabs>
          <w:tab w:val="clear" w:pos="9034"/>
          <w:tab w:val="left" w:pos="709"/>
          <w:tab w:val="right" w:leader="dot" w:pos="9498"/>
        </w:tabs>
        <w:ind w:right="-226"/>
        <w:rPr>
          <w:rFonts w:ascii="Arial" w:hAnsi="Arial" w:cs="Arial"/>
          <w:color w:val="auto"/>
          <w:sz w:val="20"/>
          <w:szCs w:val="20"/>
        </w:rPr>
      </w:pPr>
    </w:p>
    <w:p w:rsidR="005E3DE3" w:rsidRPr="005B4776" w:rsidRDefault="00681B3C" w:rsidP="0086755D">
      <w:pPr>
        <w:pStyle w:val="TOC2"/>
        <w:tabs>
          <w:tab w:val="clear" w:pos="9034"/>
          <w:tab w:val="left" w:pos="709"/>
          <w:tab w:val="right" w:leader="dot" w:pos="9498"/>
        </w:tabs>
        <w:ind w:right="-226"/>
        <w:rPr>
          <w:rFonts w:ascii="Arial" w:eastAsiaTheme="minorEastAsia" w:hAnsi="Arial" w:cs="Arial"/>
          <w:color w:val="auto"/>
          <w:sz w:val="20"/>
          <w:szCs w:val="20"/>
          <w:lang w:val="en-US"/>
        </w:rPr>
      </w:pPr>
      <w:hyperlink w:anchor="_Toc528243619" w:history="1">
        <w:r w:rsidR="005E3DE3" w:rsidRPr="005B4776">
          <w:rPr>
            <w:rStyle w:val="Hyperlink"/>
            <w:rFonts w:ascii="Arial" w:hAnsi="Arial" w:cs="Arial"/>
            <w:sz w:val="20"/>
            <w:szCs w:val="20"/>
          </w:rPr>
          <w:t>V.</w:t>
        </w:r>
        <w:r w:rsidR="005E3DE3" w:rsidRPr="005B4776">
          <w:rPr>
            <w:rFonts w:ascii="Arial" w:eastAsiaTheme="minorEastAsia" w:hAnsi="Arial" w:cs="Arial"/>
            <w:color w:val="auto"/>
            <w:sz w:val="20"/>
            <w:szCs w:val="20"/>
            <w:lang w:val="en-US"/>
          </w:rPr>
          <w:tab/>
        </w:r>
        <w:r w:rsidR="005E3DE3" w:rsidRPr="005B4776">
          <w:rPr>
            <w:rStyle w:val="Hyperlink"/>
            <w:rFonts w:ascii="Arial" w:hAnsi="Arial" w:cs="Arial"/>
            <w:sz w:val="20"/>
            <w:szCs w:val="20"/>
          </w:rPr>
          <w:t>APPENDIX</w:t>
        </w:r>
        <w:r w:rsidR="005E3DE3" w:rsidRPr="005B4776">
          <w:rPr>
            <w:rFonts w:ascii="Arial" w:hAnsi="Arial" w:cs="Arial"/>
            <w:webHidden/>
            <w:color w:val="auto"/>
            <w:sz w:val="20"/>
            <w:szCs w:val="20"/>
          </w:rPr>
          <w:tab/>
        </w:r>
        <w:r w:rsidR="005E3DE3" w:rsidRPr="005B4776">
          <w:rPr>
            <w:rFonts w:ascii="Arial" w:hAnsi="Arial" w:cs="Arial"/>
            <w:webHidden/>
            <w:color w:val="auto"/>
            <w:sz w:val="20"/>
            <w:szCs w:val="20"/>
          </w:rPr>
          <w:fldChar w:fldCharType="begin"/>
        </w:r>
        <w:r w:rsidR="005E3DE3" w:rsidRPr="005B4776">
          <w:rPr>
            <w:rFonts w:ascii="Arial" w:hAnsi="Arial" w:cs="Arial"/>
            <w:webHidden/>
            <w:color w:val="auto"/>
            <w:sz w:val="20"/>
            <w:szCs w:val="20"/>
          </w:rPr>
          <w:instrText xml:space="preserve"> PAGEREF _Toc528243619 \h </w:instrText>
        </w:r>
        <w:r w:rsidR="005E3DE3" w:rsidRPr="005B4776">
          <w:rPr>
            <w:rFonts w:ascii="Arial" w:hAnsi="Arial" w:cs="Arial"/>
            <w:webHidden/>
            <w:color w:val="auto"/>
            <w:sz w:val="20"/>
            <w:szCs w:val="20"/>
          </w:rPr>
        </w:r>
        <w:r w:rsidR="005E3DE3" w:rsidRPr="005B4776">
          <w:rPr>
            <w:rFonts w:ascii="Arial" w:hAnsi="Arial" w:cs="Arial"/>
            <w:webHidden/>
            <w:color w:val="auto"/>
            <w:sz w:val="20"/>
            <w:szCs w:val="20"/>
          </w:rPr>
          <w:fldChar w:fldCharType="separate"/>
        </w:r>
        <w:r w:rsidR="00D935A7">
          <w:rPr>
            <w:rFonts w:ascii="Arial" w:hAnsi="Arial" w:cs="Arial"/>
            <w:webHidden/>
            <w:color w:val="auto"/>
            <w:sz w:val="20"/>
            <w:szCs w:val="20"/>
          </w:rPr>
          <w:t>26</w:t>
        </w:r>
        <w:r w:rsidR="005E3DE3" w:rsidRPr="005B4776">
          <w:rPr>
            <w:rFonts w:ascii="Arial" w:hAnsi="Arial" w:cs="Arial"/>
            <w:webHidden/>
            <w:color w:val="auto"/>
            <w:sz w:val="20"/>
            <w:szCs w:val="20"/>
          </w:rPr>
          <w:fldChar w:fldCharType="end"/>
        </w:r>
      </w:hyperlink>
    </w:p>
    <w:p w:rsidR="005E3DE3" w:rsidRPr="005B4776" w:rsidRDefault="005E3DE3" w:rsidP="005B4776">
      <w:pPr>
        <w:pStyle w:val="Heading1"/>
        <w:numPr>
          <w:ilvl w:val="0"/>
          <w:numId w:val="0"/>
        </w:numPr>
        <w:tabs>
          <w:tab w:val="left" w:pos="709"/>
          <w:tab w:val="right" w:leader="dot" w:pos="9356"/>
        </w:tabs>
        <w:spacing w:after="0"/>
        <w:jc w:val="left"/>
        <w:rPr>
          <w:rFonts w:eastAsia="Calibri"/>
          <w:sz w:val="20"/>
        </w:rPr>
      </w:pPr>
      <w:r w:rsidRPr="005B4776">
        <w:rPr>
          <w:b w:val="0"/>
          <w:bCs w:val="0"/>
          <w:noProof/>
          <w:color w:val="auto"/>
          <w:sz w:val="20"/>
        </w:rPr>
        <w:fldChar w:fldCharType="end"/>
      </w:r>
    </w:p>
    <w:p w:rsidR="005E3DE3" w:rsidRPr="005B4776" w:rsidRDefault="005E3DE3" w:rsidP="005B4776">
      <w:pPr>
        <w:rPr>
          <w:rFonts w:cs="Arial"/>
          <w:b/>
          <w:bCs/>
          <w:caps/>
          <w:color w:val="17365D"/>
          <w:w w:val="105"/>
          <w:kern w:val="28"/>
          <w:szCs w:val="20"/>
          <w:lang w:eastAsia="zh-CN"/>
        </w:rPr>
      </w:pPr>
      <w:bookmarkStart w:id="1" w:name="_Toc519261938"/>
      <w:bookmarkStart w:id="2" w:name="_Toc519262102"/>
      <w:r w:rsidRPr="005B4776">
        <w:rPr>
          <w:rFonts w:cs="Arial"/>
          <w:szCs w:val="20"/>
        </w:rPr>
        <w:br w:type="page"/>
      </w:r>
    </w:p>
    <w:p w:rsidR="005E3DE3" w:rsidRPr="00DC4D8A" w:rsidRDefault="005E3DE3" w:rsidP="0086755D">
      <w:pPr>
        <w:pStyle w:val="LDFakeHeading2"/>
        <w:spacing w:after="0"/>
        <w:ind w:left="0" w:firstLine="0"/>
        <w:jc w:val="left"/>
        <w:rPr>
          <w:rFonts w:ascii="Arial Bold" w:hAnsi="Arial Bold"/>
          <w:color w:val="auto"/>
          <w:w w:val="100"/>
          <w:sz w:val="20"/>
        </w:rPr>
      </w:pPr>
      <w:bookmarkStart w:id="3" w:name="_Toc528243598"/>
      <w:r w:rsidRPr="00DC4D8A">
        <w:rPr>
          <w:rFonts w:ascii="Arial Bold" w:hAnsi="Arial Bold"/>
          <w:color w:val="auto"/>
          <w:w w:val="100"/>
          <w:sz w:val="20"/>
        </w:rPr>
        <w:lastRenderedPageBreak/>
        <w:t>List of abbreviations</w:t>
      </w:r>
      <w:bookmarkEnd w:id="1"/>
      <w:bookmarkEnd w:id="2"/>
      <w:bookmarkEnd w:id="3"/>
    </w:p>
    <w:p w:rsidR="005E3DE3" w:rsidRPr="005B4776" w:rsidRDefault="005E3DE3" w:rsidP="0086755D">
      <w:pPr>
        <w:pStyle w:val="CMSpace"/>
        <w:rPr>
          <w:rFonts w:cs="Arial"/>
          <w:b/>
          <w:bCs/>
          <w:caps/>
          <w:w w:val="105"/>
          <w:kern w:val="28"/>
          <w:szCs w:val="20"/>
          <w:lang w:eastAsia="zh-CN"/>
        </w:rPr>
      </w:pPr>
    </w:p>
    <w:tbl>
      <w:tblPr>
        <w:tblStyle w:val="TableGrid20"/>
        <w:tblW w:w="9883" w:type="dxa"/>
        <w:tblLayout w:type="fixed"/>
        <w:tblLook w:val="01E0" w:firstRow="1" w:lastRow="1" w:firstColumn="1" w:lastColumn="1" w:noHBand="0" w:noVBand="0"/>
      </w:tblPr>
      <w:tblGrid>
        <w:gridCol w:w="2914"/>
        <w:gridCol w:w="6969"/>
      </w:tblGrid>
      <w:tr w:rsidR="005E3DE3" w:rsidRPr="0086755D" w:rsidTr="008271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AML</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Anti-money laundering</w:t>
            </w:r>
          </w:p>
        </w:tc>
      </w:tr>
      <w:tr w:rsidR="005E3DE3" w:rsidRPr="0086755D" w:rsidTr="008271EF">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CARIN</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Camden Asset Recovery Inter-Agency Network (EU)</w:t>
            </w:r>
          </w:p>
        </w:tc>
      </w:tr>
      <w:tr w:rsidR="005E3DE3" w:rsidRPr="0086755D" w:rsidTr="008271EF">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CDPC</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European Committee on Crime Problems</w:t>
            </w:r>
          </w:p>
        </w:tc>
      </w:tr>
      <w:tr w:rsidR="005E3DE3" w:rsidRPr="0086755D" w:rsidTr="008271EF">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CETS 141</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1990 Council of Europe Convention on Laundering, Search Seizure and Confiscation of the Proceeds from Crime – the Strasbourg Convention</w:t>
            </w:r>
          </w:p>
        </w:tc>
      </w:tr>
      <w:tr w:rsidR="005E3DE3" w:rsidRPr="0086755D" w:rsidTr="008271EF">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CETS 198</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2005 Council of Europe Convention on Laundering, Search, Seizure and Confiscation of the Proceeds from Crime and on the Financing of Terrorism – the Warsaw Convention</w:t>
            </w:r>
          </w:p>
        </w:tc>
      </w:tr>
      <w:tr w:rsidR="005E3DE3" w:rsidRPr="0086755D" w:rsidTr="008271EF">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CFT</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Countering the financing of terrorism</w:t>
            </w:r>
          </w:p>
        </w:tc>
      </w:tr>
      <w:tr w:rsidR="005E3DE3" w:rsidRPr="0086755D" w:rsidTr="008271EF">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COP</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Conference of the Parties to the 2005 Council of Europe Convention on Laundering, Search, Seizure and Confiscation of the Proceeds from Crime and on the Financing of Terrorism – the Warsaw Convention (CETS 198)</w:t>
            </w:r>
          </w:p>
        </w:tc>
      </w:tr>
      <w:tr w:rsidR="005E3DE3" w:rsidRPr="0086755D" w:rsidTr="008271EF">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EAG</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Eurasian Group on Combating ML/TF</w:t>
            </w:r>
          </w:p>
        </w:tc>
      </w:tr>
      <w:tr w:rsidR="005E3DE3" w:rsidRPr="0086755D" w:rsidTr="008271EF">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EU</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European Union</w:t>
            </w:r>
          </w:p>
        </w:tc>
      </w:tr>
      <w:tr w:rsidR="005E3DE3" w:rsidRPr="0086755D" w:rsidTr="008271EF">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FATF</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Financial Action Task Force</w:t>
            </w:r>
          </w:p>
        </w:tc>
      </w:tr>
      <w:tr w:rsidR="005E3DE3" w:rsidRPr="0086755D" w:rsidTr="008271EF">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FIU</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Financial intelligence unit</w:t>
            </w:r>
          </w:p>
        </w:tc>
      </w:tr>
      <w:tr w:rsidR="005E3DE3" w:rsidRPr="0086755D" w:rsidTr="008271EF">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FT</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Financing of terrorism</w:t>
            </w:r>
          </w:p>
        </w:tc>
      </w:tr>
      <w:tr w:rsidR="005E3DE3" w:rsidRPr="0086755D" w:rsidTr="008271EF">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GER</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Gender Equality Rapporteur</w:t>
            </w:r>
          </w:p>
        </w:tc>
      </w:tr>
      <w:tr w:rsidR="005E3DE3" w:rsidRPr="0086755D" w:rsidTr="008271EF">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GRECO</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Group of States against Corruption</w:t>
            </w:r>
          </w:p>
        </w:tc>
      </w:tr>
      <w:tr w:rsidR="005E3DE3" w:rsidRPr="0086755D" w:rsidTr="008271EF">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IMF</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International Monetary Fund</w:t>
            </w:r>
          </w:p>
        </w:tc>
      </w:tr>
      <w:tr w:rsidR="005E3DE3" w:rsidRPr="0086755D" w:rsidTr="008271EF">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LEAs</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Law enforcement authorities</w:t>
            </w:r>
          </w:p>
        </w:tc>
      </w:tr>
      <w:tr w:rsidR="005E3DE3" w:rsidRPr="0086755D" w:rsidTr="008271EF">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MER</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Mutual evaluation report</w:t>
            </w:r>
          </w:p>
        </w:tc>
      </w:tr>
      <w:tr w:rsidR="005E3DE3" w:rsidRPr="0086755D" w:rsidTr="008271EF">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ML</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Money laundering</w:t>
            </w:r>
          </w:p>
        </w:tc>
      </w:tr>
      <w:tr w:rsidR="005E3DE3" w:rsidRPr="0086755D" w:rsidTr="008271EF">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MLA</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Mutual legal assistance</w:t>
            </w:r>
          </w:p>
        </w:tc>
      </w:tr>
      <w:tr w:rsidR="005E3DE3" w:rsidRPr="0086755D" w:rsidTr="008271EF">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MONEYVAL</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Committee of Experts on the Evaluation of Anti-Money Laundering measures and the Financing of Terrorism</w:t>
            </w:r>
          </w:p>
        </w:tc>
      </w:tr>
      <w:tr w:rsidR="005E3DE3" w:rsidRPr="0086755D" w:rsidTr="008271EF">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NRA</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National risk assessment</w:t>
            </w:r>
          </w:p>
        </w:tc>
      </w:tr>
      <w:tr w:rsidR="005E3DE3" w:rsidRPr="0086755D" w:rsidTr="008271EF">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OSCE</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Organisation for Security and Co-operation in Europe</w:t>
            </w:r>
          </w:p>
        </w:tc>
      </w:tr>
      <w:tr w:rsidR="005E3DE3" w:rsidRPr="0086755D" w:rsidTr="008271EF">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PACE</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Parliamentary Assembly of the Council of Europe</w:t>
            </w:r>
          </w:p>
        </w:tc>
      </w:tr>
      <w:tr w:rsidR="005E3DE3" w:rsidRPr="0086755D" w:rsidTr="008271EF">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PC-RM</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Committee of Experts on the revision of the Convention on Laundering, Search, Seizure and Confiscation of the Proceeds from Crime</w:t>
            </w:r>
          </w:p>
        </w:tc>
      </w:tr>
      <w:tr w:rsidR="005E3DE3" w:rsidRPr="0086755D" w:rsidTr="008271EF">
        <w:trPr>
          <w:trHeight w:val="240"/>
        </w:trPr>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proofErr w:type="spellStart"/>
            <w:r w:rsidRPr="0086755D">
              <w:rPr>
                <w:rFonts w:cs="Arial"/>
                <w:b w:val="0"/>
                <w:szCs w:val="20"/>
              </w:rPr>
              <w:t>RoP</w:t>
            </w:r>
            <w:proofErr w:type="spellEnd"/>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Rules of Procedure</w:t>
            </w:r>
          </w:p>
        </w:tc>
      </w:tr>
      <w:tr w:rsidR="005E3DE3" w:rsidRPr="0086755D" w:rsidTr="008271EF">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TF</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Terrorist financing</w:t>
            </w:r>
          </w:p>
        </w:tc>
      </w:tr>
      <w:tr w:rsidR="005E3DE3" w:rsidRPr="0086755D" w:rsidTr="008271EF">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UN</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United Nations</w:t>
            </w:r>
          </w:p>
        </w:tc>
      </w:tr>
      <w:tr w:rsidR="005E3DE3" w:rsidRPr="0086755D" w:rsidTr="008271E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14" w:type="dxa"/>
          </w:tcPr>
          <w:p w:rsidR="005E3DE3" w:rsidRPr="0086755D" w:rsidRDefault="005E3DE3" w:rsidP="0086755D">
            <w:pPr>
              <w:spacing w:before="60" w:after="60"/>
              <w:rPr>
                <w:rFonts w:cs="Arial"/>
                <w:b w:val="0"/>
                <w:szCs w:val="20"/>
              </w:rPr>
            </w:pPr>
            <w:r w:rsidRPr="0086755D">
              <w:rPr>
                <w:rFonts w:cs="Arial"/>
                <w:b w:val="0"/>
                <w:szCs w:val="20"/>
              </w:rPr>
              <w:t>UNODC</w:t>
            </w:r>
          </w:p>
        </w:tc>
        <w:tc>
          <w:tcPr>
            <w:cnfStyle w:val="000100000000" w:firstRow="0" w:lastRow="0" w:firstColumn="0" w:lastColumn="1" w:oddVBand="0" w:evenVBand="0" w:oddHBand="0" w:evenHBand="0" w:firstRowFirstColumn="0" w:firstRowLastColumn="0" w:lastRowFirstColumn="0" w:lastRowLastColumn="0"/>
            <w:tcW w:w="6969" w:type="dxa"/>
          </w:tcPr>
          <w:p w:rsidR="005E3DE3" w:rsidRPr="0086755D" w:rsidRDefault="005E3DE3" w:rsidP="0086755D">
            <w:pPr>
              <w:spacing w:before="60" w:after="60"/>
              <w:rPr>
                <w:rFonts w:cs="Arial"/>
                <w:b w:val="0"/>
                <w:szCs w:val="20"/>
              </w:rPr>
            </w:pPr>
            <w:r w:rsidRPr="0086755D">
              <w:rPr>
                <w:rFonts w:cs="Arial"/>
                <w:b w:val="0"/>
                <w:szCs w:val="20"/>
              </w:rPr>
              <w:t>United Nations Office on Drugs and Crime</w:t>
            </w:r>
          </w:p>
        </w:tc>
      </w:tr>
    </w:tbl>
    <w:p w:rsidR="005E3DE3" w:rsidRPr="005B4776" w:rsidRDefault="005E3DE3" w:rsidP="005B4776">
      <w:pPr>
        <w:rPr>
          <w:rFonts w:cs="Arial"/>
          <w:b/>
          <w:szCs w:val="20"/>
          <w:lang w:val="en-US"/>
        </w:rPr>
      </w:pPr>
    </w:p>
    <w:p w:rsidR="005E3DE3" w:rsidRPr="005B4776" w:rsidRDefault="005E3DE3" w:rsidP="005B4776">
      <w:pPr>
        <w:rPr>
          <w:rFonts w:cs="Arial"/>
          <w:b/>
          <w:szCs w:val="20"/>
          <w:lang w:val="en-US"/>
        </w:rPr>
      </w:pPr>
      <w:r w:rsidRPr="005B4776">
        <w:rPr>
          <w:rFonts w:cs="Arial"/>
          <w:b/>
          <w:szCs w:val="20"/>
          <w:lang w:val="en-US"/>
        </w:rPr>
        <w:br w:type="page"/>
      </w:r>
    </w:p>
    <w:p w:rsidR="005E3DE3" w:rsidRPr="00DC4D8A" w:rsidRDefault="005E3DE3" w:rsidP="005B4776">
      <w:pPr>
        <w:pStyle w:val="Heading1"/>
        <w:spacing w:after="0"/>
        <w:ind w:left="0" w:firstLine="0"/>
        <w:jc w:val="left"/>
        <w:rPr>
          <w:rFonts w:ascii="Arial Bold" w:hAnsi="Arial Bold"/>
          <w:color w:val="auto"/>
          <w:w w:val="100"/>
          <w:sz w:val="20"/>
        </w:rPr>
      </w:pPr>
      <w:bookmarkStart w:id="4" w:name="_Toc519261939"/>
      <w:bookmarkStart w:id="5" w:name="_Toc519262103"/>
      <w:bookmarkStart w:id="6" w:name="_Toc528243599"/>
      <w:r w:rsidRPr="00DC4D8A">
        <w:rPr>
          <w:rFonts w:ascii="Arial Bold" w:hAnsi="Arial Bold"/>
          <w:color w:val="auto"/>
          <w:w w:val="100"/>
          <w:sz w:val="20"/>
        </w:rPr>
        <w:lastRenderedPageBreak/>
        <w:t>Introduction from the President</w:t>
      </w:r>
      <w:bookmarkEnd w:id="4"/>
      <w:bookmarkEnd w:id="5"/>
      <w:bookmarkEnd w:id="6"/>
    </w:p>
    <w:p w:rsidR="005E3DE3" w:rsidRPr="005B4776" w:rsidRDefault="005E3DE3" w:rsidP="005B4776">
      <w:pPr>
        <w:rPr>
          <w:rFonts w:cs="Arial"/>
          <w:b/>
          <w:szCs w:val="20"/>
        </w:rPr>
      </w:pPr>
    </w:p>
    <w:p w:rsidR="005E3DE3" w:rsidRPr="005B4776" w:rsidRDefault="005E3DE3" w:rsidP="005B4776">
      <w:pPr>
        <w:rPr>
          <w:rFonts w:cs="Arial"/>
          <w:szCs w:val="20"/>
        </w:rPr>
      </w:pPr>
      <w:r w:rsidRPr="005B4776">
        <w:rPr>
          <w:rFonts w:cs="Arial"/>
          <w:b/>
          <w:noProof/>
          <w:szCs w:val="20"/>
          <w:lang w:val="en-US"/>
        </w:rPr>
        <w:drawing>
          <wp:anchor distT="0" distB="0" distL="114300" distR="114300" simplePos="0" relativeHeight="251659264" behindDoc="0" locked="0" layoutInCell="1" allowOverlap="1" wp14:anchorId="22D8BA79" wp14:editId="6F766675">
            <wp:simplePos x="0" y="0"/>
            <wp:positionH relativeFrom="column">
              <wp:posOffset>22860</wp:posOffset>
            </wp:positionH>
            <wp:positionV relativeFrom="paragraph">
              <wp:posOffset>20955</wp:posOffset>
            </wp:positionV>
            <wp:extent cx="1628775" cy="1724025"/>
            <wp:effectExtent l="19050" t="19050" r="28575" b="285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BEBA8EAE-BF5A-486C-A8C5-ECC9F3942E4B}">
                          <a14:imgProps xmlns:a14="http://schemas.microsoft.com/office/drawing/2010/main">
                            <a14:imgLayer r:embed="rId10">
                              <a14:imgEffect>
                                <a14:sharpenSoften amount="40000"/>
                              </a14:imgEffect>
                              <a14:imgEffect>
                                <a14:saturation sat="110000"/>
                              </a14:imgEffect>
                              <a14:imgEffect>
                                <a14:brightnessContrast bright="10000" contrast="10000"/>
                              </a14:imgEffect>
                            </a14:imgLayer>
                          </a14:imgProps>
                        </a:ext>
                        <a:ext uri="{28A0092B-C50C-407E-A947-70E740481C1C}">
                          <a14:useLocalDpi xmlns:a14="http://schemas.microsoft.com/office/drawing/2010/main" val="0"/>
                        </a:ext>
                      </a:extLst>
                    </a:blip>
                    <a:srcRect l="4770" r="32185"/>
                    <a:stretch/>
                  </pic:blipFill>
                  <pic:spPr bwMode="auto">
                    <a:xfrm>
                      <a:off x="0" y="0"/>
                      <a:ext cx="1628775" cy="1724025"/>
                    </a:xfrm>
                    <a:prstGeom prst="rect">
                      <a:avLst/>
                    </a:prstGeom>
                    <a:solidFill>
                      <a:srgbClr val="FFFFFF">
                        <a:shade val="85000"/>
                      </a:srgbClr>
                    </a:solidFill>
                    <a:ln w="3175" cap="sq">
                      <a:solidFill>
                        <a:schemeClr val="tx1"/>
                      </a:solidFill>
                      <a:miter lim="800000"/>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B4776">
        <w:rPr>
          <w:rFonts w:cs="Arial"/>
          <w:szCs w:val="20"/>
        </w:rPr>
        <w:t>I am pleased to introduce the second activity report of the Conference of the Party (COP) to the Convention on Laundering, Search, Seizure and Confiscation of the Proceeds from Crime and on the Financing of Terrorism (the “Warsaw Convention”, CETS No. 198). Covering the period 2015-2017, this report gives an overview of our work as the Council of Europe monitoring mechanism which was set up specifically to monitor the implementation of the Warsaw Convention.</w:t>
      </w:r>
    </w:p>
    <w:p w:rsidR="005E3DE3" w:rsidRPr="005B4776" w:rsidRDefault="005E3DE3" w:rsidP="005B4776">
      <w:pPr>
        <w:rPr>
          <w:rFonts w:cs="Arial"/>
          <w:b/>
          <w:szCs w:val="20"/>
        </w:rPr>
      </w:pPr>
    </w:p>
    <w:p w:rsidR="005E3DE3" w:rsidRPr="005B4776" w:rsidRDefault="005E3DE3" w:rsidP="005B4776">
      <w:pPr>
        <w:tabs>
          <w:tab w:val="left" w:pos="1500"/>
        </w:tabs>
        <w:rPr>
          <w:rFonts w:cs="Arial"/>
          <w:szCs w:val="20"/>
        </w:rPr>
      </w:pPr>
      <w:r w:rsidRPr="005B4776">
        <w:rPr>
          <w:rFonts w:cs="Arial"/>
          <w:szCs w:val="20"/>
        </w:rPr>
        <w:t>During the reporting period, we have witnessed both large money-laundering scandals as well as horrible terrorist attacks in Europe and beyond. New developments in technology provide criminals and terrorists with new possibilities to hide their illicit funds and their transfers. Shell companies are used for the purposes of grand corruption, organised crime and evasion of targeted financial sanctions against terrorists. The need for effective and modern international co</w:t>
      </w:r>
      <w:r w:rsidR="0086755D">
        <w:rPr>
          <w:rFonts w:cs="Arial"/>
          <w:szCs w:val="20"/>
        </w:rPr>
        <w:t>-</w:t>
      </w:r>
      <w:r w:rsidRPr="005B4776">
        <w:rPr>
          <w:rFonts w:cs="Arial"/>
          <w:szCs w:val="20"/>
        </w:rPr>
        <w:t xml:space="preserve">operation between States becomes ever more important as criminal networks and terrorists use a global world to shift assets around jurisdictions within seconds. This has sadly underlined the high importance of both aspects covered by the Warsaw Convention, which is to combat money laundering and terrorist financing (AML/CFT). </w:t>
      </w:r>
    </w:p>
    <w:p w:rsidR="005E3DE3" w:rsidRPr="005B4776" w:rsidRDefault="005E3DE3" w:rsidP="005B4776">
      <w:pPr>
        <w:tabs>
          <w:tab w:val="left" w:pos="1500"/>
        </w:tabs>
        <w:rPr>
          <w:rFonts w:cs="Arial"/>
          <w:szCs w:val="20"/>
        </w:rPr>
      </w:pPr>
    </w:p>
    <w:p w:rsidR="005E3DE3" w:rsidRPr="005B4776" w:rsidRDefault="005E3DE3" w:rsidP="005B4776">
      <w:pPr>
        <w:tabs>
          <w:tab w:val="left" w:pos="1500"/>
        </w:tabs>
        <w:rPr>
          <w:rFonts w:cs="Arial"/>
          <w:szCs w:val="20"/>
        </w:rPr>
      </w:pPr>
      <w:r w:rsidRPr="005B4776">
        <w:rPr>
          <w:rFonts w:cs="Arial"/>
          <w:szCs w:val="20"/>
        </w:rPr>
        <w:t>This Convention is the only international treaty worldwide specifically devoted to combat both phenomena. A number of measures provided in the Convention go beyond the globally applied standards by the Financial Action Task Force (FATF) and their evaluation in Europe by both the FATF and MONEYVAL, our sister monitoring AML/CFT body within the Council of Europe. This is an asset which this Convention brings to the global anti-money laundering and counter-terrorist financing community, and which makes the Council of Europe a strategic partner in the combat against both international terrorism and organised crime.</w:t>
      </w:r>
    </w:p>
    <w:p w:rsidR="005E3DE3" w:rsidRPr="005B4776" w:rsidRDefault="005E3DE3" w:rsidP="005B4776">
      <w:pPr>
        <w:tabs>
          <w:tab w:val="left" w:pos="1500"/>
        </w:tabs>
        <w:rPr>
          <w:rFonts w:cs="Arial"/>
          <w:szCs w:val="20"/>
        </w:rPr>
      </w:pPr>
    </w:p>
    <w:p w:rsidR="005E3DE3" w:rsidRPr="005B4776" w:rsidRDefault="005E3DE3" w:rsidP="005B4776">
      <w:pPr>
        <w:tabs>
          <w:tab w:val="left" w:pos="1500"/>
        </w:tabs>
        <w:rPr>
          <w:rFonts w:cs="Arial"/>
          <w:szCs w:val="20"/>
        </w:rPr>
      </w:pPr>
      <w:r w:rsidRPr="005B4776">
        <w:rPr>
          <w:rFonts w:cs="Arial"/>
          <w:szCs w:val="20"/>
        </w:rPr>
        <w:t>The Warsaw Convention provides States with enhanced possibilities to prosecute money laundering and terrorist financing more effectively, and it equips States Parties with further confiscation tools to deprive offenders of criminal proceeds. It provides for important investigative powers, including measures to access banking information. The Convention also brings important assets to the area of international co</w:t>
      </w:r>
      <w:r w:rsidR="0086755D">
        <w:rPr>
          <w:rFonts w:cs="Arial"/>
          <w:szCs w:val="20"/>
        </w:rPr>
        <w:t>-</w:t>
      </w:r>
      <w:r w:rsidRPr="005B4776">
        <w:rPr>
          <w:rFonts w:cs="Arial"/>
          <w:szCs w:val="20"/>
        </w:rPr>
        <w:t>operation, including the unique co</w:t>
      </w:r>
      <w:r w:rsidR="0086755D">
        <w:rPr>
          <w:rFonts w:cs="Arial"/>
          <w:szCs w:val="20"/>
        </w:rPr>
        <w:t>-</w:t>
      </w:r>
      <w:r w:rsidRPr="005B4776">
        <w:rPr>
          <w:rFonts w:cs="Arial"/>
          <w:szCs w:val="20"/>
        </w:rPr>
        <w:t>operation between financial intelligence units.</w:t>
      </w:r>
    </w:p>
    <w:p w:rsidR="005E3DE3" w:rsidRPr="005B4776" w:rsidRDefault="005E3DE3" w:rsidP="005B4776">
      <w:pPr>
        <w:tabs>
          <w:tab w:val="left" w:pos="1500"/>
        </w:tabs>
        <w:rPr>
          <w:rFonts w:cs="Arial"/>
          <w:szCs w:val="20"/>
        </w:rPr>
      </w:pPr>
    </w:p>
    <w:p w:rsidR="005E3DE3" w:rsidRPr="005B4776" w:rsidRDefault="005E3DE3" w:rsidP="005B4776">
      <w:pPr>
        <w:tabs>
          <w:tab w:val="left" w:pos="1500"/>
        </w:tabs>
        <w:rPr>
          <w:rFonts w:cs="Arial"/>
          <w:szCs w:val="20"/>
        </w:rPr>
      </w:pPr>
      <w:r w:rsidRPr="005B4776">
        <w:rPr>
          <w:rFonts w:cs="Arial"/>
          <w:szCs w:val="20"/>
        </w:rPr>
        <w:t>During the reporting period, the COP has continued its monitoring of the implementation of the Convention by States Parties, both through the adoption of assessment reports and their follow-up reports. At its last plenary, the COP decided to test a new monitoring mechanism which seeks to evaluate all States Parties on their implementation of strategically important provisions of the Warsaw Convention. However, monitoring is not the sole task of the COP. We have compiled a survey of practical examples of how domestic courts and authorities are using the Convention in their everyday work. To facilitate the application of the Convention at domestic level, the COP has adopted a number of interpretative notes of selected provisions of the Convention with a strategic importance in the fight against money laundering and terrorist financing. To further foster international co</w:t>
      </w:r>
      <w:r w:rsidR="0086755D">
        <w:rPr>
          <w:rFonts w:cs="Arial"/>
          <w:szCs w:val="20"/>
        </w:rPr>
        <w:t>-</w:t>
      </w:r>
      <w:r w:rsidRPr="005B4776">
        <w:rPr>
          <w:rFonts w:cs="Arial"/>
          <w:szCs w:val="20"/>
        </w:rPr>
        <w:t>operation in line with the Convention, the COP has developed a template on mutual legal assistance and co</w:t>
      </w:r>
      <w:r w:rsidR="0086755D">
        <w:rPr>
          <w:rFonts w:cs="Arial"/>
          <w:szCs w:val="20"/>
        </w:rPr>
        <w:t>-</w:t>
      </w:r>
      <w:r w:rsidRPr="005B4776">
        <w:rPr>
          <w:rFonts w:cs="Arial"/>
          <w:szCs w:val="20"/>
        </w:rPr>
        <w:t xml:space="preserve">operation amongst financial intelligence units. </w:t>
      </w:r>
    </w:p>
    <w:p w:rsidR="005E3DE3" w:rsidRPr="005B4776" w:rsidRDefault="005E3DE3" w:rsidP="005B4776">
      <w:pPr>
        <w:tabs>
          <w:tab w:val="left" w:pos="1500"/>
        </w:tabs>
        <w:rPr>
          <w:rFonts w:cs="Arial"/>
          <w:szCs w:val="20"/>
        </w:rPr>
      </w:pPr>
    </w:p>
    <w:p w:rsidR="005E3DE3" w:rsidRPr="005B4776" w:rsidRDefault="005E3DE3" w:rsidP="005B4776">
      <w:pPr>
        <w:rPr>
          <w:rFonts w:eastAsiaTheme="minorHAnsi" w:cs="Arial"/>
          <w:szCs w:val="20"/>
        </w:rPr>
      </w:pPr>
      <w:r w:rsidRPr="005B4776">
        <w:rPr>
          <w:rFonts w:eastAsiaTheme="minorHAnsi" w:cs="Arial"/>
          <w:szCs w:val="20"/>
        </w:rPr>
        <w:t>The COP has also been involved in the Council of Europe Action Plan on Transnational Organised Crime (2016-2020) since its elaboration. The main role of the COP is to promote inclusion of its standards into national legislation and practice, and the work undertaken by the COP – its assessment reports, horizontal reviews, interpretative notes - are the key documents from where the COP provides input to the Action Plan.</w:t>
      </w:r>
    </w:p>
    <w:p w:rsidR="005E3DE3" w:rsidRPr="005B4776" w:rsidRDefault="005E3DE3" w:rsidP="005B4776">
      <w:pPr>
        <w:tabs>
          <w:tab w:val="left" w:pos="1500"/>
        </w:tabs>
        <w:rPr>
          <w:rFonts w:cs="Arial"/>
          <w:szCs w:val="20"/>
        </w:rPr>
      </w:pPr>
    </w:p>
    <w:p w:rsidR="005E3DE3" w:rsidRPr="005B4776" w:rsidRDefault="005E3DE3" w:rsidP="005B4776">
      <w:pPr>
        <w:tabs>
          <w:tab w:val="left" w:pos="1500"/>
        </w:tabs>
        <w:rPr>
          <w:rFonts w:cs="Arial"/>
          <w:szCs w:val="20"/>
        </w:rPr>
      </w:pPr>
      <w:r w:rsidRPr="005B4776">
        <w:rPr>
          <w:rFonts w:cs="Arial"/>
          <w:szCs w:val="20"/>
        </w:rPr>
        <w:t xml:space="preserve">The COP underlines the necessity to apply synergies between the activities of various other Council of Europe bodies, such as MONEYVAL or the </w:t>
      </w:r>
      <w:r w:rsidRPr="005B4776">
        <w:rPr>
          <w:rStyle w:val="st1"/>
          <w:rFonts w:cs="Arial"/>
          <w:szCs w:val="20"/>
        </w:rPr>
        <w:t>Committee of Experts on the Operation of European Conventions on Co-operation in Criminal Matters</w:t>
      </w:r>
      <w:r w:rsidRPr="005B4776">
        <w:rPr>
          <w:rFonts w:cs="Arial"/>
          <w:szCs w:val="20"/>
        </w:rPr>
        <w:t xml:space="preserve"> (PC-OC). The COP also realises the impact of virtual currencies on the behaviour of criminals and the need for clear rules and best practices in this area, including the nature, seizure and confiscation of virtual currencies. In this respect, the COP started an analysis of this issue and invited experts from the UN Office of Drugs and Crime and the Cybercrime Programme Office of the Council of Europe (C-PROC) for an exchange of views. These are the means to bring the Convention closer to practitioners, in particular police officers, FIUs, prosecutors and judges in the States Parties.</w:t>
      </w:r>
    </w:p>
    <w:p w:rsidR="005E3DE3" w:rsidRPr="005B4776" w:rsidRDefault="005E3DE3" w:rsidP="005B4776">
      <w:pPr>
        <w:tabs>
          <w:tab w:val="left" w:pos="1500"/>
        </w:tabs>
        <w:rPr>
          <w:rFonts w:cs="Arial"/>
          <w:szCs w:val="20"/>
        </w:rPr>
      </w:pPr>
    </w:p>
    <w:p w:rsidR="005B4776" w:rsidRDefault="005B4776">
      <w:pPr>
        <w:rPr>
          <w:rFonts w:cs="Arial"/>
          <w:szCs w:val="20"/>
        </w:rPr>
      </w:pPr>
      <w:r>
        <w:rPr>
          <w:rFonts w:cs="Arial"/>
          <w:szCs w:val="20"/>
        </w:rPr>
        <w:br w:type="page"/>
      </w:r>
    </w:p>
    <w:p w:rsidR="005E3DE3" w:rsidRPr="005B4776" w:rsidRDefault="005E3DE3" w:rsidP="005B4776">
      <w:pPr>
        <w:tabs>
          <w:tab w:val="left" w:pos="1500"/>
        </w:tabs>
        <w:rPr>
          <w:rFonts w:cs="Arial"/>
          <w:szCs w:val="20"/>
        </w:rPr>
      </w:pPr>
      <w:r w:rsidRPr="005B4776">
        <w:rPr>
          <w:rFonts w:cs="Arial"/>
          <w:szCs w:val="20"/>
        </w:rPr>
        <w:lastRenderedPageBreak/>
        <w:t>The Warsaw Convention, which came into force in 2008, is a corner-stone of international standards in this area. During the reporting period, a growing number of countries have ratified the Convention which is to be very welcomed. In total, the Warsaw Convention has now 34 States Parties as well as 8 signatories (including the European Union). In light of the importance to combat international terrorism and organise</w:t>
      </w:r>
      <w:r w:rsidR="008271EF">
        <w:rPr>
          <w:rFonts w:cs="Arial"/>
          <w:szCs w:val="20"/>
        </w:rPr>
        <w:t>d crime, all Council of Europe m</w:t>
      </w:r>
      <w:r w:rsidRPr="005B4776">
        <w:rPr>
          <w:rFonts w:cs="Arial"/>
          <w:szCs w:val="20"/>
        </w:rPr>
        <w:t xml:space="preserve">ember States are urged to ratify this Convention. For those States Parties which have made reservations and declarations upon acceding to the Convention in the past, the COP regularly invites them to review their necessity to ensure a comprehensive and consistent application of the Convention throughout Europe. At each plenary meeting, this issue is discussed and reviewed in order to </w:t>
      </w:r>
      <w:proofErr w:type="spellStart"/>
      <w:r w:rsidRPr="005B4776">
        <w:rPr>
          <w:rFonts w:cs="Arial"/>
          <w:szCs w:val="20"/>
        </w:rPr>
        <w:t>to</w:t>
      </w:r>
      <w:proofErr w:type="spellEnd"/>
      <w:r w:rsidRPr="005B4776">
        <w:rPr>
          <w:rFonts w:cs="Arial"/>
          <w:szCs w:val="20"/>
        </w:rPr>
        <w:t xml:space="preserve"> reconsider the declarations and reservations. As it is also an international treaty open to States which are not members of the Council of Europe, the COP recalls its invitation for these States to accede to the Warsaw Convention. This includes particularly States which are part of the neighbouring regions (such as the Southern Mediterranean, the Middle East and Central Asia). </w:t>
      </w:r>
    </w:p>
    <w:p w:rsidR="005E3DE3" w:rsidRPr="005B4776" w:rsidRDefault="005E3DE3" w:rsidP="005B4776">
      <w:pPr>
        <w:tabs>
          <w:tab w:val="left" w:pos="1500"/>
        </w:tabs>
        <w:rPr>
          <w:rFonts w:cs="Arial"/>
          <w:szCs w:val="20"/>
        </w:rPr>
      </w:pPr>
    </w:p>
    <w:p w:rsidR="005E3DE3" w:rsidRPr="005B4776" w:rsidRDefault="005E3DE3" w:rsidP="005B4776">
      <w:pPr>
        <w:tabs>
          <w:tab w:val="left" w:pos="1500"/>
        </w:tabs>
        <w:rPr>
          <w:rFonts w:cs="Arial"/>
          <w:szCs w:val="20"/>
        </w:rPr>
      </w:pPr>
      <w:r w:rsidRPr="005B4776">
        <w:rPr>
          <w:rFonts w:cs="Arial"/>
          <w:szCs w:val="20"/>
        </w:rPr>
        <w:t xml:space="preserve">The importance of the Convention is underlined by the above-mentioned growing number of ratifications. In light of this and the fact that the Secretariat personnel supporting the COP forms part of the MONEYVAL Secretariat and can only dedicate part of its time to the Warsaw Convention, further staff reinforcement is needed to drive forward this critical work in the years to come in order to be able to fully explore the effectiveness and potential of the Warsaw Convention. </w:t>
      </w:r>
    </w:p>
    <w:p w:rsidR="005E3DE3" w:rsidRPr="005B4776" w:rsidRDefault="005E3DE3" w:rsidP="005B4776">
      <w:pPr>
        <w:tabs>
          <w:tab w:val="left" w:pos="1500"/>
        </w:tabs>
        <w:rPr>
          <w:rFonts w:cs="Arial"/>
          <w:szCs w:val="20"/>
        </w:rPr>
      </w:pPr>
    </w:p>
    <w:p w:rsidR="005E3DE3" w:rsidRPr="005B4776" w:rsidRDefault="005E3DE3" w:rsidP="005B4776">
      <w:pPr>
        <w:tabs>
          <w:tab w:val="left" w:pos="1500"/>
        </w:tabs>
        <w:rPr>
          <w:rFonts w:cs="Arial"/>
          <w:szCs w:val="20"/>
        </w:rPr>
      </w:pPr>
      <w:r w:rsidRPr="005B4776">
        <w:rPr>
          <w:rFonts w:cs="Arial"/>
          <w:szCs w:val="20"/>
        </w:rPr>
        <w:t>The COP will continue to require States Parties to use the provisions of the Warsaw Convention more regularly in the way that they were intended: to deliver better results in the investigation, prosecution and conviction of serious money laundering and terrorist financing cases, and related confiscation.</w:t>
      </w:r>
      <w:r w:rsidRPr="005B4776">
        <w:rPr>
          <w:rFonts w:cs="Arial"/>
          <w:szCs w:val="20"/>
        </w:rPr>
        <w:tab/>
      </w:r>
    </w:p>
    <w:p w:rsidR="005E3DE3" w:rsidRPr="005B4776" w:rsidRDefault="005E3DE3" w:rsidP="005B4776">
      <w:pPr>
        <w:rPr>
          <w:rFonts w:cs="Arial"/>
          <w:szCs w:val="20"/>
        </w:rPr>
      </w:pPr>
    </w:p>
    <w:p w:rsidR="005E3DE3" w:rsidRPr="005B4776" w:rsidRDefault="005E3DE3" w:rsidP="005B4776">
      <w:pPr>
        <w:rPr>
          <w:rFonts w:cs="Arial"/>
          <w:szCs w:val="20"/>
        </w:rPr>
      </w:pPr>
    </w:p>
    <w:p w:rsidR="005E3DE3" w:rsidRPr="005B4776" w:rsidRDefault="005E3DE3" w:rsidP="005B4776">
      <w:pPr>
        <w:rPr>
          <w:rFonts w:cs="Arial"/>
          <w:szCs w:val="20"/>
        </w:rPr>
      </w:pPr>
    </w:p>
    <w:p w:rsidR="005E3DE3" w:rsidRPr="005B4776" w:rsidRDefault="005E3DE3" w:rsidP="005B4776">
      <w:pPr>
        <w:rPr>
          <w:rFonts w:cs="Arial"/>
          <w:b/>
          <w:bCs/>
          <w:caps/>
          <w:color w:val="17365D"/>
          <w:w w:val="105"/>
          <w:kern w:val="28"/>
          <w:szCs w:val="20"/>
          <w:lang w:eastAsia="zh-CN"/>
        </w:rPr>
      </w:pPr>
      <w:bookmarkStart w:id="7" w:name="_Toc519261940"/>
      <w:bookmarkStart w:id="8" w:name="_Toc519262104"/>
      <w:r w:rsidRPr="005B4776">
        <w:rPr>
          <w:rFonts w:cs="Arial"/>
          <w:szCs w:val="20"/>
          <w:lang w:val="en-US"/>
        </w:rPr>
        <w:br w:type="page"/>
      </w:r>
    </w:p>
    <w:p w:rsidR="005E3DE3" w:rsidRPr="00DC4D8A" w:rsidRDefault="005E3DE3" w:rsidP="005B4776">
      <w:pPr>
        <w:pStyle w:val="Heading1"/>
        <w:spacing w:after="0"/>
        <w:ind w:left="0" w:firstLine="0"/>
        <w:jc w:val="left"/>
        <w:rPr>
          <w:rFonts w:ascii="Arial Bold" w:hAnsi="Arial Bold"/>
          <w:color w:val="auto"/>
          <w:w w:val="100"/>
          <w:sz w:val="20"/>
        </w:rPr>
      </w:pPr>
      <w:bookmarkStart w:id="9" w:name="_Toc528243600"/>
      <w:r w:rsidRPr="00DC4D8A">
        <w:rPr>
          <w:rFonts w:ascii="Arial Bold" w:hAnsi="Arial Bold"/>
          <w:color w:val="auto"/>
          <w:w w:val="100"/>
          <w:sz w:val="20"/>
        </w:rPr>
        <w:lastRenderedPageBreak/>
        <w:t>Executive summary</w:t>
      </w:r>
      <w:bookmarkEnd w:id="7"/>
      <w:bookmarkEnd w:id="8"/>
      <w:bookmarkEnd w:id="9"/>
    </w:p>
    <w:p w:rsidR="005E3DE3" w:rsidRPr="005B4776" w:rsidRDefault="005E3DE3" w:rsidP="005B4776">
      <w:pPr>
        <w:rPr>
          <w:rFonts w:cs="Arial"/>
          <w:szCs w:val="20"/>
        </w:rPr>
      </w:pPr>
    </w:p>
    <w:p w:rsidR="005E3DE3" w:rsidRPr="005B4776" w:rsidRDefault="005E3DE3" w:rsidP="005B4776">
      <w:pPr>
        <w:pStyle w:val="ListParagraph"/>
        <w:numPr>
          <w:ilvl w:val="0"/>
          <w:numId w:val="3"/>
        </w:numPr>
        <w:ind w:left="0" w:firstLine="0"/>
        <w:contextualSpacing w:val="0"/>
        <w:rPr>
          <w:rFonts w:cs="Arial"/>
          <w:szCs w:val="20"/>
        </w:rPr>
      </w:pPr>
      <w:r w:rsidRPr="005B4776">
        <w:rPr>
          <w:rFonts w:cs="Arial"/>
          <w:szCs w:val="20"/>
        </w:rPr>
        <w:t>This is the second activity report of the Conference of the Parties (COP) to the Council of Europe Convention on Laundering, Search, Seizure and Confiscation of the Proceeds from Crime and on the Financing of Terrorism (CETS No. 198, the Warsaw Convention) since its inception and covers the work carried out from 2015 to 2017.</w:t>
      </w:r>
    </w:p>
    <w:p w:rsidR="005E3DE3" w:rsidRPr="005B4776" w:rsidRDefault="005E3DE3" w:rsidP="005B4776">
      <w:pPr>
        <w:rPr>
          <w:rFonts w:cs="Arial"/>
          <w:b/>
          <w:szCs w:val="20"/>
        </w:rPr>
      </w:pPr>
    </w:p>
    <w:p w:rsidR="005E3DE3" w:rsidRPr="005B4776" w:rsidRDefault="005E3DE3" w:rsidP="005B4776">
      <w:pPr>
        <w:pStyle w:val="ListParagraph"/>
        <w:numPr>
          <w:ilvl w:val="0"/>
          <w:numId w:val="3"/>
        </w:numPr>
        <w:ind w:left="0" w:firstLine="0"/>
        <w:contextualSpacing w:val="0"/>
        <w:rPr>
          <w:rFonts w:cs="Arial"/>
          <w:szCs w:val="20"/>
        </w:rPr>
      </w:pPr>
      <w:r w:rsidRPr="005B4776">
        <w:rPr>
          <w:rFonts w:cs="Arial"/>
          <w:szCs w:val="20"/>
        </w:rPr>
        <w:t xml:space="preserve">The Warsaw Convention, which came into force on 1 May 2008, is the first comprehensive anti-money laundering treaty covering prevention and repression of money laundering and the financing of terrorism as well as international co-operation. It is a key convention of the Council of Europe as it is specifically designed to assist in the investigation, prosecution and conviction of serious money laundering cases, and to enhance national capacities to fight terrorist financing. The Convention reinforces current international standards by setting, </w:t>
      </w:r>
      <w:r w:rsidRPr="005B4776">
        <w:rPr>
          <w:rFonts w:cs="Arial"/>
          <w:i/>
          <w:szCs w:val="20"/>
        </w:rPr>
        <w:t>inter alia</w:t>
      </w:r>
      <w:r w:rsidRPr="005B4776">
        <w:rPr>
          <w:rFonts w:cs="Arial"/>
          <w:szCs w:val="20"/>
        </w:rPr>
        <w:t xml:space="preserve">, high requirements with respect to freezing, seizure and confiscation measures, the management of frozen and seized property, the possibility to take into account international recidivism when determining the penalty, as well as in a number of other areas. It also provides a legal possibility to share the confiscated assets between the co-operating State Parties. The action of the Conference of the Parties against money laundering is central to the fight against organised crime and complements the Council of Europe’s action against organised crime, corruption, human trafficking, cybercrime and economic crime in general. </w:t>
      </w:r>
    </w:p>
    <w:p w:rsidR="005E3DE3" w:rsidRPr="005B4776" w:rsidRDefault="005E3DE3" w:rsidP="005B4776">
      <w:pPr>
        <w:rPr>
          <w:rFonts w:cs="Arial"/>
          <w:szCs w:val="20"/>
        </w:rPr>
      </w:pPr>
    </w:p>
    <w:p w:rsidR="005E3DE3" w:rsidRPr="005B4776" w:rsidRDefault="005E3DE3" w:rsidP="005B4776">
      <w:pPr>
        <w:pStyle w:val="ListParagraph"/>
        <w:numPr>
          <w:ilvl w:val="0"/>
          <w:numId w:val="3"/>
        </w:numPr>
        <w:ind w:left="0" w:firstLine="0"/>
        <w:contextualSpacing w:val="0"/>
        <w:rPr>
          <w:rFonts w:cs="Arial"/>
          <w:szCs w:val="20"/>
        </w:rPr>
      </w:pPr>
      <w:r w:rsidRPr="005B4776">
        <w:rPr>
          <w:rFonts w:cs="Arial"/>
          <w:szCs w:val="20"/>
        </w:rPr>
        <w:t>The monitoring procedure under the Warsaw Convention was designed so as not to duplicate the work of MONEYVAL or the Financial Action Task Force (FATF). It therefore focuses on those parts of the Convention that strengthen global standards. These include, but are not limited to, the provisions on the prosecution of third-party (or stand-alone) money laundering; confiscation (including the provision of a reverse burden of proof after conviction); investigative powers, including measures to access banking information for the purposes of both domestic investigations and international co-operation; preventive measures; as well as the roles and responsibilities of financial intelligence units (FIUs) and the principles for international co-operation between FIUs.</w:t>
      </w:r>
      <w:r w:rsidRPr="005B4776">
        <w:rPr>
          <w:rFonts w:cs="Arial"/>
          <w:szCs w:val="20"/>
          <w:vertAlign w:val="superscript"/>
        </w:rPr>
        <w:footnoteReference w:id="2"/>
      </w:r>
    </w:p>
    <w:p w:rsidR="005E3DE3" w:rsidRPr="005B4776" w:rsidRDefault="005E3DE3" w:rsidP="005B4776">
      <w:pPr>
        <w:rPr>
          <w:rFonts w:cs="Arial"/>
          <w:szCs w:val="20"/>
        </w:rPr>
      </w:pPr>
    </w:p>
    <w:p w:rsidR="005E3DE3" w:rsidRPr="005B4776" w:rsidRDefault="005E3DE3" w:rsidP="005B4776">
      <w:pPr>
        <w:pStyle w:val="ListParagraph"/>
        <w:numPr>
          <w:ilvl w:val="0"/>
          <w:numId w:val="3"/>
        </w:numPr>
        <w:ind w:left="0" w:firstLine="0"/>
        <w:contextualSpacing w:val="0"/>
        <w:rPr>
          <w:rFonts w:cs="Arial"/>
          <w:szCs w:val="20"/>
        </w:rPr>
      </w:pPr>
      <w:r w:rsidRPr="005B4776">
        <w:rPr>
          <w:rFonts w:cs="Arial"/>
          <w:szCs w:val="20"/>
        </w:rPr>
        <w:t xml:space="preserve">Since it was first convened in 2009, the Conference of the Parties has adopted ten country reports and, after instituting a follow-up mechanism in 2012, seven follow-up reports. The findings of the follow-up reports are encouraging and highlight States Parties’ willingness to meet the standards of the Convention. These reports provide a clear overview of the systems of the Parties and assist the Parties in improvements of the legal systems as well as practical measures. </w:t>
      </w:r>
    </w:p>
    <w:p w:rsidR="005E3DE3" w:rsidRPr="005B4776" w:rsidRDefault="005E3DE3" w:rsidP="005B4776">
      <w:pPr>
        <w:rPr>
          <w:rFonts w:cs="Arial"/>
          <w:szCs w:val="20"/>
        </w:rPr>
      </w:pPr>
    </w:p>
    <w:p w:rsidR="005E3DE3" w:rsidRPr="005B4776" w:rsidRDefault="005E3DE3" w:rsidP="005B4776">
      <w:pPr>
        <w:pStyle w:val="ListParagraph"/>
        <w:numPr>
          <w:ilvl w:val="0"/>
          <w:numId w:val="3"/>
        </w:numPr>
        <w:ind w:left="0" w:firstLine="0"/>
        <w:contextualSpacing w:val="0"/>
        <w:rPr>
          <w:rFonts w:cs="Arial"/>
          <w:szCs w:val="20"/>
        </w:rPr>
      </w:pPr>
      <w:r w:rsidRPr="005B4776">
        <w:rPr>
          <w:rFonts w:cs="Arial"/>
          <w:szCs w:val="20"/>
        </w:rPr>
        <w:t xml:space="preserve">Overall, most States Parties have or consider that they have legal systems which can accommodate most of the Convention’s provisions, subject to the permitted reservations and declarations. That said, not all </w:t>
      </w:r>
      <w:r w:rsidR="00D47AC4">
        <w:rPr>
          <w:rFonts w:cs="Arial"/>
          <w:szCs w:val="20"/>
        </w:rPr>
        <w:t>State</w:t>
      </w:r>
      <w:r w:rsidRPr="005B4776">
        <w:rPr>
          <w:rFonts w:cs="Arial"/>
          <w:szCs w:val="20"/>
        </w:rPr>
        <w:t>s are using the new tools provided by the Convention sufficiently to achieve better results the drafters envisaged in the investigation, prosecution and conviction of serious money laundering cases and the implementation of effective deterrent confiscation orders.</w:t>
      </w:r>
    </w:p>
    <w:p w:rsidR="005E3DE3" w:rsidRPr="005B4776" w:rsidRDefault="005E3DE3" w:rsidP="005B4776">
      <w:pPr>
        <w:pStyle w:val="ListParagraph"/>
        <w:ind w:left="0"/>
        <w:rPr>
          <w:rFonts w:cs="Arial"/>
          <w:szCs w:val="20"/>
        </w:rPr>
      </w:pPr>
    </w:p>
    <w:p w:rsidR="005E3DE3" w:rsidRPr="005B4776" w:rsidRDefault="005E3DE3" w:rsidP="005B4776">
      <w:pPr>
        <w:pStyle w:val="ListParagraph"/>
        <w:numPr>
          <w:ilvl w:val="0"/>
          <w:numId w:val="3"/>
        </w:numPr>
        <w:ind w:left="0" w:firstLine="0"/>
        <w:contextualSpacing w:val="0"/>
        <w:rPr>
          <w:rFonts w:cs="Arial"/>
          <w:szCs w:val="20"/>
        </w:rPr>
      </w:pPr>
      <w:r w:rsidRPr="005B4776">
        <w:rPr>
          <w:rFonts w:cs="Arial"/>
          <w:szCs w:val="20"/>
        </w:rPr>
        <w:t>Mindful of an ever-growing evaluation cycle for an increasing number of States Parties, the Conference of the Parties has considered ways to ensure that its monitoring puts a stronger focus on the added-value the Warsaw Convention brings to the international AML/CFT standards. At the same time, the Conference of Parties discussed ways how to better involve all States Parties on a regular basis. To that effect, it decided at its 9</w:t>
      </w:r>
      <w:r w:rsidRPr="005B4776">
        <w:rPr>
          <w:rFonts w:cs="Arial"/>
          <w:szCs w:val="20"/>
          <w:vertAlign w:val="superscript"/>
        </w:rPr>
        <w:t>th</w:t>
      </w:r>
      <w:r w:rsidRPr="005B4776">
        <w:rPr>
          <w:rFonts w:cs="Arial"/>
          <w:szCs w:val="20"/>
        </w:rPr>
        <w:t xml:space="preserve"> </w:t>
      </w:r>
      <w:proofErr w:type="gramStart"/>
      <w:r w:rsidRPr="005B4776">
        <w:rPr>
          <w:rFonts w:cs="Arial"/>
          <w:szCs w:val="20"/>
        </w:rPr>
        <w:t>Plenary</w:t>
      </w:r>
      <w:proofErr w:type="gramEnd"/>
      <w:r w:rsidRPr="005B4776">
        <w:rPr>
          <w:rFonts w:cs="Arial"/>
          <w:szCs w:val="20"/>
        </w:rPr>
        <w:t xml:space="preserve"> meeting in November 2018 to suspend the country-by-country monitoring mechanism and to introduce a transversal thematic monitoring for an initial period of two years. Based on key issues covered by the Warsaw Convention, the thematic monitoring intends to tackle the most pressing challenges in the implementation of the Convention by all State Parties. The first thematic monitoring, to be discussed at the Conference of the Parties’ 10</w:t>
      </w:r>
      <w:r w:rsidRPr="005B4776">
        <w:rPr>
          <w:rFonts w:cs="Arial"/>
          <w:szCs w:val="20"/>
          <w:vertAlign w:val="superscript"/>
        </w:rPr>
        <w:t>th</w:t>
      </w:r>
      <w:r w:rsidRPr="005B4776">
        <w:rPr>
          <w:rFonts w:cs="Arial"/>
          <w:szCs w:val="20"/>
        </w:rPr>
        <w:t xml:space="preserve"> Plenary meeting in October 2018, focuses on Article 11 (international recidivism) as well as Article 25(2) and 25(3) (asset sharing). </w:t>
      </w:r>
    </w:p>
    <w:p w:rsidR="005E3DE3" w:rsidRPr="005B4776" w:rsidRDefault="005E3DE3" w:rsidP="005B4776">
      <w:pPr>
        <w:rPr>
          <w:rFonts w:cs="Arial"/>
          <w:szCs w:val="20"/>
        </w:rPr>
      </w:pPr>
    </w:p>
    <w:p w:rsidR="005B4776" w:rsidRDefault="005B4776">
      <w:pPr>
        <w:rPr>
          <w:rFonts w:cs="Arial"/>
          <w:szCs w:val="20"/>
        </w:rPr>
      </w:pPr>
      <w:r>
        <w:rPr>
          <w:rFonts w:cs="Arial"/>
          <w:szCs w:val="20"/>
        </w:rPr>
        <w:br w:type="page"/>
      </w:r>
    </w:p>
    <w:p w:rsidR="005E3DE3" w:rsidRPr="005B4776" w:rsidRDefault="005E3DE3" w:rsidP="005B4776">
      <w:pPr>
        <w:pStyle w:val="ListParagraph"/>
        <w:numPr>
          <w:ilvl w:val="0"/>
          <w:numId w:val="3"/>
        </w:numPr>
        <w:ind w:left="0" w:firstLine="0"/>
        <w:contextualSpacing w:val="0"/>
        <w:rPr>
          <w:rFonts w:cs="Arial"/>
          <w:szCs w:val="20"/>
        </w:rPr>
      </w:pPr>
      <w:r w:rsidRPr="005B4776">
        <w:rPr>
          <w:rFonts w:cs="Arial"/>
          <w:szCs w:val="20"/>
        </w:rPr>
        <w:lastRenderedPageBreak/>
        <w:t xml:space="preserve">The Conference of the Parties invited States Parties at various instances to participate in or deliver information on certain aspects of the Warsaw Convention. In particular, States Parties provided insights into: details of judgments implementing the Convention’s provision; examples of co-operation between Parties on the basis of the Convention; national procedures for MLA requests; as well as contributions to the Transnational Organised Crime Action Plan. As a result, the Conference of the Parties has prepared a compendium, interpretative notes complementing the explanatory report to the Convention, an overview of national MLA procedures, and a survey of examples of cases of use and implementation of the Convention’s provisions. </w:t>
      </w:r>
    </w:p>
    <w:p w:rsidR="005E3DE3" w:rsidRPr="005B4776" w:rsidRDefault="005E3DE3" w:rsidP="005B4776">
      <w:pPr>
        <w:pStyle w:val="ListParagraph"/>
        <w:ind w:left="0"/>
        <w:rPr>
          <w:rFonts w:cs="Arial"/>
          <w:szCs w:val="20"/>
        </w:rPr>
      </w:pPr>
    </w:p>
    <w:p w:rsidR="005E3DE3" w:rsidRPr="005B4776" w:rsidRDefault="005E3DE3" w:rsidP="005B4776">
      <w:pPr>
        <w:pStyle w:val="CMSpace"/>
        <w:numPr>
          <w:ilvl w:val="0"/>
          <w:numId w:val="3"/>
        </w:numPr>
        <w:ind w:left="0" w:firstLine="0"/>
        <w:rPr>
          <w:rFonts w:cs="Arial"/>
          <w:b/>
          <w:bCs/>
          <w:caps/>
          <w:w w:val="105"/>
          <w:kern w:val="28"/>
          <w:szCs w:val="20"/>
          <w:lang w:eastAsia="zh-CN"/>
        </w:rPr>
      </w:pPr>
      <w:r w:rsidRPr="005B4776">
        <w:rPr>
          <w:rFonts w:eastAsia="Calibri" w:cs="Arial"/>
          <w:szCs w:val="20"/>
        </w:rPr>
        <w:t>Further to the adoption of the FATF revised recommendations in February 2012, a revision of the Convention was undertaken by means of simplified amendment procedure in respect of the required categories of predicate offences in the appendix to the Warsaw Convention. As a result, the appendix was amended in 2015.</w:t>
      </w:r>
    </w:p>
    <w:p w:rsidR="005E3DE3" w:rsidRPr="005B4776" w:rsidRDefault="005E3DE3" w:rsidP="005B4776">
      <w:pPr>
        <w:pStyle w:val="CMSpace"/>
        <w:rPr>
          <w:rFonts w:eastAsia="Calibri" w:cs="Arial"/>
          <w:szCs w:val="20"/>
        </w:rPr>
      </w:pPr>
    </w:p>
    <w:p w:rsidR="005E3DE3" w:rsidRPr="005B4776" w:rsidRDefault="005E3DE3" w:rsidP="005B4776">
      <w:pPr>
        <w:pStyle w:val="ListParagraph"/>
        <w:numPr>
          <w:ilvl w:val="0"/>
          <w:numId w:val="3"/>
        </w:numPr>
        <w:ind w:left="0" w:firstLine="0"/>
        <w:contextualSpacing w:val="0"/>
        <w:rPr>
          <w:rFonts w:cs="Arial"/>
          <w:szCs w:val="20"/>
        </w:rPr>
      </w:pPr>
      <w:r w:rsidRPr="005B4776">
        <w:rPr>
          <w:rFonts w:cs="Arial"/>
          <w:szCs w:val="20"/>
        </w:rPr>
        <w:t>The Warsaw Convention currently has 34 States Parties. Since the publication of the first Activity Report, the Warsaw Convention was ratified by the following States (in chronological order, indicating the date of ratification): France (8 December 2015), Turkey (2 May 2016), Italy (21 February 2017), Germany (20 June 2017), Azerbaijan (9 August 2017), the Russian Federation</w:t>
      </w:r>
      <w:r w:rsidR="00E545A1">
        <w:rPr>
          <w:rFonts w:cs="Arial"/>
          <w:szCs w:val="20"/>
        </w:rPr>
        <w:t xml:space="preserve"> (28 September 2017), Greece (7 </w:t>
      </w:r>
      <w:r w:rsidRPr="005B4776">
        <w:rPr>
          <w:rFonts w:cs="Arial"/>
          <w:szCs w:val="20"/>
        </w:rPr>
        <w:t xml:space="preserve">November 2017) and Denmark (12 February 2018). Monaco signed the Convention on 1 September 2017. Currently seven States (as well as the European Union) are signatories to the Warsaw Convention. </w:t>
      </w:r>
    </w:p>
    <w:p w:rsidR="005E3DE3" w:rsidRPr="005B4776" w:rsidRDefault="005E3DE3" w:rsidP="005B4776">
      <w:pPr>
        <w:rPr>
          <w:rFonts w:cs="Arial"/>
          <w:szCs w:val="20"/>
        </w:rPr>
      </w:pPr>
    </w:p>
    <w:p w:rsidR="005E3DE3" w:rsidRPr="005B4776" w:rsidRDefault="005E3DE3" w:rsidP="005B4776">
      <w:pPr>
        <w:rPr>
          <w:rFonts w:eastAsia="Times New Roman" w:cs="Arial"/>
          <w:szCs w:val="20"/>
        </w:rPr>
      </w:pPr>
      <w:r w:rsidRPr="005B4776">
        <w:rPr>
          <w:rFonts w:eastAsia="Times New Roman" w:cs="Arial"/>
          <w:szCs w:val="20"/>
        </w:rPr>
        <w:br w:type="page"/>
      </w:r>
    </w:p>
    <w:p w:rsidR="005E3DE3" w:rsidRPr="00DC4D8A" w:rsidRDefault="005E3DE3" w:rsidP="005B4776">
      <w:pPr>
        <w:pStyle w:val="Heading1"/>
        <w:spacing w:after="0"/>
        <w:ind w:left="0" w:firstLine="0"/>
        <w:jc w:val="left"/>
        <w:rPr>
          <w:rFonts w:ascii="Arial Bold" w:hAnsi="Arial Bold"/>
          <w:color w:val="auto"/>
          <w:w w:val="100"/>
          <w:sz w:val="20"/>
        </w:rPr>
      </w:pPr>
      <w:bookmarkStart w:id="10" w:name="_Toc519261941"/>
      <w:bookmarkStart w:id="11" w:name="_Toc519262105"/>
      <w:bookmarkStart w:id="12" w:name="_Toc528243601"/>
      <w:r w:rsidRPr="00DC4D8A">
        <w:rPr>
          <w:rFonts w:ascii="Arial Bold" w:hAnsi="Arial Bold"/>
          <w:color w:val="auto"/>
          <w:w w:val="100"/>
          <w:sz w:val="20"/>
        </w:rPr>
        <w:t xml:space="preserve">Conference of the Parties </w:t>
      </w:r>
      <w:bookmarkEnd w:id="10"/>
      <w:bookmarkEnd w:id="11"/>
      <w:r w:rsidRPr="00DC4D8A">
        <w:rPr>
          <w:rFonts w:ascii="Arial Bold" w:hAnsi="Arial Bold"/>
          <w:color w:val="auto"/>
          <w:w w:val="100"/>
          <w:sz w:val="20"/>
        </w:rPr>
        <w:t>activities 2015-2017</w:t>
      </w:r>
      <w:bookmarkEnd w:id="12"/>
    </w:p>
    <w:p w:rsidR="005E3DE3" w:rsidRPr="00DC4D8A" w:rsidRDefault="005E3DE3" w:rsidP="005B4776">
      <w:pPr>
        <w:pStyle w:val="ListParagraph"/>
        <w:keepNext/>
        <w:widowControl w:val="0"/>
        <w:ind w:left="0" w:right="284"/>
        <w:outlineLvl w:val="1"/>
        <w:rPr>
          <w:rFonts w:ascii="Arial Bold" w:hAnsi="Arial Bold" w:cs="Arial"/>
          <w:b/>
          <w:bCs/>
          <w:caps/>
          <w:kern w:val="28"/>
          <w:szCs w:val="20"/>
          <w:lang w:eastAsia="zh-CN"/>
        </w:rPr>
      </w:pPr>
    </w:p>
    <w:p w:rsidR="005E3DE3" w:rsidRPr="00DC4D8A" w:rsidRDefault="005E3DE3" w:rsidP="005B4776">
      <w:pPr>
        <w:pStyle w:val="ListParagraph"/>
        <w:keepNext/>
        <w:widowControl w:val="0"/>
        <w:numPr>
          <w:ilvl w:val="0"/>
          <w:numId w:val="14"/>
        </w:numPr>
        <w:ind w:left="0" w:right="284" w:firstLine="0"/>
        <w:contextualSpacing w:val="0"/>
        <w:outlineLvl w:val="1"/>
        <w:rPr>
          <w:rFonts w:ascii="Arial Bold" w:hAnsi="Arial Bold" w:cs="Arial"/>
          <w:b/>
          <w:bCs/>
          <w:caps/>
          <w:kern w:val="28"/>
          <w:szCs w:val="20"/>
          <w:lang w:eastAsia="zh-CN"/>
        </w:rPr>
      </w:pPr>
      <w:bookmarkStart w:id="13" w:name="_Toc519261942"/>
      <w:bookmarkStart w:id="14" w:name="_Toc519262106"/>
      <w:bookmarkStart w:id="15" w:name="_Toc528243602"/>
      <w:r w:rsidRPr="00DC4D8A">
        <w:rPr>
          <w:rFonts w:ascii="Arial Bold" w:hAnsi="Arial Bold" w:cs="Arial"/>
          <w:b/>
          <w:bCs/>
          <w:caps/>
          <w:kern w:val="28"/>
          <w:szCs w:val="20"/>
          <w:lang w:eastAsia="zh-CN"/>
        </w:rPr>
        <w:t>Introduction and background</w:t>
      </w:r>
      <w:bookmarkEnd w:id="13"/>
      <w:bookmarkEnd w:id="14"/>
      <w:bookmarkEnd w:id="15"/>
    </w:p>
    <w:p w:rsidR="005E3DE3" w:rsidRPr="00DC4D8A" w:rsidRDefault="005E3DE3" w:rsidP="005B4776">
      <w:pPr>
        <w:suppressAutoHyphens/>
        <w:rPr>
          <w:rFonts w:ascii="Arial Bold" w:eastAsia="MS Mincho" w:hAnsi="Arial Bold" w:cs="Arial" w:hint="eastAsia"/>
          <w:szCs w:val="20"/>
          <w:lang w:eastAsia="ar-SA"/>
        </w:rPr>
      </w:pPr>
    </w:p>
    <w:p w:rsidR="005E3DE3" w:rsidRPr="005B4776" w:rsidRDefault="005E3DE3" w:rsidP="005B4776">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 xml:space="preserve">Money laundering directly threatens the rule of law. It provides organised crime with its cash flow and investment capital, and the incentive to commit more proceeds-generating crime. The Council of Europe’s action against money laundering is thus central to the fight against organised crime and complements the </w:t>
      </w:r>
      <w:r w:rsidRPr="005B4776">
        <w:rPr>
          <w:rFonts w:cs="Arial"/>
          <w:szCs w:val="20"/>
        </w:rPr>
        <w:t>Council of Europe’s action against organised crime, corruption, human trafficking, cybercrime and economic crime in general.</w:t>
      </w:r>
      <w:r w:rsidRPr="005B4776">
        <w:rPr>
          <w:rFonts w:eastAsia="MS Mincho" w:cs="Arial"/>
          <w:szCs w:val="20"/>
          <w:lang w:eastAsia="ar-SA"/>
        </w:rPr>
        <w:t xml:space="preserve"> Those who commit these offences all have one thing in common: they want to make a profit. Council of Europe action in this area aims to take the profit out of crime and to protect the international financial system. Another important aspect is to protect our citizens against those who finance terrorism. This work, on the monitoring side, is conducted through two complementary mechanisms. The first is the Committee of Experts on the Evaluation of Anti-Money Laundering measures and the Financing of Terrorism (MONEYVAL) which evaluates its members against the international standards set by the FATF. The second is the Conference of the Parties to the Council of Europe Convention on Laundering, Search, Seizure and Confiscation of the Proceeds from Crime and on the Financing of Terrorism (CETS No. 198), which is the monitoring body of that Convention.</w:t>
      </w:r>
    </w:p>
    <w:p w:rsidR="005E3DE3" w:rsidRPr="005B4776" w:rsidRDefault="005E3DE3" w:rsidP="005B4776">
      <w:pPr>
        <w:rPr>
          <w:rFonts w:cs="Arial"/>
          <w:szCs w:val="20"/>
        </w:rPr>
      </w:pPr>
    </w:p>
    <w:p w:rsidR="005E3DE3" w:rsidRPr="005B4776" w:rsidRDefault="005E3DE3" w:rsidP="005B4776">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The Council of Europe was the first international organisation to address the importance of taking measures to combat the threats posed by money laundering for democracy and the rule of law.</w:t>
      </w:r>
      <w:r w:rsidRPr="005B4776">
        <w:rPr>
          <w:rFonts w:eastAsia="MS Mincho" w:cs="Arial"/>
          <w:szCs w:val="20"/>
          <w:vertAlign w:val="superscript"/>
        </w:rPr>
        <w:footnoteReference w:id="3"/>
      </w:r>
      <w:r w:rsidRPr="005B4776">
        <w:rPr>
          <w:rFonts w:eastAsia="MS Mincho" w:cs="Arial"/>
          <w:szCs w:val="20"/>
          <w:lang w:eastAsia="ar-SA"/>
        </w:rPr>
        <w:t xml:space="preserve"> The Council of Europe’s engagement with this issue led to the negotiation and adoption, in 1990, of the </w:t>
      </w:r>
      <w:r w:rsidRPr="005B4776">
        <w:rPr>
          <w:rFonts w:eastAsia="MS Mincho" w:cs="Arial"/>
          <w:iCs/>
          <w:szCs w:val="20"/>
          <w:lang w:eastAsia="ar-SA"/>
        </w:rPr>
        <w:t>Convention on Laundering, Search, Seizure and Confiscation of the Proceeds from Crime</w:t>
      </w:r>
      <w:r w:rsidRPr="005B4776">
        <w:rPr>
          <w:rFonts w:eastAsia="MS Mincho" w:cs="Arial"/>
          <w:szCs w:val="20"/>
          <w:lang w:eastAsia="ar-SA"/>
        </w:rPr>
        <w:t xml:space="preserve"> (CETS No. 141, the “Strasbourg Convention”) and, in 2005, building on the Strasbourg Convention, the adoption of the Council of Europe </w:t>
      </w:r>
      <w:r w:rsidRPr="005B4776">
        <w:rPr>
          <w:rFonts w:eastAsia="MS Mincho" w:cs="Arial"/>
          <w:iCs/>
          <w:szCs w:val="20"/>
          <w:lang w:eastAsia="ar-SA"/>
        </w:rPr>
        <w:t>Convention on Laundering, Search, Seizure and Confiscation of the Proceeds from Crime and on the Financing of Terrorism (the “Warsaw Convention”)</w:t>
      </w:r>
      <w:r w:rsidRPr="005B4776">
        <w:rPr>
          <w:rFonts w:eastAsia="MS Mincho" w:cs="Arial"/>
          <w:szCs w:val="20"/>
          <w:lang w:eastAsia="ar-SA"/>
        </w:rPr>
        <w:t>.</w:t>
      </w:r>
      <w:r w:rsidRPr="005B4776">
        <w:rPr>
          <w:rStyle w:val="FootnoteReference"/>
          <w:rFonts w:eastAsia="MS Mincho" w:cs="Arial"/>
          <w:szCs w:val="20"/>
          <w:lang w:eastAsia="ar-SA"/>
        </w:rPr>
        <w:footnoteReference w:id="4"/>
      </w:r>
      <w:r w:rsidRPr="005B4776">
        <w:rPr>
          <w:rFonts w:eastAsia="MS Mincho" w:cs="Arial"/>
          <w:szCs w:val="20"/>
          <w:lang w:eastAsia="ar-SA"/>
        </w:rPr>
        <w:t xml:space="preserve"> </w:t>
      </w:r>
    </w:p>
    <w:p w:rsidR="005E3DE3" w:rsidRPr="005B4776" w:rsidRDefault="005E3DE3" w:rsidP="005B4776">
      <w:pPr>
        <w:shd w:val="clear" w:color="auto" w:fill="FFFFFF"/>
        <w:rPr>
          <w:rFonts w:cs="Arial"/>
          <w:szCs w:val="20"/>
        </w:rPr>
      </w:pPr>
    </w:p>
    <w:p w:rsidR="005E3DE3" w:rsidRPr="005B4776" w:rsidRDefault="005E3DE3" w:rsidP="005B4776">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 xml:space="preserve">The Warsaw Convention, a key convention of the Council of Europe, needs to be ratified by all </w:t>
      </w:r>
      <w:r w:rsidR="008271EF">
        <w:rPr>
          <w:rFonts w:eastAsia="MS Mincho" w:cs="Arial"/>
          <w:szCs w:val="20"/>
          <w:lang w:eastAsia="ar-SA"/>
        </w:rPr>
        <w:t>m</w:t>
      </w:r>
      <w:r w:rsidRPr="005B4776">
        <w:rPr>
          <w:rFonts w:eastAsia="MS Mincho" w:cs="Arial"/>
          <w:szCs w:val="20"/>
          <w:lang w:eastAsia="ar-SA"/>
        </w:rPr>
        <w:t xml:space="preserve">ember States as it is specifically designed to enhance national capacities to fight money laundering and the financing of terrorism more effectively. </w:t>
      </w:r>
    </w:p>
    <w:p w:rsidR="005E3DE3" w:rsidRPr="005B4776" w:rsidRDefault="005E3DE3" w:rsidP="005B4776">
      <w:pPr>
        <w:shd w:val="clear" w:color="auto" w:fill="FFFFFF"/>
        <w:rPr>
          <w:rFonts w:cs="Arial"/>
          <w:szCs w:val="20"/>
        </w:rPr>
      </w:pPr>
    </w:p>
    <w:p w:rsidR="005E3DE3" w:rsidRPr="005B4776" w:rsidRDefault="005E3DE3" w:rsidP="005B4776">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More specifically, this instrument:</w:t>
      </w:r>
    </w:p>
    <w:p w:rsidR="005E3DE3" w:rsidRPr="005B4776" w:rsidRDefault="005E3DE3" w:rsidP="005B4776">
      <w:pPr>
        <w:rPr>
          <w:rFonts w:cs="Arial"/>
          <w:szCs w:val="20"/>
        </w:rPr>
      </w:pPr>
    </w:p>
    <w:tbl>
      <w:tblPr>
        <w:tblW w:w="0" w:type="auto"/>
        <w:tblInd w:w="108" w:type="dxa"/>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Look w:val="04A0" w:firstRow="1" w:lastRow="0" w:firstColumn="1" w:lastColumn="0" w:noHBand="0" w:noVBand="1"/>
      </w:tblPr>
      <w:tblGrid>
        <w:gridCol w:w="9498"/>
      </w:tblGrid>
      <w:tr w:rsidR="005B4776" w:rsidRPr="005B4776" w:rsidTr="005B4776">
        <w:tc>
          <w:tcPr>
            <w:tcW w:w="9498" w:type="dxa"/>
            <w:shd w:val="clear" w:color="auto" w:fill="auto"/>
          </w:tcPr>
          <w:p w:rsidR="005E3DE3" w:rsidRDefault="005E3DE3" w:rsidP="001A0A2B">
            <w:pPr>
              <w:numPr>
                <w:ilvl w:val="0"/>
                <w:numId w:val="15"/>
              </w:numPr>
              <w:ind w:left="459" w:hanging="459"/>
              <w:rPr>
                <w:rFonts w:cs="Arial"/>
                <w:szCs w:val="20"/>
              </w:rPr>
            </w:pPr>
            <w:r w:rsidRPr="005B4776">
              <w:rPr>
                <w:rFonts w:cs="Arial"/>
                <w:szCs w:val="20"/>
              </w:rPr>
              <w:t>provides States Parties with a clearer legal basis to prosecute third-party (or stand-alone) money laundering more successfully;</w:t>
            </w:r>
          </w:p>
          <w:p w:rsidR="005B4776" w:rsidRPr="005B4776" w:rsidRDefault="005B4776" w:rsidP="001A0A2B">
            <w:pPr>
              <w:ind w:left="459" w:hanging="459"/>
              <w:rPr>
                <w:rFonts w:cs="Arial"/>
                <w:szCs w:val="20"/>
              </w:rPr>
            </w:pPr>
          </w:p>
          <w:p w:rsidR="005E3DE3" w:rsidRDefault="005E3DE3" w:rsidP="001A0A2B">
            <w:pPr>
              <w:numPr>
                <w:ilvl w:val="0"/>
                <w:numId w:val="15"/>
              </w:numPr>
              <w:ind w:left="459" w:hanging="459"/>
              <w:rPr>
                <w:rFonts w:cs="Arial"/>
                <w:szCs w:val="20"/>
              </w:rPr>
            </w:pPr>
            <w:r w:rsidRPr="005B4776">
              <w:rPr>
                <w:rFonts w:cs="Arial"/>
                <w:szCs w:val="20"/>
              </w:rPr>
              <w:t>equips States Parties with stronger confiscation tools to deprive offenders of criminal proceeds, including measures for the management of seized or frozen assets, and provides legal basis for sharing of confiscated assets;</w:t>
            </w:r>
          </w:p>
          <w:p w:rsidR="005B4776" w:rsidRPr="005B4776" w:rsidRDefault="005B4776" w:rsidP="001A0A2B">
            <w:pPr>
              <w:ind w:left="459" w:hanging="459"/>
              <w:rPr>
                <w:rFonts w:cs="Arial"/>
                <w:szCs w:val="20"/>
              </w:rPr>
            </w:pPr>
          </w:p>
          <w:p w:rsidR="005E3DE3" w:rsidRDefault="005E3DE3" w:rsidP="001A0A2B">
            <w:pPr>
              <w:numPr>
                <w:ilvl w:val="0"/>
                <w:numId w:val="15"/>
              </w:numPr>
              <w:ind w:left="459" w:hanging="459"/>
              <w:rPr>
                <w:rFonts w:cs="Arial"/>
                <w:szCs w:val="20"/>
              </w:rPr>
            </w:pPr>
            <w:r w:rsidRPr="005B4776">
              <w:rPr>
                <w:rFonts w:cs="Arial"/>
                <w:szCs w:val="20"/>
              </w:rPr>
              <w:t xml:space="preserve">provides important investigative powers, including comprehensive measures to access banking information for domestic investigations and for the purposes of international co-operation; </w:t>
            </w:r>
          </w:p>
          <w:p w:rsidR="005B4776" w:rsidRPr="005B4776" w:rsidRDefault="005B4776" w:rsidP="001A0A2B">
            <w:pPr>
              <w:ind w:left="459" w:hanging="459"/>
              <w:rPr>
                <w:rFonts w:cs="Arial"/>
                <w:szCs w:val="20"/>
              </w:rPr>
            </w:pPr>
          </w:p>
          <w:p w:rsidR="005E3DE3" w:rsidRDefault="005E3DE3" w:rsidP="001A0A2B">
            <w:pPr>
              <w:numPr>
                <w:ilvl w:val="0"/>
                <w:numId w:val="15"/>
              </w:numPr>
              <w:ind w:left="459" w:hanging="459"/>
              <w:rPr>
                <w:rFonts w:cs="Arial"/>
                <w:szCs w:val="20"/>
              </w:rPr>
            </w:pPr>
            <w:r w:rsidRPr="005B4776">
              <w:rPr>
                <w:rFonts w:cs="Arial"/>
                <w:szCs w:val="20"/>
              </w:rPr>
              <w:t>covers preventive measures, and the roles and responsibilities of financial intelligence units and the principles for international co-operation between them;</w:t>
            </w:r>
          </w:p>
          <w:p w:rsidR="005B4776" w:rsidRPr="005B4776" w:rsidRDefault="005B4776" w:rsidP="001A0A2B">
            <w:pPr>
              <w:ind w:left="459" w:hanging="459"/>
              <w:rPr>
                <w:rFonts w:cs="Arial"/>
                <w:szCs w:val="20"/>
              </w:rPr>
            </w:pPr>
          </w:p>
          <w:p w:rsidR="005E3DE3" w:rsidRDefault="005E3DE3" w:rsidP="001A0A2B">
            <w:pPr>
              <w:numPr>
                <w:ilvl w:val="0"/>
                <w:numId w:val="15"/>
              </w:numPr>
              <w:ind w:left="459" w:hanging="459"/>
              <w:rPr>
                <w:rFonts w:cs="Arial"/>
                <w:szCs w:val="20"/>
              </w:rPr>
            </w:pPr>
            <w:r w:rsidRPr="005B4776">
              <w:rPr>
                <w:rFonts w:cs="Arial"/>
                <w:szCs w:val="20"/>
              </w:rPr>
              <w:t>requires States Parties to take measures to permit urgent action to suspend or withhold consent to a transaction going ahead in order to analyse the transaction and confirm suspicion;</w:t>
            </w:r>
          </w:p>
          <w:p w:rsidR="005B4776" w:rsidRPr="005B4776" w:rsidRDefault="005B4776" w:rsidP="001A0A2B">
            <w:pPr>
              <w:ind w:left="459" w:hanging="459"/>
              <w:rPr>
                <w:rFonts w:cs="Arial"/>
                <w:szCs w:val="20"/>
              </w:rPr>
            </w:pPr>
          </w:p>
          <w:p w:rsidR="005E3DE3" w:rsidRDefault="005E3DE3" w:rsidP="001A0A2B">
            <w:pPr>
              <w:numPr>
                <w:ilvl w:val="0"/>
                <w:numId w:val="15"/>
              </w:numPr>
              <w:ind w:left="459" w:hanging="459"/>
              <w:rPr>
                <w:rFonts w:cs="Arial"/>
                <w:szCs w:val="20"/>
              </w:rPr>
            </w:pPr>
            <w:r w:rsidRPr="005B4776">
              <w:rPr>
                <w:rFonts w:cs="Arial"/>
                <w:szCs w:val="20"/>
              </w:rPr>
              <w:t>applies all its provisions, including investigative powers, to the financing of terrorism;</w:t>
            </w:r>
          </w:p>
          <w:p w:rsidR="005B4776" w:rsidRPr="005B4776" w:rsidRDefault="005B4776" w:rsidP="001A0A2B">
            <w:pPr>
              <w:ind w:left="459" w:hanging="459"/>
              <w:rPr>
                <w:rFonts w:cs="Arial"/>
                <w:szCs w:val="20"/>
              </w:rPr>
            </w:pPr>
          </w:p>
          <w:p w:rsidR="005E3DE3" w:rsidRPr="005B4776" w:rsidRDefault="005E3DE3" w:rsidP="001A0A2B">
            <w:pPr>
              <w:numPr>
                <w:ilvl w:val="0"/>
                <w:numId w:val="15"/>
              </w:numPr>
              <w:ind w:left="459" w:hanging="459"/>
              <w:rPr>
                <w:rFonts w:cs="Arial"/>
                <w:szCs w:val="20"/>
              </w:rPr>
            </w:pPr>
            <w:proofErr w:type="gramStart"/>
            <w:r w:rsidRPr="005B4776">
              <w:rPr>
                <w:rFonts w:cs="Arial"/>
                <w:szCs w:val="20"/>
              </w:rPr>
              <w:t>requires</w:t>
            </w:r>
            <w:proofErr w:type="gramEnd"/>
            <w:r w:rsidRPr="005B4776">
              <w:rPr>
                <w:rFonts w:cs="Arial"/>
                <w:szCs w:val="20"/>
              </w:rPr>
              <w:t xml:space="preserve"> that all domestic investigative powers to access banking information under the convention should also be available for international co-operation purposes. </w:t>
            </w:r>
          </w:p>
        </w:tc>
      </w:tr>
    </w:tbl>
    <w:p w:rsidR="005E3DE3" w:rsidRPr="005B4776" w:rsidRDefault="005E3DE3" w:rsidP="005B4776">
      <w:pPr>
        <w:suppressAutoHyphens/>
        <w:rPr>
          <w:rFonts w:eastAsia="MS Mincho" w:cs="Arial"/>
          <w:szCs w:val="20"/>
          <w:lang w:val="en-US" w:eastAsia="ar-SA"/>
        </w:rPr>
      </w:pPr>
    </w:p>
    <w:p w:rsidR="005E3DE3" w:rsidRPr="005B4776" w:rsidRDefault="005E3DE3" w:rsidP="005B4776">
      <w:pPr>
        <w:ind w:firstLine="60"/>
        <w:rPr>
          <w:rFonts w:cs="Arial"/>
          <w:szCs w:val="20"/>
        </w:rPr>
      </w:pPr>
    </w:p>
    <w:p w:rsidR="005E3DE3" w:rsidRPr="005B4776" w:rsidRDefault="005E3DE3" w:rsidP="005B4776">
      <w:pPr>
        <w:rPr>
          <w:rFonts w:cs="Arial"/>
          <w:b/>
          <w:bCs/>
          <w:caps/>
          <w:w w:val="105"/>
          <w:kern w:val="28"/>
          <w:szCs w:val="20"/>
          <w:lang w:eastAsia="zh-CN"/>
        </w:rPr>
      </w:pPr>
      <w:bookmarkStart w:id="16" w:name="_Toc425866500"/>
      <w:bookmarkStart w:id="17" w:name="_Toc519261943"/>
      <w:bookmarkStart w:id="18" w:name="_Toc519262107"/>
      <w:r w:rsidRPr="005B4776">
        <w:rPr>
          <w:rFonts w:cs="Arial"/>
          <w:b/>
          <w:bCs/>
          <w:caps/>
          <w:w w:val="105"/>
          <w:kern w:val="28"/>
          <w:szCs w:val="20"/>
          <w:lang w:eastAsia="zh-CN"/>
        </w:rPr>
        <w:br w:type="page"/>
      </w:r>
    </w:p>
    <w:p w:rsidR="005E3DE3" w:rsidRPr="00DC4D8A" w:rsidRDefault="005E3DE3" w:rsidP="005B4776">
      <w:pPr>
        <w:pStyle w:val="ListParagraph"/>
        <w:keepNext/>
        <w:widowControl w:val="0"/>
        <w:numPr>
          <w:ilvl w:val="0"/>
          <w:numId w:val="14"/>
        </w:numPr>
        <w:ind w:left="0" w:right="284" w:firstLine="0"/>
        <w:contextualSpacing w:val="0"/>
        <w:outlineLvl w:val="1"/>
        <w:rPr>
          <w:rFonts w:ascii="Arial Bold" w:hAnsi="Arial Bold" w:cs="Arial"/>
          <w:b/>
          <w:bCs/>
          <w:caps/>
          <w:kern w:val="28"/>
          <w:szCs w:val="20"/>
          <w:lang w:eastAsia="zh-CN"/>
        </w:rPr>
      </w:pPr>
      <w:bookmarkStart w:id="19" w:name="_Toc528243603"/>
      <w:r w:rsidRPr="00DC4D8A">
        <w:rPr>
          <w:rFonts w:ascii="Arial Bold" w:hAnsi="Arial Bold" w:cs="Arial"/>
          <w:b/>
          <w:bCs/>
          <w:caps/>
          <w:kern w:val="28"/>
          <w:szCs w:val="20"/>
          <w:lang w:eastAsia="zh-CN"/>
        </w:rPr>
        <w:t>Mission and working framework</w:t>
      </w:r>
      <w:bookmarkEnd w:id="16"/>
      <w:bookmarkEnd w:id="17"/>
      <w:bookmarkEnd w:id="18"/>
      <w:bookmarkEnd w:id="19"/>
    </w:p>
    <w:p w:rsidR="005E3DE3" w:rsidRPr="00DC4D8A" w:rsidRDefault="005E3DE3" w:rsidP="005B4776">
      <w:pPr>
        <w:keepNext/>
        <w:outlineLvl w:val="1"/>
        <w:rPr>
          <w:rFonts w:ascii="Arial Bold" w:hAnsi="Arial Bold" w:cs="Arial"/>
          <w:b/>
          <w:bCs/>
          <w:iCs/>
          <w:szCs w:val="20"/>
        </w:rPr>
      </w:pPr>
      <w:bookmarkStart w:id="20" w:name="_Toc425866501"/>
    </w:p>
    <w:p w:rsidR="005E3DE3" w:rsidRPr="00DC4D8A" w:rsidRDefault="005E3DE3" w:rsidP="005B4776">
      <w:pPr>
        <w:pStyle w:val="ListParagraph"/>
        <w:keepNext/>
        <w:numPr>
          <w:ilvl w:val="1"/>
          <w:numId w:val="14"/>
        </w:numPr>
        <w:ind w:left="0" w:firstLine="0"/>
        <w:contextualSpacing w:val="0"/>
        <w:outlineLvl w:val="1"/>
        <w:rPr>
          <w:rFonts w:ascii="Arial Bold" w:hAnsi="Arial Bold" w:cs="Arial"/>
          <w:b/>
          <w:bCs/>
          <w:iCs/>
          <w:szCs w:val="20"/>
        </w:rPr>
      </w:pPr>
      <w:bookmarkStart w:id="21" w:name="_Toc519261944"/>
      <w:bookmarkStart w:id="22" w:name="_Toc519262108"/>
      <w:bookmarkStart w:id="23" w:name="_Toc528243604"/>
      <w:r w:rsidRPr="00DC4D8A">
        <w:rPr>
          <w:rFonts w:ascii="Arial Bold" w:hAnsi="Arial Bold" w:cs="Arial"/>
          <w:b/>
          <w:bCs/>
          <w:iCs/>
          <w:szCs w:val="20"/>
        </w:rPr>
        <w:t>The Convention</w:t>
      </w:r>
      <w:bookmarkEnd w:id="20"/>
      <w:bookmarkEnd w:id="21"/>
      <w:bookmarkEnd w:id="22"/>
      <w:bookmarkEnd w:id="23"/>
    </w:p>
    <w:p w:rsidR="005E3DE3" w:rsidRPr="005B4776" w:rsidRDefault="005E3DE3" w:rsidP="005B4776">
      <w:pPr>
        <w:rPr>
          <w:rFonts w:cs="Arial"/>
          <w:b/>
          <w:bCs/>
          <w:szCs w:val="20"/>
        </w:rPr>
      </w:pPr>
    </w:p>
    <w:p w:rsidR="005E3DE3" w:rsidRPr="005B4776" w:rsidRDefault="005E3DE3" w:rsidP="005B4776">
      <w:pPr>
        <w:rPr>
          <w:rFonts w:cs="Arial"/>
          <w:b/>
          <w:bCs/>
          <w:szCs w:val="20"/>
          <w:u w:val="single"/>
        </w:rPr>
      </w:pPr>
      <w:r w:rsidRPr="005B4776">
        <w:rPr>
          <w:rFonts w:cs="Arial"/>
          <w:b/>
          <w:bCs/>
          <w:szCs w:val="20"/>
          <w:u w:val="single"/>
        </w:rPr>
        <w:t>Origins</w:t>
      </w:r>
    </w:p>
    <w:p w:rsidR="005E3DE3" w:rsidRPr="005B4776" w:rsidRDefault="005E3DE3" w:rsidP="005B4776">
      <w:pPr>
        <w:rPr>
          <w:rFonts w:cs="Arial"/>
          <w:szCs w:val="20"/>
        </w:rPr>
      </w:pPr>
    </w:p>
    <w:p w:rsidR="005E3DE3" w:rsidRPr="005B4776" w:rsidRDefault="005E3DE3" w:rsidP="005B4776">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 xml:space="preserve">The Recommendation </w:t>
      </w:r>
      <w:r w:rsidRPr="005B4776">
        <w:rPr>
          <w:rFonts w:cs="Arial"/>
          <w:szCs w:val="20"/>
          <w:lang w:val="en-US"/>
        </w:rPr>
        <w:t xml:space="preserve">No. </w:t>
      </w:r>
      <w:proofErr w:type="gramStart"/>
      <w:r w:rsidRPr="005B4776">
        <w:rPr>
          <w:rFonts w:cs="Arial"/>
          <w:szCs w:val="20"/>
          <w:lang w:val="en-US"/>
        </w:rPr>
        <w:t>R(</w:t>
      </w:r>
      <w:proofErr w:type="gramEnd"/>
      <w:r w:rsidRPr="005B4776">
        <w:rPr>
          <w:rFonts w:cs="Arial"/>
          <w:szCs w:val="20"/>
          <w:lang w:val="en-US"/>
        </w:rPr>
        <w:t xml:space="preserve">80)10 </w:t>
      </w:r>
      <w:r w:rsidRPr="005B4776">
        <w:rPr>
          <w:rFonts w:eastAsia="MS Mincho" w:cs="Arial"/>
          <w:szCs w:val="20"/>
          <w:lang w:eastAsia="ar-SA"/>
        </w:rPr>
        <w:t xml:space="preserve">of the Committee of Ministers on measures against the transfer and safekeeping of funds of criminal origin paved the way for future international standards on money laundering. </w:t>
      </w:r>
    </w:p>
    <w:p w:rsidR="005E3DE3" w:rsidRPr="005B4776" w:rsidRDefault="005E3DE3" w:rsidP="005B4776">
      <w:pPr>
        <w:suppressAutoHyphens/>
        <w:rPr>
          <w:rFonts w:eastAsia="MS Mincho" w:cs="Arial"/>
          <w:szCs w:val="20"/>
          <w:lang w:eastAsia="ar-SA"/>
        </w:rPr>
      </w:pPr>
    </w:p>
    <w:p w:rsidR="005E3DE3" w:rsidRPr="005B4776" w:rsidRDefault="005E3DE3" w:rsidP="005B4776">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 xml:space="preserve">The 1990 Council of Europe Convention on Laundering, Search, Seizure and Confiscation of the Proceeds of Crime (the “Strasbourg Convention”) sought to facilitate international co-operation and mutual legal assistance in investigating crime and tracking down, seizing and confiscating the proceeds thereof. The Strasbourg Convention provides a full set of rules covering all stages of the procedure, from the first investigation to the imposition and enforcement of confiscation measures. It also allows for flexible but effective mechanisms of international co-operation in order to deprive criminals of the instruments and fruits of their illegal activities. Moreover, the Strasbourg Convention provides a wide basis for the criminalisation of money laundering, through the introduction of an “all crimes” approach to money laundering criminalisation. </w:t>
      </w:r>
    </w:p>
    <w:p w:rsidR="005E3DE3" w:rsidRPr="005B4776" w:rsidRDefault="005E3DE3" w:rsidP="005B4776">
      <w:pPr>
        <w:suppressAutoHyphens/>
        <w:rPr>
          <w:rFonts w:eastAsia="MS Mincho" w:cs="Arial"/>
          <w:szCs w:val="20"/>
          <w:lang w:eastAsia="ar-SA"/>
        </w:rPr>
      </w:pPr>
    </w:p>
    <w:p w:rsidR="005E3DE3" w:rsidRPr="005B4776" w:rsidRDefault="005E3DE3" w:rsidP="005B4776">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The Strasbourg Convention is ratifie</w:t>
      </w:r>
      <w:r w:rsidR="008271EF">
        <w:rPr>
          <w:rFonts w:eastAsia="MS Mincho" w:cs="Arial"/>
          <w:szCs w:val="20"/>
          <w:lang w:eastAsia="ar-SA"/>
        </w:rPr>
        <w:t>d by all the Council of Europe m</w:t>
      </w:r>
      <w:r w:rsidRPr="005B4776">
        <w:rPr>
          <w:rFonts w:eastAsia="MS Mincho" w:cs="Arial"/>
          <w:szCs w:val="20"/>
          <w:lang w:eastAsia="ar-SA"/>
        </w:rPr>
        <w:t xml:space="preserve">ember States and by Australia. The Convention’s ratification has been part of the European </w:t>
      </w:r>
      <w:proofErr w:type="spellStart"/>
      <w:r w:rsidRPr="005B4776">
        <w:rPr>
          <w:rFonts w:eastAsia="MS Mincho" w:cs="Arial"/>
          <w:i/>
          <w:szCs w:val="20"/>
          <w:lang w:eastAsia="ar-SA"/>
        </w:rPr>
        <w:t>acquis</w:t>
      </w:r>
      <w:proofErr w:type="spellEnd"/>
      <w:r w:rsidRPr="005B4776">
        <w:rPr>
          <w:rFonts w:eastAsia="MS Mincho" w:cs="Arial"/>
          <w:szCs w:val="20"/>
          <w:lang w:eastAsia="ar-SA"/>
        </w:rPr>
        <w:t xml:space="preserve"> for applicant members to the European Union. Notwithstanding the recognition which the Strasbourg Convention received, it did not address a number of issues, including measures related to the prevention of money laundering. However, by the end of the 1990s, it was recognised by experts in MONEYVAL and beyond that the Strasbourg Convention needed to be updated to reflect new developments, as well as the rapidly evolving international standards in this area (in the European Union, United Nations and the FATF) and the experience gained in the context of mutual evaluations by the FATF and MONEYVAL. The clear link between financing of terrorism and money laundering was recognised by the Committee of Ministers in 2001, when it extended MONEYVAL’s mandate to the financing of terrorism. The Strasbourg Convention therefore needed to be expanded to address the fight against terrorism financing. Furthermore, when the Strasbourg Convention was negotiated, financial intelligence units (FIUs) were not a part of the anti-money laundering s</w:t>
      </w:r>
      <w:r w:rsidR="008271EF">
        <w:rPr>
          <w:rFonts w:eastAsia="MS Mincho" w:cs="Arial"/>
          <w:szCs w:val="20"/>
          <w:lang w:eastAsia="ar-SA"/>
        </w:rPr>
        <w:t>tructures in Council of Europe m</w:t>
      </w:r>
      <w:r w:rsidRPr="005B4776">
        <w:rPr>
          <w:rFonts w:eastAsia="MS Mincho" w:cs="Arial"/>
          <w:szCs w:val="20"/>
          <w:lang w:eastAsia="ar-SA"/>
        </w:rPr>
        <w:t xml:space="preserve">ember States. FIUs developed rapidly in the 1990s and, by the end of that </w:t>
      </w:r>
      <w:proofErr w:type="gramStart"/>
      <w:r w:rsidRPr="005B4776">
        <w:rPr>
          <w:rFonts w:eastAsia="MS Mincho" w:cs="Arial"/>
          <w:szCs w:val="20"/>
          <w:lang w:eastAsia="ar-SA"/>
        </w:rPr>
        <w:t>decade,</w:t>
      </w:r>
      <w:proofErr w:type="gramEnd"/>
      <w:r w:rsidRPr="005B4776">
        <w:rPr>
          <w:rFonts w:eastAsia="MS Mincho" w:cs="Arial"/>
          <w:szCs w:val="20"/>
          <w:lang w:eastAsia="ar-SA"/>
        </w:rPr>
        <w:t xml:space="preserve"> there was pressure to anchor their critical role and responsibilities in an international treaty.</w:t>
      </w:r>
    </w:p>
    <w:p w:rsidR="005E3DE3" w:rsidRPr="005B4776" w:rsidRDefault="005E3DE3" w:rsidP="005B4776">
      <w:pPr>
        <w:suppressAutoHyphens/>
        <w:rPr>
          <w:rFonts w:eastAsia="MS Mincho" w:cs="Arial"/>
          <w:szCs w:val="20"/>
          <w:lang w:eastAsia="ar-SA"/>
        </w:rPr>
      </w:pPr>
    </w:p>
    <w:p w:rsidR="005E3DE3" w:rsidRPr="005B4776" w:rsidRDefault="005E3DE3" w:rsidP="005B4776">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 xml:space="preserve">For these reasons, in 2003, the European Committee on Crime Problems (CDPC) entrusted the Committee of Experts on the revision of the Convention on Laundering, Search, Seizure and Confiscation of the Proceeds from Crime (PC-RM) to draft a protocol to the Strasbourg Convention. The PC-RM developed a text which both added to and modified provisions of that Convention. Owing to the extent of the modifications envisaged and the enlargement of the scope of the treaty to include issues concerning the financing of terrorism, it was decided that this text should be a separate convention, rather than a protocol to the Strasbourg Convention. The new “Warsaw Convention” was adopted by the Committee of Ministers on 3 May 2005 as CETS No. 198. It entered into force on 1 May 2008. </w:t>
      </w:r>
    </w:p>
    <w:p w:rsidR="005E3DE3" w:rsidRPr="005B4776" w:rsidRDefault="005E3DE3" w:rsidP="005B4776">
      <w:pPr>
        <w:suppressAutoHyphens/>
        <w:rPr>
          <w:rFonts w:eastAsia="MS Mincho" w:cs="Arial"/>
          <w:szCs w:val="20"/>
          <w:lang w:eastAsia="ar-SA"/>
        </w:rPr>
      </w:pPr>
    </w:p>
    <w:p w:rsidR="005E3DE3" w:rsidRPr="005B4776" w:rsidRDefault="005E3DE3" w:rsidP="005B4776">
      <w:pPr>
        <w:suppressAutoHyphens/>
        <w:rPr>
          <w:rFonts w:eastAsia="MS Mincho" w:cs="Arial"/>
          <w:szCs w:val="20"/>
          <w:u w:val="single"/>
          <w:lang w:eastAsia="ar-SA"/>
        </w:rPr>
      </w:pPr>
      <w:r w:rsidRPr="005B4776">
        <w:rPr>
          <w:rFonts w:eastAsia="MS Mincho" w:cs="Arial"/>
          <w:b/>
          <w:szCs w:val="20"/>
          <w:u w:val="single"/>
          <w:lang w:eastAsia="ar-SA"/>
        </w:rPr>
        <w:t>Content</w:t>
      </w:r>
      <w:r w:rsidRPr="005B4776">
        <w:rPr>
          <w:rFonts w:eastAsia="MS Mincho" w:cs="Arial"/>
          <w:szCs w:val="20"/>
          <w:u w:val="single"/>
          <w:lang w:eastAsia="ar-SA"/>
        </w:rPr>
        <w:t xml:space="preserve"> </w:t>
      </w:r>
    </w:p>
    <w:p w:rsidR="005E3DE3" w:rsidRPr="005B4776" w:rsidRDefault="005E3DE3" w:rsidP="005B4776">
      <w:pPr>
        <w:suppressAutoHyphens/>
        <w:rPr>
          <w:rFonts w:eastAsia="MS Mincho" w:cs="Arial"/>
          <w:szCs w:val="20"/>
          <w:lang w:eastAsia="ar-SA"/>
        </w:rPr>
      </w:pPr>
    </w:p>
    <w:p w:rsidR="005E3DE3" w:rsidRPr="005B4776" w:rsidRDefault="005E3DE3" w:rsidP="005B4776">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 xml:space="preserve">The Warsaw Convention builds on the successes of the Strasbourg Convention, thereby reinforcing the international anti-money laundering and combating the financing of terrorism (AML/CFT) standards as they stood after the adoption of the 2003 FATF recommendations. Even after the adoption of the revised FATF standards of 2012, the Convention remains ahead of current international AML/CFT standards in several respects. </w:t>
      </w:r>
    </w:p>
    <w:p w:rsidR="005E3DE3" w:rsidRPr="005B4776" w:rsidRDefault="005E3DE3" w:rsidP="005B4776">
      <w:pPr>
        <w:rPr>
          <w:rFonts w:cs="Arial"/>
          <w:b/>
          <w:szCs w:val="20"/>
        </w:rPr>
      </w:pPr>
    </w:p>
    <w:tbl>
      <w:tblPr>
        <w:tblW w:w="5000" w:type="pct"/>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Look w:val="04A0" w:firstRow="1" w:lastRow="0" w:firstColumn="1" w:lastColumn="0" w:noHBand="0" w:noVBand="1"/>
      </w:tblPr>
      <w:tblGrid>
        <w:gridCol w:w="9771"/>
      </w:tblGrid>
      <w:tr w:rsidR="005E3DE3" w:rsidRPr="005B4776" w:rsidTr="008271EF">
        <w:tc>
          <w:tcPr>
            <w:tcW w:w="5000" w:type="pct"/>
            <w:shd w:val="clear" w:color="auto" w:fill="auto"/>
          </w:tcPr>
          <w:p w:rsidR="005E3DE3" w:rsidRPr="005B4776" w:rsidRDefault="005E3DE3" w:rsidP="005B4776">
            <w:pPr>
              <w:rPr>
                <w:rFonts w:cs="Arial"/>
                <w:b/>
                <w:szCs w:val="20"/>
              </w:rPr>
            </w:pPr>
            <w:r w:rsidRPr="005B4776">
              <w:rPr>
                <w:rFonts w:cs="Arial"/>
                <w:b/>
                <w:szCs w:val="20"/>
              </w:rPr>
              <w:t>Overview of areas in which the Warsaw Convention</w:t>
            </w:r>
            <w:r w:rsidRPr="005B4776" w:rsidDel="006241C8">
              <w:rPr>
                <w:rFonts w:cs="Arial"/>
                <w:b/>
                <w:szCs w:val="20"/>
              </w:rPr>
              <w:t xml:space="preserve"> </w:t>
            </w:r>
            <w:r w:rsidRPr="005B4776">
              <w:rPr>
                <w:rFonts w:cs="Arial"/>
                <w:b/>
                <w:szCs w:val="20"/>
              </w:rPr>
              <w:t>has strengthened current international standards</w:t>
            </w:r>
          </w:p>
        </w:tc>
      </w:tr>
      <w:tr w:rsidR="005E3DE3" w:rsidRPr="005B4776" w:rsidTr="008271EF">
        <w:tc>
          <w:tcPr>
            <w:tcW w:w="5000" w:type="pct"/>
            <w:shd w:val="clear" w:color="auto" w:fill="auto"/>
          </w:tcPr>
          <w:p w:rsidR="005E3DE3" w:rsidRPr="005B4776" w:rsidRDefault="005E3DE3" w:rsidP="005B4776">
            <w:pPr>
              <w:rPr>
                <w:rFonts w:cs="Arial"/>
                <w:b/>
                <w:szCs w:val="20"/>
              </w:rPr>
            </w:pPr>
            <w:r w:rsidRPr="005B4776">
              <w:rPr>
                <w:rFonts w:cs="Arial"/>
                <w:b/>
                <w:szCs w:val="20"/>
              </w:rPr>
              <w:t>Criminalisation of money laundering</w:t>
            </w:r>
          </w:p>
          <w:p w:rsidR="005E3DE3" w:rsidRPr="005B4776" w:rsidRDefault="005E3DE3" w:rsidP="005B4776">
            <w:pPr>
              <w:rPr>
                <w:rFonts w:cs="Arial"/>
                <w:szCs w:val="20"/>
              </w:rPr>
            </w:pPr>
          </w:p>
          <w:p w:rsidR="005E3DE3" w:rsidRPr="005B4776" w:rsidRDefault="005E3DE3" w:rsidP="001A0A2B">
            <w:pPr>
              <w:numPr>
                <w:ilvl w:val="0"/>
                <w:numId w:val="16"/>
              </w:numPr>
              <w:ind w:left="426" w:hanging="426"/>
              <w:rPr>
                <w:rFonts w:cs="Arial"/>
                <w:szCs w:val="20"/>
              </w:rPr>
            </w:pPr>
            <w:r w:rsidRPr="005B4776">
              <w:rPr>
                <w:rFonts w:cs="Arial"/>
                <w:szCs w:val="20"/>
              </w:rPr>
              <w:t>The predicate offences to money laundering have to, as a minimum, include the categories of offence found in the appendix to the Convention, which puts the FATF requirements on this issue into an international legal treaty.</w:t>
            </w:r>
          </w:p>
          <w:p w:rsidR="005E3DE3" w:rsidRPr="005B4776" w:rsidRDefault="005E3DE3" w:rsidP="001A0A2B">
            <w:pPr>
              <w:ind w:left="426" w:hanging="426"/>
              <w:rPr>
                <w:rFonts w:cs="Arial"/>
                <w:szCs w:val="20"/>
              </w:rPr>
            </w:pPr>
          </w:p>
          <w:p w:rsidR="005E3DE3" w:rsidRPr="001A0A2B" w:rsidRDefault="005E3DE3" w:rsidP="001A0A2B">
            <w:pPr>
              <w:numPr>
                <w:ilvl w:val="0"/>
                <w:numId w:val="16"/>
              </w:numPr>
              <w:ind w:left="426" w:hanging="426"/>
              <w:rPr>
                <w:rFonts w:cs="Arial"/>
                <w:szCs w:val="20"/>
              </w:rPr>
            </w:pPr>
            <w:r w:rsidRPr="005B4776">
              <w:rPr>
                <w:rFonts w:cs="Arial"/>
                <w:szCs w:val="20"/>
              </w:rPr>
              <w:t>It clarifies (and puts into a legally binding instrument) that a prior or simultaneous conviction for the predicate offence is not required.</w:t>
            </w:r>
          </w:p>
        </w:tc>
      </w:tr>
    </w:tbl>
    <w:p w:rsidR="001A0A2B" w:rsidRDefault="001A0A2B">
      <w:r>
        <w:br w:type="page"/>
      </w:r>
    </w:p>
    <w:tbl>
      <w:tblPr>
        <w:tblW w:w="5000" w:type="pct"/>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Look w:val="04A0" w:firstRow="1" w:lastRow="0" w:firstColumn="1" w:lastColumn="0" w:noHBand="0" w:noVBand="1"/>
      </w:tblPr>
      <w:tblGrid>
        <w:gridCol w:w="9771"/>
      </w:tblGrid>
      <w:tr w:rsidR="001A0A2B" w:rsidRPr="005B4776" w:rsidTr="008271EF">
        <w:tc>
          <w:tcPr>
            <w:tcW w:w="5000" w:type="pct"/>
            <w:shd w:val="clear" w:color="auto" w:fill="auto"/>
          </w:tcPr>
          <w:p w:rsidR="001A0A2B" w:rsidRPr="005B4776" w:rsidRDefault="001A0A2B" w:rsidP="001A0A2B">
            <w:pPr>
              <w:numPr>
                <w:ilvl w:val="0"/>
                <w:numId w:val="16"/>
              </w:numPr>
              <w:ind w:left="426" w:hanging="426"/>
              <w:rPr>
                <w:rFonts w:cs="Arial"/>
                <w:szCs w:val="20"/>
              </w:rPr>
            </w:pPr>
            <w:r w:rsidRPr="005B4776">
              <w:rPr>
                <w:rFonts w:cs="Arial"/>
                <w:szCs w:val="20"/>
              </w:rPr>
              <w:t>It allows for lesser levels of mental element (</w:t>
            </w:r>
            <w:proofErr w:type="spellStart"/>
            <w:r w:rsidRPr="005B4776">
              <w:rPr>
                <w:rFonts w:cs="Arial"/>
                <w:i/>
                <w:szCs w:val="20"/>
              </w:rPr>
              <w:t>mens</w:t>
            </w:r>
            <w:proofErr w:type="spellEnd"/>
            <w:r w:rsidRPr="005B4776">
              <w:rPr>
                <w:rFonts w:cs="Arial"/>
                <w:i/>
                <w:szCs w:val="20"/>
              </w:rPr>
              <w:t xml:space="preserve"> </w:t>
            </w:r>
            <w:proofErr w:type="spellStart"/>
            <w:r w:rsidRPr="005B4776">
              <w:rPr>
                <w:rFonts w:cs="Arial"/>
                <w:i/>
                <w:szCs w:val="20"/>
              </w:rPr>
              <w:t>rea</w:t>
            </w:r>
            <w:proofErr w:type="spellEnd"/>
            <w:r w:rsidRPr="005B4776">
              <w:rPr>
                <w:rFonts w:cs="Arial"/>
                <w:szCs w:val="20"/>
              </w:rPr>
              <w:t>) for suspected money laundering.</w:t>
            </w:r>
          </w:p>
          <w:p w:rsidR="001A0A2B" w:rsidRPr="005B4776" w:rsidRDefault="001A0A2B" w:rsidP="001A0A2B">
            <w:pPr>
              <w:rPr>
                <w:rFonts w:cs="Arial"/>
                <w:szCs w:val="20"/>
              </w:rPr>
            </w:pPr>
          </w:p>
          <w:p w:rsidR="001A0A2B" w:rsidRPr="005B4776" w:rsidRDefault="001A0A2B" w:rsidP="001A0A2B">
            <w:pPr>
              <w:numPr>
                <w:ilvl w:val="0"/>
                <w:numId w:val="16"/>
              </w:numPr>
              <w:rPr>
                <w:rFonts w:cs="Arial"/>
                <w:szCs w:val="20"/>
              </w:rPr>
            </w:pPr>
            <w:r w:rsidRPr="005B4776">
              <w:rPr>
                <w:rFonts w:cs="Arial"/>
                <w:szCs w:val="20"/>
              </w:rPr>
              <w:t>It clarifies that prosecutors do not have to establish a particular underlying predicate offence on a specific time and date in a prosecution for autonomous money laundering. This is important when seeking to prosecute stand-alone money laundering offences by those who launder on behalf of organised criminals and on behalf of other third parties.</w:t>
            </w:r>
          </w:p>
          <w:p w:rsidR="001A0A2B" w:rsidRPr="005B4776" w:rsidRDefault="001A0A2B" w:rsidP="005B4776">
            <w:pPr>
              <w:rPr>
                <w:rFonts w:cs="Arial"/>
                <w:b/>
                <w:szCs w:val="20"/>
              </w:rPr>
            </w:pPr>
          </w:p>
        </w:tc>
      </w:tr>
      <w:tr w:rsidR="005E3DE3" w:rsidRPr="005B4776" w:rsidTr="008271EF">
        <w:tc>
          <w:tcPr>
            <w:tcW w:w="5000" w:type="pct"/>
            <w:shd w:val="clear" w:color="auto" w:fill="auto"/>
          </w:tcPr>
          <w:p w:rsidR="005E3DE3" w:rsidRPr="005B4776" w:rsidRDefault="005E3DE3" w:rsidP="005B4776">
            <w:pPr>
              <w:rPr>
                <w:rFonts w:cs="Arial"/>
                <w:b/>
                <w:szCs w:val="20"/>
              </w:rPr>
            </w:pPr>
            <w:r w:rsidRPr="005B4776">
              <w:rPr>
                <w:rFonts w:cs="Arial"/>
                <w:b/>
                <w:szCs w:val="20"/>
              </w:rPr>
              <w:t>Corporate liability</w:t>
            </w:r>
          </w:p>
          <w:p w:rsidR="005E3DE3" w:rsidRPr="005B4776" w:rsidRDefault="005E3DE3" w:rsidP="005B4776">
            <w:pPr>
              <w:rPr>
                <w:rFonts w:cs="Arial"/>
                <w:b/>
                <w:color w:val="548DD4"/>
                <w:szCs w:val="20"/>
              </w:rPr>
            </w:pPr>
          </w:p>
          <w:p w:rsidR="005E3DE3" w:rsidRPr="005B4776" w:rsidRDefault="005E3DE3" w:rsidP="001A0A2B">
            <w:pPr>
              <w:numPr>
                <w:ilvl w:val="0"/>
                <w:numId w:val="17"/>
              </w:numPr>
              <w:ind w:left="426" w:hanging="426"/>
              <w:rPr>
                <w:rFonts w:cs="Arial"/>
                <w:szCs w:val="20"/>
              </w:rPr>
            </w:pPr>
            <w:r w:rsidRPr="005B4776">
              <w:rPr>
                <w:rFonts w:cs="Arial"/>
                <w:szCs w:val="20"/>
              </w:rPr>
              <w:t xml:space="preserve">Some form of liability for money laundering (whether criminal, administrative or civil) is now a mandatory requirement if committed for the benefit of the legal person by any natural person, acting either individually or as part of an organ of that legal person, who has a leading position within the legal person. The leading position can be assumed to exist in three alternative situations.  </w:t>
            </w:r>
          </w:p>
          <w:p w:rsidR="005E3DE3" w:rsidRPr="005B4776" w:rsidRDefault="005E3DE3" w:rsidP="001A0A2B">
            <w:pPr>
              <w:ind w:left="426" w:hanging="426"/>
              <w:rPr>
                <w:rFonts w:cs="Arial"/>
                <w:szCs w:val="20"/>
              </w:rPr>
            </w:pPr>
          </w:p>
          <w:p w:rsidR="005E3DE3" w:rsidRPr="005B4776" w:rsidRDefault="005E3DE3" w:rsidP="001A0A2B">
            <w:pPr>
              <w:numPr>
                <w:ilvl w:val="0"/>
                <w:numId w:val="17"/>
              </w:numPr>
              <w:ind w:left="426" w:hanging="426"/>
              <w:rPr>
                <w:rFonts w:cs="Arial"/>
                <w:szCs w:val="20"/>
              </w:rPr>
            </w:pPr>
            <w:r w:rsidRPr="005B4776">
              <w:rPr>
                <w:rFonts w:cs="Arial"/>
                <w:szCs w:val="20"/>
              </w:rPr>
              <w:t>The Convention expressly covers the legal person’s liability for money laundering in cases where lack of supervision or control by the natural person (referred to above) has made it possible to commit the offence.</w:t>
            </w:r>
          </w:p>
          <w:p w:rsidR="005E3DE3" w:rsidRPr="005B4776" w:rsidRDefault="005E3DE3" w:rsidP="005B4776">
            <w:pPr>
              <w:rPr>
                <w:rFonts w:cs="Arial"/>
                <w:szCs w:val="20"/>
              </w:rPr>
            </w:pPr>
          </w:p>
        </w:tc>
      </w:tr>
      <w:tr w:rsidR="005E3DE3" w:rsidRPr="005B4776" w:rsidTr="008271EF">
        <w:tc>
          <w:tcPr>
            <w:tcW w:w="5000" w:type="pct"/>
            <w:shd w:val="clear" w:color="auto" w:fill="auto"/>
          </w:tcPr>
          <w:p w:rsidR="005E3DE3" w:rsidRPr="005B4776" w:rsidRDefault="005E3DE3" w:rsidP="005B4776">
            <w:pPr>
              <w:rPr>
                <w:rFonts w:cs="Arial"/>
                <w:b/>
                <w:szCs w:val="20"/>
              </w:rPr>
            </w:pPr>
            <w:r w:rsidRPr="005B4776">
              <w:rPr>
                <w:rFonts w:cs="Arial"/>
                <w:b/>
                <w:szCs w:val="20"/>
              </w:rPr>
              <w:t>International recidivism</w:t>
            </w:r>
          </w:p>
          <w:p w:rsidR="005E3DE3" w:rsidRPr="005B4776" w:rsidRDefault="005E3DE3" w:rsidP="005B4776">
            <w:pPr>
              <w:rPr>
                <w:rFonts w:cs="Arial"/>
                <w:b/>
                <w:color w:val="548DD4"/>
                <w:szCs w:val="20"/>
              </w:rPr>
            </w:pPr>
          </w:p>
          <w:p w:rsidR="005E3DE3" w:rsidRPr="005B4776" w:rsidRDefault="005E3DE3" w:rsidP="001A0A2B">
            <w:pPr>
              <w:numPr>
                <w:ilvl w:val="0"/>
                <w:numId w:val="18"/>
              </w:numPr>
              <w:ind w:left="426" w:hanging="426"/>
              <w:rPr>
                <w:rFonts w:cs="Arial"/>
                <w:szCs w:val="20"/>
              </w:rPr>
            </w:pPr>
            <w:r w:rsidRPr="005B4776">
              <w:rPr>
                <w:rFonts w:cs="Arial"/>
                <w:szCs w:val="20"/>
              </w:rPr>
              <w:t xml:space="preserve">The Convention requires the State to ensure that there is the possibility, when determining the penalty, to take into account final decisions taken in another State Party against a natural or legal person. </w:t>
            </w:r>
          </w:p>
          <w:p w:rsidR="005E3DE3" w:rsidRPr="005B4776" w:rsidRDefault="005E3DE3" w:rsidP="005B4776">
            <w:pPr>
              <w:rPr>
                <w:rFonts w:cs="Arial"/>
                <w:szCs w:val="20"/>
              </w:rPr>
            </w:pPr>
          </w:p>
        </w:tc>
      </w:tr>
      <w:tr w:rsidR="005E3DE3" w:rsidRPr="005B4776" w:rsidTr="008271EF">
        <w:tc>
          <w:tcPr>
            <w:tcW w:w="5000" w:type="pct"/>
            <w:shd w:val="clear" w:color="auto" w:fill="auto"/>
          </w:tcPr>
          <w:p w:rsidR="005E3DE3" w:rsidRPr="005B4776" w:rsidRDefault="005E3DE3" w:rsidP="005B4776">
            <w:pPr>
              <w:rPr>
                <w:rFonts w:cs="Arial"/>
                <w:b/>
                <w:szCs w:val="20"/>
              </w:rPr>
            </w:pPr>
            <w:r w:rsidRPr="005B4776">
              <w:rPr>
                <w:rFonts w:cs="Arial"/>
                <w:b/>
                <w:szCs w:val="20"/>
              </w:rPr>
              <w:t>Confiscation</w:t>
            </w:r>
          </w:p>
          <w:p w:rsidR="005E3DE3" w:rsidRPr="005B4776" w:rsidRDefault="005E3DE3" w:rsidP="005B4776">
            <w:pPr>
              <w:rPr>
                <w:rFonts w:cs="Arial"/>
                <w:b/>
                <w:color w:val="548DD4"/>
                <w:szCs w:val="20"/>
              </w:rPr>
            </w:pPr>
          </w:p>
          <w:p w:rsidR="005E3DE3" w:rsidRPr="005B4776" w:rsidRDefault="005E3DE3" w:rsidP="001A0A2B">
            <w:pPr>
              <w:numPr>
                <w:ilvl w:val="0"/>
                <w:numId w:val="19"/>
              </w:numPr>
              <w:ind w:left="426" w:hanging="426"/>
              <w:rPr>
                <w:rFonts w:cs="Arial"/>
                <w:color w:val="000000"/>
                <w:szCs w:val="20"/>
              </w:rPr>
            </w:pPr>
            <w:r w:rsidRPr="005B4776">
              <w:rPr>
                <w:rFonts w:cs="Arial"/>
                <w:color w:val="000000"/>
                <w:szCs w:val="20"/>
              </w:rPr>
              <w:t>A new concept of “laundered property” has been introduced, in order to ensure that confiscation of the property involved in an autonomous money laundering offence is possible.</w:t>
            </w:r>
          </w:p>
          <w:p w:rsidR="005E3DE3" w:rsidRPr="005B4776" w:rsidRDefault="005E3DE3" w:rsidP="001A0A2B">
            <w:pPr>
              <w:ind w:left="426" w:hanging="426"/>
              <w:rPr>
                <w:rFonts w:cs="Arial"/>
                <w:color w:val="000000"/>
                <w:szCs w:val="20"/>
              </w:rPr>
            </w:pPr>
          </w:p>
          <w:p w:rsidR="005E3DE3" w:rsidRPr="005B4776" w:rsidRDefault="005E3DE3" w:rsidP="001A0A2B">
            <w:pPr>
              <w:numPr>
                <w:ilvl w:val="0"/>
                <w:numId w:val="19"/>
              </w:numPr>
              <w:ind w:left="426" w:hanging="426"/>
              <w:rPr>
                <w:rFonts w:cs="Arial"/>
                <w:color w:val="000000"/>
                <w:szCs w:val="20"/>
              </w:rPr>
            </w:pPr>
            <w:r w:rsidRPr="005B4776">
              <w:rPr>
                <w:rFonts w:cs="Arial"/>
                <w:color w:val="000000"/>
                <w:szCs w:val="20"/>
              </w:rPr>
              <w:t>Confiscation must be available for money laundering and offences contained in the appendix to the Convention.</w:t>
            </w:r>
          </w:p>
          <w:p w:rsidR="005E3DE3" w:rsidRPr="005B4776" w:rsidRDefault="005E3DE3" w:rsidP="001A0A2B">
            <w:pPr>
              <w:ind w:left="426" w:hanging="426"/>
              <w:rPr>
                <w:rFonts w:cs="Arial"/>
                <w:color w:val="000000"/>
                <w:szCs w:val="20"/>
              </w:rPr>
            </w:pPr>
          </w:p>
          <w:p w:rsidR="005E3DE3" w:rsidRPr="005B4776" w:rsidRDefault="005E3DE3" w:rsidP="001A0A2B">
            <w:pPr>
              <w:numPr>
                <w:ilvl w:val="0"/>
                <w:numId w:val="19"/>
              </w:numPr>
              <w:ind w:left="426" w:hanging="426"/>
              <w:rPr>
                <w:rFonts w:cs="Arial"/>
                <w:color w:val="000000"/>
                <w:szCs w:val="20"/>
              </w:rPr>
            </w:pPr>
            <w:r w:rsidRPr="005B4776">
              <w:rPr>
                <w:rFonts w:cs="Arial"/>
                <w:color w:val="000000"/>
                <w:szCs w:val="20"/>
              </w:rPr>
              <w:t>Mandatory confiscation for some major proceeds-generating offences is contemplated.</w:t>
            </w:r>
          </w:p>
          <w:p w:rsidR="005E3DE3" w:rsidRPr="005B4776" w:rsidRDefault="005E3DE3" w:rsidP="001A0A2B">
            <w:pPr>
              <w:ind w:left="426" w:hanging="426"/>
              <w:rPr>
                <w:rFonts w:cs="Arial"/>
                <w:color w:val="000000"/>
                <w:szCs w:val="20"/>
              </w:rPr>
            </w:pPr>
          </w:p>
          <w:p w:rsidR="005E3DE3" w:rsidRPr="005B4776" w:rsidRDefault="005E3DE3" w:rsidP="001A0A2B">
            <w:pPr>
              <w:numPr>
                <w:ilvl w:val="0"/>
                <w:numId w:val="19"/>
              </w:numPr>
              <w:ind w:left="426" w:hanging="426"/>
              <w:rPr>
                <w:rFonts w:cs="Arial"/>
                <w:color w:val="000000"/>
                <w:szCs w:val="20"/>
              </w:rPr>
            </w:pPr>
            <w:r w:rsidRPr="005B4776">
              <w:rPr>
                <w:rFonts w:cs="Arial"/>
                <w:color w:val="000000"/>
                <w:szCs w:val="20"/>
              </w:rPr>
              <w:t>Reverse burden of proof is made possible for confiscation purposes. After a conviction for a serious offence, offenders are required to demonstrate the origin of alleged proceeds or other property liable to confiscation (to the extent that such a requirement is consistent with domestic law principles).</w:t>
            </w:r>
          </w:p>
          <w:p w:rsidR="005E3DE3" w:rsidRPr="005B4776" w:rsidRDefault="005E3DE3" w:rsidP="001A0A2B">
            <w:pPr>
              <w:pStyle w:val="ListParagraph"/>
              <w:ind w:left="426" w:hanging="426"/>
              <w:rPr>
                <w:rFonts w:cs="Arial"/>
                <w:szCs w:val="20"/>
                <w:lang w:val="en-US"/>
              </w:rPr>
            </w:pPr>
          </w:p>
          <w:p w:rsidR="005E3DE3" w:rsidRPr="005B4776" w:rsidRDefault="005E3DE3" w:rsidP="001A0A2B">
            <w:pPr>
              <w:numPr>
                <w:ilvl w:val="0"/>
                <w:numId w:val="19"/>
              </w:numPr>
              <w:ind w:left="426" w:hanging="426"/>
              <w:rPr>
                <w:rFonts w:cs="Arial"/>
                <w:color w:val="000000"/>
                <w:szCs w:val="20"/>
              </w:rPr>
            </w:pPr>
            <w:r w:rsidRPr="005B4776">
              <w:rPr>
                <w:rFonts w:cs="Arial"/>
                <w:color w:val="000000"/>
                <w:szCs w:val="20"/>
              </w:rPr>
              <w:t>There is a requirement to properly manage frozen or seized property.</w:t>
            </w:r>
          </w:p>
          <w:p w:rsidR="005E3DE3" w:rsidRPr="005B4776" w:rsidRDefault="005E3DE3" w:rsidP="001A0A2B">
            <w:pPr>
              <w:ind w:left="426" w:hanging="426"/>
              <w:rPr>
                <w:rFonts w:cs="Arial"/>
                <w:color w:val="000000"/>
                <w:szCs w:val="20"/>
              </w:rPr>
            </w:pPr>
          </w:p>
          <w:p w:rsidR="005E3DE3" w:rsidRPr="001A0A2B" w:rsidRDefault="005E3DE3" w:rsidP="005B4776">
            <w:pPr>
              <w:numPr>
                <w:ilvl w:val="0"/>
                <w:numId w:val="19"/>
              </w:numPr>
              <w:ind w:left="426" w:hanging="426"/>
              <w:rPr>
                <w:rFonts w:cs="Arial"/>
                <w:color w:val="000000"/>
                <w:szCs w:val="20"/>
              </w:rPr>
            </w:pPr>
            <w:r w:rsidRPr="005B4776">
              <w:rPr>
                <w:rFonts w:cs="Arial"/>
                <w:color w:val="000000"/>
                <w:szCs w:val="20"/>
              </w:rPr>
              <w:t>There is a requirement that priority consideration be given to returning assets, where requested, and concluding agreements in this respect.</w:t>
            </w:r>
          </w:p>
          <w:p w:rsidR="005E3DE3" w:rsidRPr="005B4776" w:rsidRDefault="005E3DE3" w:rsidP="005B4776">
            <w:pPr>
              <w:rPr>
                <w:rFonts w:cs="Arial"/>
                <w:color w:val="000000"/>
                <w:szCs w:val="20"/>
              </w:rPr>
            </w:pPr>
          </w:p>
        </w:tc>
      </w:tr>
      <w:tr w:rsidR="005E3DE3" w:rsidRPr="005B4776" w:rsidTr="008271EF">
        <w:tc>
          <w:tcPr>
            <w:tcW w:w="5000" w:type="pct"/>
            <w:tcBorders>
              <w:top w:val="single" w:sz="12" w:space="0" w:color="548DD4"/>
              <w:left w:val="single" w:sz="12" w:space="0" w:color="548DD4"/>
              <w:bottom w:val="single" w:sz="12" w:space="0" w:color="548DD4"/>
              <w:right w:val="single" w:sz="12" w:space="0" w:color="548DD4"/>
            </w:tcBorders>
            <w:shd w:val="clear" w:color="auto" w:fill="auto"/>
          </w:tcPr>
          <w:p w:rsidR="005E3DE3" w:rsidRPr="005B4776" w:rsidRDefault="005E3DE3" w:rsidP="005B4776">
            <w:pPr>
              <w:rPr>
                <w:rFonts w:cs="Arial"/>
                <w:b/>
                <w:szCs w:val="20"/>
              </w:rPr>
            </w:pPr>
            <w:r w:rsidRPr="005B4776">
              <w:rPr>
                <w:rFonts w:cs="Arial"/>
                <w:b/>
                <w:szCs w:val="20"/>
              </w:rPr>
              <w:t>Investigative powers or techniques</w:t>
            </w:r>
          </w:p>
          <w:p w:rsidR="005E3DE3" w:rsidRPr="005B4776" w:rsidRDefault="005E3DE3" w:rsidP="005B4776">
            <w:pPr>
              <w:rPr>
                <w:rFonts w:cs="Arial"/>
                <w:b/>
                <w:szCs w:val="20"/>
              </w:rPr>
            </w:pPr>
          </w:p>
          <w:p w:rsidR="005E3DE3" w:rsidRPr="005B4776" w:rsidRDefault="005E3DE3" w:rsidP="005B4776">
            <w:pPr>
              <w:rPr>
                <w:rFonts w:cs="Arial"/>
                <w:szCs w:val="20"/>
              </w:rPr>
            </w:pPr>
            <w:r w:rsidRPr="005B4776">
              <w:rPr>
                <w:rFonts w:cs="Arial"/>
                <w:szCs w:val="20"/>
              </w:rPr>
              <w:t>The provisions of the Convention require that:</w:t>
            </w:r>
          </w:p>
          <w:p w:rsidR="005E3DE3" w:rsidRPr="005B4776" w:rsidRDefault="005E3DE3" w:rsidP="005B4776">
            <w:pPr>
              <w:rPr>
                <w:rFonts w:cs="Arial"/>
                <w:szCs w:val="20"/>
              </w:rPr>
            </w:pPr>
          </w:p>
          <w:p w:rsidR="005E3DE3" w:rsidRPr="005B4776" w:rsidRDefault="005E3DE3" w:rsidP="001A0A2B">
            <w:pPr>
              <w:numPr>
                <w:ilvl w:val="0"/>
                <w:numId w:val="20"/>
              </w:numPr>
              <w:ind w:left="426" w:hanging="426"/>
              <w:rPr>
                <w:rFonts w:cs="Arial"/>
                <w:szCs w:val="20"/>
              </w:rPr>
            </w:pPr>
            <w:r w:rsidRPr="005B4776">
              <w:rPr>
                <w:rFonts w:cs="Arial"/>
                <w:szCs w:val="20"/>
              </w:rPr>
              <w:t>courts/other competent authorities are empowered to order that bank, financial or commercial records are made available so that freezing, seizure and confiscation is possible;</w:t>
            </w:r>
          </w:p>
          <w:p w:rsidR="005E3DE3" w:rsidRPr="005B4776" w:rsidRDefault="005E3DE3" w:rsidP="001A0A2B">
            <w:pPr>
              <w:ind w:left="426" w:hanging="426"/>
              <w:rPr>
                <w:rFonts w:cs="Arial"/>
                <w:szCs w:val="20"/>
              </w:rPr>
            </w:pPr>
          </w:p>
          <w:p w:rsidR="005E3DE3" w:rsidRPr="005B4776" w:rsidRDefault="005E3DE3" w:rsidP="001A0A2B">
            <w:pPr>
              <w:numPr>
                <w:ilvl w:val="0"/>
                <w:numId w:val="20"/>
              </w:numPr>
              <w:ind w:left="426" w:hanging="426"/>
              <w:rPr>
                <w:rFonts w:cs="Arial"/>
                <w:szCs w:val="20"/>
              </w:rPr>
            </w:pPr>
            <w:r w:rsidRPr="005B4776">
              <w:rPr>
                <w:rFonts w:cs="Arial"/>
                <w:szCs w:val="20"/>
              </w:rPr>
              <w:t>States Parties should ensure that their competent authorities have the power to determine whether a natural/legal person holds an account and to obtain the details;</w:t>
            </w:r>
          </w:p>
          <w:p w:rsidR="005E3DE3" w:rsidRPr="005B4776" w:rsidRDefault="005E3DE3" w:rsidP="001A0A2B">
            <w:pPr>
              <w:ind w:left="426" w:hanging="426"/>
              <w:rPr>
                <w:rFonts w:cs="Arial"/>
                <w:szCs w:val="20"/>
              </w:rPr>
            </w:pPr>
          </w:p>
          <w:p w:rsidR="005E3DE3" w:rsidRPr="005B4776" w:rsidRDefault="005E3DE3" w:rsidP="001A0A2B">
            <w:pPr>
              <w:numPr>
                <w:ilvl w:val="0"/>
                <w:numId w:val="20"/>
              </w:numPr>
              <w:ind w:left="426" w:hanging="426"/>
              <w:rPr>
                <w:rFonts w:cs="Arial"/>
                <w:szCs w:val="20"/>
              </w:rPr>
            </w:pPr>
            <w:r w:rsidRPr="005B4776">
              <w:rPr>
                <w:rFonts w:cs="Arial"/>
                <w:szCs w:val="20"/>
              </w:rPr>
              <w:t>States Parties should ensure that their competent authorities have the power to obtain “historical” banking information;</w:t>
            </w:r>
          </w:p>
          <w:p w:rsidR="005E3DE3" w:rsidRPr="005B4776" w:rsidRDefault="005E3DE3" w:rsidP="001A0A2B">
            <w:pPr>
              <w:ind w:left="426" w:hanging="426"/>
              <w:rPr>
                <w:rFonts w:cs="Arial"/>
                <w:szCs w:val="20"/>
              </w:rPr>
            </w:pPr>
          </w:p>
          <w:p w:rsidR="005E3DE3" w:rsidRPr="005B4776" w:rsidRDefault="005E3DE3" w:rsidP="001A0A2B">
            <w:pPr>
              <w:numPr>
                <w:ilvl w:val="0"/>
                <w:numId w:val="20"/>
              </w:numPr>
              <w:ind w:left="426" w:hanging="426"/>
              <w:rPr>
                <w:rFonts w:cs="Arial"/>
                <w:szCs w:val="20"/>
              </w:rPr>
            </w:pPr>
            <w:r w:rsidRPr="005B4776">
              <w:rPr>
                <w:rFonts w:cs="Arial"/>
                <w:szCs w:val="20"/>
              </w:rPr>
              <w:t>competent authorities have the power to conduct prospective monitoring of accounts;</w:t>
            </w:r>
          </w:p>
          <w:p w:rsidR="005E3DE3" w:rsidRPr="005B4776" w:rsidRDefault="005E3DE3" w:rsidP="001A0A2B">
            <w:pPr>
              <w:ind w:left="426" w:hanging="426"/>
              <w:rPr>
                <w:rFonts w:cs="Arial"/>
                <w:szCs w:val="20"/>
              </w:rPr>
            </w:pPr>
          </w:p>
          <w:p w:rsidR="005E3DE3" w:rsidRPr="005B4776" w:rsidRDefault="005E3DE3" w:rsidP="001A0A2B">
            <w:pPr>
              <w:numPr>
                <w:ilvl w:val="0"/>
                <w:numId w:val="20"/>
              </w:numPr>
              <w:ind w:left="426" w:hanging="426"/>
              <w:rPr>
                <w:rFonts w:cs="Arial"/>
                <w:szCs w:val="20"/>
              </w:rPr>
            </w:pPr>
            <w:r w:rsidRPr="005B4776">
              <w:rPr>
                <w:rFonts w:cs="Arial"/>
                <w:szCs w:val="20"/>
              </w:rPr>
              <w:t>States Parties should ensure that their competent authorities consider extending these powers to non-banking financial institutions.</w:t>
            </w:r>
          </w:p>
          <w:p w:rsidR="005E3DE3" w:rsidRPr="005B4776" w:rsidRDefault="005E3DE3" w:rsidP="005B4776">
            <w:pPr>
              <w:rPr>
                <w:rFonts w:cs="Arial"/>
                <w:b/>
                <w:szCs w:val="20"/>
              </w:rPr>
            </w:pPr>
          </w:p>
        </w:tc>
      </w:tr>
    </w:tbl>
    <w:p w:rsidR="005E3DE3" w:rsidRPr="005B4776" w:rsidRDefault="005E3DE3" w:rsidP="005B4776">
      <w:pPr>
        <w:rPr>
          <w:rFonts w:cs="Arial"/>
          <w:szCs w:val="20"/>
        </w:rPr>
      </w:pPr>
      <w:r w:rsidRPr="005B4776">
        <w:rPr>
          <w:rFonts w:cs="Arial"/>
          <w:szCs w:val="20"/>
        </w:rPr>
        <w:br w:type="page"/>
      </w:r>
    </w:p>
    <w:tbl>
      <w:tblPr>
        <w:tblW w:w="5000" w:type="pct"/>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Look w:val="04A0" w:firstRow="1" w:lastRow="0" w:firstColumn="1" w:lastColumn="0" w:noHBand="0" w:noVBand="1"/>
      </w:tblPr>
      <w:tblGrid>
        <w:gridCol w:w="9771"/>
      </w:tblGrid>
      <w:tr w:rsidR="005E3DE3" w:rsidRPr="005B4776" w:rsidTr="008271EF">
        <w:tc>
          <w:tcPr>
            <w:tcW w:w="5000" w:type="pct"/>
            <w:tcBorders>
              <w:top w:val="single" w:sz="12" w:space="0" w:color="548DD4"/>
              <w:left w:val="single" w:sz="12" w:space="0" w:color="548DD4"/>
              <w:bottom w:val="single" w:sz="12" w:space="0" w:color="548DD4"/>
              <w:right w:val="single" w:sz="12" w:space="0" w:color="548DD4"/>
            </w:tcBorders>
            <w:shd w:val="clear" w:color="auto" w:fill="auto"/>
          </w:tcPr>
          <w:p w:rsidR="005E3DE3" w:rsidRPr="005B4776" w:rsidRDefault="005E3DE3" w:rsidP="005B4776">
            <w:pPr>
              <w:rPr>
                <w:rFonts w:cs="Arial"/>
                <w:b/>
                <w:szCs w:val="20"/>
              </w:rPr>
            </w:pPr>
            <w:r w:rsidRPr="005B4776">
              <w:rPr>
                <w:rFonts w:cs="Arial"/>
                <w:b/>
                <w:szCs w:val="20"/>
              </w:rPr>
              <w:t>International co-operation</w:t>
            </w:r>
          </w:p>
          <w:p w:rsidR="005E3DE3" w:rsidRPr="005B4776" w:rsidRDefault="005E3DE3" w:rsidP="005B4776">
            <w:pPr>
              <w:rPr>
                <w:rFonts w:cs="Arial"/>
                <w:b/>
                <w:szCs w:val="20"/>
              </w:rPr>
            </w:pPr>
          </w:p>
          <w:p w:rsidR="005E3DE3" w:rsidRPr="008271EF" w:rsidRDefault="005E3DE3" w:rsidP="005B4776">
            <w:pPr>
              <w:rPr>
                <w:rFonts w:cs="Arial"/>
                <w:szCs w:val="20"/>
              </w:rPr>
            </w:pPr>
            <w:r w:rsidRPr="008271EF">
              <w:rPr>
                <w:rFonts w:cs="Arial"/>
                <w:szCs w:val="20"/>
              </w:rPr>
              <w:t>States Parties are required to:</w:t>
            </w:r>
          </w:p>
          <w:p w:rsidR="005E3DE3" w:rsidRPr="005B4776" w:rsidRDefault="005E3DE3" w:rsidP="005B4776">
            <w:pPr>
              <w:rPr>
                <w:rFonts w:cs="Arial"/>
                <w:b/>
                <w:szCs w:val="20"/>
              </w:rPr>
            </w:pPr>
          </w:p>
          <w:p w:rsidR="005E3DE3" w:rsidRPr="005B4776" w:rsidRDefault="005E3DE3" w:rsidP="001A0A2B">
            <w:pPr>
              <w:numPr>
                <w:ilvl w:val="0"/>
                <w:numId w:val="21"/>
              </w:numPr>
              <w:ind w:left="426" w:hanging="426"/>
              <w:rPr>
                <w:rFonts w:cs="Arial"/>
                <w:szCs w:val="20"/>
              </w:rPr>
            </w:pPr>
            <w:r w:rsidRPr="005B4776">
              <w:rPr>
                <w:rFonts w:cs="Arial"/>
                <w:szCs w:val="20"/>
              </w:rPr>
              <w:t>co-operate to the widest extent possible where assistance is requested in respect of non-conviction-based confiscation orders;</w:t>
            </w:r>
          </w:p>
          <w:p w:rsidR="005E3DE3" w:rsidRPr="005B4776" w:rsidRDefault="005E3DE3" w:rsidP="001A0A2B">
            <w:pPr>
              <w:ind w:left="426" w:hanging="426"/>
              <w:rPr>
                <w:rFonts w:cs="Arial"/>
                <w:szCs w:val="20"/>
              </w:rPr>
            </w:pPr>
          </w:p>
          <w:p w:rsidR="005E3DE3" w:rsidRPr="005B4776" w:rsidRDefault="005E3DE3" w:rsidP="001A0A2B">
            <w:pPr>
              <w:numPr>
                <w:ilvl w:val="0"/>
                <w:numId w:val="21"/>
              </w:numPr>
              <w:ind w:left="426" w:hanging="426"/>
              <w:rPr>
                <w:rFonts w:cs="Arial"/>
                <w:szCs w:val="20"/>
              </w:rPr>
            </w:pPr>
            <w:r w:rsidRPr="005B4776">
              <w:rPr>
                <w:rFonts w:cs="Arial"/>
                <w:szCs w:val="20"/>
              </w:rPr>
              <w:t>provide international assistance in respect of requests for information on whether subjects of criminal investigations abroad hold or control accounts in the requested State Party;</w:t>
            </w:r>
          </w:p>
          <w:p w:rsidR="005E3DE3" w:rsidRPr="005B4776" w:rsidRDefault="005E3DE3" w:rsidP="001A0A2B">
            <w:pPr>
              <w:ind w:left="426" w:hanging="426"/>
              <w:rPr>
                <w:rFonts w:cs="Arial"/>
                <w:szCs w:val="20"/>
              </w:rPr>
            </w:pPr>
          </w:p>
          <w:p w:rsidR="005E3DE3" w:rsidRPr="005B4776" w:rsidRDefault="005E3DE3" w:rsidP="001A0A2B">
            <w:pPr>
              <w:numPr>
                <w:ilvl w:val="0"/>
                <w:numId w:val="21"/>
              </w:numPr>
              <w:ind w:left="426" w:hanging="426"/>
              <w:rPr>
                <w:rFonts w:cs="Arial"/>
                <w:szCs w:val="20"/>
              </w:rPr>
            </w:pPr>
            <w:r w:rsidRPr="005B4776">
              <w:rPr>
                <w:rFonts w:cs="Arial"/>
                <w:szCs w:val="20"/>
              </w:rPr>
              <w:t>provide international assistance in respect of requests for historical information on banking transactions in the requested party (may be extended to non-bank financial institutions);</w:t>
            </w:r>
          </w:p>
          <w:p w:rsidR="005E3DE3" w:rsidRPr="005B4776" w:rsidRDefault="005E3DE3" w:rsidP="001A0A2B">
            <w:pPr>
              <w:ind w:left="426" w:hanging="426"/>
              <w:rPr>
                <w:rFonts w:cs="Arial"/>
                <w:szCs w:val="20"/>
              </w:rPr>
            </w:pPr>
          </w:p>
          <w:p w:rsidR="005E3DE3" w:rsidRPr="005B4776" w:rsidRDefault="005E3DE3" w:rsidP="001A0A2B">
            <w:pPr>
              <w:numPr>
                <w:ilvl w:val="0"/>
                <w:numId w:val="21"/>
              </w:numPr>
              <w:ind w:left="426" w:hanging="426"/>
              <w:rPr>
                <w:rFonts w:cs="Arial"/>
                <w:szCs w:val="20"/>
              </w:rPr>
            </w:pPr>
            <w:r w:rsidRPr="005B4776">
              <w:rPr>
                <w:rFonts w:cs="Arial"/>
                <w:szCs w:val="20"/>
              </w:rPr>
              <w:t>provide international assistance in relation to requests for prospective monitoring of banking transactions in the requested party (may be extended to non-bank financial institutions);</w:t>
            </w:r>
          </w:p>
          <w:p w:rsidR="005E3DE3" w:rsidRPr="005B4776" w:rsidRDefault="005E3DE3" w:rsidP="001A0A2B">
            <w:pPr>
              <w:ind w:left="426" w:hanging="426"/>
              <w:rPr>
                <w:rFonts w:cs="Arial"/>
                <w:szCs w:val="20"/>
              </w:rPr>
            </w:pPr>
          </w:p>
          <w:p w:rsidR="005E3DE3" w:rsidRPr="005B4776" w:rsidRDefault="005E3DE3" w:rsidP="001A0A2B">
            <w:pPr>
              <w:numPr>
                <w:ilvl w:val="0"/>
                <w:numId w:val="21"/>
              </w:numPr>
              <w:ind w:left="426" w:hanging="426"/>
              <w:rPr>
                <w:rFonts w:cs="Arial"/>
                <w:b/>
                <w:szCs w:val="20"/>
              </w:rPr>
            </w:pPr>
            <w:proofErr w:type="gramStart"/>
            <w:r w:rsidRPr="005B4776">
              <w:rPr>
                <w:rFonts w:cs="Arial"/>
                <w:szCs w:val="20"/>
              </w:rPr>
              <w:t>provide</w:t>
            </w:r>
            <w:proofErr w:type="gramEnd"/>
            <w:r w:rsidRPr="005B4776">
              <w:rPr>
                <w:rFonts w:cs="Arial"/>
                <w:szCs w:val="20"/>
              </w:rPr>
              <w:t xml:space="preserve"> for the possibility of direct communication prior to a formal request being sent.</w:t>
            </w:r>
          </w:p>
          <w:p w:rsidR="005E3DE3" w:rsidRPr="005B4776" w:rsidRDefault="005E3DE3" w:rsidP="005B4776">
            <w:pPr>
              <w:rPr>
                <w:rFonts w:cs="Arial"/>
                <w:b/>
                <w:szCs w:val="20"/>
              </w:rPr>
            </w:pPr>
          </w:p>
        </w:tc>
      </w:tr>
      <w:tr w:rsidR="005E3DE3" w:rsidRPr="005B4776" w:rsidTr="008271EF">
        <w:tc>
          <w:tcPr>
            <w:tcW w:w="5000" w:type="pct"/>
            <w:tcBorders>
              <w:top w:val="single" w:sz="12" w:space="0" w:color="548DD4"/>
              <w:left w:val="single" w:sz="12" w:space="0" w:color="548DD4"/>
              <w:bottom w:val="single" w:sz="12" w:space="0" w:color="548DD4"/>
              <w:right w:val="single" w:sz="12" w:space="0" w:color="548DD4"/>
            </w:tcBorders>
            <w:shd w:val="clear" w:color="auto" w:fill="auto"/>
          </w:tcPr>
          <w:p w:rsidR="005E3DE3" w:rsidRPr="005B4776" w:rsidRDefault="005E3DE3" w:rsidP="005B4776">
            <w:pPr>
              <w:rPr>
                <w:rFonts w:cs="Arial"/>
                <w:b/>
                <w:szCs w:val="20"/>
              </w:rPr>
            </w:pPr>
            <w:r w:rsidRPr="005B4776">
              <w:rPr>
                <w:rFonts w:cs="Arial"/>
                <w:b/>
                <w:szCs w:val="20"/>
              </w:rPr>
              <w:t>International co-operation between financial intelligence units</w:t>
            </w:r>
          </w:p>
          <w:p w:rsidR="005E3DE3" w:rsidRPr="005B4776" w:rsidRDefault="005E3DE3" w:rsidP="005B4776">
            <w:pPr>
              <w:rPr>
                <w:rFonts w:cs="Arial"/>
                <w:b/>
                <w:szCs w:val="20"/>
              </w:rPr>
            </w:pPr>
          </w:p>
          <w:p w:rsidR="005E3DE3" w:rsidRPr="005B4776" w:rsidRDefault="005E3DE3" w:rsidP="001A0A2B">
            <w:pPr>
              <w:numPr>
                <w:ilvl w:val="0"/>
                <w:numId w:val="22"/>
              </w:numPr>
              <w:ind w:left="426" w:hanging="426"/>
              <w:rPr>
                <w:rFonts w:cs="Arial"/>
                <w:szCs w:val="20"/>
              </w:rPr>
            </w:pPr>
            <w:r w:rsidRPr="005B4776">
              <w:rPr>
                <w:rFonts w:cs="Arial"/>
                <w:szCs w:val="20"/>
              </w:rPr>
              <w:t>The Convention includes detailed provisions on FIU co-operation, which is not subject to the same formalities as judicial co-operation.</w:t>
            </w:r>
          </w:p>
          <w:p w:rsidR="005E3DE3" w:rsidRPr="005B4776" w:rsidRDefault="005E3DE3" w:rsidP="005B4776">
            <w:pPr>
              <w:rPr>
                <w:rFonts w:cs="Arial"/>
                <w:b/>
                <w:szCs w:val="20"/>
              </w:rPr>
            </w:pPr>
          </w:p>
        </w:tc>
      </w:tr>
      <w:tr w:rsidR="005E3DE3" w:rsidRPr="005B4776" w:rsidTr="008271EF">
        <w:tc>
          <w:tcPr>
            <w:tcW w:w="5000" w:type="pct"/>
            <w:tcBorders>
              <w:top w:val="single" w:sz="12" w:space="0" w:color="548DD4"/>
              <w:left w:val="single" w:sz="12" w:space="0" w:color="548DD4"/>
              <w:bottom w:val="single" w:sz="12" w:space="0" w:color="548DD4"/>
              <w:right w:val="single" w:sz="12" w:space="0" w:color="548DD4"/>
            </w:tcBorders>
            <w:shd w:val="clear" w:color="auto" w:fill="auto"/>
          </w:tcPr>
          <w:p w:rsidR="005E3DE3" w:rsidRPr="005B4776" w:rsidRDefault="005E3DE3" w:rsidP="005B4776">
            <w:pPr>
              <w:rPr>
                <w:rFonts w:cs="Arial"/>
                <w:b/>
                <w:szCs w:val="20"/>
              </w:rPr>
            </w:pPr>
            <w:r w:rsidRPr="005B4776">
              <w:rPr>
                <w:rFonts w:cs="Arial"/>
                <w:b/>
                <w:szCs w:val="20"/>
              </w:rPr>
              <w:t xml:space="preserve">Postponement of suspicious domestic transactions </w:t>
            </w:r>
          </w:p>
          <w:p w:rsidR="005E3DE3" w:rsidRPr="005B4776" w:rsidRDefault="005E3DE3" w:rsidP="005B4776">
            <w:pPr>
              <w:rPr>
                <w:rFonts w:cs="Arial"/>
                <w:b/>
                <w:szCs w:val="20"/>
              </w:rPr>
            </w:pPr>
          </w:p>
          <w:p w:rsidR="005E3DE3" w:rsidRPr="005B4776" w:rsidRDefault="005E3DE3" w:rsidP="001A0A2B">
            <w:pPr>
              <w:numPr>
                <w:ilvl w:val="0"/>
                <w:numId w:val="23"/>
              </w:numPr>
              <w:ind w:left="426" w:hanging="426"/>
              <w:rPr>
                <w:rFonts w:cs="Arial"/>
                <w:szCs w:val="20"/>
              </w:rPr>
            </w:pPr>
            <w:r w:rsidRPr="005B4776">
              <w:rPr>
                <w:rFonts w:cs="Arial"/>
                <w:szCs w:val="20"/>
              </w:rPr>
              <w:t>The Convention requires States Parties to take measures to permit urgent action in appropriate cases to suspend or withhold consent to a transaction going ahead in order to analyse the transaction and confirm the suspicion.</w:t>
            </w:r>
          </w:p>
          <w:p w:rsidR="005E3DE3" w:rsidRPr="005B4776" w:rsidRDefault="005E3DE3" w:rsidP="005B4776">
            <w:pPr>
              <w:rPr>
                <w:rFonts w:cs="Arial"/>
                <w:b/>
                <w:szCs w:val="20"/>
              </w:rPr>
            </w:pPr>
          </w:p>
        </w:tc>
      </w:tr>
      <w:tr w:rsidR="005E3DE3" w:rsidRPr="005B4776" w:rsidTr="008271EF">
        <w:tc>
          <w:tcPr>
            <w:tcW w:w="5000" w:type="pct"/>
            <w:tcBorders>
              <w:top w:val="single" w:sz="12" w:space="0" w:color="548DD4"/>
              <w:left w:val="single" w:sz="12" w:space="0" w:color="548DD4"/>
              <w:bottom w:val="single" w:sz="12" w:space="0" w:color="548DD4"/>
              <w:right w:val="single" w:sz="12" w:space="0" w:color="548DD4"/>
            </w:tcBorders>
            <w:shd w:val="clear" w:color="auto" w:fill="auto"/>
          </w:tcPr>
          <w:p w:rsidR="005E3DE3" w:rsidRPr="005B4776" w:rsidRDefault="005E3DE3" w:rsidP="005B4776">
            <w:pPr>
              <w:rPr>
                <w:rFonts w:cs="Arial"/>
                <w:b/>
                <w:szCs w:val="20"/>
              </w:rPr>
            </w:pPr>
            <w:r w:rsidRPr="005B4776">
              <w:rPr>
                <w:rFonts w:cs="Arial"/>
                <w:b/>
                <w:szCs w:val="20"/>
              </w:rPr>
              <w:t>Postponement of suspicious transactions on request from a foreign financial intelligence unit</w:t>
            </w:r>
          </w:p>
          <w:p w:rsidR="005E3DE3" w:rsidRPr="005B4776" w:rsidRDefault="005E3DE3" w:rsidP="005B4776">
            <w:pPr>
              <w:rPr>
                <w:rFonts w:cs="Arial"/>
                <w:b/>
                <w:szCs w:val="20"/>
              </w:rPr>
            </w:pPr>
          </w:p>
          <w:p w:rsidR="005E3DE3" w:rsidRPr="005B4776" w:rsidRDefault="005E3DE3" w:rsidP="001A0A2B">
            <w:pPr>
              <w:numPr>
                <w:ilvl w:val="0"/>
                <w:numId w:val="24"/>
              </w:numPr>
              <w:ind w:left="426" w:hanging="426"/>
              <w:rPr>
                <w:rFonts w:cs="Arial"/>
                <w:szCs w:val="20"/>
              </w:rPr>
            </w:pPr>
            <w:r w:rsidRPr="005B4776">
              <w:rPr>
                <w:rFonts w:cs="Arial"/>
                <w:szCs w:val="20"/>
              </w:rPr>
              <w:t>States Parties are required to adopt measures to permit urgent action to be initiated by a financial intelligence unit, at the request of a foreign financial intelligence unit, to suspend or withhold consent to a transaction going ahead.</w:t>
            </w:r>
          </w:p>
          <w:p w:rsidR="005E3DE3" w:rsidRPr="005B4776" w:rsidRDefault="005E3DE3" w:rsidP="005B4776">
            <w:pPr>
              <w:rPr>
                <w:rFonts w:cs="Arial"/>
                <w:b/>
                <w:szCs w:val="20"/>
              </w:rPr>
            </w:pPr>
          </w:p>
        </w:tc>
      </w:tr>
      <w:tr w:rsidR="005E3DE3" w:rsidRPr="005B4776" w:rsidTr="008271EF">
        <w:tc>
          <w:tcPr>
            <w:tcW w:w="5000" w:type="pct"/>
            <w:tcBorders>
              <w:top w:val="single" w:sz="12" w:space="0" w:color="548DD4"/>
              <w:left w:val="single" w:sz="12" w:space="0" w:color="548DD4"/>
              <w:bottom w:val="single" w:sz="12" w:space="0" w:color="548DD4"/>
              <w:right w:val="single" w:sz="12" w:space="0" w:color="548DD4"/>
            </w:tcBorders>
            <w:shd w:val="clear" w:color="auto" w:fill="auto"/>
          </w:tcPr>
          <w:p w:rsidR="005E3DE3" w:rsidRPr="005B4776" w:rsidRDefault="005E3DE3" w:rsidP="005B4776">
            <w:pPr>
              <w:rPr>
                <w:rFonts w:cs="Arial"/>
                <w:b/>
                <w:szCs w:val="20"/>
              </w:rPr>
            </w:pPr>
            <w:r w:rsidRPr="005B4776">
              <w:rPr>
                <w:rFonts w:cs="Arial"/>
                <w:b/>
                <w:szCs w:val="20"/>
              </w:rPr>
              <w:t>Refusal and postponement of co-operation</w:t>
            </w:r>
          </w:p>
          <w:p w:rsidR="005E3DE3" w:rsidRPr="005B4776" w:rsidRDefault="005E3DE3" w:rsidP="005B4776">
            <w:pPr>
              <w:rPr>
                <w:rFonts w:cs="Arial"/>
                <w:b/>
                <w:szCs w:val="20"/>
              </w:rPr>
            </w:pPr>
          </w:p>
          <w:p w:rsidR="005E3DE3" w:rsidRPr="005B4776" w:rsidRDefault="005E3DE3" w:rsidP="001A0A2B">
            <w:pPr>
              <w:numPr>
                <w:ilvl w:val="0"/>
                <w:numId w:val="25"/>
              </w:numPr>
              <w:ind w:left="426" w:hanging="426"/>
              <w:rPr>
                <w:rFonts w:cs="Arial"/>
                <w:szCs w:val="20"/>
              </w:rPr>
            </w:pPr>
            <w:r w:rsidRPr="005B4776">
              <w:rPr>
                <w:rFonts w:cs="Arial"/>
                <w:szCs w:val="20"/>
              </w:rPr>
              <w:t>Provision is made to prevent the refusal of international judicial co-operation on grounds that the request relates to a political offence or to a fiscal offence when the request relates to financing of terrorism.</w:t>
            </w:r>
          </w:p>
          <w:p w:rsidR="005E3DE3" w:rsidRPr="005B4776" w:rsidRDefault="005E3DE3" w:rsidP="001A0A2B">
            <w:pPr>
              <w:ind w:left="426" w:hanging="426"/>
              <w:rPr>
                <w:rFonts w:cs="Arial"/>
                <w:szCs w:val="20"/>
              </w:rPr>
            </w:pPr>
          </w:p>
          <w:p w:rsidR="005E3DE3" w:rsidRPr="0035420B" w:rsidRDefault="005E3DE3" w:rsidP="005B4776">
            <w:pPr>
              <w:numPr>
                <w:ilvl w:val="0"/>
                <w:numId w:val="25"/>
              </w:numPr>
              <w:ind w:left="426" w:hanging="426"/>
              <w:rPr>
                <w:rFonts w:cs="Arial"/>
                <w:szCs w:val="20"/>
              </w:rPr>
            </w:pPr>
            <w:r w:rsidRPr="005B4776">
              <w:rPr>
                <w:rFonts w:cs="Arial"/>
                <w:szCs w:val="20"/>
              </w:rPr>
              <w:t>Provision is made to prevent refusal of international co-operation by States Parties which do not recognise self-laundering domestically on the grounds that, in the internal law of the requesting party, the subject is the author of both the predicate offence and the money laundering offence.</w:t>
            </w:r>
          </w:p>
        </w:tc>
      </w:tr>
    </w:tbl>
    <w:p w:rsidR="005E3DE3" w:rsidRPr="005B4776" w:rsidRDefault="005E3DE3" w:rsidP="005B4776">
      <w:pPr>
        <w:rPr>
          <w:rFonts w:cs="Arial"/>
          <w:szCs w:val="20"/>
        </w:rPr>
      </w:pPr>
    </w:p>
    <w:p w:rsidR="005E3DE3" w:rsidRPr="005B4776" w:rsidRDefault="005E3DE3" w:rsidP="0035420B">
      <w:pPr>
        <w:pStyle w:val="ListParagraph"/>
        <w:keepNext/>
        <w:numPr>
          <w:ilvl w:val="1"/>
          <w:numId w:val="14"/>
        </w:numPr>
        <w:ind w:left="0" w:firstLine="0"/>
        <w:contextualSpacing w:val="0"/>
        <w:outlineLvl w:val="1"/>
        <w:rPr>
          <w:rFonts w:cs="Arial"/>
          <w:b/>
          <w:bCs/>
          <w:iCs/>
          <w:szCs w:val="20"/>
        </w:rPr>
      </w:pPr>
      <w:bookmarkStart w:id="24" w:name="_Toc425866502"/>
      <w:bookmarkStart w:id="25" w:name="_Toc519261945"/>
      <w:bookmarkStart w:id="26" w:name="_Toc519262109"/>
      <w:bookmarkStart w:id="27" w:name="_Toc528243605"/>
      <w:r w:rsidRPr="005B4776">
        <w:rPr>
          <w:rFonts w:cs="Arial"/>
          <w:b/>
          <w:bCs/>
          <w:iCs/>
          <w:szCs w:val="20"/>
        </w:rPr>
        <w:t>Mandate of the Conference of the Parties</w:t>
      </w:r>
      <w:bookmarkEnd w:id="24"/>
      <w:bookmarkEnd w:id="25"/>
      <w:bookmarkEnd w:id="26"/>
      <w:bookmarkEnd w:id="27"/>
    </w:p>
    <w:p w:rsidR="005E3DE3" w:rsidRPr="005B4776" w:rsidRDefault="005E3DE3" w:rsidP="0035420B">
      <w:pPr>
        <w:rPr>
          <w:rFonts w:cs="Arial"/>
          <w:szCs w:val="20"/>
        </w:rPr>
      </w:pPr>
    </w:p>
    <w:p w:rsidR="005E3DE3" w:rsidRPr="005B4776" w:rsidRDefault="005E3DE3" w:rsidP="0035420B">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 xml:space="preserve">Article 48 of the Warsaw Convention provides that the Conference of the Parties shall: </w:t>
      </w:r>
    </w:p>
    <w:p w:rsidR="005E3DE3" w:rsidRPr="005B4776" w:rsidRDefault="005E3DE3" w:rsidP="0035420B">
      <w:pPr>
        <w:suppressAutoHyphens/>
        <w:rPr>
          <w:rFonts w:eastAsia="MS Mincho" w:cs="Arial"/>
          <w:szCs w:val="20"/>
          <w:lang w:eastAsia="ar-SA"/>
        </w:rPr>
      </w:pPr>
    </w:p>
    <w:p w:rsidR="005E3DE3" w:rsidRPr="005B4776" w:rsidRDefault="005E3DE3" w:rsidP="0035420B">
      <w:pPr>
        <w:pStyle w:val="ListParagraph"/>
        <w:numPr>
          <w:ilvl w:val="1"/>
          <w:numId w:val="27"/>
        </w:numPr>
        <w:suppressAutoHyphens/>
        <w:ind w:left="0" w:firstLine="0"/>
        <w:contextualSpacing w:val="0"/>
        <w:rPr>
          <w:rFonts w:eastAsia="MS Mincho" w:cs="Arial"/>
          <w:szCs w:val="20"/>
          <w:lang w:eastAsia="ar-SA"/>
        </w:rPr>
      </w:pPr>
      <w:r w:rsidRPr="005B4776">
        <w:rPr>
          <w:rFonts w:eastAsia="MS Mincho" w:cs="Arial"/>
          <w:szCs w:val="20"/>
          <w:lang w:eastAsia="ar-SA"/>
        </w:rPr>
        <w:t xml:space="preserve">monitor the proper implementation of the Convention by the Parties; </w:t>
      </w:r>
    </w:p>
    <w:p w:rsidR="005E3DE3" w:rsidRPr="005B4776" w:rsidRDefault="005E3DE3" w:rsidP="0035420B">
      <w:pPr>
        <w:suppressAutoHyphens/>
        <w:rPr>
          <w:rFonts w:eastAsia="MS Mincho" w:cs="Arial"/>
          <w:szCs w:val="20"/>
          <w:lang w:eastAsia="ar-SA"/>
        </w:rPr>
      </w:pPr>
    </w:p>
    <w:p w:rsidR="005E3DE3" w:rsidRPr="005B4776" w:rsidRDefault="005E3DE3" w:rsidP="0035420B">
      <w:pPr>
        <w:pStyle w:val="ListParagraph"/>
        <w:numPr>
          <w:ilvl w:val="1"/>
          <w:numId w:val="27"/>
        </w:numPr>
        <w:suppressAutoHyphens/>
        <w:ind w:left="0" w:firstLine="0"/>
        <w:contextualSpacing w:val="0"/>
        <w:rPr>
          <w:rFonts w:eastAsia="MS Mincho" w:cs="Arial"/>
          <w:szCs w:val="20"/>
          <w:lang w:eastAsia="ar-SA"/>
        </w:rPr>
      </w:pPr>
      <w:proofErr w:type="gramStart"/>
      <w:r w:rsidRPr="005B4776">
        <w:rPr>
          <w:rFonts w:eastAsia="MS Mincho" w:cs="Arial"/>
          <w:szCs w:val="20"/>
          <w:lang w:eastAsia="ar-SA"/>
        </w:rPr>
        <w:t>at</w:t>
      </w:r>
      <w:proofErr w:type="gramEnd"/>
      <w:r w:rsidRPr="005B4776">
        <w:rPr>
          <w:rFonts w:eastAsia="MS Mincho" w:cs="Arial"/>
          <w:szCs w:val="20"/>
          <w:lang w:eastAsia="ar-SA"/>
        </w:rPr>
        <w:t xml:space="preserve"> the request of a Party, express an opinion on any question concerning the interpretation and application of the Convention.</w:t>
      </w:r>
    </w:p>
    <w:p w:rsidR="005E3DE3" w:rsidRPr="005B4776" w:rsidRDefault="005E3DE3" w:rsidP="0035420B">
      <w:pPr>
        <w:rPr>
          <w:rFonts w:cs="Arial"/>
          <w:szCs w:val="20"/>
        </w:rPr>
      </w:pPr>
    </w:p>
    <w:p w:rsidR="005E3DE3" w:rsidRPr="005B4776" w:rsidRDefault="005E3DE3" w:rsidP="0035420B">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 xml:space="preserve">In order to fulfil its mandate, the Conference of the Parties adopted its Rules of Procedure at its first meeting in 2009. Those have been supplemented by specific procedures regarding the operation of the Conference of the Parties in respect of its responsibilities for the settlement of disputes between Parties regarding the interpretation and application of the Convention, as well as with respect to the formation and operation of any evaluation teams that may be required by the Conference of the Parties under Rule 19 of the Rules of Procedure. Both of these procedures were adopted at its second meeting in 2010. The Conference of the Parties has met in Strasbourg at least once a year since its inception.  </w:t>
      </w:r>
    </w:p>
    <w:p w:rsidR="005E3DE3" w:rsidRPr="005B4776" w:rsidRDefault="005E3DE3" w:rsidP="005B4776">
      <w:pPr>
        <w:pStyle w:val="ListParagraph"/>
        <w:suppressAutoHyphens/>
        <w:ind w:left="360"/>
        <w:rPr>
          <w:rFonts w:eastAsia="MS Mincho" w:cs="Arial"/>
          <w:szCs w:val="20"/>
          <w:lang w:eastAsia="ar-SA"/>
        </w:rPr>
      </w:pPr>
    </w:p>
    <w:p w:rsidR="0035420B" w:rsidRDefault="0035420B">
      <w:pPr>
        <w:rPr>
          <w:rFonts w:eastAsia="MS Mincho" w:cs="Arial"/>
          <w:szCs w:val="20"/>
          <w:lang w:eastAsia="ar-SA"/>
        </w:rPr>
      </w:pPr>
      <w:r>
        <w:rPr>
          <w:rFonts w:eastAsia="MS Mincho" w:cs="Arial"/>
          <w:szCs w:val="20"/>
          <w:lang w:eastAsia="ar-SA"/>
        </w:rPr>
        <w:br w:type="page"/>
      </w:r>
    </w:p>
    <w:p w:rsidR="005E3DE3" w:rsidRPr="005B4776" w:rsidRDefault="005E3DE3" w:rsidP="0035420B">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 xml:space="preserve">The Rules of Procedure have been reviewed during the 2016 Plenary with regard to a number of issues. The Conference of the Parties agreed to double the term of office of the Bureau members from one to two years, which can be renewed once. The Conference of the Parties also agreed to introduce in the Rules of Procedure the possibility to apply a “silence procedure” for its decision-making process where decisions need to be taken in-between its annual Plenaries, when specific conditions are met. However, such procedure cannot be applied for the adoption of Conference of the Parties assessment reports. </w:t>
      </w:r>
    </w:p>
    <w:p w:rsidR="005E3DE3" w:rsidRPr="005B4776" w:rsidRDefault="005E3DE3" w:rsidP="0035420B">
      <w:pPr>
        <w:pStyle w:val="ListParagraph"/>
        <w:ind w:left="0"/>
        <w:rPr>
          <w:rFonts w:eastAsia="MS Mincho" w:cs="Arial"/>
          <w:szCs w:val="20"/>
          <w:lang w:eastAsia="ar-SA"/>
        </w:rPr>
      </w:pPr>
    </w:p>
    <w:p w:rsidR="005E3DE3" w:rsidRPr="005B4776" w:rsidRDefault="005E3DE3" w:rsidP="0035420B">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In November 2017, at its 9</w:t>
      </w:r>
      <w:r w:rsidRPr="005B4776">
        <w:rPr>
          <w:rFonts w:eastAsia="MS Mincho" w:cs="Arial"/>
          <w:szCs w:val="20"/>
          <w:vertAlign w:val="superscript"/>
          <w:lang w:eastAsia="ar-SA"/>
        </w:rPr>
        <w:t>th</w:t>
      </w:r>
      <w:r w:rsidRPr="005B4776">
        <w:rPr>
          <w:rFonts w:eastAsia="MS Mincho" w:cs="Arial"/>
          <w:szCs w:val="20"/>
          <w:lang w:eastAsia="ar-SA"/>
        </w:rPr>
        <w:t xml:space="preserve"> meeting, the Conference of the Parties adopted amendments to the Rules of Procedure establishing a transversal thematic monitoring system. </w:t>
      </w:r>
      <w:r w:rsidRPr="005B4776">
        <w:rPr>
          <w:rFonts w:cs="Arial"/>
          <w:szCs w:val="20"/>
        </w:rPr>
        <w:t>Mindful of an ever-growing evaluation cycle for an increasing number of States Parties, the Conference of the Parties has considered ways to ensure that its monitoring puts a stronger focus on the added-value the Warsaw Convention brings to the international AML/CFT standards. At the same time, the Conference of Parties discussed ways how to better involve all States Parties on a regular basis. To that effect, it decided to suspend the country-by-country monitoring mechanism and to introduce a transversal thematic monitoring for an initial period of two years. Based on key issues covered by the Warsaw Convention, the thematic monitoring intends to tackle the most pressing challenges in the implementation of the Convention by the States Parties. The first thematic monitoring, to be discussed at the Conference of the Parties’ 10</w:t>
      </w:r>
      <w:r w:rsidRPr="005B4776">
        <w:rPr>
          <w:rFonts w:cs="Arial"/>
          <w:szCs w:val="20"/>
          <w:vertAlign w:val="superscript"/>
        </w:rPr>
        <w:t>th</w:t>
      </w:r>
      <w:r w:rsidRPr="005B4776">
        <w:rPr>
          <w:rFonts w:cs="Arial"/>
          <w:szCs w:val="20"/>
        </w:rPr>
        <w:t xml:space="preserve"> Plenary meeting in October 2018, focuses on Article 11 (international recidivism) as well as Article 25(2) and 25(3) (asset sharing). </w:t>
      </w:r>
    </w:p>
    <w:p w:rsidR="005E3DE3" w:rsidRPr="005B4776" w:rsidRDefault="005E3DE3" w:rsidP="0035420B">
      <w:pPr>
        <w:rPr>
          <w:rFonts w:cs="Arial"/>
          <w:szCs w:val="20"/>
        </w:rPr>
      </w:pPr>
    </w:p>
    <w:p w:rsidR="005E3DE3" w:rsidRPr="005B4776" w:rsidRDefault="005E3DE3" w:rsidP="0035420B">
      <w:pPr>
        <w:pStyle w:val="ListParagraph"/>
        <w:keepNext/>
        <w:numPr>
          <w:ilvl w:val="1"/>
          <w:numId w:val="14"/>
        </w:numPr>
        <w:ind w:left="0" w:firstLine="0"/>
        <w:contextualSpacing w:val="0"/>
        <w:outlineLvl w:val="1"/>
        <w:rPr>
          <w:rFonts w:cs="Arial"/>
          <w:b/>
          <w:bCs/>
          <w:iCs/>
          <w:szCs w:val="20"/>
        </w:rPr>
      </w:pPr>
      <w:bookmarkStart w:id="28" w:name="_Toc425866503"/>
      <w:bookmarkStart w:id="29" w:name="_Toc519261946"/>
      <w:bookmarkStart w:id="30" w:name="_Toc519262110"/>
      <w:bookmarkStart w:id="31" w:name="_Toc528243606"/>
      <w:r w:rsidRPr="005B4776">
        <w:rPr>
          <w:rFonts w:cs="Arial"/>
          <w:b/>
          <w:bCs/>
          <w:iCs/>
          <w:szCs w:val="20"/>
        </w:rPr>
        <w:t>Members, participants and observers</w:t>
      </w:r>
      <w:bookmarkEnd w:id="28"/>
      <w:bookmarkEnd w:id="29"/>
      <w:bookmarkEnd w:id="30"/>
      <w:bookmarkEnd w:id="31"/>
    </w:p>
    <w:p w:rsidR="005E3DE3" w:rsidRPr="005B4776" w:rsidRDefault="005E3DE3" w:rsidP="0035420B">
      <w:pPr>
        <w:rPr>
          <w:rFonts w:cs="Arial"/>
          <w:szCs w:val="20"/>
        </w:rPr>
      </w:pPr>
    </w:p>
    <w:p w:rsidR="005E3DE3" w:rsidRPr="005B4776" w:rsidRDefault="005E3DE3" w:rsidP="0035420B">
      <w:pPr>
        <w:rPr>
          <w:rFonts w:cs="Arial"/>
          <w:szCs w:val="20"/>
          <w:u w:val="single"/>
        </w:rPr>
      </w:pPr>
      <w:r w:rsidRPr="005B4776">
        <w:rPr>
          <w:rFonts w:cs="Arial"/>
          <w:szCs w:val="20"/>
          <w:u w:val="single"/>
        </w:rPr>
        <w:t>Members</w:t>
      </w:r>
    </w:p>
    <w:p w:rsidR="005E3DE3" w:rsidRPr="005B4776" w:rsidRDefault="005E3DE3" w:rsidP="0035420B">
      <w:pPr>
        <w:rPr>
          <w:rFonts w:cs="Arial"/>
          <w:szCs w:val="20"/>
        </w:rPr>
      </w:pPr>
    </w:p>
    <w:p w:rsidR="005E3DE3" w:rsidRPr="005B4776" w:rsidRDefault="005E3DE3" w:rsidP="0035420B">
      <w:pPr>
        <w:pStyle w:val="ListParagraph"/>
        <w:numPr>
          <w:ilvl w:val="0"/>
          <w:numId w:val="27"/>
        </w:numPr>
        <w:suppressAutoHyphens/>
        <w:ind w:left="0" w:firstLine="0"/>
        <w:contextualSpacing w:val="0"/>
        <w:rPr>
          <w:rFonts w:eastAsia="MS Mincho" w:cs="Arial"/>
          <w:bCs/>
          <w:i/>
          <w:szCs w:val="20"/>
          <w:lang w:eastAsia="ar-SA"/>
        </w:rPr>
      </w:pPr>
      <w:r w:rsidRPr="005B4776">
        <w:rPr>
          <w:rFonts w:eastAsia="MS Mincho" w:cs="Arial"/>
          <w:szCs w:val="20"/>
          <w:lang w:eastAsia="ar-SA"/>
        </w:rPr>
        <w:t xml:space="preserve">According to Rule 1 of the Rules of Procedure, the members of the Conference of the Parties are representatives of the </w:t>
      </w:r>
      <w:r w:rsidR="00D47AC4">
        <w:rPr>
          <w:rFonts w:eastAsia="MS Mincho" w:cs="Arial"/>
          <w:szCs w:val="20"/>
          <w:lang w:eastAsia="ar-SA"/>
        </w:rPr>
        <w:t>State</w:t>
      </w:r>
      <w:r w:rsidRPr="005B4776">
        <w:rPr>
          <w:rFonts w:eastAsia="MS Mincho" w:cs="Arial"/>
          <w:szCs w:val="20"/>
          <w:lang w:eastAsia="ar-SA"/>
        </w:rPr>
        <w:t>s and entities that are Parties to the Convention</w:t>
      </w:r>
      <w:r w:rsidRPr="005B4776">
        <w:rPr>
          <w:rFonts w:eastAsia="MS Mincho" w:cs="Arial"/>
          <w:szCs w:val="20"/>
          <w:vertAlign w:val="superscript"/>
        </w:rPr>
        <w:footnoteReference w:id="5"/>
      </w:r>
      <w:r w:rsidRPr="005B4776">
        <w:rPr>
          <w:rFonts w:eastAsia="MS Mincho" w:cs="Arial"/>
          <w:szCs w:val="20"/>
          <w:lang w:eastAsia="ar-SA"/>
        </w:rPr>
        <w:t xml:space="preserve"> and of other </w:t>
      </w:r>
      <w:r w:rsidR="00D47AC4">
        <w:rPr>
          <w:rFonts w:eastAsia="MS Mincho" w:cs="Arial"/>
          <w:szCs w:val="20"/>
          <w:lang w:eastAsia="ar-SA"/>
        </w:rPr>
        <w:t>State</w:t>
      </w:r>
      <w:r w:rsidRPr="005B4776">
        <w:rPr>
          <w:rFonts w:eastAsia="MS Mincho" w:cs="Arial"/>
          <w:szCs w:val="20"/>
          <w:lang w:eastAsia="ar-SA"/>
        </w:rPr>
        <w:t>s that have acceded to the Convention.</w:t>
      </w:r>
      <w:r w:rsidRPr="005B4776">
        <w:rPr>
          <w:rFonts w:eastAsia="MS Mincho" w:cs="Arial"/>
          <w:szCs w:val="20"/>
          <w:vertAlign w:val="superscript"/>
        </w:rPr>
        <w:footnoteReference w:id="6"/>
      </w:r>
      <w:r w:rsidRPr="005B4776">
        <w:rPr>
          <w:rFonts w:eastAsia="MS Mincho" w:cs="Arial"/>
          <w:szCs w:val="20"/>
          <w:lang w:eastAsia="ar-SA"/>
        </w:rPr>
        <w:t xml:space="preserve"> </w:t>
      </w:r>
      <w:r w:rsidRPr="005B4776">
        <w:rPr>
          <w:rFonts w:eastAsia="MS Mincho" w:cs="Arial"/>
          <w:bCs/>
          <w:szCs w:val="20"/>
          <w:lang w:eastAsia="ar-SA"/>
        </w:rPr>
        <w:t xml:space="preserve">Participation in </w:t>
      </w:r>
      <w:r w:rsidRPr="005B4776">
        <w:rPr>
          <w:rFonts w:cs="Arial"/>
          <w:szCs w:val="20"/>
        </w:rPr>
        <w:t>the Warsaw Convention</w:t>
      </w:r>
      <w:r w:rsidRPr="005B4776" w:rsidDel="00924278">
        <w:rPr>
          <w:rFonts w:eastAsia="MS Mincho" w:cs="Arial"/>
          <w:bCs/>
          <w:szCs w:val="20"/>
          <w:lang w:eastAsia="ar-SA"/>
        </w:rPr>
        <w:t xml:space="preserve"> </w:t>
      </w:r>
      <w:r w:rsidRPr="005B4776">
        <w:rPr>
          <w:rFonts w:eastAsia="MS Mincho" w:cs="Arial"/>
          <w:bCs/>
          <w:szCs w:val="20"/>
          <w:lang w:eastAsia="ar-SA"/>
        </w:rPr>
        <w:t>and to the Conference</w:t>
      </w:r>
      <w:r w:rsidR="008271EF">
        <w:rPr>
          <w:rFonts w:eastAsia="MS Mincho" w:cs="Arial"/>
          <w:bCs/>
          <w:szCs w:val="20"/>
          <w:lang w:eastAsia="ar-SA"/>
        </w:rPr>
        <w:t xml:space="preserve"> is not exclusively limited to m</w:t>
      </w:r>
      <w:r w:rsidRPr="005B4776">
        <w:rPr>
          <w:rFonts w:eastAsia="MS Mincho" w:cs="Arial"/>
          <w:bCs/>
          <w:szCs w:val="20"/>
          <w:lang w:eastAsia="ar-SA"/>
        </w:rPr>
        <w:t>ember States of the Cou</w:t>
      </w:r>
      <w:r w:rsidR="008271EF">
        <w:rPr>
          <w:rFonts w:eastAsia="MS Mincho" w:cs="Arial"/>
          <w:bCs/>
          <w:szCs w:val="20"/>
          <w:lang w:eastAsia="ar-SA"/>
        </w:rPr>
        <w:t>ncil of Europe, the non-member S</w:t>
      </w:r>
      <w:r w:rsidRPr="005B4776">
        <w:rPr>
          <w:rFonts w:eastAsia="MS Mincho" w:cs="Arial"/>
          <w:bCs/>
          <w:szCs w:val="20"/>
          <w:lang w:eastAsia="ar-SA"/>
        </w:rPr>
        <w:t xml:space="preserve">tates which have participated in its elaboration and to the European Union. Since its entry into force in 2008, the Convention has been also open for accession by other non-member </w:t>
      </w:r>
      <w:r w:rsidR="008271EF">
        <w:rPr>
          <w:rFonts w:eastAsia="MS Mincho" w:cs="Arial"/>
          <w:bCs/>
          <w:szCs w:val="20"/>
          <w:lang w:eastAsia="ar-SA"/>
        </w:rPr>
        <w:t>S</w:t>
      </w:r>
      <w:r w:rsidRPr="005B4776">
        <w:rPr>
          <w:rFonts w:eastAsia="MS Mincho" w:cs="Arial"/>
          <w:bCs/>
          <w:szCs w:val="20"/>
          <w:lang w:eastAsia="ar-SA"/>
        </w:rPr>
        <w:t>tates, provided that they have been formally invited to accede by the Committee of Ministers of the Council of Europe.</w:t>
      </w:r>
    </w:p>
    <w:p w:rsidR="005E3DE3" w:rsidRPr="005B4776" w:rsidRDefault="005E3DE3" w:rsidP="0035420B">
      <w:pPr>
        <w:rPr>
          <w:rFonts w:cs="Arial"/>
          <w:szCs w:val="20"/>
        </w:rPr>
      </w:pPr>
    </w:p>
    <w:p w:rsidR="005E3DE3" w:rsidRPr="005B4776" w:rsidRDefault="005E3DE3" w:rsidP="0035420B">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The Convention is now in force in the following 34 countries (for the exact dates of signatures and ratifications, see Appendix I to this activity report):</w:t>
      </w:r>
    </w:p>
    <w:p w:rsidR="005E3DE3" w:rsidRPr="005B4776" w:rsidRDefault="005E3DE3" w:rsidP="005B4776">
      <w:pPr>
        <w:rPr>
          <w:rFonts w:cs="Arial"/>
          <w:szCs w:val="20"/>
        </w:rPr>
      </w:pPr>
    </w:p>
    <w:tbl>
      <w:tblPr>
        <w:tblW w:w="5060" w:type="pct"/>
        <w:jc w:val="center"/>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shd w:val="clear" w:color="auto" w:fill="8DB3E2"/>
        <w:tblLook w:val="0000" w:firstRow="0" w:lastRow="0" w:firstColumn="0" w:lastColumn="0" w:noHBand="0" w:noVBand="0"/>
      </w:tblPr>
      <w:tblGrid>
        <w:gridCol w:w="5027"/>
        <w:gridCol w:w="4861"/>
      </w:tblGrid>
      <w:tr w:rsidR="005E3DE3" w:rsidRPr="005B4776" w:rsidTr="0035420B">
        <w:trPr>
          <w:trHeight w:val="60"/>
          <w:jc w:val="center"/>
        </w:trPr>
        <w:tc>
          <w:tcPr>
            <w:tcW w:w="5000" w:type="pct"/>
            <w:gridSpan w:val="2"/>
            <w:tcBorders>
              <w:bottom w:val="single" w:sz="12" w:space="0" w:color="548DD4"/>
            </w:tcBorders>
            <w:shd w:val="clear" w:color="auto" w:fill="8DB3E2" w:themeFill="text2" w:themeFillTint="66"/>
          </w:tcPr>
          <w:p w:rsidR="005E3DE3" w:rsidRPr="005B4776" w:rsidRDefault="005E3DE3" w:rsidP="0035420B">
            <w:pPr>
              <w:pStyle w:val="ListParagraph"/>
              <w:spacing w:before="120" w:after="120"/>
              <w:ind w:left="360"/>
              <w:jc w:val="center"/>
              <w:rPr>
                <w:rFonts w:cs="Arial"/>
                <w:b/>
                <w:szCs w:val="20"/>
              </w:rPr>
            </w:pPr>
            <w:r w:rsidRPr="005B4776">
              <w:rPr>
                <w:rFonts w:cs="Arial"/>
                <w:b/>
                <w:szCs w:val="20"/>
              </w:rPr>
              <w:t>Parties to the Convention</w:t>
            </w:r>
          </w:p>
        </w:tc>
      </w:tr>
      <w:tr w:rsidR="005E3DE3" w:rsidRPr="005B4776" w:rsidTr="0035420B">
        <w:trPr>
          <w:trHeight w:val="60"/>
          <w:jc w:val="center"/>
        </w:trPr>
        <w:tc>
          <w:tcPr>
            <w:tcW w:w="2542" w:type="pct"/>
            <w:shd w:val="clear" w:color="auto" w:fill="auto"/>
          </w:tcPr>
          <w:p w:rsidR="005E3DE3" w:rsidRPr="005B4776" w:rsidRDefault="005E3DE3" w:rsidP="005B4776">
            <w:pPr>
              <w:rPr>
                <w:rFonts w:cs="Arial"/>
                <w:szCs w:val="20"/>
              </w:rPr>
            </w:pPr>
            <w:r w:rsidRPr="005B4776">
              <w:rPr>
                <w:rFonts w:cs="Arial"/>
                <w:szCs w:val="20"/>
              </w:rPr>
              <w:t>Albania</w:t>
            </w:r>
          </w:p>
        </w:tc>
        <w:tc>
          <w:tcPr>
            <w:tcW w:w="2458" w:type="pct"/>
            <w:shd w:val="clear" w:color="auto" w:fill="auto"/>
          </w:tcPr>
          <w:p w:rsidR="005E3DE3" w:rsidRPr="005B4776" w:rsidRDefault="005E3DE3" w:rsidP="005B4776">
            <w:pPr>
              <w:rPr>
                <w:rFonts w:cs="Arial"/>
                <w:szCs w:val="20"/>
              </w:rPr>
            </w:pPr>
            <w:r w:rsidRPr="005B4776">
              <w:rPr>
                <w:rFonts w:cs="Arial"/>
                <w:szCs w:val="20"/>
              </w:rPr>
              <w:t>Armenia</w:t>
            </w:r>
          </w:p>
        </w:tc>
      </w:tr>
      <w:tr w:rsidR="005E3DE3" w:rsidRPr="005B4776" w:rsidTr="0035420B">
        <w:trPr>
          <w:trHeight w:val="60"/>
          <w:jc w:val="center"/>
        </w:trPr>
        <w:tc>
          <w:tcPr>
            <w:tcW w:w="2542" w:type="pct"/>
            <w:shd w:val="clear" w:color="auto" w:fill="auto"/>
          </w:tcPr>
          <w:p w:rsidR="005E3DE3" w:rsidRPr="005B4776" w:rsidRDefault="005E3DE3" w:rsidP="005B4776">
            <w:pPr>
              <w:rPr>
                <w:rFonts w:cs="Arial"/>
                <w:szCs w:val="20"/>
              </w:rPr>
            </w:pPr>
            <w:r w:rsidRPr="005B4776">
              <w:rPr>
                <w:rFonts w:cs="Arial"/>
                <w:szCs w:val="20"/>
              </w:rPr>
              <w:t>Azerbaijan</w:t>
            </w:r>
          </w:p>
        </w:tc>
        <w:tc>
          <w:tcPr>
            <w:tcW w:w="2458" w:type="pct"/>
            <w:shd w:val="clear" w:color="auto" w:fill="auto"/>
          </w:tcPr>
          <w:p w:rsidR="005E3DE3" w:rsidRPr="005B4776" w:rsidRDefault="005E3DE3" w:rsidP="005B4776">
            <w:pPr>
              <w:rPr>
                <w:rFonts w:cs="Arial"/>
                <w:szCs w:val="20"/>
              </w:rPr>
            </w:pPr>
            <w:r w:rsidRPr="005B4776">
              <w:rPr>
                <w:rFonts w:cs="Arial"/>
                <w:szCs w:val="20"/>
              </w:rPr>
              <w:t>Belgium</w:t>
            </w:r>
          </w:p>
        </w:tc>
      </w:tr>
      <w:tr w:rsidR="005E3DE3" w:rsidRPr="005B4776" w:rsidTr="0035420B">
        <w:trPr>
          <w:trHeight w:val="60"/>
          <w:jc w:val="center"/>
        </w:trPr>
        <w:tc>
          <w:tcPr>
            <w:tcW w:w="2542" w:type="pct"/>
            <w:shd w:val="clear" w:color="auto" w:fill="auto"/>
          </w:tcPr>
          <w:p w:rsidR="005E3DE3" w:rsidRPr="005B4776" w:rsidRDefault="008271EF" w:rsidP="005B4776">
            <w:pPr>
              <w:rPr>
                <w:rFonts w:cs="Arial"/>
                <w:szCs w:val="20"/>
              </w:rPr>
            </w:pPr>
            <w:r>
              <w:rPr>
                <w:rFonts w:cs="Arial"/>
                <w:szCs w:val="20"/>
              </w:rPr>
              <w:t xml:space="preserve">Bosnia and </w:t>
            </w:r>
            <w:r w:rsidR="005E3DE3" w:rsidRPr="005B4776">
              <w:rPr>
                <w:rFonts w:cs="Arial"/>
                <w:szCs w:val="20"/>
              </w:rPr>
              <w:t>Herzegovina</w:t>
            </w:r>
          </w:p>
        </w:tc>
        <w:tc>
          <w:tcPr>
            <w:tcW w:w="2458" w:type="pct"/>
            <w:shd w:val="clear" w:color="auto" w:fill="auto"/>
          </w:tcPr>
          <w:p w:rsidR="005E3DE3" w:rsidRPr="005B4776" w:rsidRDefault="005E3DE3" w:rsidP="005B4776">
            <w:pPr>
              <w:rPr>
                <w:rFonts w:cs="Arial"/>
                <w:szCs w:val="20"/>
              </w:rPr>
            </w:pPr>
            <w:r w:rsidRPr="005B4776">
              <w:rPr>
                <w:rFonts w:cs="Arial"/>
                <w:szCs w:val="20"/>
              </w:rPr>
              <w:t>Bulgaria</w:t>
            </w:r>
          </w:p>
        </w:tc>
      </w:tr>
      <w:tr w:rsidR="005E3DE3" w:rsidRPr="005B4776" w:rsidTr="0035420B">
        <w:trPr>
          <w:trHeight w:val="60"/>
          <w:jc w:val="center"/>
        </w:trPr>
        <w:tc>
          <w:tcPr>
            <w:tcW w:w="2542" w:type="pct"/>
            <w:shd w:val="clear" w:color="auto" w:fill="auto"/>
          </w:tcPr>
          <w:p w:rsidR="005E3DE3" w:rsidRPr="005B4776" w:rsidRDefault="005E3DE3" w:rsidP="005B4776">
            <w:pPr>
              <w:rPr>
                <w:rFonts w:cs="Arial"/>
                <w:szCs w:val="20"/>
              </w:rPr>
            </w:pPr>
            <w:r w:rsidRPr="005B4776">
              <w:rPr>
                <w:rFonts w:cs="Arial"/>
                <w:szCs w:val="20"/>
              </w:rPr>
              <w:t>Croatia</w:t>
            </w:r>
          </w:p>
        </w:tc>
        <w:tc>
          <w:tcPr>
            <w:tcW w:w="2458" w:type="pct"/>
            <w:shd w:val="clear" w:color="auto" w:fill="auto"/>
          </w:tcPr>
          <w:p w:rsidR="005E3DE3" w:rsidRPr="005B4776" w:rsidRDefault="005E3DE3" w:rsidP="005B4776">
            <w:pPr>
              <w:rPr>
                <w:rFonts w:cs="Arial"/>
                <w:szCs w:val="20"/>
              </w:rPr>
            </w:pPr>
            <w:r w:rsidRPr="005B4776">
              <w:rPr>
                <w:rFonts w:cs="Arial"/>
                <w:szCs w:val="20"/>
              </w:rPr>
              <w:t>Cyprus</w:t>
            </w:r>
          </w:p>
        </w:tc>
      </w:tr>
      <w:tr w:rsidR="005E3DE3" w:rsidRPr="005B4776" w:rsidTr="0035420B">
        <w:trPr>
          <w:trHeight w:val="60"/>
          <w:jc w:val="center"/>
        </w:trPr>
        <w:tc>
          <w:tcPr>
            <w:tcW w:w="2542" w:type="pct"/>
            <w:shd w:val="clear" w:color="auto" w:fill="auto"/>
          </w:tcPr>
          <w:p w:rsidR="005E3DE3" w:rsidRPr="005B4776" w:rsidRDefault="005E3DE3" w:rsidP="005B4776">
            <w:pPr>
              <w:rPr>
                <w:rFonts w:cs="Arial"/>
                <w:szCs w:val="20"/>
              </w:rPr>
            </w:pPr>
            <w:r w:rsidRPr="005B4776">
              <w:rPr>
                <w:rFonts w:cs="Arial"/>
                <w:szCs w:val="20"/>
              </w:rPr>
              <w:t>Denmark</w:t>
            </w:r>
          </w:p>
        </w:tc>
        <w:tc>
          <w:tcPr>
            <w:tcW w:w="2458" w:type="pct"/>
            <w:shd w:val="clear" w:color="auto" w:fill="auto"/>
          </w:tcPr>
          <w:p w:rsidR="005E3DE3" w:rsidRPr="005B4776" w:rsidRDefault="005E3DE3" w:rsidP="005B4776">
            <w:pPr>
              <w:rPr>
                <w:rFonts w:cs="Arial"/>
                <w:szCs w:val="20"/>
              </w:rPr>
            </w:pPr>
            <w:r w:rsidRPr="005B4776">
              <w:rPr>
                <w:rFonts w:cs="Arial"/>
                <w:szCs w:val="20"/>
              </w:rPr>
              <w:t>France</w:t>
            </w:r>
          </w:p>
        </w:tc>
      </w:tr>
      <w:tr w:rsidR="005E3DE3" w:rsidRPr="005B4776" w:rsidTr="0035420B">
        <w:trPr>
          <w:trHeight w:val="60"/>
          <w:jc w:val="center"/>
        </w:trPr>
        <w:tc>
          <w:tcPr>
            <w:tcW w:w="2542" w:type="pct"/>
            <w:shd w:val="clear" w:color="auto" w:fill="auto"/>
          </w:tcPr>
          <w:p w:rsidR="005E3DE3" w:rsidRPr="005B4776" w:rsidRDefault="005E3DE3" w:rsidP="005B4776">
            <w:pPr>
              <w:rPr>
                <w:rFonts w:cs="Arial"/>
                <w:szCs w:val="20"/>
              </w:rPr>
            </w:pPr>
            <w:r w:rsidRPr="005B4776">
              <w:rPr>
                <w:rFonts w:cs="Arial"/>
                <w:szCs w:val="20"/>
              </w:rPr>
              <w:t>Georgia</w:t>
            </w:r>
          </w:p>
        </w:tc>
        <w:tc>
          <w:tcPr>
            <w:tcW w:w="2458" w:type="pct"/>
            <w:shd w:val="clear" w:color="auto" w:fill="auto"/>
          </w:tcPr>
          <w:p w:rsidR="005E3DE3" w:rsidRPr="005B4776" w:rsidRDefault="005E3DE3" w:rsidP="005B4776">
            <w:pPr>
              <w:rPr>
                <w:rFonts w:cs="Arial"/>
                <w:szCs w:val="20"/>
              </w:rPr>
            </w:pPr>
            <w:r w:rsidRPr="005B4776">
              <w:rPr>
                <w:rFonts w:cs="Arial"/>
                <w:szCs w:val="20"/>
              </w:rPr>
              <w:t>Germany</w:t>
            </w:r>
          </w:p>
        </w:tc>
      </w:tr>
      <w:tr w:rsidR="005E3DE3" w:rsidRPr="005B4776" w:rsidTr="0035420B">
        <w:trPr>
          <w:trHeight w:val="60"/>
          <w:jc w:val="center"/>
        </w:trPr>
        <w:tc>
          <w:tcPr>
            <w:tcW w:w="2542" w:type="pct"/>
            <w:shd w:val="clear" w:color="auto" w:fill="auto"/>
          </w:tcPr>
          <w:p w:rsidR="005E3DE3" w:rsidRPr="005B4776" w:rsidRDefault="005E3DE3" w:rsidP="005B4776">
            <w:pPr>
              <w:rPr>
                <w:rFonts w:cs="Arial"/>
                <w:szCs w:val="20"/>
              </w:rPr>
            </w:pPr>
            <w:r w:rsidRPr="005B4776">
              <w:rPr>
                <w:rFonts w:cs="Arial"/>
                <w:szCs w:val="20"/>
              </w:rPr>
              <w:t>Greece</w:t>
            </w:r>
          </w:p>
        </w:tc>
        <w:tc>
          <w:tcPr>
            <w:tcW w:w="2458" w:type="pct"/>
            <w:shd w:val="clear" w:color="auto" w:fill="auto"/>
          </w:tcPr>
          <w:p w:rsidR="005E3DE3" w:rsidRPr="005B4776" w:rsidRDefault="005E3DE3" w:rsidP="005B4776">
            <w:pPr>
              <w:rPr>
                <w:rFonts w:cs="Arial"/>
                <w:szCs w:val="20"/>
              </w:rPr>
            </w:pPr>
            <w:r w:rsidRPr="005B4776">
              <w:rPr>
                <w:rFonts w:cs="Arial"/>
                <w:szCs w:val="20"/>
              </w:rPr>
              <w:t>Hungary</w:t>
            </w:r>
          </w:p>
        </w:tc>
      </w:tr>
      <w:tr w:rsidR="005E3DE3" w:rsidRPr="005B4776" w:rsidTr="0035420B">
        <w:trPr>
          <w:trHeight w:val="60"/>
          <w:jc w:val="center"/>
        </w:trPr>
        <w:tc>
          <w:tcPr>
            <w:tcW w:w="2542" w:type="pct"/>
            <w:shd w:val="clear" w:color="auto" w:fill="auto"/>
          </w:tcPr>
          <w:p w:rsidR="005E3DE3" w:rsidRPr="005B4776" w:rsidRDefault="005E3DE3" w:rsidP="005B4776">
            <w:pPr>
              <w:rPr>
                <w:rFonts w:cs="Arial"/>
                <w:szCs w:val="20"/>
              </w:rPr>
            </w:pPr>
            <w:r w:rsidRPr="005B4776">
              <w:rPr>
                <w:rFonts w:cs="Arial"/>
                <w:szCs w:val="20"/>
              </w:rPr>
              <w:t>Italy</w:t>
            </w:r>
          </w:p>
        </w:tc>
        <w:tc>
          <w:tcPr>
            <w:tcW w:w="2458" w:type="pct"/>
            <w:shd w:val="clear" w:color="auto" w:fill="auto"/>
          </w:tcPr>
          <w:p w:rsidR="005E3DE3" w:rsidRPr="005B4776" w:rsidRDefault="005E3DE3" w:rsidP="005B4776">
            <w:pPr>
              <w:rPr>
                <w:rFonts w:cs="Arial"/>
                <w:szCs w:val="20"/>
              </w:rPr>
            </w:pPr>
            <w:r w:rsidRPr="005B4776">
              <w:rPr>
                <w:rFonts w:cs="Arial"/>
                <w:szCs w:val="20"/>
              </w:rPr>
              <w:t>Latvia</w:t>
            </w:r>
          </w:p>
        </w:tc>
      </w:tr>
      <w:tr w:rsidR="005E3DE3" w:rsidRPr="005B4776" w:rsidTr="0035420B">
        <w:trPr>
          <w:trHeight w:val="60"/>
          <w:jc w:val="center"/>
        </w:trPr>
        <w:tc>
          <w:tcPr>
            <w:tcW w:w="2542" w:type="pct"/>
            <w:shd w:val="clear" w:color="auto" w:fill="auto"/>
          </w:tcPr>
          <w:p w:rsidR="005E3DE3" w:rsidRPr="005B4776" w:rsidRDefault="005E3DE3" w:rsidP="005B4776">
            <w:pPr>
              <w:rPr>
                <w:rFonts w:cs="Arial"/>
                <w:szCs w:val="20"/>
              </w:rPr>
            </w:pPr>
            <w:r w:rsidRPr="005B4776">
              <w:rPr>
                <w:rFonts w:cs="Arial"/>
                <w:szCs w:val="20"/>
              </w:rPr>
              <w:t>Malta</w:t>
            </w:r>
          </w:p>
        </w:tc>
        <w:tc>
          <w:tcPr>
            <w:tcW w:w="2458" w:type="pct"/>
            <w:shd w:val="clear" w:color="auto" w:fill="auto"/>
          </w:tcPr>
          <w:p w:rsidR="005E3DE3" w:rsidRPr="005B4776" w:rsidRDefault="005E3DE3" w:rsidP="005B4776">
            <w:pPr>
              <w:rPr>
                <w:rFonts w:cs="Arial"/>
                <w:szCs w:val="20"/>
              </w:rPr>
            </w:pPr>
            <w:r w:rsidRPr="005B4776">
              <w:rPr>
                <w:rFonts w:cs="Arial"/>
                <w:szCs w:val="20"/>
              </w:rPr>
              <w:t>Republic of Moldova</w:t>
            </w:r>
          </w:p>
        </w:tc>
      </w:tr>
      <w:tr w:rsidR="005E3DE3" w:rsidRPr="005B4776" w:rsidTr="0035420B">
        <w:trPr>
          <w:trHeight w:val="60"/>
          <w:jc w:val="center"/>
        </w:trPr>
        <w:tc>
          <w:tcPr>
            <w:tcW w:w="2542" w:type="pct"/>
            <w:shd w:val="clear" w:color="auto" w:fill="auto"/>
          </w:tcPr>
          <w:p w:rsidR="005E3DE3" w:rsidRPr="005B4776" w:rsidRDefault="005E3DE3" w:rsidP="005B4776">
            <w:pPr>
              <w:rPr>
                <w:rFonts w:cs="Arial"/>
                <w:szCs w:val="20"/>
              </w:rPr>
            </w:pPr>
            <w:r w:rsidRPr="005B4776">
              <w:rPr>
                <w:rFonts w:cs="Arial"/>
                <w:szCs w:val="20"/>
              </w:rPr>
              <w:t>Montenegro</w:t>
            </w:r>
          </w:p>
        </w:tc>
        <w:tc>
          <w:tcPr>
            <w:tcW w:w="2458" w:type="pct"/>
            <w:shd w:val="clear" w:color="auto" w:fill="auto"/>
          </w:tcPr>
          <w:p w:rsidR="005E3DE3" w:rsidRPr="005B4776" w:rsidRDefault="005E3DE3" w:rsidP="005B4776">
            <w:pPr>
              <w:rPr>
                <w:rFonts w:cs="Arial"/>
                <w:szCs w:val="20"/>
              </w:rPr>
            </w:pPr>
            <w:r w:rsidRPr="005B4776">
              <w:rPr>
                <w:rFonts w:cs="Arial"/>
                <w:szCs w:val="20"/>
              </w:rPr>
              <w:t>The Netherlands</w:t>
            </w:r>
          </w:p>
        </w:tc>
      </w:tr>
      <w:tr w:rsidR="005E3DE3" w:rsidRPr="005B4776" w:rsidTr="0035420B">
        <w:trPr>
          <w:trHeight w:val="60"/>
          <w:jc w:val="center"/>
        </w:trPr>
        <w:tc>
          <w:tcPr>
            <w:tcW w:w="2542" w:type="pct"/>
            <w:shd w:val="clear" w:color="auto" w:fill="auto"/>
          </w:tcPr>
          <w:p w:rsidR="005E3DE3" w:rsidRPr="005B4776" w:rsidRDefault="005E3DE3" w:rsidP="005B4776">
            <w:pPr>
              <w:rPr>
                <w:rFonts w:cs="Arial"/>
                <w:szCs w:val="20"/>
              </w:rPr>
            </w:pPr>
            <w:r w:rsidRPr="005B4776">
              <w:rPr>
                <w:rFonts w:cs="Arial"/>
                <w:szCs w:val="20"/>
              </w:rPr>
              <w:t>Poland</w:t>
            </w:r>
          </w:p>
        </w:tc>
        <w:tc>
          <w:tcPr>
            <w:tcW w:w="2458" w:type="pct"/>
            <w:shd w:val="clear" w:color="auto" w:fill="auto"/>
          </w:tcPr>
          <w:p w:rsidR="005E3DE3" w:rsidRPr="005B4776" w:rsidRDefault="005E3DE3" w:rsidP="005B4776">
            <w:pPr>
              <w:rPr>
                <w:rFonts w:cs="Arial"/>
                <w:szCs w:val="20"/>
              </w:rPr>
            </w:pPr>
            <w:r w:rsidRPr="005B4776">
              <w:rPr>
                <w:rFonts w:cs="Arial"/>
                <w:szCs w:val="20"/>
              </w:rPr>
              <w:t>Portugal</w:t>
            </w:r>
          </w:p>
        </w:tc>
      </w:tr>
      <w:tr w:rsidR="005E3DE3" w:rsidRPr="005B4776" w:rsidTr="0035420B">
        <w:trPr>
          <w:trHeight w:val="60"/>
          <w:jc w:val="center"/>
        </w:trPr>
        <w:tc>
          <w:tcPr>
            <w:tcW w:w="2542" w:type="pct"/>
            <w:shd w:val="clear" w:color="auto" w:fill="auto"/>
          </w:tcPr>
          <w:p w:rsidR="005E3DE3" w:rsidRPr="005B4776" w:rsidRDefault="005E3DE3" w:rsidP="005B4776">
            <w:pPr>
              <w:rPr>
                <w:rFonts w:cs="Arial"/>
                <w:szCs w:val="20"/>
              </w:rPr>
            </w:pPr>
            <w:r w:rsidRPr="005B4776">
              <w:rPr>
                <w:rFonts w:cs="Arial"/>
                <w:szCs w:val="20"/>
              </w:rPr>
              <w:t>Romania</w:t>
            </w:r>
          </w:p>
        </w:tc>
        <w:tc>
          <w:tcPr>
            <w:tcW w:w="2458" w:type="pct"/>
            <w:shd w:val="clear" w:color="auto" w:fill="auto"/>
          </w:tcPr>
          <w:p w:rsidR="005E3DE3" w:rsidRPr="005B4776" w:rsidRDefault="005E3DE3" w:rsidP="005B4776">
            <w:pPr>
              <w:rPr>
                <w:rFonts w:cs="Arial"/>
                <w:szCs w:val="20"/>
              </w:rPr>
            </w:pPr>
            <w:r w:rsidRPr="005B4776">
              <w:rPr>
                <w:rFonts w:cs="Arial"/>
                <w:szCs w:val="20"/>
              </w:rPr>
              <w:t>Russian Federation</w:t>
            </w:r>
          </w:p>
        </w:tc>
      </w:tr>
      <w:tr w:rsidR="005E3DE3" w:rsidRPr="005B4776" w:rsidTr="0035420B">
        <w:trPr>
          <w:trHeight w:val="60"/>
          <w:jc w:val="center"/>
        </w:trPr>
        <w:tc>
          <w:tcPr>
            <w:tcW w:w="2542" w:type="pct"/>
            <w:shd w:val="clear" w:color="auto" w:fill="auto"/>
          </w:tcPr>
          <w:p w:rsidR="005E3DE3" w:rsidRPr="005B4776" w:rsidRDefault="005E3DE3" w:rsidP="005B4776">
            <w:pPr>
              <w:rPr>
                <w:rFonts w:cs="Arial"/>
                <w:szCs w:val="20"/>
              </w:rPr>
            </w:pPr>
            <w:r w:rsidRPr="005B4776">
              <w:rPr>
                <w:rFonts w:cs="Arial"/>
                <w:szCs w:val="20"/>
              </w:rPr>
              <w:t>San Marino</w:t>
            </w:r>
          </w:p>
        </w:tc>
        <w:tc>
          <w:tcPr>
            <w:tcW w:w="2458" w:type="pct"/>
            <w:shd w:val="clear" w:color="auto" w:fill="auto"/>
          </w:tcPr>
          <w:p w:rsidR="005E3DE3" w:rsidRPr="005B4776" w:rsidRDefault="005E3DE3" w:rsidP="005B4776">
            <w:pPr>
              <w:rPr>
                <w:rFonts w:cs="Arial"/>
                <w:szCs w:val="20"/>
              </w:rPr>
            </w:pPr>
            <w:r w:rsidRPr="005B4776">
              <w:rPr>
                <w:rFonts w:cs="Arial"/>
                <w:szCs w:val="20"/>
              </w:rPr>
              <w:t>Serbia</w:t>
            </w:r>
          </w:p>
        </w:tc>
      </w:tr>
      <w:tr w:rsidR="005E3DE3" w:rsidRPr="005B4776" w:rsidTr="0035420B">
        <w:trPr>
          <w:trHeight w:val="60"/>
          <w:jc w:val="center"/>
        </w:trPr>
        <w:tc>
          <w:tcPr>
            <w:tcW w:w="2542" w:type="pct"/>
            <w:shd w:val="clear" w:color="auto" w:fill="auto"/>
          </w:tcPr>
          <w:p w:rsidR="005E3DE3" w:rsidRPr="005B4776" w:rsidRDefault="005E3DE3" w:rsidP="005B4776">
            <w:pPr>
              <w:rPr>
                <w:rFonts w:cs="Arial"/>
                <w:szCs w:val="20"/>
              </w:rPr>
            </w:pPr>
            <w:r w:rsidRPr="005B4776">
              <w:rPr>
                <w:rFonts w:cs="Arial"/>
                <w:szCs w:val="20"/>
              </w:rPr>
              <w:t>Slovak Republic</w:t>
            </w:r>
          </w:p>
        </w:tc>
        <w:tc>
          <w:tcPr>
            <w:tcW w:w="2458" w:type="pct"/>
            <w:shd w:val="clear" w:color="auto" w:fill="auto"/>
          </w:tcPr>
          <w:p w:rsidR="005E3DE3" w:rsidRPr="005B4776" w:rsidRDefault="005E3DE3" w:rsidP="005B4776">
            <w:pPr>
              <w:rPr>
                <w:rFonts w:cs="Arial"/>
                <w:szCs w:val="20"/>
              </w:rPr>
            </w:pPr>
            <w:r w:rsidRPr="005B4776">
              <w:rPr>
                <w:rFonts w:cs="Arial"/>
                <w:szCs w:val="20"/>
              </w:rPr>
              <w:t>Slovenia</w:t>
            </w:r>
          </w:p>
        </w:tc>
      </w:tr>
      <w:tr w:rsidR="005E3DE3" w:rsidRPr="005B4776" w:rsidTr="0035420B">
        <w:trPr>
          <w:trHeight w:val="60"/>
          <w:jc w:val="center"/>
        </w:trPr>
        <w:tc>
          <w:tcPr>
            <w:tcW w:w="2542" w:type="pct"/>
            <w:shd w:val="clear" w:color="auto" w:fill="auto"/>
          </w:tcPr>
          <w:p w:rsidR="005E3DE3" w:rsidRPr="005B4776" w:rsidDel="00D76867" w:rsidRDefault="005E3DE3" w:rsidP="005B4776">
            <w:pPr>
              <w:rPr>
                <w:rFonts w:cs="Arial"/>
                <w:szCs w:val="20"/>
              </w:rPr>
            </w:pPr>
            <w:r w:rsidRPr="005B4776">
              <w:rPr>
                <w:rFonts w:cs="Arial"/>
                <w:szCs w:val="20"/>
              </w:rPr>
              <w:t>Spain</w:t>
            </w:r>
          </w:p>
        </w:tc>
        <w:tc>
          <w:tcPr>
            <w:tcW w:w="2458" w:type="pct"/>
            <w:shd w:val="clear" w:color="auto" w:fill="auto"/>
          </w:tcPr>
          <w:p w:rsidR="005E3DE3" w:rsidRPr="005B4776" w:rsidDel="00D76867" w:rsidRDefault="005E3DE3" w:rsidP="005B4776">
            <w:pPr>
              <w:rPr>
                <w:rFonts w:cs="Arial"/>
                <w:szCs w:val="20"/>
              </w:rPr>
            </w:pPr>
            <w:r w:rsidRPr="005B4776">
              <w:rPr>
                <w:rFonts w:cs="Arial"/>
                <w:szCs w:val="20"/>
              </w:rPr>
              <w:t>Sweden</w:t>
            </w:r>
          </w:p>
        </w:tc>
      </w:tr>
      <w:tr w:rsidR="005E3DE3" w:rsidRPr="005B4776" w:rsidTr="0035420B">
        <w:trPr>
          <w:trHeight w:val="60"/>
          <w:jc w:val="center"/>
        </w:trPr>
        <w:tc>
          <w:tcPr>
            <w:tcW w:w="2542" w:type="pct"/>
            <w:shd w:val="clear" w:color="auto" w:fill="auto"/>
          </w:tcPr>
          <w:p w:rsidR="005E3DE3" w:rsidRPr="005B4776" w:rsidRDefault="005E3DE3" w:rsidP="005B4776">
            <w:pPr>
              <w:rPr>
                <w:rFonts w:cs="Arial"/>
                <w:szCs w:val="20"/>
              </w:rPr>
            </w:pPr>
            <w:r w:rsidRPr="005B4776">
              <w:rPr>
                <w:rFonts w:cs="Arial"/>
                <w:szCs w:val="20"/>
              </w:rPr>
              <w:t>“The former Yugoslav Republic of Macedonia”</w:t>
            </w:r>
          </w:p>
        </w:tc>
        <w:tc>
          <w:tcPr>
            <w:tcW w:w="2458" w:type="pct"/>
            <w:shd w:val="clear" w:color="auto" w:fill="auto"/>
          </w:tcPr>
          <w:p w:rsidR="005E3DE3" w:rsidRPr="005B4776" w:rsidRDefault="005E3DE3" w:rsidP="005B4776">
            <w:pPr>
              <w:rPr>
                <w:rFonts w:cs="Arial"/>
                <w:szCs w:val="20"/>
              </w:rPr>
            </w:pPr>
            <w:r w:rsidRPr="005B4776">
              <w:rPr>
                <w:rFonts w:cs="Arial"/>
                <w:szCs w:val="20"/>
              </w:rPr>
              <w:t>Turkey</w:t>
            </w:r>
          </w:p>
        </w:tc>
      </w:tr>
      <w:tr w:rsidR="005E3DE3" w:rsidRPr="005B4776" w:rsidTr="0035420B">
        <w:trPr>
          <w:trHeight w:val="60"/>
          <w:jc w:val="center"/>
        </w:trPr>
        <w:tc>
          <w:tcPr>
            <w:tcW w:w="2542" w:type="pct"/>
            <w:shd w:val="clear" w:color="auto" w:fill="auto"/>
          </w:tcPr>
          <w:p w:rsidR="005E3DE3" w:rsidRPr="005B4776" w:rsidRDefault="005E3DE3" w:rsidP="005B4776">
            <w:pPr>
              <w:rPr>
                <w:rFonts w:cs="Arial"/>
                <w:szCs w:val="20"/>
              </w:rPr>
            </w:pPr>
            <w:r w:rsidRPr="005B4776">
              <w:rPr>
                <w:rFonts w:cs="Arial"/>
                <w:szCs w:val="20"/>
              </w:rPr>
              <w:t>Ukraine</w:t>
            </w:r>
          </w:p>
        </w:tc>
        <w:tc>
          <w:tcPr>
            <w:tcW w:w="2458" w:type="pct"/>
            <w:shd w:val="clear" w:color="auto" w:fill="auto"/>
          </w:tcPr>
          <w:p w:rsidR="005E3DE3" w:rsidRPr="005B4776" w:rsidRDefault="005E3DE3" w:rsidP="005B4776">
            <w:pPr>
              <w:rPr>
                <w:rFonts w:cs="Arial"/>
                <w:szCs w:val="20"/>
              </w:rPr>
            </w:pPr>
            <w:r w:rsidRPr="005B4776">
              <w:rPr>
                <w:rFonts w:cs="Arial"/>
                <w:szCs w:val="20"/>
              </w:rPr>
              <w:t>United Kingdom</w:t>
            </w:r>
          </w:p>
        </w:tc>
      </w:tr>
    </w:tbl>
    <w:p w:rsidR="005E3DE3" w:rsidRPr="005B4776" w:rsidRDefault="005E3DE3" w:rsidP="005B4776">
      <w:pPr>
        <w:rPr>
          <w:rFonts w:cs="Arial"/>
          <w:szCs w:val="20"/>
        </w:rPr>
      </w:pPr>
    </w:p>
    <w:p w:rsidR="0035420B" w:rsidRDefault="0035420B">
      <w:pPr>
        <w:rPr>
          <w:rFonts w:cs="Arial"/>
          <w:szCs w:val="20"/>
          <w:u w:val="single"/>
        </w:rPr>
      </w:pPr>
      <w:r>
        <w:rPr>
          <w:rFonts w:cs="Arial"/>
          <w:szCs w:val="20"/>
          <w:u w:val="single"/>
        </w:rPr>
        <w:br w:type="page"/>
      </w:r>
    </w:p>
    <w:p w:rsidR="005E3DE3" w:rsidRPr="005B4776" w:rsidRDefault="005E3DE3" w:rsidP="005B4776">
      <w:pPr>
        <w:rPr>
          <w:rFonts w:cs="Arial"/>
          <w:szCs w:val="20"/>
          <w:u w:val="single"/>
        </w:rPr>
      </w:pPr>
      <w:r w:rsidRPr="005B4776">
        <w:rPr>
          <w:rFonts w:cs="Arial"/>
          <w:szCs w:val="20"/>
          <w:u w:val="single"/>
        </w:rPr>
        <w:t>Signatories</w:t>
      </w:r>
    </w:p>
    <w:p w:rsidR="005E3DE3" w:rsidRPr="005B4776" w:rsidRDefault="005E3DE3" w:rsidP="005B4776">
      <w:pPr>
        <w:rPr>
          <w:rFonts w:cs="Arial"/>
          <w:szCs w:val="20"/>
        </w:rPr>
      </w:pPr>
    </w:p>
    <w:p w:rsidR="005E3DE3" w:rsidRPr="005B4776" w:rsidRDefault="005E3DE3" w:rsidP="0035420B">
      <w:pPr>
        <w:pStyle w:val="ListParagraph"/>
        <w:numPr>
          <w:ilvl w:val="0"/>
          <w:numId w:val="27"/>
        </w:numPr>
        <w:suppressAutoHyphens/>
        <w:ind w:hanging="644"/>
        <w:contextualSpacing w:val="0"/>
        <w:rPr>
          <w:rFonts w:eastAsia="MS Mincho" w:cs="Arial"/>
          <w:szCs w:val="20"/>
          <w:lang w:eastAsia="ar-SA"/>
        </w:rPr>
      </w:pPr>
      <w:r w:rsidRPr="005B4776">
        <w:rPr>
          <w:rFonts w:eastAsia="MS Mincho" w:cs="Arial"/>
          <w:szCs w:val="20"/>
          <w:lang w:eastAsia="ar-SA"/>
        </w:rPr>
        <w:t>The following eight countries/international organisations have signed but not ratified the convention:</w:t>
      </w:r>
    </w:p>
    <w:p w:rsidR="005E3DE3" w:rsidRPr="005B4776" w:rsidRDefault="005E3DE3" w:rsidP="005B4776">
      <w:pPr>
        <w:rPr>
          <w:rFonts w:cs="Arial"/>
          <w:szCs w:val="20"/>
        </w:rPr>
      </w:pPr>
    </w:p>
    <w:tbl>
      <w:tblPr>
        <w:tblW w:w="5030" w:type="pct"/>
        <w:jc w:val="center"/>
        <w:tblInd w:w="-27" w:type="dxa"/>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shd w:val="clear" w:color="auto" w:fill="FFFFFF"/>
        <w:tblCellMar>
          <w:left w:w="0" w:type="dxa"/>
          <w:right w:w="0" w:type="dxa"/>
        </w:tblCellMar>
        <w:tblLook w:val="0000" w:firstRow="0" w:lastRow="0" w:firstColumn="0" w:lastColumn="0" w:noHBand="0" w:noVBand="0"/>
      </w:tblPr>
      <w:tblGrid>
        <w:gridCol w:w="5027"/>
        <w:gridCol w:w="4746"/>
      </w:tblGrid>
      <w:tr w:rsidR="005E3DE3" w:rsidRPr="005B4776" w:rsidTr="008271EF">
        <w:trPr>
          <w:trHeight w:val="60"/>
          <w:jc w:val="center"/>
        </w:trPr>
        <w:tc>
          <w:tcPr>
            <w:tcW w:w="5000" w:type="pct"/>
            <w:gridSpan w:val="2"/>
            <w:shd w:val="clear" w:color="auto" w:fill="8DB3E2" w:themeFill="text2" w:themeFillTint="66"/>
            <w:tcMar>
              <w:top w:w="80" w:type="dxa"/>
              <w:left w:w="80" w:type="dxa"/>
              <w:bottom w:w="80" w:type="dxa"/>
              <w:right w:w="80" w:type="dxa"/>
            </w:tcMar>
          </w:tcPr>
          <w:p w:rsidR="005E3DE3" w:rsidRPr="005B4776" w:rsidRDefault="005E3DE3" w:rsidP="0035420B">
            <w:pPr>
              <w:pStyle w:val="ListParagraph"/>
              <w:ind w:left="360"/>
              <w:jc w:val="center"/>
              <w:rPr>
                <w:rFonts w:cs="Arial"/>
                <w:b/>
                <w:szCs w:val="20"/>
              </w:rPr>
            </w:pPr>
            <w:r w:rsidRPr="005B4776">
              <w:rPr>
                <w:rFonts w:cs="Arial"/>
                <w:b/>
                <w:szCs w:val="20"/>
              </w:rPr>
              <w:t>Signatories to the Convention</w:t>
            </w:r>
          </w:p>
        </w:tc>
      </w:tr>
      <w:tr w:rsidR="005E3DE3" w:rsidRPr="005B4776" w:rsidTr="008271EF">
        <w:tblPrEx>
          <w:shd w:val="clear" w:color="auto" w:fill="8DB3E2"/>
          <w:tblCellMar>
            <w:left w:w="108" w:type="dxa"/>
            <w:right w:w="108" w:type="dxa"/>
          </w:tblCellMar>
        </w:tblPrEx>
        <w:trPr>
          <w:trHeight w:val="60"/>
          <w:jc w:val="center"/>
        </w:trPr>
        <w:tc>
          <w:tcPr>
            <w:tcW w:w="2572" w:type="pct"/>
            <w:shd w:val="clear" w:color="auto" w:fill="FFFFFF"/>
          </w:tcPr>
          <w:p w:rsidR="005E3DE3" w:rsidRPr="005B4776" w:rsidRDefault="005E3DE3" w:rsidP="005B4776">
            <w:pPr>
              <w:rPr>
                <w:rFonts w:cs="Arial"/>
                <w:szCs w:val="20"/>
              </w:rPr>
            </w:pPr>
            <w:r w:rsidRPr="005B4776">
              <w:rPr>
                <w:rFonts w:cs="Arial"/>
                <w:szCs w:val="20"/>
              </w:rPr>
              <w:t>Austria</w:t>
            </w:r>
          </w:p>
        </w:tc>
        <w:tc>
          <w:tcPr>
            <w:tcW w:w="2428" w:type="pct"/>
            <w:shd w:val="clear" w:color="auto" w:fill="FFFFFF"/>
          </w:tcPr>
          <w:p w:rsidR="005E3DE3" w:rsidRPr="005B4776" w:rsidRDefault="005E3DE3" w:rsidP="005B4776">
            <w:pPr>
              <w:rPr>
                <w:rFonts w:cs="Arial"/>
                <w:szCs w:val="20"/>
              </w:rPr>
            </w:pPr>
            <w:r w:rsidRPr="005B4776">
              <w:rPr>
                <w:rFonts w:cs="Arial"/>
                <w:szCs w:val="20"/>
              </w:rPr>
              <w:t>Estonia</w:t>
            </w:r>
          </w:p>
        </w:tc>
      </w:tr>
      <w:tr w:rsidR="005E3DE3" w:rsidRPr="005B4776" w:rsidTr="008271EF">
        <w:tblPrEx>
          <w:shd w:val="clear" w:color="auto" w:fill="8DB3E2"/>
          <w:tblCellMar>
            <w:left w:w="108" w:type="dxa"/>
            <w:right w:w="108" w:type="dxa"/>
          </w:tblCellMar>
        </w:tblPrEx>
        <w:trPr>
          <w:trHeight w:val="60"/>
          <w:jc w:val="center"/>
        </w:trPr>
        <w:tc>
          <w:tcPr>
            <w:tcW w:w="2572" w:type="pct"/>
            <w:shd w:val="clear" w:color="auto" w:fill="FFFFFF"/>
          </w:tcPr>
          <w:p w:rsidR="005E3DE3" w:rsidRPr="005B4776" w:rsidRDefault="005E3DE3" w:rsidP="005B4776">
            <w:pPr>
              <w:rPr>
                <w:rFonts w:cs="Arial"/>
                <w:szCs w:val="20"/>
              </w:rPr>
            </w:pPr>
            <w:r w:rsidRPr="005B4776">
              <w:rPr>
                <w:rFonts w:cs="Arial"/>
                <w:szCs w:val="20"/>
              </w:rPr>
              <w:t>European Union</w:t>
            </w:r>
          </w:p>
        </w:tc>
        <w:tc>
          <w:tcPr>
            <w:tcW w:w="2428" w:type="pct"/>
            <w:shd w:val="clear" w:color="auto" w:fill="FFFFFF"/>
          </w:tcPr>
          <w:p w:rsidR="005E3DE3" w:rsidRPr="005B4776" w:rsidRDefault="005E3DE3" w:rsidP="005B4776">
            <w:pPr>
              <w:rPr>
                <w:rFonts w:cs="Arial"/>
                <w:szCs w:val="20"/>
              </w:rPr>
            </w:pPr>
            <w:r w:rsidRPr="005B4776">
              <w:rPr>
                <w:rFonts w:cs="Arial"/>
                <w:szCs w:val="20"/>
              </w:rPr>
              <w:t>Finland</w:t>
            </w:r>
          </w:p>
        </w:tc>
      </w:tr>
      <w:tr w:rsidR="005E3DE3" w:rsidRPr="005B4776" w:rsidTr="008271EF">
        <w:tblPrEx>
          <w:shd w:val="clear" w:color="auto" w:fill="8DB3E2"/>
          <w:tblCellMar>
            <w:left w:w="108" w:type="dxa"/>
            <w:right w:w="108" w:type="dxa"/>
          </w:tblCellMar>
        </w:tblPrEx>
        <w:trPr>
          <w:trHeight w:val="60"/>
          <w:jc w:val="center"/>
        </w:trPr>
        <w:tc>
          <w:tcPr>
            <w:tcW w:w="2572" w:type="pct"/>
            <w:shd w:val="clear" w:color="auto" w:fill="FFFFFF"/>
          </w:tcPr>
          <w:p w:rsidR="005E3DE3" w:rsidRPr="005B4776" w:rsidRDefault="005E3DE3" w:rsidP="005B4776">
            <w:pPr>
              <w:rPr>
                <w:rFonts w:cs="Arial"/>
                <w:szCs w:val="20"/>
              </w:rPr>
            </w:pPr>
            <w:r w:rsidRPr="005B4776">
              <w:rPr>
                <w:rFonts w:cs="Arial"/>
                <w:szCs w:val="20"/>
              </w:rPr>
              <w:t>Iceland</w:t>
            </w:r>
          </w:p>
        </w:tc>
        <w:tc>
          <w:tcPr>
            <w:tcW w:w="2428" w:type="pct"/>
            <w:shd w:val="clear" w:color="auto" w:fill="FFFFFF"/>
          </w:tcPr>
          <w:p w:rsidR="005E3DE3" w:rsidRPr="005B4776" w:rsidRDefault="005E3DE3" w:rsidP="005B4776">
            <w:pPr>
              <w:rPr>
                <w:rFonts w:cs="Arial"/>
                <w:szCs w:val="20"/>
              </w:rPr>
            </w:pPr>
            <w:r w:rsidRPr="005B4776">
              <w:rPr>
                <w:rFonts w:cs="Arial"/>
                <w:szCs w:val="20"/>
              </w:rPr>
              <w:t>Lithuania</w:t>
            </w:r>
          </w:p>
        </w:tc>
      </w:tr>
      <w:tr w:rsidR="005E3DE3" w:rsidRPr="005B4776" w:rsidTr="008271EF">
        <w:tblPrEx>
          <w:shd w:val="clear" w:color="auto" w:fill="8DB3E2"/>
          <w:tblCellMar>
            <w:left w:w="108" w:type="dxa"/>
            <w:right w:w="108" w:type="dxa"/>
          </w:tblCellMar>
        </w:tblPrEx>
        <w:trPr>
          <w:trHeight w:val="60"/>
          <w:jc w:val="center"/>
        </w:trPr>
        <w:tc>
          <w:tcPr>
            <w:tcW w:w="2572" w:type="pct"/>
            <w:shd w:val="clear" w:color="auto" w:fill="FFFFFF"/>
          </w:tcPr>
          <w:p w:rsidR="005E3DE3" w:rsidRPr="005B4776" w:rsidRDefault="005E3DE3" w:rsidP="005B4776">
            <w:pPr>
              <w:rPr>
                <w:rFonts w:cs="Arial"/>
                <w:szCs w:val="20"/>
              </w:rPr>
            </w:pPr>
            <w:r w:rsidRPr="005B4776">
              <w:rPr>
                <w:rFonts w:cs="Arial"/>
                <w:szCs w:val="20"/>
              </w:rPr>
              <w:t>Luxembourg</w:t>
            </w:r>
          </w:p>
        </w:tc>
        <w:tc>
          <w:tcPr>
            <w:tcW w:w="2428" w:type="pct"/>
            <w:shd w:val="clear" w:color="auto" w:fill="FFFFFF"/>
          </w:tcPr>
          <w:p w:rsidR="005E3DE3" w:rsidRPr="005B4776" w:rsidRDefault="005E3DE3" w:rsidP="005B4776">
            <w:pPr>
              <w:rPr>
                <w:rFonts w:cs="Arial"/>
                <w:szCs w:val="20"/>
              </w:rPr>
            </w:pPr>
            <w:r w:rsidRPr="005B4776">
              <w:rPr>
                <w:rFonts w:cs="Arial"/>
                <w:szCs w:val="20"/>
              </w:rPr>
              <w:t>Monaco</w:t>
            </w:r>
          </w:p>
        </w:tc>
      </w:tr>
    </w:tbl>
    <w:p w:rsidR="005E3DE3" w:rsidRPr="005B4776" w:rsidRDefault="005E3DE3" w:rsidP="005B4776">
      <w:pPr>
        <w:rPr>
          <w:rFonts w:cs="Arial"/>
          <w:szCs w:val="20"/>
        </w:rPr>
      </w:pPr>
    </w:p>
    <w:p w:rsidR="005E3DE3" w:rsidRPr="005B4776" w:rsidRDefault="005E3DE3" w:rsidP="0035420B">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 xml:space="preserve">The European Union became a signatory to </w:t>
      </w:r>
      <w:r w:rsidRPr="005B4776">
        <w:rPr>
          <w:rFonts w:cs="Arial"/>
          <w:szCs w:val="20"/>
        </w:rPr>
        <w:t>the Warsaw Convention</w:t>
      </w:r>
      <w:r w:rsidRPr="005B4776">
        <w:rPr>
          <w:rFonts w:eastAsia="MS Mincho" w:cs="Arial"/>
          <w:szCs w:val="20"/>
          <w:lang w:eastAsia="ar-SA"/>
        </w:rPr>
        <w:t xml:space="preserve"> on 2 April 2009. A number of issues require clarification before ratification is possible, including voting rights and the areas in which the EU would have exclusive comp</w:t>
      </w:r>
      <w:r w:rsidR="008271EF">
        <w:rPr>
          <w:rFonts w:eastAsia="MS Mincho" w:cs="Arial"/>
          <w:szCs w:val="20"/>
          <w:lang w:eastAsia="ar-SA"/>
        </w:rPr>
        <w:t>etence to act on behalf of its m</w:t>
      </w:r>
      <w:r w:rsidRPr="005B4776">
        <w:rPr>
          <w:rFonts w:eastAsia="MS Mincho" w:cs="Arial"/>
          <w:szCs w:val="20"/>
          <w:lang w:eastAsia="ar-SA"/>
        </w:rPr>
        <w:t>ember States.</w:t>
      </w:r>
    </w:p>
    <w:p w:rsidR="005E3DE3" w:rsidRPr="005B4776" w:rsidRDefault="005E3DE3" w:rsidP="005B4776">
      <w:pPr>
        <w:rPr>
          <w:rFonts w:cs="Arial"/>
          <w:szCs w:val="20"/>
          <w:u w:val="single"/>
        </w:rPr>
      </w:pPr>
    </w:p>
    <w:p w:rsidR="005E3DE3" w:rsidRPr="005B4776" w:rsidRDefault="005E3DE3" w:rsidP="005B4776">
      <w:pPr>
        <w:pStyle w:val="ListParagraph"/>
        <w:ind w:left="360"/>
        <w:rPr>
          <w:rFonts w:cs="Arial"/>
          <w:szCs w:val="20"/>
          <w:u w:val="single"/>
        </w:rPr>
      </w:pPr>
      <w:r w:rsidRPr="005B4776">
        <w:rPr>
          <w:rFonts w:cs="Arial"/>
          <w:noProof/>
          <w:szCs w:val="20"/>
          <w:lang w:val="en-US"/>
        </w:rPr>
        <w:drawing>
          <wp:inline distT="0" distB="0" distL="0" distR="0" wp14:anchorId="3AF399B2" wp14:editId="2E5C1583">
            <wp:extent cx="6120130" cy="4258945"/>
            <wp:effectExtent l="0" t="0" r="0" b="8255"/>
            <wp:docPr id="12" name="Picture 12" descr="C:\Users\elion\Downloads\ccabaf32-42af-43fc-a19e-a5604340cc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lion\Downloads\ccabaf32-42af-43fc-a19e-a5604340cc1f.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4258945"/>
                    </a:xfrm>
                    <a:prstGeom prst="rect">
                      <a:avLst/>
                    </a:prstGeom>
                    <a:noFill/>
                    <a:ln>
                      <a:noFill/>
                    </a:ln>
                  </pic:spPr>
                </pic:pic>
              </a:graphicData>
            </a:graphic>
          </wp:inline>
        </w:drawing>
      </w:r>
    </w:p>
    <w:p w:rsidR="005E3DE3" w:rsidRPr="005B4776" w:rsidRDefault="005E3DE3" w:rsidP="005B4776">
      <w:pPr>
        <w:rPr>
          <w:rFonts w:cs="Arial"/>
          <w:szCs w:val="20"/>
          <w:u w:val="single"/>
        </w:rPr>
      </w:pPr>
    </w:p>
    <w:p w:rsidR="005E3DE3" w:rsidRPr="005B4776" w:rsidRDefault="005E3DE3" w:rsidP="005B4776">
      <w:pPr>
        <w:rPr>
          <w:rFonts w:cs="Arial"/>
          <w:szCs w:val="20"/>
          <w:u w:val="single"/>
        </w:rPr>
      </w:pPr>
      <w:r w:rsidRPr="005B4776">
        <w:rPr>
          <w:rFonts w:cs="Arial"/>
          <w:szCs w:val="20"/>
          <w:u w:val="single"/>
        </w:rPr>
        <w:t>Participants</w:t>
      </w:r>
    </w:p>
    <w:p w:rsidR="005E3DE3" w:rsidRPr="005B4776" w:rsidRDefault="005E3DE3" w:rsidP="005B4776">
      <w:pPr>
        <w:rPr>
          <w:rFonts w:cs="Arial"/>
          <w:szCs w:val="20"/>
        </w:rPr>
      </w:pPr>
    </w:p>
    <w:p w:rsidR="005E3DE3" w:rsidRPr="005B4776" w:rsidRDefault="005E3DE3" w:rsidP="0035420B">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Participants in the Conference of the Parties are representatives of:</w:t>
      </w:r>
    </w:p>
    <w:p w:rsidR="005E3DE3" w:rsidRPr="005B4776" w:rsidRDefault="00D47AC4" w:rsidP="0035420B">
      <w:pPr>
        <w:numPr>
          <w:ilvl w:val="0"/>
          <w:numId w:val="26"/>
        </w:numPr>
        <w:ind w:left="709" w:hanging="709"/>
        <w:rPr>
          <w:rFonts w:cs="Arial"/>
          <w:szCs w:val="20"/>
        </w:rPr>
      </w:pPr>
      <w:r>
        <w:rPr>
          <w:rFonts w:cs="Arial"/>
          <w:szCs w:val="20"/>
        </w:rPr>
        <w:t>S</w:t>
      </w:r>
      <w:r w:rsidR="005E3DE3" w:rsidRPr="005B4776">
        <w:rPr>
          <w:rFonts w:cs="Arial"/>
          <w:szCs w:val="20"/>
        </w:rPr>
        <w:t xml:space="preserve">tates and entities referred to in Article 49, paragraph 1, of the Convention which have signed but not yet ratified the Convention; </w:t>
      </w:r>
    </w:p>
    <w:p w:rsidR="005E3DE3" w:rsidRPr="005B4776" w:rsidRDefault="00D47AC4" w:rsidP="0035420B">
      <w:pPr>
        <w:numPr>
          <w:ilvl w:val="0"/>
          <w:numId w:val="26"/>
        </w:numPr>
        <w:ind w:left="709" w:hanging="709"/>
        <w:rPr>
          <w:rFonts w:cs="Arial"/>
          <w:szCs w:val="20"/>
        </w:rPr>
      </w:pPr>
      <w:r>
        <w:rPr>
          <w:rFonts w:cs="Arial"/>
          <w:szCs w:val="20"/>
        </w:rPr>
        <w:t>State</w:t>
      </w:r>
      <w:r w:rsidR="005E3DE3" w:rsidRPr="005B4776">
        <w:rPr>
          <w:rFonts w:cs="Arial"/>
          <w:szCs w:val="20"/>
        </w:rPr>
        <w:t xml:space="preserve">s or entities which have ratified or acceded to the Convention but in respect of which it has not yet come into force; </w:t>
      </w:r>
    </w:p>
    <w:p w:rsidR="005E3DE3" w:rsidRPr="005B4776" w:rsidRDefault="008271EF" w:rsidP="0035420B">
      <w:pPr>
        <w:numPr>
          <w:ilvl w:val="0"/>
          <w:numId w:val="26"/>
        </w:numPr>
        <w:ind w:left="709" w:hanging="709"/>
        <w:rPr>
          <w:rFonts w:cs="Arial"/>
          <w:szCs w:val="20"/>
        </w:rPr>
      </w:pPr>
      <w:r>
        <w:rPr>
          <w:rFonts w:cs="Arial"/>
          <w:szCs w:val="20"/>
        </w:rPr>
        <w:t>other m</w:t>
      </w:r>
      <w:r w:rsidR="005E3DE3" w:rsidRPr="005B4776">
        <w:rPr>
          <w:rFonts w:cs="Arial"/>
          <w:szCs w:val="20"/>
        </w:rPr>
        <w:t xml:space="preserve">ember States of the Council of Europe; </w:t>
      </w:r>
    </w:p>
    <w:p w:rsidR="005E3DE3" w:rsidRPr="005B4776" w:rsidRDefault="00D47AC4" w:rsidP="0035420B">
      <w:pPr>
        <w:numPr>
          <w:ilvl w:val="0"/>
          <w:numId w:val="26"/>
        </w:numPr>
        <w:ind w:left="709" w:hanging="709"/>
        <w:rPr>
          <w:rFonts w:cs="Arial"/>
          <w:szCs w:val="20"/>
        </w:rPr>
      </w:pPr>
      <w:r>
        <w:rPr>
          <w:rFonts w:cs="Arial"/>
          <w:szCs w:val="20"/>
        </w:rPr>
        <w:t>State</w:t>
      </w:r>
      <w:r w:rsidR="005E3DE3" w:rsidRPr="005B4776">
        <w:rPr>
          <w:rFonts w:cs="Arial"/>
          <w:szCs w:val="20"/>
        </w:rPr>
        <w:t xml:space="preserve">s having observer status with the Council of Europe; </w:t>
      </w:r>
    </w:p>
    <w:p w:rsidR="005E3DE3" w:rsidRPr="005B4776" w:rsidRDefault="005E3DE3" w:rsidP="0035420B">
      <w:pPr>
        <w:numPr>
          <w:ilvl w:val="0"/>
          <w:numId w:val="26"/>
        </w:numPr>
        <w:ind w:left="709" w:hanging="709"/>
        <w:rPr>
          <w:rFonts w:cs="Arial"/>
          <w:szCs w:val="20"/>
        </w:rPr>
      </w:pPr>
      <w:r w:rsidRPr="005B4776">
        <w:rPr>
          <w:rFonts w:cs="Arial"/>
          <w:szCs w:val="20"/>
        </w:rPr>
        <w:t xml:space="preserve">the Committee of Ministers of the Council of Europe; </w:t>
      </w:r>
    </w:p>
    <w:p w:rsidR="005E3DE3" w:rsidRPr="005B4776" w:rsidRDefault="005E3DE3" w:rsidP="0035420B">
      <w:pPr>
        <w:numPr>
          <w:ilvl w:val="0"/>
          <w:numId w:val="26"/>
        </w:numPr>
        <w:ind w:left="709" w:hanging="709"/>
        <w:rPr>
          <w:rFonts w:cs="Arial"/>
          <w:szCs w:val="20"/>
        </w:rPr>
      </w:pPr>
      <w:r w:rsidRPr="005B4776">
        <w:rPr>
          <w:rFonts w:cs="Arial"/>
          <w:szCs w:val="20"/>
        </w:rPr>
        <w:t xml:space="preserve">the Parliamentary Assembly of the Council of Europe; </w:t>
      </w:r>
    </w:p>
    <w:p w:rsidR="005E3DE3" w:rsidRPr="005B4776" w:rsidRDefault="005E3DE3" w:rsidP="0035420B">
      <w:pPr>
        <w:numPr>
          <w:ilvl w:val="0"/>
          <w:numId w:val="26"/>
        </w:numPr>
        <w:ind w:left="709" w:hanging="709"/>
        <w:rPr>
          <w:rFonts w:cs="Arial"/>
          <w:szCs w:val="20"/>
        </w:rPr>
      </w:pPr>
      <w:r w:rsidRPr="005B4776">
        <w:rPr>
          <w:rFonts w:cs="Arial"/>
          <w:szCs w:val="20"/>
        </w:rPr>
        <w:t xml:space="preserve">the Committee of Experts on the Evaluation of Anti-Money Laundering Measures and the Financing of Terrorism (MONEYVAL); </w:t>
      </w:r>
    </w:p>
    <w:p w:rsidR="005E3DE3" w:rsidRPr="005B4776" w:rsidRDefault="005E3DE3" w:rsidP="0035420B">
      <w:pPr>
        <w:numPr>
          <w:ilvl w:val="0"/>
          <w:numId w:val="26"/>
        </w:numPr>
        <w:ind w:left="709" w:hanging="709"/>
        <w:rPr>
          <w:rFonts w:cs="Arial"/>
          <w:szCs w:val="20"/>
        </w:rPr>
      </w:pPr>
      <w:r w:rsidRPr="005B4776">
        <w:rPr>
          <w:rFonts w:cs="Arial"/>
          <w:szCs w:val="20"/>
        </w:rPr>
        <w:t xml:space="preserve">the European Committee on Crime Problems (CDPC); </w:t>
      </w:r>
    </w:p>
    <w:p w:rsidR="005E3DE3" w:rsidRPr="005B4776" w:rsidRDefault="005E3DE3" w:rsidP="0035420B">
      <w:pPr>
        <w:numPr>
          <w:ilvl w:val="0"/>
          <w:numId w:val="26"/>
        </w:numPr>
        <w:ind w:left="709" w:hanging="709"/>
        <w:rPr>
          <w:rFonts w:cs="Arial"/>
          <w:szCs w:val="20"/>
        </w:rPr>
      </w:pPr>
      <w:r w:rsidRPr="005B4776">
        <w:rPr>
          <w:rFonts w:cs="Arial"/>
          <w:szCs w:val="20"/>
        </w:rPr>
        <w:t>the Group of States against Corruption (GRECO);</w:t>
      </w:r>
    </w:p>
    <w:p w:rsidR="005E3DE3" w:rsidRPr="005B4776" w:rsidRDefault="005E3DE3" w:rsidP="0035420B">
      <w:pPr>
        <w:numPr>
          <w:ilvl w:val="0"/>
          <w:numId w:val="26"/>
        </w:numPr>
        <w:ind w:left="709" w:hanging="709"/>
        <w:rPr>
          <w:rFonts w:cs="Arial"/>
          <w:szCs w:val="20"/>
        </w:rPr>
      </w:pPr>
      <w:r w:rsidRPr="005B4776">
        <w:rPr>
          <w:rFonts w:cs="Arial"/>
          <w:szCs w:val="20"/>
        </w:rPr>
        <w:t>the Financial Action Task Force (FATF); and</w:t>
      </w:r>
    </w:p>
    <w:p w:rsidR="005E3DE3" w:rsidRPr="005B4776" w:rsidRDefault="005E3DE3" w:rsidP="0035420B">
      <w:pPr>
        <w:numPr>
          <w:ilvl w:val="0"/>
          <w:numId w:val="26"/>
        </w:numPr>
        <w:ind w:left="709" w:hanging="709"/>
        <w:rPr>
          <w:rFonts w:cs="Arial"/>
          <w:szCs w:val="20"/>
        </w:rPr>
      </w:pPr>
      <w:proofErr w:type="gramStart"/>
      <w:r w:rsidRPr="005B4776">
        <w:rPr>
          <w:rFonts w:cs="Arial"/>
          <w:szCs w:val="20"/>
        </w:rPr>
        <w:t>the</w:t>
      </w:r>
      <w:proofErr w:type="gramEnd"/>
      <w:r w:rsidRPr="005B4776">
        <w:rPr>
          <w:rFonts w:cs="Arial"/>
          <w:szCs w:val="20"/>
        </w:rPr>
        <w:t xml:space="preserve"> Eurasian Group (EAG).</w:t>
      </w:r>
    </w:p>
    <w:p w:rsidR="005E3DE3" w:rsidRPr="005B4776" w:rsidRDefault="005E3DE3" w:rsidP="0035420B">
      <w:pPr>
        <w:ind w:left="709" w:hanging="709"/>
        <w:rPr>
          <w:rFonts w:cs="Arial"/>
          <w:szCs w:val="20"/>
        </w:rPr>
      </w:pPr>
    </w:p>
    <w:p w:rsidR="005E3DE3" w:rsidRPr="005B4776" w:rsidRDefault="005E3DE3" w:rsidP="0035420B">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Participants in the Conference of the Parties do not have the right to vote.</w:t>
      </w:r>
    </w:p>
    <w:p w:rsidR="005E3DE3" w:rsidRPr="005B4776" w:rsidRDefault="005E3DE3" w:rsidP="005B4776">
      <w:pPr>
        <w:rPr>
          <w:rFonts w:cs="Arial"/>
          <w:szCs w:val="20"/>
          <w:u w:val="single"/>
        </w:rPr>
      </w:pPr>
    </w:p>
    <w:p w:rsidR="005E3DE3" w:rsidRPr="005B4776" w:rsidRDefault="005E3DE3" w:rsidP="005B4776">
      <w:pPr>
        <w:rPr>
          <w:rFonts w:cs="Arial"/>
          <w:szCs w:val="20"/>
          <w:u w:val="single"/>
        </w:rPr>
      </w:pPr>
      <w:r w:rsidRPr="005B4776">
        <w:rPr>
          <w:rFonts w:cs="Arial"/>
          <w:szCs w:val="20"/>
          <w:u w:val="single"/>
        </w:rPr>
        <w:t>Observers</w:t>
      </w:r>
    </w:p>
    <w:p w:rsidR="005E3DE3" w:rsidRPr="005B4776" w:rsidRDefault="005E3DE3" w:rsidP="005B4776">
      <w:pPr>
        <w:rPr>
          <w:rFonts w:cs="Arial"/>
          <w:szCs w:val="20"/>
        </w:rPr>
      </w:pPr>
    </w:p>
    <w:p w:rsidR="005E3DE3" w:rsidRPr="005B4776" w:rsidRDefault="005E3DE3" w:rsidP="0035420B">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The Conference of the Parties or its Bureau may, on a permanent or ad-hoc basis, authorise international governmental organisations, including the United Nations, the Organisation for Security and Co-operation in Europe (OSCE), the International Monetary Fund, the World Bank, the Egmont Group and Interpol, to send representatives to its meetings as observers without the right to vote, or defrayal of their expenses.</w:t>
      </w:r>
    </w:p>
    <w:p w:rsidR="005E3DE3" w:rsidRPr="005B4776" w:rsidRDefault="005E3DE3" w:rsidP="0035420B">
      <w:pPr>
        <w:rPr>
          <w:rFonts w:cs="Arial"/>
          <w:szCs w:val="20"/>
          <w:u w:val="single"/>
        </w:rPr>
      </w:pPr>
    </w:p>
    <w:p w:rsidR="005E3DE3" w:rsidRPr="005B4776" w:rsidRDefault="005E3DE3" w:rsidP="0035420B">
      <w:pPr>
        <w:rPr>
          <w:rFonts w:cs="Arial"/>
          <w:szCs w:val="20"/>
          <w:u w:val="single"/>
        </w:rPr>
      </w:pPr>
      <w:r w:rsidRPr="005B4776">
        <w:rPr>
          <w:rFonts w:cs="Arial"/>
          <w:szCs w:val="20"/>
          <w:u w:val="single"/>
        </w:rPr>
        <w:t xml:space="preserve">Accession of </w:t>
      </w:r>
      <w:r w:rsidR="00D47AC4">
        <w:rPr>
          <w:rFonts w:cs="Arial"/>
          <w:szCs w:val="20"/>
          <w:u w:val="single"/>
        </w:rPr>
        <w:t>State</w:t>
      </w:r>
      <w:r w:rsidRPr="005B4776">
        <w:rPr>
          <w:rFonts w:cs="Arial"/>
          <w:szCs w:val="20"/>
          <w:u w:val="single"/>
        </w:rPr>
        <w:t>s which are not members of the Council of Europe</w:t>
      </w:r>
    </w:p>
    <w:p w:rsidR="005E3DE3" w:rsidRPr="005B4776" w:rsidRDefault="005E3DE3" w:rsidP="0035420B">
      <w:pPr>
        <w:rPr>
          <w:rFonts w:cs="Arial"/>
          <w:szCs w:val="20"/>
        </w:rPr>
      </w:pPr>
    </w:p>
    <w:p w:rsidR="005E3DE3" w:rsidRPr="005B4776" w:rsidRDefault="005E3DE3" w:rsidP="0035420B">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The Convention is also op</w:t>
      </w:r>
      <w:r w:rsidR="008271EF">
        <w:rPr>
          <w:rFonts w:eastAsia="MS Mincho" w:cs="Arial"/>
          <w:szCs w:val="20"/>
          <w:lang w:eastAsia="ar-SA"/>
        </w:rPr>
        <w:t>en for accession by non-member S</w:t>
      </w:r>
      <w:r w:rsidRPr="005B4776">
        <w:rPr>
          <w:rFonts w:eastAsia="MS Mincho" w:cs="Arial"/>
          <w:szCs w:val="20"/>
          <w:lang w:eastAsia="ar-SA"/>
        </w:rPr>
        <w:t xml:space="preserve">tates which have not participated in its elaboration, provided that they have been formally invited to accede by the Committee of Ministers of the Council of Europe. In principle, the Committee of Ministers may take the initiative of inviting a non-member </w:t>
      </w:r>
      <w:r w:rsidR="008271EF">
        <w:rPr>
          <w:rFonts w:eastAsia="MS Mincho" w:cs="Arial"/>
          <w:szCs w:val="20"/>
          <w:lang w:eastAsia="ar-SA"/>
        </w:rPr>
        <w:t>S</w:t>
      </w:r>
      <w:r w:rsidRPr="005B4776">
        <w:rPr>
          <w:rFonts w:eastAsia="MS Mincho" w:cs="Arial"/>
          <w:szCs w:val="20"/>
          <w:lang w:eastAsia="ar-SA"/>
        </w:rPr>
        <w:t>tate to accede to a specific convention. It is nevertheles</w:t>
      </w:r>
      <w:r w:rsidR="008271EF">
        <w:rPr>
          <w:rFonts w:eastAsia="MS Mincho" w:cs="Arial"/>
          <w:szCs w:val="20"/>
          <w:lang w:eastAsia="ar-SA"/>
        </w:rPr>
        <w:t xml:space="preserve">s customary for the </w:t>
      </w:r>
      <w:proofErr w:type="gramStart"/>
      <w:r w:rsidR="008271EF">
        <w:rPr>
          <w:rFonts w:eastAsia="MS Mincho" w:cs="Arial"/>
          <w:szCs w:val="20"/>
          <w:lang w:eastAsia="ar-SA"/>
        </w:rPr>
        <w:t>non-member</w:t>
      </w:r>
      <w:proofErr w:type="gramEnd"/>
      <w:r w:rsidR="008271EF">
        <w:rPr>
          <w:rFonts w:eastAsia="MS Mincho" w:cs="Arial"/>
          <w:szCs w:val="20"/>
          <w:lang w:eastAsia="ar-SA"/>
        </w:rPr>
        <w:t xml:space="preserve"> S</w:t>
      </w:r>
      <w:r w:rsidRPr="005B4776">
        <w:rPr>
          <w:rFonts w:eastAsia="MS Mincho" w:cs="Arial"/>
          <w:szCs w:val="20"/>
          <w:lang w:eastAsia="ar-SA"/>
        </w:rPr>
        <w:t>tate to request accession in a letter addressed to the Secretary General of the Council of Europe. Before taking a decision in respect of a request for accession to a Council of Europe convention the C</w:t>
      </w:r>
      <w:r w:rsidR="008271EF">
        <w:rPr>
          <w:rFonts w:eastAsia="MS Mincho" w:cs="Arial"/>
          <w:szCs w:val="20"/>
          <w:lang w:eastAsia="ar-SA"/>
        </w:rPr>
        <w:t>ommittee of Ministers consults member States and S</w:t>
      </w:r>
      <w:r w:rsidRPr="005B4776">
        <w:rPr>
          <w:rFonts w:eastAsia="MS Mincho" w:cs="Arial"/>
          <w:szCs w:val="20"/>
          <w:lang w:eastAsia="ar-SA"/>
        </w:rPr>
        <w:t>tates that are not members of the Council of Europe but which are Parties to the Convention in question. The decision on whether or not to issue an invitation has to be unanimously agr</w:t>
      </w:r>
      <w:r w:rsidR="008271EF">
        <w:rPr>
          <w:rFonts w:eastAsia="MS Mincho" w:cs="Arial"/>
          <w:szCs w:val="20"/>
          <w:lang w:eastAsia="ar-SA"/>
        </w:rPr>
        <w:t xml:space="preserve">eed by </w:t>
      </w:r>
      <w:proofErr w:type="gramStart"/>
      <w:r w:rsidR="008271EF">
        <w:rPr>
          <w:rFonts w:eastAsia="MS Mincho" w:cs="Arial"/>
          <w:szCs w:val="20"/>
          <w:lang w:eastAsia="ar-SA"/>
        </w:rPr>
        <w:t>those</w:t>
      </w:r>
      <w:proofErr w:type="gramEnd"/>
      <w:r w:rsidR="008271EF">
        <w:rPr>
          <w:rFonts w:eastAsia="MS Mincho" w:cs="Arial"/>
          <w:szCs w:val="20"/>
          <w:lang w:eastAsia="ar-SA"/>
        </w:rPr>
        <w:t xml:space="preserve"> Council of Europe m</w:t>
      </w:r>
      <w:r w:rsidRPr="005B4776">
        <w:rPr>
          <w:rFonts w:eastAsia="MS Mincho" w:cs="Arial"/>
          <w:szCs w:val="20"/>
          <w:lang w:eastAsia="ar-SA"/>
        </w:rPr>
        <w:t xml:space="preserve">ember States which are Parties to the convention. Then, an invitation to accede to the convention is notified to the </w:t>
      </w:r>
      <w:r w:rsidR="00D47AC4">
        <w:rPr>
          <w:rFonts w:eastAsia="MS Mincho" w:cs="Arial"/>
          <w:szCs w:val="20"/>
          <w:lang w:eastAsia="ar-SA"/>
        </w:rPr>
        <w:t>State</w:t>
      </w:r>
      <w:r w:rsidRPr="005B4776">
        <w:rPr>
          <w:rFonts w:eastAsia="MS Mincho" w:cs="Arial"/>
          <w:szCs w:val="20"/>
          <w:lang w:eastAsia="ar-SA"/>
        </w:rPr>
        <w:t xml:space="preserve"> concerned by the Secretariat General. </w:t>
      </w:r>
    </w:p>
    <w:p w:rsidR="005E3DE3" w:rsidRPr="005B4776" w:rsidRDefault="005E3DE3" w:rsidP="0035420B">
      <w:pPr>
        <w:suppressAutoHyphens/>
        <w:rPr>
          <w:rFonts w:eastAsia="MS Mincho" w:cs="Arial"/>
          <w:szCs w:val="20"/>
          <w:lang w:eastAsia="ar-SA"/>
        </w:rPr>
      </w:pPr>
    </w:p>
    <w:p w:rsidR="005E3DE3" w:rsidRPr="005B4776" w:rsidRDefault="005E3DE3" w:rsidP="0035420B">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 xml:space="preserve">During the period under consideration in this activity report, the Council of Europe has reached out to a number of non-member </w:t>
      </w:r>
      <w:r w:rsidR="008271EF">
        <w:rPr>
          <w:rFonts w:eastAsia="MS Mincho" w:cs="Arial"/>
          <w:szCs w:val="20"/>
          <w:lang w:eastAsia="ar-SA"/>
        </w:rPr>
        <w:t>S</w:t>
      </w:r>
      <w:r w:rsidRPr="005B4776">
        <w:rPr>
          <w:rFonts w:eastAsia="MS Mincho" w:cs="Arial"/>
          <w:szCs w:val="20"/>
          <w:lang w:eastAsia="ar-SA"/>
        </w:rPr>
        <w:t xml:space="preserve">tates to ratify certain Council of Europe Conventions, including the Warsaw Convention. The Secretariat regularly informs the Conference of the Parties at its </w:t>
      </w:r>
      <w:proofErr w:type="gramStart"/>
      <w:r w:rsidRPr="005B4776">
        <w:rPr>
          <w:rFonts w:eastAsia="MS Mincho" w:cs="Arial"/>
          <w:szCs w:val="20"/>
          <w:lang w:eastAsia="ar-SA"/>
        </w:rPr>
        <w:t>Plenary</w:t>
      </w:r>
      <w:proofErr w:type="gramEnd"/>
      <w:r w:rsidRPr="005B4776">
        <w:rPr>
          <w:rFonts w:eastAsia="MS Mincho" w:cs="Arial"/>
          <w:szCs w:val="20"/>
          <w:lang w:eastAsia="ar-SA"/>
        </w:rPr>
        <w:t xml:space="preserve"> meetings about progress made in this regard.   </w:t>
      </w:r>
    </w:p>
    <w:p w:rsidR="005E3DE3" w:rsidRPr="005B4776" w:rsidRDefault="005E3DE3" w:rsidP="0035420B">
      <w:pPr>
        <w:pStyle w:val="ListParagraph"/>
        <w:suppressAutoHyphens/>
        <w:ind w:left="0"/>
        <w:rPr>
          <w:rFonts w:cs="Arial"/>
          <w:bCs/>
          <w:szCs w:val="20"/>
        </w:rPr>
      </w:pPr>
    </w:p>
    <w:p w:rsidR="005E3DE3" w:rsidRPr="005B4776" w:rsidRDefault="005E3DE3" w:rsidP="0035420B">
      <w:pPr>
        <w:pStyle w:val="ListParagraph"/>
        <w:keepNext/>
        <w:numPr>
          <w:ilvl w:val="1"/>
          <w:numId w:val="14"/>
        </w:numPr>
        <w:ind w:left="0" w:firstLine="0"/>
        <w:contextualSpacing w:val="0"/>
        <w:outlineLvl w:val="1"/>
        <w:rPr>
          <w:rFonts w:cs="Arial"/>
          <w:b/>
          <w:bCs/>
          <w:iCs/>
          <w:szCs w:val="20"/>
        </w:rPr>
      </w:pPr>
      <w:bookmarkStart w:id="32" w:name="_Toc425866504"/>
      <w:bookmarkStart w:id="33" w:name="_Toc519261947"/>
      <w:bookmarkStart w:id="34" w:name="_Toc519262111"/>
      <w:bookmarkStart w:id="35" w:name="_Toc528243607"/>
      <w:r w:rsidRPr="005B4776">
        <w:rPr>
          <w:rFonts w:cs="Arial"/>
          <w:b/>
          <w:bCs/>
          <w:iCs/>
          <w:szCs w:val="20"/>
        </w:rPr>
        <w:t>Governance</w:t>
      </w:r>
      <w:bookmarkEnd w:id="32"/>
      <w:bookmarkEnd w:id="33"/>
      <w:bookmarkEnd w:id="34"/>
      <w:bookmarkEnd w:id="35"/>
    </w:p>
    <w:p w:rsidR="005E3DE3" w:rsidRPr="005B4776" w:rsidRDefault="005E3DE3" w:rsidP="0035420B">
      <w:pPr>
        <w:rPr>
          <w:rFonts w:cs="Arial"/>
          <w:szCs w:val="20"/>
        </w:rPr>
      </w:pPr>
    </w:p>
    <w:p w:rsidR="005E3DE3" w:rsidRPr="005B4776" w:rsidRDefault="005E3DE3" w:rsidP="0035420B">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According to Rules 3 and 4 of the Rules of Procedure, the Conference of the Parties elects from among its Parties, for a two-year mandate, a President and Vice-President, as well as three other Bureau members. The Bureau assists the President and ensures the preparation of meetings and continuity between meetings. The current Bureau is composed as follows:</w:t>
      </w:r>
    </w:p>
    <w:p w:rsidR="005E3DE3" w:rsidRPr="005B4776" w:rsidRDefault="005E3DE3" w:rsidP="005B4776">
      <w:pPr>
        <w:rPr>
          <w:rFonts w:cs="Arial"/>
          <w:szCs w:val="20"/>
        </w:rPr>
      </w:pPr>
    </w:p>
    <w:tbl>
      <w:tblPr>
        <w:tblW w:w="3806" w:type="pct"/>
        <w:jc w:val="center"/>
        <w:tblBorders>
          <w:top w:val="single" w:sz="12" w:space="0" w:color="8DB3E2"/>
          <w:left w:val="single" w:sz="12" w:space="0" w:color="8DB3E2"/>
          <w:bottom w:val="single" w:sz="12" w:space="0" w:color="8DB3E2"/>
          <w:right w:val="single" w:sz="12" w:space="0" w:color="8DB3E2"/>
          <w:insideH w:val="single" w:sz="12" w:space="0" w:color="8DB3E2"/>
          <w:insideV w:val="single" w:sz="12" w:space="0" w:color="8DB3E2"/>
        </w:tblBorders>
        <w:tblCellMar>
          <w:left w:w="0" w:type="dxa"/>
          <w:right w:w="0" w:type="dxa"/>
        </w:tblCellMar>
        <w:tblLook w:val="0000" w:firstRow="0" w:lastRow="0" w:firstColumn="0" w:lastColumn="0" w:noHBand="0" w:noVBand="0"/>
      </w:tblPr>
      <w:tblGrid>
        <w:gridCol w:w="3172"/>
        <w:gridCol w:w="4223"/>
      </w:tblGrid>
      <w:tr w:rsidR="005E3DE3" w:rsidRPr="005B4776" w:rsidTr="008271EF">
        <w:trPr>
          <w:trHeight w:val="60"/>
          <w:jc w:val="center"/>
        </w:trPr>
        <w:tc>
          <w:tcPr>
            <w:tcW w:w="5000" w:type="pct"/>
            <w:gridSpan w:val="2"/>
            <w:shd w:val="clear" w:color="auto" w:fill="8DB3E2" w:themeFill="text2" w:themeFillTint="66"/>
            <w:tcMar>
              <w:top w:w="80" w:type="dxa"/>
              <w:left w:w="80" w:type="dxa"/>
              <w:bottom w:w="80" w:type="dxa"/>
              <w:right w:w="80" w:type="dxa"/>
            </w:tcMar>
          </w:tcPr>
          <w:p w:rsidR="005E3DE3" w:rsidRPr="005B4776" w:rsidRDefault="005E3DE3" w:rsidP="005B4776">
            <w:pPr>
              <w:rPr>
                <w:rFonts w:cs="Arial"/>
                <w:b/>
                <w:bCs/>
                <w:szCs w:val="20"/>
              </w:rPr>
            </w:pPr>
            <w:r w:rsidRPr="005B4776">
              <w:rPr>
                <w:rFonts w:eastAsia="MS Mincho" w:cs="Arial"/>
                <w:b/>
                <w:szCs w:val="20"/>
                <w:lang w:eastAsia="ar-SA"/>
              </w:rPr>
              <w:t>Conference of the Parties</w:t>
            </w:r>
            <w:r w:rsidRPr="005B4776">
              <w:rPr>
                <w:rFonts w:cs="Arial"/>
                <w:b/>
                <w:bCs/>
                <w:szCs w:val="20"/>
              </w:rPr>
              <w:t xml:space="preserve"> Bureau in 2017</w:t>
            </w:r>
          </w:p>
        </w:tc>
      </w:tr>
      <w:tr w:rsidR="005E3DE3" w:rsidRPr="005B4776" w:rsidTr="008271EF">
        <w:trPr>
          <w:trHeight w:val="60"/>
          <w:jc w:val="center"/>
        </w:trPr>
        <w:tc>
          <w:tcPr>
            <w:tcW w:w="2145" w:type="pct"/>
            <w:shd w:val="clear" w:color="auto" w:fill="auto"/>
            <w:tcMar>
              <w:top w:w="80" w:type="dxa"/>
              <w:left w:w="80" w:type="dxa"/>
              <w:bottom w:w="80" w:type="dxa"/>
              <w:right w:w="80" w:type="dxa"/>
            </w:tcMar>
          </w:tcPr>
          <w:p w:rsidR="005E3DE3" w:rsidRPr="005B4776" w:rsidRDefault="005E3DE3" w:rsidP="005B4776">
            <w:pPr>
              <w:rPr>
                <w:rFonts w:cs="Arial"/>
                <w:szCs w:val="20"/>
              </w:rPr>
            </w:pPr>
            <w:r w:rsidRPr="005B4776">
              <w:rPr>
                <w:rFonts w:cs="Arial"/>
                <w:szCs w:val="20"/>
              </w:rPr>
              <w:t>President</w:t>
            </w:r>
          </w:p>
        </w:tc>
        <w:tc>
          <w:tcPr>
            <w:tcW w:w="2855" w:type="pct"/>
            <w:shd w:val="clear" w:color="auto" w:fill="auto"/>
          </w:tcPr>
          <w:p w:rsidR="005E3DE3" w:rsidRPr="005B4776" w:rsidRDefault="005E3DE3" w:rsidP="005B4776">
            <w:pPr>
              <w:rPr>
                <w:rFonts w:cs="Arial"/>
                <w:szCs w:val="20"/>
              </w:rPr>
            </w:pPr>
            <w:r w:rsidRPr="005B4776">
              <w:rPr>
                <w:rFonts w:cs="Arial"/>
                <w:szCs w:val="20"/>
              </w:rPr>
              <w:t xml:space="preserve">Mr </w:t>
            </w:r>
            <w:proofErr w:type="spellStart"/>
            <w:r w:rsidRPr="005B4776">
              <w:rPr>
                <w:rFonts w:cs="Arial"/>
                <w:szCs w:val="20"/>
              </w:rPr>
              <w:t>Branislav</w:t>
            </w:r>
            <w:proofErr w:type="spellEnd"/>
            <w:r w:rsidRPr="005B4776">
              <w:rPr>
                <w:rFonts w:cs="Arial"/>
                <w:szCs w:val="20"/>
              </w:rPr>
              <w:t xml:space="preserve"> </w:t>
            </w:r>
            <w:proofErr w:type="spellStart"/>
            <w:r w:rsidRPr="005B4776">
              <w:rPr>
                <w:rFonts w:cs="Arial"/>
                <w:szCs w:val="20"/>
              </w:rPr>
              <w:t>Bohacik</w:t>
            </w:r>
            <w:proofErr w:type="spellEnd"/>
            <w:r w:rsidRPr="005B4776">
              <w:rPr>
                <w:rFonts w:cs="Arial"/>
                <w:szCs w:val="20"/>
              </w:rPr>
              <w:t xml:space="preserve"> (Slovak Republic)</w:t>
            </w:r>
          </w:p>
        </w:tc>
      </w:tr>
      <w:tr w:rsidR="005E3DE3" w:rsidRPr="00681B3C" w:rsidTr="008271EF">
        <w:trPr>
          <w:trHeight w:val="60"/>
          <w:jc w:val="center"/>
        </w:trPr>
        <w:tc>
          <w:tcPr>
            <w:tcW w:w="2145" w:type="pct"/>
            <w:shd w:val="clear" w:color="auto" w:fill="auto"/>
            <w:tcMar>
              <w:top w:w="80" w:type="dxa"/>
              <w:left w:w="80" w:type="dxa"/>
              <w:bottom w:w="80" w:type="dxa"/>
              <w:right w:w="80" w:type="dxa"/>
            </w:tcMar>
          </w:tcPr>
          <w:p w:rsidR="005E3DE3" w:rsidRPr="005B4776" w:rsidRDefault="005E3DE3" w:rsidP="005B4776">
            <w:pPr>
              <w:rPr>
                <w:rFonts w:cs="Arial"/>
                <w:szCs w:val="20"/>
              </w:rPr>
            </w:pPr>
            <w:r w:rsidRPr="005B4776">
              <w:rPr>
                <w:rFonts w:cs="Arial"/>
                <w:szCs w:val="20"/>
              </w:rPr>
              <w:t>Vice-president</w:t>
            </w:r>
          </w:p>
        </w:tc>
        <w:tc>
          <w:tcPr>
            <w:tcW w:w="2855" w:type="pct"/>
            <w:shd w:val="clear" w:color="auto" w:fill="auto"/>
          </w:tcPr>
          <w:p w:rsidR="005E3DE3" w:rsidRPr="005B4776" w:rsidRDefault="005E3DE3" w:rsidP="005B4776">
            <w:pPr>
              <w:rPr>
                <w:rFonts w:cs="Arial"/>
                <w:szCs w:val="20"/>
                <w:lang w:val="fr-FR"/>
              </w:rPr>
            </w:pPr>
            <w:r w:rsidRPr="005B4776">
              <w:rPr>
                <w:rFonts w:cs="Arial"/>
                <w:szCs w:val="20"/>
                <w:lang w:val="fr-FR"/>
              </w:rPr>
              <w:t xml:space="preserve">Mr Jean-Sébastien </w:t>
            </w:r>
            <w:proofErr w:type="spellStart"/>
            <w:r w:rsidRPr="005B4776">
              <w:rPr>
                <w:rFonts w:cs="Arial"/>
                <w:szCs w:val="20"/>
                <w:lang w:val="fr-FR"/>
              </w:rPr>
              <w:t>Jamart</w:t>
            </w:r>
            <w:proofErr w:type="spellEnd"/>
            <w:r w:rsidRPr="005B4776">
              <w:rPr>
                <w:rFonts w:cs="Arial"/>
                <w:szCs w:val="20"/>
                <w:lang w:val="fr-FR"/>
              </w:rPr>
              <w:t xml:space="preserve"> (Belgium)</w:t>
            </w:r>
          </w:p>
        </w:tc>
      </w:tr>
      <w:tr w:rsidR="005E3DE3" w:rsidRPr="005B4776" w:rsidTr="008271EF">
        <w:trPr>
          <w:trHeight w:val="60"/>
          <w:jc w:val="center"/>
        </w:trPr>
        <w:tc>
          <w:tcPr>
            <w:tcW w:w="2145" w:type="pct"/>
            <w:shd w:val="clear" w:color="auto" w:fill="auto"/>
            <w:tcMar>
              <w:top w:w="80" w:type="dxa"/>
              <w:left w:w="80" w:type="dxa"/>
              <w:bottom w:w="80" w:type="dxa"/>
              <w:right w:w="80" w:type="dxa"/>
            </w:tcMar>
          </w:tcPr>
          <w:p w:rsidR="005E3DE3" w:rsidRPr="005B4776" w:rsidRDefault="005E3DE3" w:rsidP="005B4776">
            <w:pPr>
              <w:rPr>
                <w:rFonts w:cs="Arial"/>
                <w:szCs w:val="20"/>
              </w:rPr>
            </w:pPr>
            <w:r w:rsidRPr="005B4776">
              <w:rPr>
                <w:rFonts w:cs="Arial"/>
                <w:szCs w:val="20"/>
              </w:rPr>
              <w:t>Bureau members</w:t>
            </w:r>
          </w:p>
        </w:tc>
        <w:tc>
          <w:tcPr>
            <w:tcW w:w="2855" w:type="pct"/>
            <w:shd w:val="clear" w:color="auto" w:fill="auto"/>
            <w:tcMar>
              <w:top w:w="80" w:type="dxa"/>
              <w:left w:w="80" w:type="dxa"/>
              <w:bottom w:w="80" w:type="dxa"/>
              <w:right w:w="80" w:type="dxa"/>
            </w:tcMar>
          </w:tcPr>
          <w:p w:rsidR="005E3DE3" w:rsidRPr="005B4776" w:rsidRDefault="005E3DE3" w:rsidP="005B4776">
            <w:pPr>
              <w:rPr>
                <w:rFonts w:cs="Arial"/>
                <w:szCs w:val="20"/>
              </w:rPr>
            </w:pPr>
            <w:r w:rsidRPr="005B4776">
              <w:rPr>
                <w:rFonts w:cs="Arial"/>
                <w:szCs w:val="20"/>
              </w:rPr>
              <w:t xml:space="preserve">Mr </w:t>
            </w:r>
            <w:proofErr w:type="spellStart"/>
            <w:r w:rsidRPr="005B4776">
              <w:rPr>
                <w:rFonts w:cs="Arial"/>
                <w:szCs w:val="20"/>
              </w:rPr>
              <w:t>Besnik</w:t>
            </w:r>
            <w:proofErr w:type="spellEnd"/>
            <w:r w:rsidRPr="005B4776">
              <w:rPr>
                <w:rFonts w:cs="Arial"/>
                <w:szCs w:val="20"/>
              </w:rPr>
              <w:t xml:space="preserve"> </w:t>
            </w:r>
            <w:proofErr w:type="spellStart"/>
            <w:r w:rsidRPr="005B4776">
              <w:rPr>
                <w:rFonts w:cs="Arial"/>
                <w:szCs w:val="20"/>
              </w:rPr>
              <w:t>Muci</w:t>
            </w:r>
            <w:proofErr w:type="spellEnd"/>
            <w:r w:rsidRPr="005B4776">
              <w:rPr>
                <w:rFonts w:cs="Arial"/>
                <w:szCs w:val="20"/>
              </w:rPr>
              <w:t xml:space="preserve"> (Albania)</w:t>
            </w:r>
          </w:p>
          <w:p w:rsidR="005E3DE3" w:rsidRPr="005B4776" w:rsidRDefault="005E3DE3" w:rsidP="005B4776">
            <w:pPr>
              <w:rPr>
                <w:rFonts w:cs="Arial"/>
                <w:szCs w:val="20"/>
              </w:rPr>
            </w:pPr>
            <w:r w:rsidRPr="005B4776">
              <w:rPr>
                <w:rFonts w:cs="Arial"/>
                <w:szCs w:val="20"/>
              </w:rPr>
              <w:t xml:space="preserve">Ms </w:t>
            </w:r>
            <w:proofErr w:type="spellStart"/>
            <w:r w:rsidRPr="005B4776">
              <w:rPr>
                <w:rFonts w:cs="Arial"/>
                <w:szCs w:val="20"/>
              </w:rPr>
              <w:t>Oxana</w:t>
            </w:r>
            <w:proofErr w:type="spellEnd"/>
            <w:r w:rsidRPr="005B4776">
              <w:rPr>
                <w:rFonts w:cs="Arial"/>
                <w:szCs w:val="20"/>
              </w:rPr>
              <w:t xml:space="preserve"> </w:t>
            </w:r>
            <w:proofErr w:type="spellStart"/>
            <w:r w:rsidRPr="005B4776">
              <w:rPr>
                <w:rFonts w:cs="Arial"/>
                <w:szCs w:val="20"/>
              </w:rPr>
              <w:t>Gasca</w:t>
            </w:r>
            <w:proofErr w:type="spellEnd"/>
            <w:r w:rsidRPr="005B4776">
              <w:rPr>
                <w:rFonts w:cs="Arial"/>
                <w:szCs w:val="20"/>
              </w:rPr>
              <w:t xml:space="preserve"> (Republic of Moldova)</w:t>
            </w:r>
            <w:r w:rsidRPr="005B4776">
              <w:rPr>
                <w:rStyle w:val="FootnoteReference"/>
                <w:rFonts w:cs="Arial"/>
                <w:b/>
                <w:bCs/>
                <w:szCs w:val="20"/>
              </w:rPr>
              <w:footnoteReference w:id="7"/>
            </w:r>
          </w:p>
          <w:p w:rsidR="005E3DE3" w:rsidRPr="005B4776" w:rsidRDefault="005E3DE3" w:rsidP="005B4776">
            <w:pPr>
              <w:rPr>
                <w:rFonts w:cs="Arial"/>
                <w:szCs w:val="20"/>
              </w:rPr>
            </w:pPr>
            <w:r w:rsidRPr="005B4776">
              <w:rPr>
                <w:rFonts w:cs="Arial"/>
                <w:szCs w:val="20"/>
              </w:rPr>
              <w:t xml:space="preserve">Mr </w:t>
            </w:r>
            <w:proofErr w:type="spellStart"/>
            <w:r w:rsidRPr="005B4776">
              <w:rPr>
                <w:rFonts w:cs="Arial"/>
                <w:szCs w:val="20"/>
              </w:rPr>
              <w:t>Sorin</w:t>
            </w:r>
            <w:proofErr w:type="spellEnd"/>
            <w:r w:rsidRPr="005B4776">
              <w:rPr>
                <w:rFonts w:cs="Arial"/>
                <w:szCs w:val="20"/>
              </w:rPr>
              <w:t xml:space="preserve"> </w:t>
            </w:r>
            <w:proofErr w:type="spellStart"/>
            <w:r w:rsidRPr="005B4776">
              <w:rPr>
                <w:rFonts w:cs="Arial"/>
                <w:szCs w:val="20"/>
              </w:rPr>
              <w:t>Tanase</w:t>
            </w:r>
            <w:proofErr w:type="spellEnd"/>
            <w:r w:rsidRPr="005B4776">
              <w:rPr>
                <w:rFonts w:cs="Arial"/>
                <w:szCs w:val="20"/>
              </w:rPr>
              <w:t xml:space="preserve"> (Romania)</w:t>
            </w:r>
          </w:p>
        </w:tc>
      </w:tr>
    </w:tbl>
    <w:p w:rsidR="005E3DE3" w:rsidRPr="005B4776" w:rsidRDefault="005E3DE3" w:rsidP="005B4776">
      <w:pPr>
        <w:rPr>
          <w:rFonts w:cs="Arial"/>
          <w:szCs w:val="20"/>
        </w:rPr>
      </w:pPr>
    </w:p>
    <w:p w:rsidR="005E3DE3" w:rsidRPr="005B4776" w:rsidRDefault="005E3DE3" w:rsidP="0035420B">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 xml:space="preserve">According to Rule 5 of the Rules of Procedure, the Conference of the Parties is assisted by a secretariat provided by the Council of Europe. Matthias </w:t>
      </w:r>
      <w:proofErr w:type="spellStart"/>
      <w:r w:rsidRPr="005B4776">
        <w:rPr>
          <w:rFonts w:eastAsia="MS Mincho" w:cs="Arial"/>
          <w:szCs w:val="20"/>
          <w:lang w:eastAsia="ar-SA"/>
        </w:rPr>
        <w:t>Kloth</w:t>
      </w:r>
      <w:proofErr w:type="spellEnd"/>
      <w:r w:rsidRPr="005B4776">
        <w:rPr>
          <w:rFonts w:eastAsia="MS Mincho" w:cs="Arial"/>
          <w:szCs w:val="20"/>
          <w:lang w:eastAsia="ar-SA"/>
        </w:rPr>
        <w:t xml:space="preserve">, Executive Secretary to MONEYVAL, has also undertaken the role of Executive Secretary of the Conference of the Parties since taking up his position in 2015. </w:t>
      </w:r>
    </w:p>
    <w:p w:rsidR="005E3DE3" w:rsidRPr="005B4776" w:rsidRDefault="005E3DE3" w:rsidP="0035420B">
      <w:pPr>
        <w:rPr>
          <w:rFonts w:cs="Arial"/>
          <w:szCs w:val="20"/>
        </w:rPr>
      </w:pPr>
    </w:p>
    <w:p w:rsidR="005E3DE3" w:rsidRPr="005B4776" w:rsidRDefault="005E3DE3" w:rsidP="0035420B">
      <w:pPr>
        <w:pStyle w:val="ListParagraph"/>
        <w:keepNext/>
        <w:numPr>
          <w:ilvl w:val="1"/>
          <w:numId w:val="14"/>
        </w:numPr>
        <w:ind w:left="0" w:firstLine="0"/>
        <w:contextualSpacing w:val="0"/>
        <w:outlineLvl w:val="1"/>
        <w:rPr>
          <w:rFonts w:cs="Arial"/>
          <w:b/>
          <w:bCs/>
          <w:iCs/>
          <w:szCs w:val="20"/>
        </w:rPr>
      </w:pPr>
      <w:bookmarkStart w:id="36" w:name="_Toc425866505"/>
      <w:bookmarkStart w:id="37" w:name="_Toc519261948"/>
      <w:bookmarkStart w:id="38" w:name="_Toc519262112"/>
      <w:bookmarkStart w:id="39" w:name="_Toc528243608"/>
      <w:r w:rsidRPr="005B4776">
        <w:rPr>
          <w:rFonts w:cs="Arial"/>
          <w:b/>
          <w:bCs/>
          <w:iCs/>
          <w:szCs w:val="20"/>
        </w:rPr>
        <w:t>Scientific experts</w:t>
      </w:r>
      <w:bookmarkEnd w:id="36"/>
      <w:bookmarkEnd w:id="37"/>
      <w:bookmarkEnd w:id="38"/>
      <w:bookmarkEnd w:id="39"/>
    </w:p>
    <w:p w:rsidR="005E3DE3" w:rsidRPr="005B4776" w:rsidRDefault="005E3DE3" w:rsidP="0035420B">
      <w:pPr>
        <w:suppressAutoHyphens/>
        <w:rPr>
          <w:rFonts w:eastAsia="MS Mincho" w:cs="Arial"/>
          <w:szCs w:val="20"/>
          <w:lang w:eastAsia="ar-SA"/>
        </w:rPr>
      </w:pPr>
    </w:p>
    <w:p w:rsidR="005E3DE3" w:rsidRPr="005B4776" w:rsidRDefault="005E3DE3" w:rsidP="0035420B">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 xml:space="preserve">The function of the scientific experts is to provide neutral, experienced opinions where necessary and to assist the chair and secretariat in ensuring the consistency of the Conference of the Parties’ outputs. This includes fulfilling a quality control function for draft Assessment reports, attending Conference of the Parties’ meetings and enriching debates with their experience and knowledge. </w:t>
      </w:r>
    </w:p>
    <w:p w:rsidR="005E3DE3" w:rsidRPr="005B4776" w:rsidRDefault="005E3DE3" w:rsidP="0035420B">
      <w:pPr>
        <w:suppressAutoHyphens/>
        <w:rPr>
          <w:rFonts w:eastAsia="MS Mincho" w:cs="Arial"/>
          <w:szCs w:val="20"/>
          <w:lang w:eastAsia="ar-SA"/>
        </w:rPr>
      </w:pPr>
    </w:p>
    <w:p w:rsidR="005E3DE3" w:rsidRPr="005B4776" w:rsidRDefault="005E3DE3" w:rsidP="0035420B">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Mr Paolo Costanzo (Italy) was appointed as scientific expert to the Conference of the Parties in 2012.</w:t>
      </w:r>
    </w:p>
    <w:p w:rsidR="005E3DE3" w:rsidRPr="005B4776" w:rsidRDefault="005E3DE3" w:rsidP="005B4776">
      <w:pPr>
        <w:rPr>
          <w:rFonts w:eastAsia="MS Mincho" w:cs="Arial"/>
          <w:szCs w:val="20"/>
          <w:lang w:eastAsia="ar-SA"/>
        </w:rPr>
      </w:pPr>
      <w:r w:rsidRPr="005B4776">
        <w:rPr>
          <w:rFonts w:eastAsia="MS Mincho" w:cs="Arial"/>
          <w:szCs w:val="20"/>
          <w:lang w:eastAsia="ar-SA"/>
        </w:rPr>
        <w:br w:type="page"/>
      </w:r>
    </w:p>
    <w:p w:rsidR="005E3DE3" w:rsidRPr="005B4776" w:rsidRDefault="005E3DE3" w:rsidP="0035420B">
      <w:pPr>
        <w:pStyle w:val="ListParagraph"/>
        <w:keepNext/>
        <w:numPr>
          <w:ilvl w:val="1"/>
          <w:numId w:val="14"/>
        </w:numPr>
        <w:ind w:left="0" w:firstLine="0"/>
        <w:contextualSpacing w:val="0"/>
        <w:outlineLvl w:val="1"/>
        <w:rPr>
          <w:rFonts w:cs="Arial"/>
          <w:b/>
          <w:bCs/>
          <w:iCs/>
          <w:szCs w:val="20"/>
        </w:rPr>
      </w:pPr>
      <w:bookmarkStart w:id="40" w:name="_Toc425866506"/>
      <w:bookmarkStart w:id="41" w:name="_Toc519261949"/>
      <w:bookmarkStart w:id="42" w:name="_Toc519262113"/>
      <w:bookmarkStart w:id="43" w:name="_Toc528243609"/>
      <w:r w:rsidRPr="005B4776">
        <w:rPr>
          <w:rFonts w:cs="Arial"/>
          <w:b/>
          <w:bCs/>
          <w:iCs/>
          <w:szCs w:val="20"/>
        </w:rPr>
        <w:t>Gender balance</w:t>
      </w:r>
      <w:bookmarkEnd w:id="40"/>
      <w:bookmarkEnd w:id="41"/>
      <w:bookmarkEnd w:id="42"/>
      <w:bookmarkEnd w:id="43"/>
    </w:p>
    <w:p w:rsidR="005E3DE3" w:rsidRPr="005B4776" w:rsidRDefault="005E3DE3" w:rsidP="0035420B">
      <w:pPr>
        <w:rPr>
          <w:rFonts w:cs="Arial"/>
          <w:szCs w:val="20"/>
        </w:rPr>
      </w:pPr>
    </w:p>
    <w:p w:rsidR="005E3DE3" w:rsidRPr="005B4776" w:rsidRDefault="005E3DE3" w:rsidP="0035420B">
      <w:pPr>
        <w:pStyle w:val="ListParagraph"/>
        <w:numPr>
          <w:ilvl w:val="0"/>
          <w:numId w:val="27"/>
        </w:numPr>
        <w:suppressAutoHyphens/>
        <w:ind w:left="0" w:firstLine="0"/>
        <w:contextualSpacing w:val="0"/>
        <w:rPr>
          <w:rFonts w:eastAsia="MS Mincho" w:cs="Arial"/>
          <w:szCs w:val="20"/>
          <w:lang w:val="en-US"/>
        </w:rPr>
      </w:pPr>
      <w:r w:rsidRPr="005B4776">
        <w:rPr>
          <w:rFonts w:eastAsia="MS Mincho" w:cs="Arial"/>
          <w:szCs w:val="20"/>
          <w:lang w:eastAsia="ar-SA"/>
        </w:rPr>
        <w:t>The Conference of the Parties, conscious of the importance of ensuring a gender balance within its committee and in line with the Council of Europe’s Strategy on Gender Equality 2014-2017</w:t>
      </w:r>
      <w:r w:rsidRPr="005B4776">
        <w:rPr>
          <w:rFonts w:eastAsia="MS Mincho" w:cs="Arial"/>
          <w:szCs w:val="20"/>
          <w:vertAlign w:val="superscript"/>
        </w:rPr>
        <w:footnoteReference w:id="8"/>
      </w:r>
      <w:r w:rsidRPr="005B4776">
        <w:rPr>
          <w:rFonts w:eastAsia="MS Mincho" w:cs="Arial"/>
          <w:szCs w:val="20"/>
          <w:lang w:eastAsia="ar-SA"/>
        </w:rPr>
        <w:t xml:space="preserve">, had 18 female delegates out of a total of 49 delegates during its </w:t>
      </w:r>
      <w:proofErr w:type="gramStart"/>
      <w:r w:rsidRPr="005B4776">
        <w:rPr>
          <w:rFonts w:eastAsia="MS Mincho" w:cs="Arial"/>
          <w:szCs w:val="20"/>
          <w:lang w:eastAsia="ar-SA"/>
        </w:rPr>
        <w:t>Plenary</w:t>
      </w:r>
      <w:proofErr w:type="gramEnd"/>
      <w:r w:rsidRPr="005B4776">
        <w:rPr>
          <w:rFonts w:eastAsia="MS Mincho" w:cs="Arial"/>
          <w:szCs w:val="20"/>
          <w:lang w:eastAsia="ar-SA"/>
        </w:rPr>
        <w:t xml:space="preserve"> meeting of 2017. </w:t>
      </w:r>
      <w:r w:rsidRPr="005B4776">
        <w:rPr>
          <w:rFonts w:cs="Arial"/>
          <w:szCs w:val="20"/>
          <w:lang w:eastAsia="ar-SA"/>
        </w:rPr>
        <w:t>The Conference of the Parties appointed at its 9</w:t>
      </w:r>
      <w:r w:rsidRPr="00DC4D8A">
        <w:rPr>
          <w:rFonts w:cs="Arial"/>
          <w:szCs w:val="20"/>
          <w:vertAlign w:val="superscript"/>
          <w:lang w:eastAsia="ar-SA"/>
        </w:rPr>
        <w:t>th</w:t>
      </w:r>
      <w:r w:rsidR="00DC4D8A">
        <w:rPr>
          <w:rFonts w:cs="Arial"/>
          <w:szCs w:val="20"/>
          <w:lang w:eastAsia="ar-SA"/>
        </w:rPr>
        <w:t> </w:t>
      </w:r>
      <w:r w:rsidRPr="005B4776">
        <w:rPr>
          <w:rFonts w:cs="Arial"/>
          <w:szCs w:val="20"/>
          <w:lang w:eastAsia="ar-SA"/>
        </w:rPr>
        <w:t>meeting (21-22 November 2017) Mr Jean-</w:t>
      </w:r>
      <w:proofErr w:type="spellStart"/>
      <w:r w:rsidRPr="005B4776">
        <w:rPr>
          <w:rFonts w:cs="Arial"/>
          <w:szCs w:val="20"/>
          <w:lang w:eastAsia="ar-SA"/>
        </w:rPr>
        <w:t>Sébastien</w:t>
      </w:r>
      <w:proofErr w:type="spellEnd"/>
      <w:r w:rsidRPr="005B4776">
        <w:rPr>
          <w:rFonts w:cs="Arial"/>
          <w:szCs w:val="20"/>
          <w:lang w:eastAsia="ar-SA"/>
        </w:rPr>
        <w:t xml:space="preserve"> </w:t>
      </w:r>
      <w:proofErr w:type="spellStart"/>
      <w:r w:rsidRPr="005B4776">
        <w:rPr>
          <w:rFonts w:cs="Arial"/>
          <w:szCs w:val="20"/>
          <w:lang w:eastAsia="ar-SA"/>
        </w:rPr>
        <w:t>Jamart</w:t>
      </w:r>
      <w:proofErr w:type="spellEnd"/>
      <w:r w:rsidRPr="005B4776">
        <w:rPr>
          <w:rFonts w:cs="Arial"/>
          <w:szCs w:val="20"/>
          <w:lang w:eastAsia="ar-SA"/>
        </w:rPr>
        <w:t xml:space="preserve"> (Belgium) as gender rapporteur for the </w:t>
      </w:r>
      <w:r w:rsidRPr="005B4776">
        <w:rPr>
          <w:rFonts w:eastAsia="MS Mincho" w:cs="Arial"/>
          <w:szCs w:val="20"/>
          <w:lang w:eastAsia="ar-SA"/>
        </w:rPr>
        <w:t>Conference of the Parties</w:t>
      </w:r>
      <w:r w:rsidRPr="005B4776">
        <w:rPr>
          <w:rFonts w:cs="Arial"/>
          <w:szCs w:val="20"/>
          <w:lang w:eastAsia="ar-SA"/>
        </w:rPr>
        <w:t>.</w:t>
      </w:r>
    </w:p>
    <w:p w:rsidR="005E3DE3" w:rsidRPr="00DC4D8A" w:rsidRDefault="005E3DE3" w:rsidP="0035420B">
      <w:pPr>
        <w:rPr>
          <w:rFonts w:ascii="Arial Bold" w:hAnsi="Arial Bold" w:cs="Arial"/>
          <w:szCs w:val="20"/>
        </w:rPr>
      </w:pPr>
    </w:p>
    <w:p w:rsidR="005E3DE3" w:rsidRPr="00DC4D8A" w:rsidRDefault="005E3DE3" w:rsidP="0035420B">
      <w:pPr>
        <w:pStyle w:val="ListParagraph"/>
        <w:keepNext/>
        <w:widowControl w:val="0"/>
        <w:numPr>
          <w:ilvl w:val="0"/>
          <w:numId w:val="14"/>
        </w:numPr>
        <w:ind w:left="709" w:right="284" w:hanging="709"/>
        <w:contextualSpacing w:val="0"/>
        <w:outlineLvl w:val="1"/>
        <w:rPr>
          <w:rFonts w:ascii="Arial Bold" w:hAnsi="Arial Bold" w:cs="Arial"/>
          <w:b/>
          <w:bCs/>
          <w:caps/>
          <w:szCs w:val="20"/>
          <w:lang w:eastAsia="zh-CN"/>
        </w:rPr>
      </w:pPr>
      <w:bookmarkStart w:id="44" w:name="_Toc425866507"/>
      <w:bookmarkStart w:id="45" w:name="_Toc519261950"/>
      <w:bookmarkStart w:id="46" w:name="_Toc519262114"/>
      <w:bookmarkStart w:id="47" w:name="_Toc528243610"/>
      <w:r w:rsidRPr="00DC4D8A">
        <w:rPr>
          <w:rFonts w:ascii="Arial Bold" w:hAnsi="Arial Bold" w:cs="Arial"/>
          <w:b/>
          <w:bCs/>
          <w:caps/>
          <w:szCs w:val="20"/>
          <w:lang w:eastAsia="zh-CN"/>
        </w:rPr>
        <w:t>Monitoring of the implementation of the convention by the Conference of the Parties</w:t>
      </w:r>
      <w:bookmarkEnd w:id="44"/>
      <w:bookmarkEnd w:id="45"/>
      <w:bookmarkEnd w:id="46"/>
      <w:bookmarkEnd w:id="47"/>
    </w:p>
    <w:p w:rsidR="005E3DE3" w:rsidRPr="00DC4D8A" w:rsidRDefault="005E3DE3" w:rsidP="0035420B">
      <w:pPr>
        <w:keepNext/>
        <w:widowControl w:val="0"/>
        <w:ind w:right="284"/>
        <w:outlineLvl w:val="1"/>
        <w:rPr>
          <w:rFonts w:ascii="Arial Bold" w:hAnsi="Arial Bold" w:cs="Arial"/>
          <w:b/>
          <w:bCs/>
          <w:caps/>
          <w:szCs w:val="20"/>
          <w:lang w:eastAsia="zh-CN"/>
        </w:rPr>
      </w:pPr>
    </w:p>
    <w:p w:rsidR="005E3DE3" w:rsidRPr="005B4776" w:rsidRDefault="005E3DE3" w:rsidP="0035420B">
      <w:pPr>
        <w:pStyle w:val="ListParagraph"/>
        <w:keepNext/>
        <w:numPr>
          <w:ilvl w:val="1"/>
          <w:numId w:val="14"/>
        </w:numPr>
        <w:ind w:left="0" w:firstLine="0"/>
        <w:contextualSpacing w:val="0"/>
        <w:outlineLvl w:val="1"/>
        <w:rPr>
          <w:rFonts w:cs="Arial"/>
          <w:b/>
          <w:bCs/>
          <w:iCs/>
          <w:szCs w:val="20"/>
        </w:rPr>
      </w:pPr>
      <w:bookmarkStart w:id="48" w:name="_Toc425866508"/>
      <w:bookmarkStart w:id="49" w:name="_Toc519261951"/>
      <w:bookmarkStart w:id="50" w:name="_Toc519262115"/>
      <w:bookmarkStart w:id="51" w:name="_Toc528243611"/>
      <w:r w:rsidRPr="005B4776">
        <w:rPr>
          <w:rFonts w:cs="Arial"/>
          <w:b/>
          <w:bCs/>
          <w:iCs/>
          <w:szCs w:val="20"/>
        </w:rPr>
        <w:t>Assessments and follow-up reports</w:t>
      </w:r>
      <w:bookmarkEnd w:id="48"/>
      <w:bookmarkEnd w:id="49"/>
      <w:bookmarkEnd w:id="50"/>
      <w:bookmarkEnd w:id="51"/>
    </w:p>
    <w:p w:rsidR="005E3DE3" w:rsidRPr="005B4776" w:rsidRDefault="005E3DE3" w:rsidP="0035420B">
      <w:pPr>
        <w:autoSpaceDE w:val="0"/>
        <w:autoSpaceDN w:val="0"/>
        <w:adjustRightInd w:val="0"/>
        <w:rPr>
          <w:rFonts w:cs="Arial"/>
          <w:i/>
          <w:iCs/>
          <w:szCs w:val="20"/>
        </w:rPr>
      </w:pPr>
    </w:p>
    <w:p w:rsidR="005E3DE3" w:rsidRPr="005B4776" w:rsidRDefault="005E3DE3" w:rsidP="0035420B">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At the beginning of its functioning, the Conference of the Parties decided that the order of assessments would primarily follow the order of the date of ratification</w:t>
      </w:r>
      <w:r w:rsidRPr="005B4776">
        <w:rPr>
          <w:rFonts w:cs="Arial"/>
          <w:i/>
          <w:iCs/>
          <w:szCs w:val="20"/>
        </w:rPr>
        <w:t xml:space="preserve">. </w:t>
      </w:r>
      <w:r w:rsidRPr="005B4776">
        <w:rPr>
          <w:rFonts w:eastAsia="MS Mincho" w:cs="Arial"/>
          <w:szCs w:val="20"/>
          <w:lang w:eastAsia="ar-SA"/>
        </w:rPr>
        <w:t>Since its inception, the Conference of the Parties has adopted ten country reports and seven follow-up reports.</w:t>
      </w:r>
      <w:r w:rsidRPr="005B4776">
        <w:rPr>
          <w:rStyle w:val="FootnoteReference"/>
          <w:rFonts w:eastAsia="MS Mincho" w:cs="Arial"/>
          <w:szCs w:val="20"/>
          <w:lang w:eastAsia="ar-SA"/>
        </w:rPr>
        <w:footnoteReference w:id="9"/>
      </w:r>
      <w:r w:rsidRPr="005B4776">
        <w:rPr>
          <w:rFonts w:eastAsia="MS Mincho" w:cs="Arial"/>
          <w:szCs w:val="20"/>
          <w:lang w:eastAsia="ar-SA"/>
        </w:rPr>
        <w:t xml:space="preserve"> Please note that in the following analysis, articles cited are those of the Warsaw Convention if not indicated otherwise. </w:t>
      </w:r>
    </w:p>
    <w:p w:rsidR="005E3DE3" w:rsidRPr="005B4776" w:rsidRDefault="005E3DE3" w:rsidP="005B4776">
      <w:pPr>
        <w:autoSpaceDE w:val="0"/>
        <w:autoSpaceDN w:val="0"/>
        <w:adjustRightInd w:val="0"/>
        <w:rPr>
          <w:rFonts w:cs="Arial"/>
          <w:iCs/>
          <w:szCs w:val="20"/>
        </w:rPr>
      </w:pPr>
    </w:p>
    <w:tbl>
      <w:tblPr>
        <w:tblW w:w="0" w:type="auto"/>
        <w:jc w:val="center"/>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Look w:val="04A0" w:firstRow="1" w:lastRow="0" w:firstColumn="1" w:lastColumn="0" w:noHBand="0" w:noVBand="1"/>
      </w:tblPr>
      <w:tblGrid>
        <w:gridCol w:w="1430"/>
        <w:gridCol w:w="4198"/>
        <w:gridCol w:w="4143"/>
      </w:tblGrid>
      <w:tr w:rsidR="005E3DE3" w:rsidRPr="005B4776" w:rsidTr="008271EF">
        <w:trPr>
          <w:jc w:val="center"/>
        </w:trPr>
        <w:tc>
          <w:tcPr>
            <w:tcW w:w="1526" w:type="dxa"/>
            <w:shd w:val="clear" w:color="auto" w:fill="8DB3E2" w:themeFill="text2" w:themeFillTint="66"/>
            <w:hideMark/>
          </w:tcPr>
          <w:p w:rsidR="005E3DE3" w:rsidRPr="005B4776" w:rsidRDefault="005E3DE3" w:rsidP="005B4776">
            <w:pPr>
              <w:autoSpaceDE w:val="0"/>
              <w:autoSpaceDN w:val="0"/>
              <w:adjustRightInd w:val="0"/>
              <w:spacing w:before="60" w:after="60"/>
              <w:rPr>
                <w:rFonts w:cs="Arial"/>
                <w:color w:val="FFFFFF"/>
                <w:szCs w:val="20"/>
              </w:rPr>
            </w:pPr>
          </w:p>
        </w:tc>
        <w:tc>
          <w:tcPr>
            <w:tcW w:w="4535" w:type="dxa"/>
            <w:shd w:val="clear" w:color="auto" w:fill="8DB3E2" w:themeFill="text2" w:themeFillTint="66"/>
            <w:hideMark/>
          </w:tcPr>
          <w:p w:rsidR="005E3DE3" w:rsidRPr="005B4776" w:rsidRDefault="005E3DE3" w:rsidP="0035420B">
            <w:pPr>
              <w:autoSpaceDE w:val="0"/>
              <w:autoSpaceDN w:val="0"/>
              <w:adjustRightInd w:val="0"/>
              <w:spacing w:before="60" w:after="60"/>
              <w:jc w:val="center"/>
              <w:rPr>
                <w:rFonts w:cs="Arial"/>
                <w:b/>
                <w:bCs/>
                <w:szCs w:val="20"/>
              </w:rPr>
            </w:pPr>
            <w:r w:rsidRPr="005B4776">
              <w:rPr>
                <w:rFonts w:eastAsia="MS Mincho" w:cs="Arial"/>
                <w:b/>
                <w:szCs w:val="20"/>
                <w:lang w:eastAsia="ar-SA"/>
              </w:rPr>
              <w:t>COP</w:t>
            </w:r>
            <w:r w:rsidRPr="005B4776">
              <w:rPr>
                <w:rFonts w:cs="Arial"/>
                <w:b/>
                <w:bCs/>
                <w:szCs w:val="20"/>
              </w:rPr>
              <w:t xml:space="preserve"> Assessments</w:t>
            </w:r>
          </w:p>
        </w:tc>
        <w:tc>
          <w:tcPr>
            <w:tcW w:w="4535" w:type="dxa"/>
            <w:shd w:val="clear" w:color="auto" w:fill="8DB3E2" w:themeFill="text2" w:themeFillTint="66"/>
            <w:hideMark/>
          </w:tcPr>
          <w:p w:rsidR="005E3DE3" w:rsidRPr="005B4776" w:rsidRDefault="005E3DE3" w:rsidP="0035420B">
            <w:pPr>
              <w:autoSpaceDE w:val="0"/>
              <w:autoSpaceDN w:val="0"/>
              <w:adjustRightInd w:val="0"/>
              <w:spacing w:before="60" w:after="60"/>
              <w:jc w:val="center"/>
              <w:rPr>
                <w:rFonts w:cs="Arial"/>
                <w:b/>
                <w:bCs/>
                <w:szCs w:val="20"/>
              </w:rPr>
            </w:pPr>
            <w:r w:rsidRPr="005B4776">
              <w:rPr>
                <w:rFonts w:eastAsia="MS Mincho" w:cs="Arial"/>
                <w:b/>
                <w:szCs w:val="20"/>
                <w:lang w:eastAsia="ar-SA"/>
              </w:rPr>
              <w:t>COP Follow-up reports</w:t>
            </w:r>
          </w:p>
        </w:tc>
      </w:tr>
      <w:tr w:rsidR="005E3DE3" w:rsidRPr="005B4776" w:rsidTr="008271EF">
        <w:trPr>
          <w:trHeight w:val="296"/>
          <w:jc w:val="center"/>
        </w:trPr>
        <w:tc>
          <w:tcPr>
            <w:tcW w:w="1526" w:type="dxa"/>
            <w:shd w:val="clear" w:color="auto" w:fill="auto"/>
            <w:hideMark/>
          </w:tcPr>
          <w:p w:rsidR="005E3DE3" w:rsidRPr="005B4776" w:rsidRDefault="005E3DE3" w:rsidP="0035420B">
            <w:pPr>
              <w:autoSpaceDE w:val="0"/>
              <w:autoSpaceDN w:val="0"/>
              <w:adjustRightInd w:val="0"/>
              <w:rPr>
                <w:rFonts w:cs="Arial"/>
                <w:szCs w:val="20"/>
              </w:rPr>
            </w:pPr>
            <w:r w:rsidRPr="005B4776">
              <w:rPr>
                <w:rFonts w:cs="Arial"/>
                <w:bCs/>
                <w:szCs w:val="20"/>
              </w:rPr>
              <w:t>2011</w:t>
            </w:r>
          </w:p>
        </w:tc>
        <w:tc>
          <w:tcPr>
            <w:tcW w:w="4535" w:type="dxa"/>
            <w:shd w:val="clear" w:color="auto" w:fill="auto"/>
            <w:hideMark/>
          </w:tcPr>
          <w:p w:rsidR="005E3DE3" w:rsidRPr="005B4776" w:rsidRDefault="005E3DE3" w:rsidP="0035420B">
            <w:pPr>
              <w:autoSpaceDE w:val="0"/>
              <w:autoSpaceDN w:val="0"/>
              <w:adjustRightInd w:val="0"/>
              <w:rPr>
                <w:rFonts w:cs="Arial"/>
                <w:szCs w:val="20"/>
              </w:rPr>
            </w:pPr>
            <w:r w:rsidRPr="005B4776">
              <w:rPr>
                <w:rFonts w:cs="Arial"/>
                <w:bCs/>
                <w:szCs w:val="20"/>
              </w:rPr>
              <w:t>Albania</w:t>
            </w:r>
          </w:p>
        </w:tc>
        <w:tc>
          <w:tcPr>
            <w:tcW w:w="4535" w:type="dxa"/>
            <w:shd w:val="clear" w:color="auto" w:fill="auto"/>
            <w:hideMark/>
          </w:tcPr>
          <w:p w:rsidR="005E3DE3" w:rsidRPr="005B4776" w:rsidRDefault="005E3DE3" w:rsidP="0035420B">
            <w:pPr>
              <w:autoSpaceDE w:val="0"/>
              <w:autoSpaceDN w:val="0"/>
              <w:adjustRightInd w:val="0"/>
              <w:rPr>
                <w:rFonts w:cs="Arial"/>
                <w:szCs w:val="20"/>
              </w:rPr>
            </w:pPr>
          </w:p>
        </w:tc>
      </w:tr>
      <w:tr w:rsidR="005E3DE3" w:rsidRPr="005B4776" w:rsidTr="008271EF">
        <w:trPr>
          <w:jc w:val="center"/>
        </w:trPr>
        <w:tc>
          <w:tcPr>
            <w:tcW w:w="1526" w:type="dxa"/>
            <w:shd w:val="clear" w:color="auto" w:fill="auto"/>
            <w:hideMark/>
          </w:tcPr>
          <w:p w:rsidR="005E3DE3" w:rsidRPr="005B4776" w:rsidRDefault="005E3DE3" w:rsidP="0035420B">
            <w:pPr>
              <w:autoSpaceDE w:val="0"/>
              <w:autoSpaceDN w:val="0"/>
              <w:adjustRightInd w:val="0"/>
              <w:rPr>
                <w:rFonts w:cs="Arial"/>
                <w:szCs w:val="20"/>
              </w:rPr>
            </w:pPr>
            <w:r w:rsidRPr="005B4776">
              <w:rPr>
                <w:rFonts w:cs="Arial"/>
                <w:bCs/>
                <w:szCs w:val="20"/>
              </w:rPr>
              <w:t>2012</w:t>
            </w:r>
          </w:p>
        </w:tc>
        <w:tc>
          <w:tcPr>
            <w:tcW w:w="4535" w:type="dxa"/>
            <w:shd w:val="clear" w:color="auto" w:fill="auto"/>
            <w:hideMark/>
          </w:tcPr>
          <w:p w:rsidR="005E3DE3" w:rsidRPr="005B4776" w:rsidRDefault="005E3DE3" w:rsidP="0035420B">
            <w:pPr>
              <w:autoSpaceDE w:val="0"/>
              <w:autoSpaceDN w:val="0"/>
              <w:adjustRightInd w:val="0"/>
              <w:rPr>
                <w:rFonts w:cs="Arial"/>
                <w:szCs w:val="20"/>
              </w:rPr>
            </w:pPr>
            <w:r w:rsidRPr="005B4776">
              <w:rPr>
                <w:rFonts w:cs="Arial"/>
                <w:bCs/>
                <w:szCs w:val="20"/>
              </w:rPr>
              <w:t>Romania</w:t>
            </w:r>
          </w:p>
        </w:tc>
        <w:tc>
          <w:tcPr>
            <w:tcW w:w="4535" w:type="dxa"/>
            <w:shd w:val="clear" w:color="auto" w:fill="auto"/>
            <w:hideMark/>
          </w:tcPr>
          <w:p w:rsidR="005E3DE3" w:rsidRPr="005B4776" w:rsidRDefault="005E3DE3" w:rsidP="0035420B">
            <w:pPr>
              <w:autoSpaceDE w:val="0"/>
              <w:autoSpaceDN w:val="0"/>
              <w:adjustRightInd w:val="0"/>
              <w:rPr>
                <w:rFonts w:cs="Arial"/>
                <w:szCs w:val="20"/>
              </w:rPr>
            </w:pPr>
          </w:p>
        </w:tc>
      </w:tr>
      <w:tr w:rsidR="005E3DE3" w:rsidRPr="005B4776" w:rsidTr="008271EF">
        <w:trPr>
          <w:jc w:val="center"/>
        </w:trPr>
        <w:tc>
          <w:tcPr>
            <w:tcW w:w="1526" w:type="dxa"/>
            <w:shd w:val="clear" w:color="auto" w:fill="auto"/>
            <w:hideMark/>
          </w:tcPr>
          <w:p w:rsidR="005E3DE3" w:rsidRPr="005B4776" w:rsidRDefault="005E3DE3" w:rsidP="0035420B">
            <w:pPr>
              <w:autoSpaceDE w:val="0"/>
              <w:autoSpaceDN w:val="0"/>
              <w:adjustRightInd w:val="0"/>
              <w:rPr>
                <w:rFonts w:cs="Arial"/>
                <w:szCs w:val="20"/>
              </w:rPr>
            </w:pPr>
            <w:r w:rsidRPr="005B4776">
              <w:rPr>
                <w:rFonts w:cs="Arial"/>
                <w:bCs/>
                <w:szCs w:val="20"/>
              </w:rPr>
              <w:t>2013</w:t>
            </w:r>
          </w:p>
        </w:tc>
        <w:tc>
          <w:tcPr>
            <w:tcW w:w="4535" w:type="dxa"/>
            <w:shd w:val="clear" w:color="auto" w:fill="auto"/>
            <w:hideMark/>
          </w:tcPr>
          <w:p w:rsidR="005E3DE3" w:rsidRPr="005B4776" w:rsidRDefault="005E3DE3" w:rsidP="0035420B">
            <w:pPr>
              <w:autoSpaceDE w:val="0"/>
              <w:autoSpaceDN w:val="0"/>
              <w:adjustRightInd w:val="0"/>
              <w:rPr>
                <w:rFonts w:cs="Arial"/>
                <w:szCs w:val="20"/>
              </w:rPr>
            </w:pPr>
            <w:r w:rsidRPr="005B4776">
              <w:rPr>
                <w:rFonts w:cs="Arial"/>
                <w:szCs w:val="20"/>
              </w:rPr>
              <w:t>Croatia</w:t>
            </w:r>
          </w:p>
          <w:p w:rsidR="005E3DE3" w:rsidRPr="005B4776" w:rsidRDefault="005E3DE3" w:rsidP="0035420B">
            <w:pPr>
              <w:autoSpaceDE w:val="0"/>
              <w:autoSpaceDN w:val="0"/>
              <w:adjustRightInd w:val="0"/>
              <w:rPr>
                <w:rFonts w:cs="Arial"/>
                <w:szCs w:val="20"/>
              </w:rPr>
            </w:pPr>
            <w:r w:rsidRPr="005B4776">
              <w:rPr>
                <w:rFonts w:cs="Arial"/>
                <w:szCs w:val="20"/>
              </w:rPr>
              <w:t>Poland</w:t>
            </w:r>
          </w:p>
        </w:tc>
        <w:tc>
          <w:tcPr>
            <w:tcW w:w="4535" w:type="dxa"/>
            <w:shd w:val="clear" w:color="auto" w:fill="auto"/>
            <w:hideMark/>
          </w:tcPr>
          <w:p w:rsidR="005E3DE3" w:rsidRPr="005B4776" w:rsidRDefault="005E3DE3" w:rsidP="0035420B">
            <w:pPr>
              <w:autoSpaceDE w:val="0"/>
              <w:autoSpaceDN w:val="0"/>
              <w:adjustRightInd w:val="0"/>
              <w:rPr>
                <w:rFonts w:cs="Arial"/>
                <w:szCs w:val="20"/>
              </w:rPr>
            </w:pPr>
            <w:r w:rsidRPr="005B4776">
              <w:rPr>
                <w:rFonts w:cs="Arial"/>
                <w:szCs w:val="20"/>
              </w:rPr>
              <w:t>Albania</w:t>
            </w:r>
          </w:p>
        </w:tc>
      </w:tr>
      <w:tr w:rsidR="005E3DE3" w:rsidRPr="005B4776" w:rsidTr="008271EF">
        <w:trPr>
          <w:jc w:val="center"/>
        </w:trPr>
        <w:tc>
          <w:tcPr>
            <w:tcW w:w="1526" w:type="dxa"/>
            <w:shd w:val="clear" w:color="auto" w:fill="auto"/>
            <w:hideMark/>
          </w:tcPr>
          <w:p w:rsidR="005E3DE3" w:rsidRPr="005B4776" w:rsidRDefault="005E3DE3" w:rsidP="0035420B">
            <w:pPr>
              <w:autoSpaceDE w:val="0"/>
              <w:autoSpaceDN w:val="0"/>
              <w:adjustRightInd w:val="0"/>
              <w:rPr>
                <w:rFonts w:cs="Arial"/>
                <w:szCs w:val="20"/>
              </w:rPr>
            </w:pPr>
            <w:r w:rsidRPr="005B4776">
              <w:rPr>
                <w:rFonts w:cs="Arial"/>
                <w:bCs/>
                <w:szCs w:val="20"/>
              </w:rPr>
              <w:t>2014</w:t>
            </w:r>
          </w:p>
        </w:tc>
        <w:tc>
          <w:tcPr>
            <w:tcW w:w="4535" w:type="dxa"/>
            <w:shd w:val="clear" w:color="auto" w:fill="auto"/>
            <w:hideMark/>
          </w:tcPr>
          <w:p w:rsidR="005E3DE3" w:rsidRPr="005B4776" w:rsidRDefault="005E3DE3" w:rsidP="0035420B">
            <w:pPr>
              <w:autoSpaceDE w:val="0"/>
              <w:autoSpaceDN w:val="0"/>
              <w:adjustRightInd w:val="0"/>
              <w:rPr>
                <w:rFonts w:cs="Arial"/>
                <w:szCs w:val="20"/>
              </w:rPr>
            </w:pPr>
            <w:r w:rsidRPr="005B4776">
              <w:rPr>
                <w:rFonts w:cs="Arial"/>
                <w:bCs/>
                <w:szCs w:val="20"/>
              </w:rPr>
              <w:t>Malta</w:t>
            </w:r>
          </w:p>
          <w:p w:rsidR="005E3DE3" w:rsidRPr="005B4776" w:rsidRDefault="005E3DE3" w:rsidP="0035420B">
            <w:pPr>
              <w:autoSpaceDE w:val="0"/>
              <w:autoSpaceDN w:val="0"/>
              <w:adjustRightInd w:val="0"/>
              <w:rPr>
                <w:rFonts w:cs="Arial"/>
                <w:szCs w:val="20"/>
              </w:rPr>
            </w:pPr>
            <w:r w:rsidRPr="005B4776">
              <w:rPr>
                <w:rFonts w:cs="Arial"/>
                <w:bCs/>
                <w:szCs w:val="20"/>
              </w:rPr>
              <w:t>Republic of Moldova</w:t>
            </w:r>
          </w:p>
          <w:p w:rsidR="005E3DE3" w:rsidRPr="005B4776" w:rsidRDefault="005E3DE3" w:rsidP="0035420B">
            <w:pPr>
              <w:autoSpaceDE w:val="0"/>
              <w:autoSpaceDN w:val="0"/>
              <w:adjustRightInd w:val="0"/>
              <w:rPr>
                <w:rFonts w:cs="Arial"/>
                <w:szCs w:val="20"/>
              </w:rPr>
            </w:pPr>
            <w:r w:rsidRPr="005B4776">
              <w:rPr>
                <w:rFonts w:cs="Arial"/>
                <w:szCs w:val="20"/>
              </w:rPr>
              <w:t>Montenegro</w:t>
            </w:r>
          </w:p>
        </w:tc>
        <w:tc>
          <w:tcPr>
            <w:tcW w:w="4535" w:type="dxa"/>
            <w:shd w:val="clear" w:color="auto" w:fill="auto"/>
            <w:hideMark/>
          </w:tcPr>
          <w:p w:rsidR="005E3DE3" w:rsidRPr="005B4776" w:rsidRDefault="005E3DE3" w:rsidP="0035420B">
            <w:pPr>
              <w:autoSpaceDE w:val="0"/>
              <w:autoSpaceDN w:val="0"/>
              <w:adjustRightInd w:val="0"/>
              <w:rPr>
                <w:rFonts w:cs="Arial"/>
                <w:szCs w:val="20"/>
              </w:rPr>
            </w:pPr>
            <w:r w:rsidRPr="005B4776">
              <w:rPr>
                <w:rFonts w:cs="Arial"/>
                <w:bCs/>
                <w:szCs w:val="20"/>
              </w:rPr>
              <w:t>Romania</w:t>
            </w:r>
          </w:p>
        </w:tc>
      </w:tr>
      <w:tr w:rsidR="005E3DE3" w:rsidRPr="005B4776" w:rsidTr="008271EF">
        <w:trPr>
          <w:jc w:val="center"/>
        </w:trPr>
        <w:tc>
          <w:tcPr>
            <w:tcW w:w="1526" w:type="dxa"/>
            <w:shd w:val="clear" w:color="auto" w:fill="auto"/>
          </w:tcPr>
          <w:p w:rsidR="005E3DE3" w:rsidRPr="005B4776" w:rsidRDefault="005E3DE3" w:rsidP="0035420B">
            <w:pPr>
              <w:autoSpaceDE w:val="0"/>
              <w:autoSpaceDN w:val="0"/>
              <w:adjustRightInd w:val="0"/>
              <w:rPr>
                <w:rFonts w:cs="Arial"/>
                <w:bCs/>
                <w:szCs w:val="20"/>
              </w:rPr>
            </w:pPr>
            <w:r w:rsidRPr="005B4776">
              <w:rPr>
                <w:rFonts w:cs="Arial"/>
                <w:bCs/>
                <w:szCs w:val="20"/>
              </w:rPr>
              <w:t>2015</w:t>
            </w:r>
          </w:p>
        </w:tc>
        <w:tc>
          <w:tcPr>
            <w:tcW w:w="4535" w:type="dxa"/>
            <w:shd w:val="clear" w:color="auto" w:fill="auto"/>
          </w:tcPr>
          <w:p w:rsidR="005E3DE3" w:rsidRPr="005B4776" w:rsidRDefault="005E3DE3" w:rsidP="0035420B">
            <w:pPr>
              <w:autoSpaceDE w:val="0"/>
              <w:autoSpaceDN w:val="0"/>
              <w:adjustRightInd w:val="0"/>
              <w:rPr>
                <w:rFonts w:cs="Arial"/>
                <w:bCs/>
                <w:szCs w:val="20"/>
              </w:rPr>
            </w:pPr>
            <w:r w:rsidRPr="005B4776">
              <w:rPr>
                <w:rFonts w:cs="Arial"/>
                <w:bCs/>
                <w:szCs w:val="20"/>
              </w:rPr>
              <w:t>Bosnia and Herzegovina</w:t>
            </w:r>
          </w:p>
        </w:tc>
        <w:tc>
          <w:tcPr>
            <w:tcW w:w="4535" w:type="dxa"/>
            <w:shd w:val="clear" w:color="auto" w:fill="auto"/>
          </w:tcPr>
          <w:p w:rsidR="005E3DE3" w:rsidRPr="005B4776" w:rsidRDefault="005E3DE3" w:rsidP="0035420B">
            <w:pPr>
              <w:autoSpaceDE w:val="0"/>
              <w:autoSpaceDN w:val="0"/>
              <w:adjustRightInd w:val="0"/>
              <w:rPr>
                <w:rFonts w:cs="Arial"/>
                <w:bCs/>
                <w:szCs w:val="20"/>
              </w:rPr>
            </w:pPr>
            <w:r w:rsidRPr="005B4776">
              <w:rPr>
                <w:rFonts w:cs="Arial"/>
                <w:bCs/>
                <w:szCs w:val="20"/>
              </w:rPr>
              <w:t>Poland</w:t>
            </w:r>
          </w:p>
        </w:tc>
      </w:tr>
      <w:tr w:rsidR="005E3DE3" w:rsidRPr="005B4776" w:rsidTr="008271EF">
        <w:trPr>
          <w:jc w:val="center"/>
        </w:trPr>
        <w:tc>
          <w:tcPr>
            <w:tcW w:w="1526" w:type="dxa"/>
            <w:shd w:val="clear" w:color="auto" w:fill="auto"/>
          </w:tcPr>
          <w:p w:rsidR="005E3DE3" w:rsidRPr="005B4776" w:rsidRDefault="005E3DE3" w:rsidP="0035420B">
            <w:pPr>
              <w:autoSpaceDE w:val="0"/>
              <w:autoSpaceDN w:val="0"/>
              <w:adjustRightInd w:val="0"/>
              <w:rPr>
                <w:rFonts w:cs="Arial"/>
                <w:bCs/>
                <w:szCs w:val="20"/>
              </w:rPr>
            </w:pPr>
            <w:r w:rsidRPr="005B4776">
              <w:rPr>
                <w:rFonts w:cs="Arial"/>
                <w:bCs/>
                <w:szCs w:val="20"/>
              </w:rPr>
              <w:t>2016</w:t>
            </w:r>
          </w:p>
        </w:tc>
        <w:tc>
          <w:tcPr>
            <w:tcW w:w="4535" w:type="dxa"/>
            <w:shd w:val="clear" w:color="auto" w:fill="auto"/>
          </w:tcPr>
          <w:p w:rsidR="005E3DE3" w:rsidRPr="005B4776" w:rsidRDefault="005E3DE3" w:rsidP="0035420B">
            <w:pPr>
              <w:autoSpaceDE w:val="0"/>
              <w:autoSpaceDN w:val="0"/>
              <w:adjustRightInd w:val="0"/>
              <w:rPr>
                <w:rFonts w:cs="Arial"/>
                <w:bCs/>
                <w:szCs w:val="20"/>
              </w:rPr>
            </w:pPr>
            <w:r w:rsidRPr="005B4776">
              <w:rPr>
                <w:rFonts w:cs="Arial"/>
                <w:bCs/>
                <w:szCs w:val="20"/>
              </w:rPr>
              <w:t>Armenia</w:t>
            </w:r>
          </w:p>
          <w:p w:rsidR="005E3DE3" w:rsidRPr="005B4776" w:rsidRDefault="005E3DE3" w:rsidP="0035420B">
            <w:pPr>
              <w:autoSpaceDE w:val="0"/>
              <w:autoSpaceDN w:val="0"/>
              <w:adjustRightInd w:val="0"/>
              <w:rPr>
                <w:rFonts w:cs="Arial"/>
                <w:bCs/>
                <w:szCs w:val="20"/>
              </w:rPr>
            </w:pPr>
            <w:r w:rsidRPr="005B4776">
              <w:rPr>
                <w:rFonts w:cs="Arial"/>
                <w:bCs/>
                <w:szCs w:val="20"/>
              </w:rPr>
              <w:t>Belgium</w:t>
            </w:r>
          </w:p>
        </w:tc>
        <w:tc>
          <w:tcPr>
            <w:tcW w:w="4535" w:type="dxa"/>
            <w:shd w:val="clear" w:color="auto" w:fill="auto"/>
          </w:tcPr>
          <w:p w:rsidR="005E3DE3" w:rsidRPr="005B4776" w:rsidRDefault="005E3DE3" w:rsidP="0035420B">
            <w:pPr>
              <w:autoSpaceDE w:val="0"/>
              <w:autoSpaceDN w:val="0"/>
              <w:adjustRightInd w:val="0"/>
              <w:rPr>
                <w:rFonts w:cs="Arial"/>
                <w:bCs/>
                <w:szCs w:val="20"/>
              </w:rPr>
            </w:pPr>
            <w:r w:rsidRPr="005B4776">
              <w:rPr>
                <w:rFonts w:cs="Arial"/>
                <w:bCs/>
                <w:szCs w:val="20"/>
              </w:rPr>
              <w:t>Croatia</w:t>
            </w:r>
          </w:p>
          <w:p w:rsidR="005E3DE3" w:rsidRPr="005B4776" w:rsidRDefault="005E3DE3" w:rsidP="0035420B">
            <w:pPr>
              <w:autoSpaceDE w:val="0"/>
              <w:autoSpaceDN w:val="0"/>
              <w:adjustRightInd w:val="0"/>
              <w:rPr>
                <w:rFonts w:cs="Arial"/>
                <w:bCs/>
                <w:szCs w:val="20"/>
              </w:rPr>
            </w:pPr>
            <w:r w:rsidRPr="005B4776">
              <w:rPr>
                <w:rFonts w:cs="Arial"/>
                <w:bCs/>
                <w:szCs w:val="20"/>
              </w:rPr>
              <w:t>Poland</w:t>
            </w:r>
          </w:p>
        </w:tc>
      </w:tr>
      <w:tr w:rsidR="005E3DE3" w:rsidRPr="005B4776" w:rsidTr="008271EF">
        <w:trPr>
          <w:jc w:val="center"/>
        </w:trPr>
        <w:tc>
          <w:tcPr>
            <w:tcW w:w="1526" w:type="dxa"/>
            <w:shd w:val="clear" w:color="auto" w:fill="auto"/>
          </w:tcPr>
          <w:p w:rsidR="005E3DE3" w:rsidRPr="005B4776" w:rsidRDefault="005E3DE3" w:rsidP="0035420B">
            <w:pPr>
              <w:autoSpaceDE w:val="0"/>
              <w:autoSpaceDN w:val="0"/>
              <w:adjustRightInd w:val="0"/>
              <w:rPr>
                <w:rFonts w:cs="Arial"/>
                <w:bCs/>
                <w:szCs w:val="20"/>
              </w:rPr>
            </w:pPr>
            <w:r w:rsidRPr="005B4776">
              <w:rPr>
                <w:rFonts w:cs="Arial"/>
                <w:bCs/>
                <w:szCs w:val="20"/>
              </w:rPr>
              <w:t>2017</w:t>
            </w:r>
          </w:p>
        </w:tc>
        <w:tc>
          <w:tcPr>
            <w:tcW w:w="4535" w:type="dxa"/>
            <w:shd w:val="clear" w:color="auto" w:fill="auto"/>
          </w:tcPr>
          <w:p w:rsidR="005E3DE3" w:rsidRPr="005B4776" w:rsidRDefault="005E3DE3" w:rsidP="0035420B">
            <w:pPr>
              <w:autoSpaceDE w:val="0"/>
              <w:autoSpaceDN w:val="0"/>
              <w:adjustRightInd w:val="0"/>
              <w:rPr>
                <w:rFonts w:cs="Arial"/>
                <w:bCs/>
                <w:szCs w:val="20"/>
              </w:rPr>
            </w:pPr>
          </w:p>
        </w:tc>
        <w:tc>
          <w:tcPr>
            <w:tcW w:w="4535" w:type="dxa"/>
            <w:shd w:val="clear" w:color="auto" w:fill="auto"/>
          </w:tcPr>
          <w:p w:rsidR="005E3DE3" w:rsidRPr="005B4776" w:rsidRDefault="005E3DE3" w:rsidP="0035420B">
            <w:pPr>
              <w:autoSpaceDE w:val="0"/>
              <w:autoSpaceDN w:val="0"/>
              <w:adjustRightInd w:val="0"/>
              <w:rPr>
                <w:rFonts w:cs="Arial"/>
                <w:bCs/>
                <w:szCs w:val="20"/>
              </w:rPr>
            </w:pPr>
            <w:r w:rsidRPr="005B4776">
              <w:rPr>
                <w:rFonts w:cs="Arial"/>
                <w:bCs/>
                <w:szCs w:val="20"/>
              </w:rPr>
              <w:t>Poland</w:t>
            </w:r>
          </w:p>
          <w:p w:rsidR="005E3DE3" w:rsidRPr="005B4776" w:rsidRDefault="005E3DE3" w:rsidP="0035420B">
            <w:pPr>
              <w:autoSpaceDE w:val="0"/>
              <w:autoSpaceDN w:val="0"/>
              <w:adjustRightInd w:val="0"/>
              <w:rPr>
                <w:rFonts w:cs="Arial"/>
                <w:bCs/>
                <w:szCs w:val="20"/>
              </w:rPr>
            </w:pPr>
            <w:r w:rsidRPr="005B4776">
              <w:rPr>
                <w:rFonts w:cs="Arial"/>
                <w:bCs/>
                <w:szCs w:val="20"/>
              </w:rPr>
              <w:t>Republic of Moldova</w:t>
            </w:r>
          </w:p>
        </w:tc>
      </w:tr>
    </w:tbl>
    <w:p w:rsidR="005E3DE3" w:rsidRPr="005B4776" w:rsidRDefault="005E3DE3" w:rsidP="005B4776">
      <w:pPr>
        <w:autoSpaceDE w:val="0"/>
        <w:autoSpaceDN w:val="0"/>
        <w:adjustRightInd w:val="0"/>
        <w:rPr>
          <w:rFonts w:cs="Arial"/>
          <w:szCs w:val="20"/>
        </w:rPr>
      </w:pPr>
    </w:p>
    <w:p w:rsidR="005E3DE3" w:rsidRPr="005B4776" w:rsidRDefault="005E3DE3" w:rsidP="0035420B">
      <w:pPr>
        <w:pStyle w:val="ListParagraph"/>
        <w:numPr>
          <w:ilvl w:val="2"/>
          <w:numId w:val="14"/>
        </w:numPr>
        <w:autoSpaceDE w:val="0"/>
        <w:autoSpaceDN w:val="0"/>
        <w:adjustRightInd w:val="0"/>
        <w:ind w:left="709" w:hanging="709"/>
        <w:contextualSpacing w:val="0"/>
        <w:rPr>
          <w:rFonts w:cs="Arial"/>
          <w:b/>
          <w:szCs w:val="20"/>
        </w:rPr>
      </w:pPr>
      <w:r w:rsidRPr="005B4776">
        <w:rPr>
          <w:rFonts w:cs="Arial"/>
          <w:b/>
          <w:szCs w:val="20"/>
        </w:rPr>
        <w:t>Assessment reports adopted during the reporting period (in chronological order)</w:t>
      </w:r>
    </w:p>
    <w:p w:rsidR="005E3DE3" w:rsidRPr="005B4776" w:rsidRDefault="005E3DE3" w:rsidP="005B4776">
      <w:pPr>
        <w:autoSpaceDE w:val="0"/>
        <w:autoSpaceDN w:val="0"/>
        <w:adjustRightInd w:val="0"/>
        <w:rPr>
          <w:rFonts w:cs="Arial"/>
          <w:b/>
          <w:szCs w:val="20"/>
        </w:rPr>
      </w:pPr>
    </w:p>
    <w:p w:rsidR="005E3DE3" w:rsidRPr="005B4776" w:rsidRDefault="005E3DE3" w:rsidP="005B4776">
      <w:pPr>
        <w:autoSpaceDE w:val="0"/>
        <w:autoSpaceDN w:val="0"/>
        <w:adjustRightInd w:val="0"/>
        <w:rPr>
          <w:rFonts w:cs="Arial"/>
          <w:szCs w:val="20"/>
          <w:u w:val="single"/>
        </w:rPr>
      </w:pPr>
      <w:r w:rsidRPr="005B4776">
        <w:rPr>
          <w:rFonts w:cs="Arial"/>
          <w:noProof/>
          <w:szCs w:val="20"/>
          <w:u w:val="single"/>
          <w:lang w:val="en-US"/>
        </w:rPr>
        <w:drawing>
          <wp:inline distT="0" distB="0" distL="0" distR="0" wp14:anchorId="1DB1FFE2" wp14:editId="50B24AE8">
            <wp:extent cx="914400" cy="51513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Bosnia_and_Herzegovina_svg.png"/>
                    <pic:cNvPicPr/>
                  </pic:nvPicPr>
                  <pic:blipFill>
                    <a:blip r:embed="rId12">
                      <a:extLst>
                        <a:ext uri="{28A0092B-C50C-407E-A947-70E740481C1C}">
                          <a14:useLocalDpi xmlns:a14="http://schemas.microsoft.com/office/drawing/2010/main" val="0"/>
                        </a:ext>
                      </a:extLst>
                    </a:blip>
                    <a:stretch>
                      <a:fillRect/>
                    </a:stretch>
                  </pic:blipFill>
                  <pic:spPr>
                    <a:xfrm>
                      <a:off x="0" y="0"/>
                      <a:ext cx="924801" cy="520999"/>
                    </a:xfrm>
                    <a:prstGeom prst="rect">
                      <a:avLst/>
                    </a:prstGeom>
                  </pic:spPr>
                </pic:pic>
              </a:graphicData>
            </a:graphic>
          </wp:inline>
        </w:drawing>
      </w:r>
      <w:r w:rsidRPr="005B4776">
        <w:rPr>
          <w:rFonts w:cs="Arial"/>
          <w:szCs w:val="20"/>
          <w:u w:val="single"/>
        </w:rPr>
        <w:t xml:space="preserve">          </w:t>
      </w:r>
      <w:r w:rsidRPr="005B4776">
        <w:rPr>
          <w:rFonts w:cs="Arial"/>
          <w:b/>
          <w:szCs w:val="20"/>
          <w:u w:val="single"/>
        </w:rPr>
        <w:t>Bosnia and Herzegovina</w:t>
      </w:r>
    </w:p>
    <w:p w:rsidR="005E3DE3" w:rsidRPr="005B4776" w:rsidRDefault="005E3DE3" w:rsidP="005B4776">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The Conference of the Parties considered and adopted the assessment report on Bosnia and Herzegovina at its 7</w:t>
      </w:r>
      <w:r w:rsidRPr="005B4776">
        <w:rPr>
          <w:rFonts w:cs="Arial"/>
          <w:szCs w:val="20"/>
          <w:vertAlign w:val="superscript"/>
        </w:rPr>
        <w:t>th</w:t>
      </w:r>
      <w:r w:rsidRPr="005B4776">
        <w:rPr>
          <w:rFonts w:cs="Arial"/>
          <w:szCs w:val="20"/>
        </w:rPr>
        <w:t xml:space="preserve"> session in 2015. The report concluded that Bosnia and Herzegovina has undertaken important steps to ensure compliance of the national legislation with the provisions of the Convention. The jurisprudence in money laundering (ML) cases developed significantly in the last few years in Bosnia and Herzegovina. However, the legal framework, as well as the effective implementation of the provisions already in place, needs to be strengthened. </w:t>
      </w:r>
    </w:p>
    <w:p w:rsidR="005E3DE3" w:rsidRPr="005B4776" w:rsidRDefault="005E3DE3" w:rsidP="0035420B">
      <w:pPr>
        <w:autoSpaceDE w:val="0"/>
        <w:autoSpaceDN w:val="0"/>
        <w:adjustRightInd w:val="0"/>
        <w:rPr>
          <w:rFonts w:cs="Arial"/>
          <w:szCs w:val="20"/>
        </w:rPr>
      </w:pPr>
    </w:p>
    <w:p w:rsidR="0035420B" w:rsidRDefault="0035420B">
      <w:pPr>
        <w:rPr>
          <w:rFonts w:cs="Arial"/>
          <w:szCs w:val="20"/>
        </w:rPr>
      </w:pPr>
      <w:r>
        <w:rPr>
          <w:rFonts w:cs="Arial"/>
          <w:szCs w:val="20"/>
        </w:rPr>
        <w:br w:type="page"/>
      </w: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There have been a number of cases involving autonomous money laundering and foreign predicate offences. The mental and physical elements of the money laundering offence in the countries’ four criminal codes are largely in line with the UN Convention against Illicit Trafficking in Narcotic Drugs and Psychotropic Substances, 1988 (‘Vienna Convention’) and the UN Convention against Transnational Organised Crime, 2000 (‘Palermo Convention’).</w:t>
      </w:r>
      <w:r w:rsidRPr="005B4776">
        <w:rPr>
          <w:rStyle w:val="FootnoteReference"/>
          <w:rFonts w:cs="Arial"/>
          <w:szCs w:val="20"/>
        </w:rPr>
        <w:footnoteReference w:id="10"/>
      </w:r>
      <w:r w:rsidRPr="005B4776">
        <w:rPr>
          <w:rFonts w:cs="Arial"/>
          <w:szCs w:val="20"/>
        </w:rPr>
        <w:t xml:space="preserve"> The various regional definitions of the ML offence extend to the cases where the perpetrator acted negligently with regard to the criminal origin of the relevant money or property, but no practical application of this provision was demonstrated. The report recommends that the Republic of </w:t>
      </w:r>
      <w:proofErr w:type="spellStart"/>
      <w:r w:rsidRPr="005B4776">
        <w:rPr>
          <w:rFonts w:cs="Arial"/>
          <w:szCs w:val="20"/>
        </w:rPr>
        <w:t>Srpska</w:t>
      </w:r>
      <w:proofErr w:type="spellEnd"/>
      <w:r w:rsidRPr="005B4776">
        <w:rPr>
          <w:rFonts w:cs="Arial"/>
          <w:szCs w:val="20"/>
        </w:rPr>
        <w:t xml:space="preserve"> authorities should consider harmonising the sanctioning regime of the “negligent” ML with the </w:t>
      </w:r>
      <w:r w:rsidR="00D47AC4">
        <w:rPr>
          <w:rFonts w:cs="Arial"/>
          <w:szCs w:val="20"/>
        </w:rPr>
        <w:t>State</w:t>
      </w:r>
      <w:r w:rsidRPr="005B4776">
        <w:rPr>
          <w:rFonts w:cs="Arial"/>
          <w:szCs w:val="20"/>
        </w:rPr>
        <w:t xml:space="preserve"> level, the Federation of Bosnia and Herzegovina and the </w:t>
      </w:r>
      <w:proofErr w:type="spellStart"/>
      <w:r w:rsidRPr="005B4776">
        <w:rPr>
          <w:rFonts w:cs="Arial"/>
          <w:szCs w:val="20"/>
        </w:rPr>
        <w:t>Brcko</w:t>
      </w:r>
      <w:proofErr w:type="spellEnd"/>
      <w:r w:rsidRPr="005B4776">
        <w:rPr>
          <w:rFonts w:cs="Arial"/>
          <w:szCs w:val="20"/>
        </w:rPr>
        <w:t xml:space="preserve"> District. The implementation of Article 9(6) (laundering offences) of the Convention should be explored by the judiciary from Bosnia and Herzegovina, considering that many ML cases are connected to predicate offences committed abroad.</w:t>
      </w:r>
    </w:p>
    <w:p w:rsidR="005E3DE3" w:rsidRPr="005B4776" w:rsidRDefault="005E3DE3" w:rsidP="005B4776">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With regard to corporate liability in relation to money laundering (Article 10), several judgements have been issued. However, provisions dealing with situations where legal persons can be held liable as a result of lack of supervision are limited to the case when the managerial or supervisory bodies of the legal person failed to carry out due supervision over the legality of work of the employees. More generally, it seems necessary to take step in order to enhance the extensive application of corporate liability mechanisms by law enforcement agencies and judicial authorities in money laundering and other predicate offences, and terrorist financing cases.</w:t>
      </w:r>
    </w:p>
    <w:p w:rsidR="005E3DE3" w:rsidRPr="005B4776" w:rsidRDefault="005E3DE3" w:rsidP="0035420B">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Bosnia and Herzegovina has adopted measures to implement the provisions of Article 11 (international recidivism).</w:t>
      </w:r>
    </w:p>
    <w:p w:rsidR="005E3DE3" w:rsidRPr="005B4776" w:rsidRDefault="005E3DE3" w:rsidP="0035420B">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Bosnia and Herzegovina has improved its ability to freeze, seize and confiscate property (Article 3, 5), and the introduction of provisions on reversed burden confiscation and their application in practice have undoubtedly reinforced the confiscation regime. However, the report concludes that effective implementation needs to be enhanced</w:t>
      </w:r>
      <w:r w:rsidRPr="005B4776">
        <w:rPr>
          <w:rFonts w:cs="Arial"/>
          <w:szCs w:val="20"/>
          <w:lang w:val="en-US"/>
        </w:rPr>
        <w:t xml:space="preserve"> </w:t>
      </w:r>
      <w:r w:rsidRPr="005B4776">
        <w:rPr>
          <w:rFonts w:cs="Arial"/>
          <w:szCs w:val="20"/>
        </w:rPr>
        <w:t xml:space="preserve">and recommends to the authorities to review the discretionary nature of confiscation of instrumentalities in the Criminal Code of the Republic of </w:t>
      </w:r>
      <w:proofErr w:type="spellStart"/>
      <w:r w:rsidRPr="005B4776">
        <w:rPr>
          <w:rFonts w:cs="Arial"/>
          <w:szCs w:val="20"/>
        </w:rPr>
        <w:t>Srpska</w:t>
      </w:r>
      <w:proofErr w:type="spellEnd"/>
      <w:r w:rsidRPr="005B4776">
        <w:rPr>
          <w:rFonts w:cs="Arial"/>
          <w:szCs w:val="20"/>
        </w:rPr>
        <w:t xml:space="preserve"> and the conditions for the confiscation of instrumentalities under legislations of the Federation of Bosnia and Herzegovina, the </w:t>
      </w:r>
      <w:proofErr w:type="spellStart"/>
      <w:r w:rsidRPr="005B4776">
        <w:rPr>
          <w:rFonts w:cs="Arial"/>
          <w:szCs w:val="20"/>
        </w:rPr>
        <w:t>Brcko</w:t>
      </w:r>
      <w:proofErr w:type="spellEnd"/>
      <w:r w:rsidRPr="005B4776">
        <w:rPr>
          <w:rFonts w:cs="Arial"/>
          <w:szCs w:val="20"/>
        </w:rPr>
        <w:t xml:space="preserve"> District and the Republic of </w:t>
      </w:r>
      <w:proofErr w:type="spellStart"/>
      <w:r w:rsidRPr="005B4776">
        <w:rPr>
          <w:rFonts w:cs="Arial"/>
          <w:szCs w:val="20"/>
        </w:rPr>
        <w:t>Srpska</w:t>
      </w:r>
      <w:proofErr w:type="spellEnd"/>
      <w:r w:rsidRPr="005B4776">
        <w:rPr>
          <w:rFonts w:cs="Arial"/>
          <w:szCs w:val="20"/>
        </w:rPr>
        <w:t xml:space="preserve"> so that the confiscation of such objects owned by third parties can be mandatory.</w:t>
      </w:r>
    </w:p>
    <w:p w:rsidR="005E3DE3" w:rsidRPr="005B4776" w:rsidRDefault="005E3DE3" w:rsidP="0035420B">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 xml:space="preserve">As regards the management of frozen and seized property (Article 6), the report recommends that the authorities from Bosnia and Herzegovina, the Federation of Bosnia and Herzegovina and the </w:t>
      </w:r>
      <w:proofErr w:type="spellStart"/>
      <w:r w:rsidRPr="005B4776">
        <w:rPr>
          <w:rFonts w:cs="Arial"/>
          <w:szCs w:val="20"/>
        </w:rPr>
        <w:t>Brcko</w:t>
      </w:r>
      <w:proofErr w:type="spellEnd"/>
      <w:r w:rsidRPr="005B4776">
        <w:rPr>
          <w:rFonts w:cs="Arial"/>
          <w:szCs w:val="20"/>
        </w:rPr>
        <w:t xml:space="preserve"> District establish similar specialised agency as in Republic of </w:t>
      </w:r>
      <w:proofErr w:type="spellStart"/>
      <w:r w:rsidRPr="005B4776">
        <w:rPr>
          <w:rFonts w:cs="Arial"/>
          <w:szCs w:val="20"/>
        </w:rPr>
        <w:t>Srpska</w:t>
      </w:r>
      <w:proofErr w:type="spellEnd"/>
      <w:r w:rsidRPr="005B4776">
        <w:rPr>
          <w:rFonts w:cs="Arial"/>
          <w:szCs w:val="20"/>
        </w:rPr>
        <w:t>.</w:t>
      </w:r>
    </w:p>
    <w:p w:rsidR="005E3DE3" w:rsidRPr="005B4776" w:rsidRDefault="005E3DE3" w:rsidP="0035420B">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A number of concerns were raised about the existence of investigative powers and techniques (Article 7) available to monitor bank accounts, and the effectiveness of those available to determine whether a natural or legal person is a holder or beneficial owner of bank accounts to monitor accounts.</w:t>
      </w:r>
    </w:p>
    <w:p w:rsidR="005E3DE3" w:rsidRPr="005B4776" w:rsidRDefault="005E3DE3" w:rsidP="0035420B">
      <w:pPr>
        <w:pStyle w:val="ListParagraph"/>
        <w:ind w:left="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 xml:space="preserve">On international co-operation, the legal framework of Bosnia and Herzegovina does not provide for measures equivalent to confiscation leading to the deprivation of property, which </w:t>
      </w:r>
      <w:proofErr w:type="gramStart"/>
      <w:r w:rsidRPr="005B4776">
        <w:rPr>
          <w:rFonts w:cs="Arial"/>
          <w:szCs w:val="20"/>
        </w:rPr>
        <w:t>are</w:t>
      </w:r>
      <w:proofErr w:type="gramEnd"/>
      <w:r w:rsidRPr="005B4776">
        <w:rPr>
          <w:rFonts w:cs="Arial"/>
          <w:szCs w:val="20"/>
        </w:rPr>
        <w:t xml:space="preserve"> not criminal sanctions. There are no agreements or arrangements in place which are giving special consideration to sharing confiscated property with other countries on a regular or case-by-case basis.</w:t>
      </w:r>
    </w:p>
    <w:p w:rsidR="005E3DE3" w:rsidRPr="005B4776" w:rsidRDefault="005E3DE3" w:rsidP="0035420B">
      <w:pPr>
        <w:pStyle w:val="ListParagraph"/>
        <w:ind w:left="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As concerns investigative assistance (Article 16), it is considered that legislative provisions authorise the authorities to execute request from foreign authorities through the Ministry of Justice or the Financial Intelligence Department (FID) (in case of ML/TF). Nevertheless, the report mentions that it would be beneficial if, in addition to the other types of the legal assistance provided under the legislation regulating mutual legal assistance (MLA), the possibility was available for the authorities: (i) to determine whether a natural or legal person that is the subject of a criminal investigation holds or controls one or more accounts, of whatever nature, in any bank located in Bosnia and Herzegovina; (ii) to obtain the particulars of specified bank accounts and of banking operations which have been carried out during a specified period; and (iii) to monitor, during a specified period, the banking operations that are being carried out through one or more accounts.</w:t>
      </w:r>
    </w:p>
    <w:p w:rsidR="005E3DE3" w:rsidRPr="005B4776" w:rsidRDefault="005E3DE3" w:rsidP="0035420B">
      <w:pPr>
        <w:pStyle w:val="ListParagraph"/>
        <w:ind w:left="0"/>
        <w:rPr>
          <w:rFonts w:cs="Arial"/>
          <w:szCs w:val="20"/>
        </w:rPr>
      </w:pPr>
    </w:p>
    <w:p w:rsidR="0035420B" w:rsidRDefault="0035420B">
      <w:pPr>
        <w:rPr>
          <w:rFonts w:cs="Arial"/>
          <w:szCs w:val="20"/>
        </w:rPr>
      </w:pPr>
      <w:r>
        <w:rPr>
          <w:rFonts w:cs="Arial"/>
          <w:szCs w:val="20"/>
        </w:rPr>
        <w:br w:type="page"/>
      </w: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Bosnia and Herzegovina has not made use of the option set out in Article 34 enabling direct communication, especially in the event of urgency.</w:t>
      </w:r>
    </w:p>
    <w:p w:rsidR="005E3DE3" w:rsidRPr="005B4776" w:rsidRDefault="005E3DE3" w:rsidP="0035420B">
      <w:pPr>
        <w:pStyle w:val="ListParagraph"/>
        <w:ind w:left="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The FID appears to have good co</w:t>
      </w:r>
      <w:r w:rsidR="0086755D">
        <w:rPr>
          <w:rFonts w:cs="Arial"/>
          <w:szCs w:val="20"/>
        </w:rPr>
        <w:t>-</w:t>
      </w:r>
      <w:r w:rsidRPr="005B4776">
        <w:rPr>
          <w:rFonts w:cs="Arial"/>
          <w:szCs w:val="20"/>
        </w:rPr>
        <w:t>operation with foreign financial intelligence units (FIUs) and implements the requirements of Article 46 (co-operation between FIUs) to a large extent. Overall measures are in place to implement the requirements under Article 14 for the postponement of domestic suspicious transactions. The FID had not received any request from a foreign FIU for the temporary suspension of a transaction during the period 2009 – 2014, and thus did not have the opportunity to apply its power provided by the AML/CFT Law.</w:t>
      </w:r>
    </w:p>
    <w:p w:rsidR="005E3DE3" w:rsidRPr="005B4776" w:rsidRDefault="005E3DE3" w:rsidP="0035420B">
      <w:pPr>
        <w:pStyle w:val="ListParagraph"/>
        <w:ind w:left="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 xml:space="preserve">As regards the refusal and postponement of co-operation as provided for under Article 28, the reports notes that self-laundering is criminalised at </w:t>
      </w:r>
      <w:r w:rsidR="00D47AC4">
        <w:rPr>
          <w:rFonts w:cs="Arial"/>
          <w:szCs w:val="20"/>
        </w:rPr>
        <w:t>State</w:t>
      </w:r>
      <w:r w:rsidRPr="005B4776">
        <w:rPr>
          <w:rFonts w:cs="Arial"/>
          <w:szCs w:val="20"/>
        </w:rPr>
        <w:t xml:space="preserve"> level and in the Republic of </w:t>
      </w:r>
      <w:proofErr w:type="spellStart"/>
      <w:r w:rsidRPr="005B4776">
        <w:rPr>
          <w:rFonts w:cs="Arial"/>
          <w:szCs w:val="20"/>
        </w:rPr>
        <w:t>Srpska</w:t>
      </w:r>
      <w:proofErr w:type="spellEnd"/>
      <w:r w:rsidRPr="005B4776">
        <w:rPr>
          <w:rFonts w:cs="Arial"/>
          <w:szCs w:val="20"/>
        </w:rPr>
        <w:t xml:space="preserve">, but not in the Federation of Bosnia and Herzegovina and the </w:t>
      </w:r>
      <w:proofErr w:type="spellStart"/>
      <w:r w:rsidRPr="005B4776">
        <w:rPr>
          <w:rFonts w:cs="Arial"/>
          <w:szCs w:val="20"/>
        </w:rPr>
        <w:t>Brcko</w:t>
      </w:r>
      <w:proofErr w:type="spellEnd"/>
      <w:r w:rsidRPr="005B4776">
        <w:rPr>
          <w:rFonts w:cs="Arial"/>
          <w:szCs w:val="20"/>
        </w:rPr>
        <w:t xml:space="preserve"> District.</w:t>
      </w:r>
    </w:p>
    <w:p w:rsidR="005E3DE3" w:rsidRPr="005B4776" w:rsidRDefault="005E3DE3" w:rsidP="0035420B">
      <w:pPr>
        <w:pStyle w:val="ListParagraph"/>
        <w:ind w:left="0"/>
        <w:rPr>
          <w:rFonts w:cs="Arial"/>
          <w:szCs w:val="20"/>
        </w:rPr>
      </w:pPr>
    </w:p>
    <w:p w:rsidR="005E3DE3" w:rsidRPr="005B4776" w:rsidRDefault="005E3DE3" w:rsidP="0035420B">
      <w:pPr>
        <w:pStyle w:val="ListParagraph"/>
        <w:numPr>
          <w:ilvl w:val="0"/>
          <w:numId w:val="27"/>
        </w:numPr>
        <w:ind w:left="0" w:firstLine="0"/>
        <w:contextualSpacing w:val="0"/>
        <w:rPr>
          <w:rFonts w:cs="Arial"/>
          <w:szCs w:val="20"/>
        </w:rPr>
      </w:pPr>
      <w:r w:rsidRPr="005B4776">
        <w:rPr>
          <w:rFonts w:cs="Arial"/>
          <w:szCs w:val="20"/>
        </w:rPr>
        <w:t>Finally, as a common observation in the report, the statistical data provided were not sufficiently comprehensive to assess the effectiveness of the implementation of all Convention’s provisions.</w:t>
      </w:r>
    </w:p>
    <w:p w:rsidR="005E3DE3" w:rsidRPr="005B4776" w:rsidRDefault="005E3DE3" w:rsidP="005B4776">
      <w:pPr>
        <w:autoSpaceDE w:val="0"/>
        <w:autoSpaceDN w:val="0"/>
        <w:adjustRightInd w:val="0"/>
        <w:rPr>
          <w:rFonts w:cs="Arial"/>
          <w:szCs w:val="20"/>
        </w:rPr>
      </w:pPr>
    </w:p>
    <w:p w:rsidR="005E3DE3" w:rsidRPr="005B4776" w:rsidRDefault="005E3DE3" w:rsidP="005B4776">
      <w:pPr>
        <w:autoSpaceDE w:val="0"/>
        <w:autoSpaceDN w:val="0"/>
        <w:adjustRightInd w:val="0"/>
        <w:rPr>
          <w:rFonts w:cs="Arial"/>
          <w:b/>
          <w:szCs w:val="20"/>
          <w:u w:val="single"/>
        </w:rPr>
      </w:pPr>
      <w:r w:rsidRPr="005B4776">
        <w:rPr>
          <w:rFonts w:cs="Arial"/>
          <w:b/>
          <w:noProof/>
          <w:szCs w:val="20"/>
          <w:u w:val="single"/>
          <w:lang w:val="en-US"/>
        </w:rPr>
        <w:drawing>
          <wp:inline distT="0" distB="0" distL="0" distR="0" wp14:anchorId="62F07CE6" wp14:editId="3EF45C7F">
            <wp:extent cx="916293" cy="612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the_Democratic_Republic_of_Armenia_svg.png"/>
                    <pic:cNvPicPr/>
                  </pic:nvPicPr>
                  <pic:blipFill>
                    <a:blip r:embed="rId13">
                      <a:extLst>
                        <a:ext uri="{28A0092B-C50C-407E-A947-70E740481C1C}">
                          <a14:useLocalDpi xmlns:a14="http://schemas.microsoft.com/office/drawing/2010/main" val="0"/>
                        </a:ext>
                      </a:extLst>
                    </a:blip>
                    <a:stretch>
                      <a:fillRect/>
                    </a:stretch>
                  </pic:blipFill>
                  <pic:spPr>
                    <a:xfrm>
                      <a:off x="0" y="0"/>
                      <a:ext cx="920953" cy="615364"/>
                    </a:xfrm>
                    <a:prstGeom prst="rect">
                      <a:avLst/>
                    </a:prstGeom>
                  </pic:spPr>
                </pic:pic>
              </a:graphicData>
            </a:graphic>
          </wp:inline>
        </w:drawing>
      </w:r>
      <w:r w:rsidRPr="005B4776">
        <w:rPr>
          <w:rFonts w:cs="Arial"/>
          <w:b/>
          <w:szCs w:val="20"/>
          <w:u w:val="single"/>
        </w:rPr>
        <w:t xml:space="preserve">          Armenia</w:t>
      </w:r>
    </w:p>
    <w:p w:rsidR="005E3DE3" w:rsidRPr="005B4776" w:rsidRDefault="005E3DE3" w:rsidP="005B4776">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The Conference of the Parties considered and adopted the assessment report on Armenia at its 8</w:t>
      </w:r>
      <w:r w:rsidRPr="005B4776">
        <w:rPr>
          <w:rFonts w:cs="Arial"/>
          <w:szCs w:val="20"/>
          <w:vertAlign w:val="superscript"/>
        </w:rPr>
        <w:t>th</w:t>
      </w:r>
      <w:r w:rsidRPr="005B4776">
        <w:rPr>
          <w:rFonts w:cs="Arial"/>
          <w:szCs w:val="20"/>
        </w:rPr>
        <w:t xml:space="preserve"> session in 2016. It concluded that Armenia has taken important steps to ensure compliance of its national legislation with the provisions of the Convention and the assessment report acknowledges that, in many respects, it meets the standards of the Warsaw Convention. Nonetheless, a number of technical deficiencies have been identified. There are also concerns as to how effectively the relevant legislation is implemented in practice and as to whether the Armenian authorities make sufficient use of the powers provided for under the Convention.</w:t>
      </w:r>
    </w:p>
    <w:p w:rsidR="005E3DE3" w:rsidRPr="005B4776" w:rsidRDefault="005E3DE3" w:rsidP="0035420B">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In relation to the money laundering (ML) offence, the Armenian authorities are recommended to consider providing for a lesser mental element of either suspicion, negligence or both that property is proceeds of crime in the context of the ML, as well as to ensure that practitioners properly understand and apply in practice the principle that all designated categories of offences in the Appendix to the Warsaw Convention are predicate offences to ML, regardless of whether they have a profit-making purpose. Furthermore, the authorities are invited to take appropriate initiatives – e.g. issue clear guidance for practitioners on the level and types of evidence in respect of the underlying predicate criminality which are likely to be sufficient to adduce in an autonomous ML prosecution.</w:t>
      </w:r>
    </w:p>
    <w:p w:rsidR="005E3DE3" w:rsidRPr="005B4776" w:rsidRDefault="005E3DE3" w:rsidP="0035420B">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Corporate liability has not yet been applied in Armenian courts. In addition to its effective implementation, one of the recommendations made to the authorities is to carry out a stock-taking initiative to identify any legal, evidentiary and institutional impediments to apply corporate liability under the AML/CFT Law.</w:t>
      </w:r>
    </w:p>
    <w:p w:rsidR="005E3DE3" w:rsidRPr="005B4776" w:rsidRDefault="005E3DE3" w:rsidP="0035420B">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Although the confiscation regime is broadly in line with the requirements of the Convention and the introduction of the mandatory character of forfeiture is a welcome step forward, the authorities are invited to take appropriate legislative measures to implement Article 3, paragraph 4 of the Convention, and improve the quality and scope of statistics of confiscation/forfeiture with regard to predicate offences.</w:t>
      </w:r>
    </w:p>
    <w:p w:rsidR="005E3DE3" w:rsidRPr="005B4776" w:rsidRDefault="005E3DE3" w:rsidP="0035420B">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The report also found that the Armenian legal framework does not include sufficient implementing measures for the proper management of seized or frozen property (Article 6). Therefore, a recommendation made in the report suggests reviewing the national legal framework and taking legislative or institutional steps to introduce a clear and comprehensive procedure for managing frozen and seized assets in conformity with requirements of Article 6.</w:t>
      </w:r>
    </w:p>
    <w:p w:rsidR="005E3DE3" w:rsidRPr="005B4776" w:rsidRDefault="005E3DE3" w:rsidP="0035420B">
      <w:pPr>
        <w:pStyle w:val="ListParagraph"/>
        <w:ind w:left="0"/>
        <w:rPr>
          <w:rFonts w:cs="Arial"/>
          <w:szCs w:val="20"/>
        </w:rPr>
      </w:pPr>
    </w:p>
    <w:p w:rsidR="0035420B" w:rsidRDefault="0035420B">
      <w:pPr>
        <w:rPr>
          <w:rFonts w:cs="Arial"/>
          <w:szCs w:val="20"/>
        </w:rPr>
      </w:pPr>
      <w:r>
        <w:rPr>
          <w:rFonts w:cs="Arial"/>
          <w:szCs w:val="20"/>
        </w:rPr>
        <w:br w:type="page"/>
      </w: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As concerns investigative powers and techniques (Article 7), it appears that the practical use of powers by law enforcement authorities (LEAs) could be hindered by the two conditions</w:t>
      </w:r>
      <w:r w:rsidRPr="005B4776">
        <w:rPr>
          <w:rStyle w:val="FootnoteReference"/>
          <w:rFonts w:cs="Arial"/>
          <w:szCs w:val="20"/>
        </w:rPr>
        <w:footnoteReference w:id="11"/>
      </w:r>
      <w:r w:rsidRPr="005B4776">
        <w:rPr>
          <w:rFonts w:cs="Arial"/>
          <w:szCs w:val="20"/>
        </w:rPr>
        <w:t xml:space="preserve"> that need to be fulfilled before the powers are available. Concerns remain with the fact that they are not available for basic ML offences. The report notes that investigative powers to obtain information covered by banking secrecy, insurance secrecy and information on transactions with securities can only be used in relation to a person suspected or accused in a criminal case. This does not seem broad enough to allow for effective implementation of Article 7 of the Convention and LEAs thus need to rely to a large extent on the powers of the FIU under the AML/CFT Law.</w:t>
      </w:r>
    </w:p>
    <w:p w:rsidR="005E3DE3" w:rsidRPr="005B4776" w:rsidRDefault="005E3DE3" w:rsidP="005B4776">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In relation to international co</w:t>
      </w:r>
      <w:r w:rsidR="0086755D">
        <w:rPr>
          <w:rFonts w:cs="Arial"/>
          <w:szCs w:val="20"/>
        </w:rPr>
        <w:t>-</w:t>
      </w:r>
      <w:r w:rsidRPr="005B4776">
        <w:rPr>
          <w:rFonts w:cs="Arial"/>
          <w:szCs w:val="20"/>
        </w:rPr>
        <w:t>operation for confiscation purposes (Article 25), civil forfeiture orders cannot be executed. There are no provisions giving priority consideration to returning confiscated property to the requesting States Party so that it can give compensation to the victims of the crime or return such property to their legitimate owners. Likewise, there are no agreements in place giving consideration to sharing confiscated property with other countries.</w:t>
      </w:r>
    </w:p>
    <w:p w:rsidR="005E3DE3" w:rsidRPr="005B4776" w:rsidRDefault="005E3DE3" w:rsidP="0035420B">
      <w:pPr>
        <w:pStyle w:val="ListParagraph"/>
        <w:autoSpaceDE w:val="0"/>
        <w:autoSpaceDN w:val="0"/>
        <w:adjustRightInd w:val="0"/>
        <w:ind w:left="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As for investigative assistance in the context of international co</w:t>
      </w:r>
      <w:r w:rsidR="0086755D">
        <w:rPr>
          <w:rFonts w:cs="Arial"/>
          <w:szCs w:val="20"/>
        </w:rPr>
        <w:t>-</w:t>
      </w:r>
      <w:r w:rsidRPr="005B4776">
        <w:rPr>
          <w:rFonts w:cs="Arial"/>
          <w:szCs w:val="20"/>
        </w:rPr>
        <w:t>operation (Article 16), in principle all of the investigative techniques that are available under domestic law are also available for the purpose of MLA (except for the exemptions provided under the relevant MLA treaties). Thus the limitations identified in relation to investigative assistance apply also in the context of MLA in this field. No practical examples have been provided of instances in which Armenia had received or executed MLA requests in this area.</w:t>
      </w:r>
    </w:p>
    <w:p w:rsidR="005E3DE3" w:rsidRPr="005B4776" w:rsidRDefault="005E3DE3" w:rsidP="0035420B">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The report concluded that it appears that Armenia has implemented the requi</w:t>
      </w:r>
      <w:r w:rsidR="00D47AC4">
        <w:rPr>
          <w:rFonts w:cs="Arial"/>
          <w:szCs w:val="20"/>
        </w:rPr>
        <w:t>rements under Article </w:t>
      </w:r>
      <w:r w:rsidRPr="005B4776">
        <w:rPr>
          <w:rFonts w:cs="Arial"/>
          <w:szCs w:val="20"/>
        </w:rPr>
        <w:t>14 of the Convention (postponement of domestic suspicious transactions). The Financial Monitoring Centre of Armenia (FMC) and the Central Bank of Armenia (CBA) Board also have the necessary legal basis to fulfil the requirements under Article 47 of the Convention (postponement of transactions on behalf of foreign FIUs).</w:t>
      </w:r>
    </w:p>
    <w:p w:rsidR="005E3DE3" w:rsidRPr="005B4776" w:rsidRDefault="005E3DE3" w:rsidP="0035420B">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With regard to co</w:t>
      </w:r>
      <w:r w:rsidR="0086755D">
        <w:rPr>
          <w:rFonts w:cs="Arial"/>
          <w:szCs w:val="20"/>
        </w:rPr>
        <w:t>-</w:t>
      </w:r>
      <w:r w:rsidRPr="005B4776">
        <w:rPr>
          <w:rFonts w:cs="Arial"/>
          <w:szCs w:val="20"/>
        </w:rPr>
        <w:t>operation with foreign FIUs (Article 46), the authorities are encouraged to consider providing - clearly under the law - cases in which refusal to divulge information to foreign counterparts is justified and provide that such refusals should be appropriately explained to the requesting FIU, in line with Article 46 paragraph 6 of the Convention.</w:t>
      </w:r>
    </w:p>
    <w:p w:rsidR="005E3DE3" w:rsidRPr="005B4776" w:rsidRDefault="005E3DE3" w:rsidP="005B4776">
      <w:pPr>
        <w:autoSpaceDE w:val="0"/>
        <w:autoSpaceDN w:val="0"/>
        <w:adjustRightInd w:val="0"/>
        <w:rPr>
          <w:rFonts w:cs="Arial"/>
          <w:szCs w:val="20"/>
        </w:rPr>
      </w:pPr>
    </w:p>
    <w:p w:rsidR="005E3DE3" w:rsidRPr="005B4776" w:rsidRDefault="005E3DE3" w:rsidP="005B4776">
      <w:pPr>
        <w:autoSpaceDE w:val="0"/>
        <w:autoSpaceDN w:val="0"/>
        <w:adjustRightInd w:val="0"/>
        <w:rPr>
          <w:rFonts w:cs="Arial"/>
          <w:b/>
          <w:szCs w:val="20"/>
          <w:u w:val="single"/>
        </w:rPr>
      </w:pPr>
      <w:r w:rsidRPr="005B4776">
        <w:rPr>
          <w:rFonts w:cs="Arial"/>
          <w:b/>
          <w:noProof/>
          <w:szCs w:val="20"/>
          <w:u w:val="single"/>
          <w:lang w:val="en-US"/>
        </w:rPr>
        <w:drawing>
          <wp:inline distT="0" distB="0" distL="0" distR="0" wp14:anchorId="3F8D3EEA" wp14:editId="28B37B7D">
            <wp:extent cx="917561" cy="620202"/>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Belgium_sv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17763" cy="620339"/>
                    </a:xfrm>
                    <a:prstGeom prst="rect">
                      <a:avLst/>
                    </a:prstGeom>
                  </pic:spPr>
                </pic:pic>
              </a:graphicData>
            </a:graphic>
          </wp:inline>
        </w:drawing>
      </w:r>
      <w:r w:rsidRPr="005B4776">
        <w:rPr>
          <w:rFonts w:cs="Arial"/>
          <w:b/>
          <w:szCs w:val="20"/>
          <w:u w:val="single"/>
        </w:rPr>
        <w:t xml:space="preserve">           Belgium</w:t>
      </w:r>
    </w:p>
    <w:p w:rsidR="005E3DE3" w:rsidRPr="005B4776" w:rsidRDefault="005E3DE3" w:rsidP="005B4776">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The Conference of the Parties considered and adopted the assessment report on Belgium at its 8</w:t>
      </w:r>
      <w:r w:rsidRPr="005B4776">
        <w:rPr>
          <w:rFonts w:cs="Arial"/>
          <w:szCs w:val="20"/>
          <w:vertAlign w:val="superscript"/>
        </w:rPr>
        <w:t>th</w:t>
      </w:r>
      <w:r w:rsidRPr="005B4776">
        <w:rPr>
          <w:rFonts w:cs="Arial"/>
          <w:szCs w:val="20"/>
        </w:rPr>
        <w:t xml:space="preserve"> session in 2016. Belgium has a certain number of effective tools to enable it to combat serious forms of crime and target the proceeds of those crimes, for use in both the prevention of money laundering and criminal investigations. As a result, the country’s legal provisions are generally compatible with the Warsaw Convention. </w:t>
      </w:r>
    </w:p>
    <w:p w:rsidR="005E3DE3" w:rsidRPr="005B4776" w:rsidRDefault="005E3DE3" w:rsidP="0035420B">
      <w:pPr>
        <w:pStyle w:val="ListParagraph"/>
        <w:autoSpaceDE w:val="0"/>
        <w:autoSpaceDN w:val="0"/>
        <w:adjustRightInd w:val="0"/>
        <w:ind w:left="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First, the legal framework has been improved in recent years, as a result of both domestic legal provisions and the influence of Community law. Second, there is evidence of the Belgian authorities’ commitment to ensuring that the AML/CFT system works effectively. Nevertheless, the Convention could still be exploited more effectively by the Belgian authorities, particularly in its role as a legal basis for international judicial co-operation.</w:t>
      </w:r>
    </w:p>
    <w:p w:rsidR="005E3DE3" w:rsidRPr="005B4776" w:rsidRDefault="005E3DE3" w:rsidP="0035420B">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 xml:space="preserve">The assessment of the effective implementation of a major part of the Convention provisions has been made possible by the co-operation supplied by the Belgian authorities and the information they have furnished. In a few rare cases, however, it has been complicated by a lack of statistics and of practical illustrations. </w:t>
      </w:r>
    </w:p>
    <w:p w:rsidR="005E3DE3" w:rsidRPr="005B4776" w:rsidRDefault="005E3DE3" w:rsidP="0035420B">
      <w:pPr>
        <w:autoSpaceDE w:val="0"/>
        <w:autoSpaceDN w:val="0"/>
        <w:adjustRightInd w:val="0"/>
        <w:rPr>
          <w:rFonts w:cs="Arial"/>
          <w:szCs w:val="20"/>
        </w:rPr>
      </w:pPr>
    </w:p>
    <w:p w:rsidR="0035420B" w:rsidRDefault="0035420B">
      <w:pPr>
        <w:rPr>
          <w:rFonts w:cs="Arial"/>
          <w:szCs w:val="20"/>
        </w:rPr>
      </w:pPr>
      <w:r>
        <w:rPr>
          <w:rFonts w:cs="Arial"/>
          <w:szCs w:val="20"/>
        </w:rPr>
        <w:br w:type="page"/>
      </w: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In accordance with established case-law and the spirit of the law, prosecution of the offence of money laundering does not depend on a conviction for the predicate offence. However, the authorities are recommended to clarify the relevant legislation to confirm the established case-law.</w:t>
      </w:r>
    </w:p>
    <w:p w:rsidR="005E3DE3" w:rsidRPr="005B4776" w:rsidRDefault="005E3DE3" w:rsidP="0035420B">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Although the Belgian legal system appears to have relevant elements concerning the liability of legal persons (Article 10) and the courts appear to be applying the Convention requirements, the rapporteurs recommend Belgium that there should be further clarification, including, where necessary, in the legal provisions, concerning the implementation of Article 10 of the Convention, in particular related to the legal liability for lack of supervision.</w:t>
      </w:r>
    </w:p>
    <w:p w:rsidR="005E3DE3" w:rsidRPr="005B4776" w:rsidRDefault="005E3DE3" w:rsidP="005B4776">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Belgium has enacted measures to enable its courts and prosecution services, when determining the appropriate penalty, to take into consideration previous decisions against individuals or legal persons in connection with offences specified in the Convention handed down in another Party (Article 11), as long as that Party is an EU</w:t>
      </w:r>
      <w:r w:rsidR="008271EF">
        <w:rPr>
          <w:rFonts w:cs="Arial"/>
          <w:szCs w:val="20"/>
        </w:rPr>
        <w:t xml:space="preserve"> m</w:t>
      </w:r>
      <w:r w:rsidRPr="005B4776">
        <w:rPr>
          <w:rFonts w:cs="Arial"/>
          <w:szCs w:val="20"/>
        </w:rPr>
        <w:t>ember State. However, restri</w:t>
      </w:r>
      <w:r w:rsidR="008271EF">
        <w:rPr>
          <w:rFonts w:cs="Arial"/>
          <w:szCs w:val="20"/>
        </w:rPr>
        <w:t>cting this option solely to EU m</w:t>
      </w:r>
      <w:r w:rsidRPr="005B4776">
        <w:rPr>
          <w:rFonts w:cs="Arial"/>
          <w:szCs w:val="20"/>
        </w:rPr>
        <w:t xml:space="preserve">ember States is not compliant with the Convention. </w:t>
      </w:r>
    </w:p>
    <w:p w:rsidR="005E3DE3" w:rsidRPr="005B4776" w:rsidRDefault="005E3DE3" w:rsidP="0035420B">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The Belgian legal framework is compliant with the requirements of Article 3 (confiscation measures). Regarding effective implementation, the data supplied confirms the year on year increase in seizures and confiscations. An example case supplied by the Belgian authorities also points to the conclusion that, overall, there have been positive progress and trends in the practical application of the confiscation provisions.</w:t>
      </w:r>
    </w:p>
    <w:p w:rsidR="005E3DE3" w:rsidRPr="005B4776" w:rsidRDefault="005E3DE3" w:rsidP="0035420B">
      <w:pPr>
        <w:autoSpaceDE w:val="0"/>
        <w:autoSpaceDN w:val="0"/>
        <w:adjustRightInd w:val="0"/>
        <w:rPr>
          <w:rFonts w:cs="Arial"/>
          <w:b/>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The current legal system provides a good basis for effective asset management (Article 6). However, it could not be established from a desk-based review whether all the necessary tools are in place to enable the Central Office for Seizure and Confiscation in Belgium (OCSC) to fulfil its duties as laid down in Article 6 of the Convention. Therefore, Belgium is recommended to ensure that clear procedures for managing seized property are set out, in line with the requirements of Article 6.</w:t>
      </w:r>
    </w:p>
    <w:p w:rsidR="005E3DE3" w:rsidRPr="005B4776" w:rsidRDefault="005E3DE3" w:rsidP="0035420B">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 xml:space="preserve">On international co-operation, Belgium’s domestic law authorises the restitution of confiscated property to applicant parties. However, there is no provision of the law, nor any evidence produced, to demonstrate that the Belgian authorities see such restitution as a priority to enable the requesting </w:t>
      </w:r>
      <w:r w:rsidR="00D47AC4">
        <w:rPr>
          <w:rFonts w:cs="Arial"/>
          <w:szCs w:val="20"/>
        </w:rPr>
        <w:t>State</w:t>
      </w:r>
      <w:r w:rsidRPr="005B4776">
        <w:rPr>
          <w:rFonts w:cs="Arial"/>
          <w:szCs w:val="20"/>
        </w:rPr>
        <w:t xml:space="preserve"> to compensate the victims of the offence or restore the property to its lawful owner.</w:t>
      </w:r>
    </w:p>
    <w:p w:rsidR="005E3DE3" w:rsidRPr="005B4776" w:rsidRDefault="005E3DE3" w:rsidP="0035420B">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As concerns investigative assistance (Article 16), Belgium uses the domestic arrangements available to meet the requirements of the Convention regarding requests for mutual legal assistance (MLA). The establishment of a register at the central bank, which expedites the identification of accounts, has improved the already reliable machinery for ensuring co-operation in the execution of requests for MLA, and in particular requests for information on the tracing and identification of the bank accounts of any legal person or individual.</w:t>
      </w:r>
    </w:p>
    <w:p w:rsidR="005E3DE3" w:rsidRPr="005B4776" w:rsidRDefault="005E3DE3" w:rsidP="0035420B">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Belgian law does permit direct communication between judicial authorities, in accordance with Article 34(2) of the Convention. In practice, however, in the case of contacts with judicial authoritie</w:t>
      </w:r>
      <w:r w:rsidR="008271EF">
        <w:rPr>
          <w:rFonts w:cs="Arial"/>
          <w:szCs w:val="20"/>
        </w:rPr>
        <w:t>s from Parties that are not EU m</w:t>
      </w:r>
      <w:r w:rsidRPr="005B4776">
        <w:rPr>
          <w:rFonts w:cs="Arial"/>
          <w:szCs w:val="20"/>
        </w:rPr>
        <w:t>ember States, prior authorisation for execution is still required from the Ministry of Justice.</w:t>
      </w:r>
    </w:p>
    <w:p w:rsidR="005E3DE3" w:rsidRPr="005B4776" w:rsidRDefault="005E3DE3" w:rsidP="0035420B">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 xml:space="preserve">As a valuable supplement to the postponement system (Article 29), the domestic FIU was recommended to base its power of postponement on reports from all the reporting entities and to give these entities the necessary means for applying blocking measures. </w:t>
      </w:r>
    </w:p>
    <w:p w:rsidR="005E3DE3" w:rsidRPr="005B4776" w:rsidRDefault="005E3DE3" w:rsidP="0035420B">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Belgium has stated that the legal provisions on international co-operation can be used to execute the postponement of transactions on behalf of foreign FIUs (Article 47). However, the lack of an express provision on this issue casts certain doubts about the effective implementation of the obligations arising from Article 47 of the Convention.</w:t>
      </w:r>
    </w:p>
    <w:p w:rsidR="005E3DE3" w:rsidRPr="005B4776" w:rsidRDefault="005E3DE3" w:rsidP="0035420B">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 xml:space="preserve">As regards refusal and postponement of co-operation, it appears that Belgium’s legal system satisfies the requirements of Article 28 (even though the report recommended </w:t>
      </w:r>
      <w:proofErr w:type="gramStart"/>
      <w:r w:rsidRPr="005B4776">
        <w:rPr>
          <w:rFonts w:cs="Arial"/>
          <w:szCs w:val="20"/>
        </w:rPr>
        <w:t>to provide</w:t>
      </w:r>
      <w:proofErr w:type="gramEnd"/>
      <w:r w:rsidRPr="005B4776">
        <w:rPr>
          <w:rFonts w:cs="Arial"/>
          <w:szCs w:val="20"/>
        </w:rPr>
        <w:t xml:space="preserve"> meaningful statistics on the practice of international co-operation).</w:t>
      </w:r>
    </w:p>
    <w:p w:rsidR="005E3DE3" w:rsidRPr="005B4776" w:rsidRDefault="005E3DE3" w:rsidP="005B4776">
      <w:pPr>
        <w:autoSpaceDE w:val="0"/>
        <w:autoSpaceDN w:val="0"/>
        <w:adjustRightInd w:val="0"/>
        <w:rPr>
          <w:rFonts w:cs="Arial"/>
          <w:b/>
          <w:szCs w:val="20"/>
        </w:rPr>
      </w:pPr>
    </w:p>
    <w:p w:rsidR="0035420B" w:rsidRDefault="0035420B">
      <w:pPr>
        <w:rPr>
          <w:rFonts w:cs="Arial"/>
          <w:b/>
          <w:szCs w:val="20"/>
        </w:rPr>
      </w:pPr>
      <w:r>
        <w:rPr>
          <w:rFonts w:cs="Arial"/>
          <w:b/>
          <w:szCs w:val="20"/>
        </w:rPr>
        <w:br w:type="page"/>
      </w:r>
    </w:p>
    <w:p w:rsidR="005E3DE3" w:rsidRPr="005B4776" w:rsidRDefault="005E3DE3" w:rsidP="0035420B">
      <w:pPr>
        <w:pStyle w:val="ListParagraph"/>
        <w:numPr>
          <w:ilvl w:val="2"/>
          <w:numId w:val="14"/>
        </w:numPr>
        <w:autoSpaceDE w:val="0"/>
        <w:autoSpaceDN w:val="0"/>
        <w:adjustRightInd w:val="0"/>
        <w:ind w:left="709" w:hanging="709"/>
        <w:contextualSpacing w:val="0"/>
        <w:rPr>
          <w:rFonts w:cs="Arial"/>
          <w:b/>
          <w:szCs w:val="20"/>
        </w:rPr>
      </w:pPr>
      <w:r w:rsidRPr="005B4776">
        <w:rPr>
          <w:rFonts w:cs="Arial"/>
          <w:b/>
          <w:szCs w:val="20"/>
        </w:rPr>
        <w:t>Follow-up reports</w:t>
      </w:r>
    </w:p>
    <w:p w:rsidR="005E3DE3" w:rsidRPr="005B4776" w:rsidRDefault="005E3DE3" w:rsidP="005B4776">
      <w:pPr>
        <w:autoSpaceDE w:val="0"/>
        <w:autoSpaceDN w:val="0"/>
        <w:adjustRightInd w:val="0"/>
        <w:rPr>
          <w:rFonts w:cs="Arial"/>
          <w:b/>
          <w:szCs w:val="20"/>
        </w:rPr>
      </w:pPr>
    </w:p>
    <w:p w:rsidR="005E3DE3" w:rsidRPr="005B4776" w:rsidRDefault="005E3DE3" w:rsidP="005B4776">
      <w:pPr>
        <w:autoSpaceDE w:val="0"/>
        <w:autoSpaceDN w:val="0"/>
        <w:adjustRightInd w:val="0"/>
        <w:rPr>
          <w:rFonts w:cs="Arial"/>
          <w:b/>
          <w:szCs w:val="20"/>
          <w:u w:val="single"/>
        </w:rPr>
      </w:pPr>
      <w:r w:rsidRPr="005B4776">
        <w:rPr>
          <w:rFonts w:cs="Arial"/>
          <w:b/>
          <w:noProof/>
          <w:szCs w:val="20"/>
          <w:u w:val="single"/>
          <w:lang w:val="en-US"/>
        </w:rPr>
        <w:drawing>
          <wp:inline distT="0" distB="0" distL="0" distR="0" wp14:anchorId="08953425" wp14:editId="5EFE18BA">
            <wp:extent cx="914400" cy="608076"/>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vil_Ensign_of_Croatia_svg.png"/>
                    <pic:cNvPicPr/>
                  </pic:nvPicPr>
                  <pic:blipFill>
                    <a:blip r:embed="rId15">
                      <a:extLst>
                        <a:ext uri="{28A0092B-C50C-407E-A947-70E740481C1C}">
                          <a14:useLocalDpi xmlns:a14="http://schemas.microsoft.com/office/drawing/2010/main" val="0"/>
                        </a:ext>
                      </a:extLst>
                    </a:blip>
                    <a:stretch>
                      <a:fillRect/>
                    </a:stretch>
                  </pic:blipFill>
                  <pic:spPr>
                    <a:xfrm>
                      <a:off x="0" y="0"/>
                      <a:ext cx="912812" cy="607020"/>
                    </a:xfrm>
                    <a:prstGeom prst="rect">
                      <a:avLst/>
                    </a:prstGeom>
                  </pic:spPr>
                </pic:pic>
              </a:graphicData>
            </a:graphic>
          </wp:inline>
        </w:drawing>
      </w:r>
      <w:r w:rsidRPr="005B4776">
        <w:rPr>
          <w:rFonts w:cs="Arial"/>
          <w:b/>
          <w:szCs w:val="20"/>
          <w:u w:val="single"/>
        </w:rPr>
        <w:t xml:space="preserve">          Croatia</w:t>
      </w:r>
    </w:p>
    <w:p w:rsidR="005E3DE3" w:rsidRPr="005B4776" w:rsidRDefault="005E3DE3" w:rsidP="005B4776">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The first assessment report on Croatia’s implementation of the Convention was adopted in 2013. Three years after its adoption, at its 8</w:t>
      </w:r>
      <w:r w:rsidRPr="005B4776">
        <w:rPr>
          <w:rFonts w:cs="Arial"/>
          <w:szCs w:val="20"/>
          <w:vertAlign w:val="superscript"/>
        </w:rPr>
        <w:t>th</w:t>
      </w:r>
      <w:r w:rsidRPr="005B4776">
        <w:rPr>
          <w:rFonts w:cs="Arial"/>
          <w:szCs w:val="20"/>
        </w:rPr>
        <w:t xml:space="preserve"> meeting in 2016, Croatia submitted a follow-up report, for which Spain acted as rapporteur country. The Conference of the Parties noted that Croatia had taken some measures to address the deficiencies identified in the assessment report and implemented the recommendations made to its authorities. Croatia provided comprehensive statistical data and examples of cases which led to a positive conclusion about several recommendations.</w:t>
      </w:r>
    </w:p>
    <w:p w:rsidR="005E3DE3" w:rsidRPr="005B4776" w:rsidRDefault="005E3DE3" w:rsidP="0035420B">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 xml:space="preserve">However, based on the information received, there were still a number of issues to be considered and gaps that needed to be addressed. No update was provided on measures for implementing the international recidivism standard in the </w:t>
      </w:r>
      <w:r w:rsidRPr="005B4776">
        <w:rPr>
          <w:rFonts w:cs="Arial"/>
          <w:i/>
          <w:szCs w:val="20"/>
        </w:rPr>
        <w:t>Act on Responsibility of Legal Persons for Criminal Offences</w:t>
      </w:r>
      <w:r w:rsidRPr="005B4776">
        <w:rPr>
          <w:rFonts w:cs="Arial"/>
          <w:szCs w:val="20"/>
        </w:rPr>
        <w:t xml:space="preserve"> and for ensuring that prosecutors are familiar with the procedure to take into consideration foreign convictions against both natural and legal person taken in another State Party (Article 11).</w:t>
      </w:r>
    </w:p>
    <w:p w:rsidR="005E3DE3" w:rsidRPr="005B4776" w:rsidRDefault="005E3DE3" w:rsidP="0035420B">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 xml:space="preserve">Concerning confiscation measures (Article 3), Croatia reported about the adoption of new legislation, addressing a number of issues identified in the assessment report. For example, the definition of “instrumentalities” to be confiscated was amended. However, the Conference of the Parties considered incompatible with Article 3 of the Convention that the definition requires that the possibility to confiscate instrumentalities which were used to commit a criminal offence is restricted to the case where they present the danger of being used in the future for other criminal offences. </w:t>
      </w:r>
    </w:p>
    <w:p w:rsidR="005E3DE3" w:rsidRPr="005B4776" w:rsidRDefault="005E3DE3" w:rsidP="0035420B">
      <w:pPr>
        <w:autoSpaceDE w:val="0"/>
        <w:autoSpaceDN w:val="0"/>
        <w:adjustRightInd w:val="0"/>
        <w:rPr>
          <w:rFonts w:cs="Arial"/>
          <w:szCs w:val="20"/>
        </w:rPr>
      </w:pPr>
    </w:p>
    <w:p w:rsidR="005E3DE3" w:rsidRPr="005B4776" w:rsidRDefault="005E3DE3" w:rsidP="0035420B">
      <w:pPr>
        <w:pStyle w:val="ListParagraph"/>
        <w:numPr>
          <w:ilvl w:val="0"/>
          <w:numId w:val="27"/>
        </w:numPr>
        <w:autoSpaceDE w:val="0"/>
        <w:autoSpaceDN w:val="0"/>
        <w:adjustRightInd w:val="0"/>
        <w:ind w:left="0" w:firstLine="0"/>
        <w:contextualSpacing w:val="0"/>
        <w:rPr>
          <w:rFonts w:cs="Arial"/>
          <w:szCs w:val="20"/>
        </w:rPr>
      </w:pPr>
      <w:r w:rsidRPr="005B4776">
        <w:rPr>
          <w:rFonts w:cs="Arial"/>
          <w:szCs w:val="20"/>
        </w:rPr>
        <w:t>As regards international co-operation (Article 15), Croatia indicated that the recognition of confiscation orders issued by States Parties is in the competence of its county courts, which should not prevent the authorities to take all relevant measures to enhance international co</w:t>
      </w:r>
      <w:r w:rsidR="0086755D">
        <w:rPr>
          <w:rFonts w:cs="Arial"/>
          <w:szCs w:val="20"/>
        </w:rPr>
        <w:t>-</w:t>
      </w:r>
      <w:r w:rsidRPr="005B4776">
        <w:rPr>
          <w:rFonts w:cs="Arial"/>
          <w:szCs w:val="20"/>
        </w:rPr>
        <w:t>operation on that matter. The Conference of the Parties thus recommended Croatia to clarify the extent to which the country can co</w:t>
      </w:r>
      <w:r w:rsidR="0086755D">
        <w:rPr>
          <w:rFonts w:cs="Arial"/>
          <w:szCs w:val="20"/>
        </w:rPr>
        <w:t>-</w:t>
      </w:r>
      <w:r w:rsidRPr="005B4776">
        <w:rPr>
          <w:rFonts w:cs="Arial"/>
          <w:szCs w:val="20"/>
        </w:rPr>
        <w:t>operate with States Parties in the execution of foreign non-conviction based confiscation orders. The Croatian authorities were also encouraged to ensure, in respect of co</w:t>
      </w:r>
      <w:r w:rsidR="0086755D">
        <w:rPr>
          <w:rFonts w:cs="Arial"/>
          <w:szCs w:val="20"/>
        </w:rPr>
        <w:t>-</w:t>
      </w:r>
      <w:r w:rsidRPr="005B4776">
        <w:rPr>
          <w:rFonts w:cs="Arial"/>
          <w:szCs w:val="20"/>
        </w:rPr>
        <w:t>operation with non-EU countries, the ability to co</w:t>
      </w:r>
      <w:r w:rsidR="0086755D">
        <w:rPr>
          <w:rFonts w:cs="Arial"/>
          <w:szCs w:val="20"/>
        </w:rPr>
        <w:t>-</w:t>
      </w:r>
      <w:r w:rsidRPr="005B4776">
        <w:rPr>
          <w:rFonts w:cs="Arial"/>
          <w:szCs w:val="20"/>
        </w:rPr>
        <w:t>operate for the purposes of sharing criminal assets.</w:t>
      </w:r>
    </w:p>
    <w:p w:rsidR="005E3DE3" w:rsidRPr="005B4776" w:rsidRDefault="005E3DE3" w:rsidP="0035420B">
      <w:pPr>
        <w:pStyle w:val="ListParagraph"/>
        <w:ind w:left="0"/>
        <w:rPr>
          <w:rFonts w:cs="Arial"/>
          <w:szCs w:val="20"/>
        </w:rPr>
      </w:pPr>
    </w:p>
    <w:p w:rsidR="005E3DE3" w:rsidRPr="005B4776" w:rsidRDefault="005E3DE3" w:rsidP="0035420B">
      <w:pPr>
        <w:autoSpaceDE w:val="0"/>
        <w:autoSpaceDN w:val="0"/>
        <w:adjustRightInd w:val="0"/>
        <w:rPr>
          <w:rFonts w:cs="Arial"/>
          <w:szCs w:val="20"/>
          <w:u w:val="single"/>
        </w:rPr>
      </w:pPr>
      <w:r w:rsidRPr="005B4776">
        <w:rPr>
          <w:rFonts w:cs="Arial"/>
          <w:noProof/>
          <w:szCs w:val="20"/>
          <w:lang w:val="en-US"/>
        </w:rPr>
        <w:drawing>
          <wp:inline distT="0" distB="0" distL="0" distR="0" wp14:anchorId="0BA3D36D" wp14:editId="26F2A9C8">
            <wp:extent cx="1029012" cy="515912"/>
            <wp:effectExtent l="19050" t="19050" r="19050" b="17780"/>
            <wp:docPr id="5" name="Picture 5" descr="Flag of Moldov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ag of Moldova.sv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31927" cy="517374"/>
                    </a:xfrm>
                    <a:prstGeom prst="rect">
                      <a:avLst/>
                    </a:prstGeom>
                    <a:noFill/>
                    <a:ln w="3175">
                      <a:solidFill>
                        <a:schemeClr val="tx1"/>
                      </a:solidFill>
                    </a:ln>
                  </pic:spPr>
                </pic:pic>
              </a:graphicData>
            </a:graphic>
          </wp:inline>
        </w:drawing>
      </w:r>
      <w:r w:rsidRPr="005B4776">
        <w:rPr>
          <w:rFonts w:cs="Arial"/>
          <w:szCs w:val="20"/>
          <w:u w:val="single"/>
        </w:rPr>
        <w:t xml:space="preserve">          </w:t>
      </w:r>
      <w:r w:rsidRPr="005B4776">
        <w:rPr>
          <w:rFonts w:cs="Arial"/>
          <w:b/>
          <w:szCs w:val="20"/>
          <w:u w:val="single"/>
        </w:rPr>
        <w:t>Republic of Moldova</w:t>
      </w:r>
    </w:p>
    <w:p w:rsidR="005E3DE3" w:rsidRPr="005B4776" w:rsidRDefault="005E3DE3" w:rsidP="0035420B">
      <w:pPr>
        <w:autoSpaceDE w:val="0"/>
        <w:autoSpaceDN w:val="0"/>
        <w:adjustRightInd w:val="0"/>
        <w:rPr>
          <w:rFonts w:cs="Arial"/>
          <w:szCs w:val="20"/>
        </w:rPr>
      </w:pPr>
    </w:p>
    <w:p w:rsidR="005E3DE3" w:rsidRPr="005B4776" w:rsidRDefault="005E3DE3" w:rsidP="0035420B">
      <w:pPr>
        <w:pStyle w:val="ListParagraph"/>
        <w:widowControl w:val="0"/>
        <w:numPr>
          <w:ilvl w:val="0"/>
          <w:numId w:val="27"/>
        </w:numPr>
        <w:spacing w:after="200"/>
        <w:ind w:left="0" w:firstLine="0"/>
        <w:rPr>
          <w:rFonts w:cs="Arial"/>
          <w:szCs w:val="20"/>
        </w:rPr>
      </w:pPr>
      <w:r w:rsidRPr="005B4776">
        <w:rPr>
          <w:rFonts w:cs="Arial"/>
          <w:szCs w:val="20"/>
        </w:rPr>
        <w:t>The first assessment report on the Republic of Moldova’s implementation of the Convention was adopted in 2014. Three years after its adoption, at its 9</w:t>
      </w:r>
      <w:r w:rsidRPr="005B4776">
        <w:rPr>
          <w:rFonts w:cs="Arial"/>
          <w:szCs w:val="20"/>
          <w:vertAlign w:val="superscript"/>
        </w:rPr>
        <w:t>th</w:t>
      </w:r>
      <w:r w:rsidRPr="005B4776">
        <w:rPr>
          <w:rFonts w:cs="Arial"/>
          <w:szCs w:val="20"/>
        </w:rPr>
        <w:t xml:space="preserve"> meeting in 2017, the Republic of Moldova submitted a follow-up report. Montenegro acted as a Rapporteur country. The Secretariat presented the developments in the Republic of Moldova since the time of the adoption of the evaluation report, in particular the legislative changes undertaken in order to address the recommendations made in the report, as well as the Law no. 308 of 22.12.2017 on prevention and combating money laundering and terrorism financing which was, at the time of the Plenary, discussed in Parliament. Furthermore, the </w:t>
      </w:r>
      <w:r w:rsidRPr="005B4776">
        <w:rPr>
          <w:rFonts w:eastAsia="MS Mincho" w:cs="Arial"/>
          <w:szCs w:val="20"/>
          <w:lang w:eastAsia="ar-SA"/>
        </w:rPr>
        <w:t>Conference of the Parties</w:t>
      </w:r>
      <w:r w:rsidRPr="005B4776">
        <w:rPr>
          <w:rFonts w:cs="Arial"/>
          <w:szCs w:val="20"/>
        </w:rPr>
        <w:t xml:space="preserve"> took note of the statements made by the scientific expert on the follow-up report and its analysis.</w:t>
      </w:r>
    </w:p>
    <w:p w:rsidR="005E3DE3" w:rsidRPr="005B4776" w:rsidRDefault="005E3DE3" w:rsidP="0035420B">
      <w:pPr>
        <w:pStyle w:val="ListParagraph"/>
        <w:widowControl w:val="0"/>
        <w:ind w:left="0"/>
        <w:rPr>
          <w:rFonts w:cs="Arial"/>
          <w:szCs w:val="20"/>
        </w:rPr>
      </w:pPr>
    </w:p>
    <w:p w:rsidR="005E3DE3" w:rsidRPr="005B4776" w:rsidRDefault="005E3DE3" w:rsidP="0035420B">
      <w:pPr>
        <w:pStyle w:val="ListParagraph"/>
        <w:widowControl w:val="0"/>
        <w:numPr>
          <w:ilvl w:val="0"/>
          <w:numId w:val="27"/>
        </w:numPr>
        <w:spacing w:after="200"/>
        <w:ind w:left="0" w:firstLine="0"/>
        <w:rPr>
          <w:rFonts w:cs="Arial"/>
          <w:szCs w:val="20"/>
        </w:rPr>
      </w:pPr>
      <w:r w:rsidRPr="005B4776">
        <w:rPr>
          <w:rFonts w:cs="Arial"/>
          <w:szCs w:val="20"/>
        </w:rPr>
        <w:t xml:space="preserve">With regard to the legal framework of confiscation measures, Article 3 and 6, the analysis stated that the Republic of Moldova had amended its Criminal Code, further clarifying relevant definitions, such as the notion of “goods” in light of Article 3, the application of the confiscation regime and the obligation to confiscate the corresponding value of any goods liable to confiscation (if the latter do not exist anymore, cannot be found, or cannot be recovered). Montenegro, as rapporteur country, posed a question concerning the difference between the high number of predicate offences and the low number of confiscations, to which the Moldovan delegation replied that for some offences (such as theft), confiscation was not an appropriate measure because the assets were not further laundered or object of money laundering. In most of such cases, the assets or value thereof are recovered from the perpetrator, in order to compensate the victims. </w:t>
      </w:r>
    </w:p>
    <w:p w:rsidR="005E3DE3" w:rsidRPr="005B4776" w:rsidRDefault="005E3DE3" w:rsidP="0035420B">
      <w:pPr>
        <w:pStyle w:val="ListParagraph"/>
        <w:ind w:left="0"/>
        <w:rPr>
          <w:rFonts w:cs="Arial"/>
          <w:szCs w:val="20"/>
        </w:rPr>
      </w:pPr>
    </w:p>
    <w:p w:rsidR="0035420B" w:rsidRDefault="0035420B">
      <w:pPr>
        <w:rPr>
          <w:rFonts w:cs="Arial"/>
          <w:szCs w:val="20"/>
        </w:rPr>
      </w:pPr>
      <w:r>
        <w:rPr>
          <w:rFonts w:cs="Arial"/>
          <w:szCs w:val="20"/>
        </w:rPr>
        <w:br w:type="page"/>
      </w:r>
    </w:p>
    <w:p w:rsidR="005E3DE3" w:rsidRPr="005B4776" w:rsidRDefault="005E3DE3" w:rsidP="0035420B">
      <w:pPr>
        <w:pStyle w:val="ListParagraph"/>
        <w:widowControl w:val="0"/>
        <w:numPr>
          <w:ilvl w:val="0"/>
          <w:numId w:val="27"/>
        </w:numPr>
        <w:spacing w:after="200"/>
        <w:ind w:left="0" w:firstLine="0"/>
        <w:rPr>
          <w:rFonts w:cs="Arial"/>
          <w:szCs w:val="20"/>
        </w:rPr>
      </w:pPr>
      <w:r w:rsidRPr="005B4776">
        <w:rPr>
          <w:rFonts w:cs="Arial"/>
          <w:szCs w:val="20"/>
        </w:rPr>
        <w:t xml:space="preserve">The Law no. 308 of 22.12.2017 on preventing and combating money laundering and financing of terrorism was, at the time of evaluation, being prepared for approval by the Moldovan Parliament. The analysis also mentioned the newly-established </w:t>
      </w:r>
      <w:r w:rsidRPr="005B4776">
        <w:rPr>
          <w:rFonts w:cs="Arial"/>
          <w:i/>
          <w:szCs w:val="20"/>
        </w:rPr>
        <w:t>Agency for Criminal Assets Recovery</w:t>
      </w:r>
      <w:r w:rsidRPr="005B4776">
        <w:rPr>
          <w:rFonts w:cs="Arial"/>
          <w:szCs w:val="20"/>
        </w:rPr>
        <w:t xml:space="preserve"> within the National Anti-Corruption </w:t>
      </w:r>
      <w:proofErr w:type="spellStart"/>
      <w:r w:rsidRPr="005B4776">
        <w:rPr>
          <w:rFonts w:cs="Arial"/>
          <w:szCs w:val="20"/>
        </w:rPr>
        <w:t>Center</w:t>
      </w:r>
      <w:proofErr w:type="spellEnd"/>
      <w:r w:rsidRPr="005B4776">
        <w:rPr>
          <w:rFonts w:cs="Arial"/>
          <w:szCs w:val="20"/>
        </w:rPr>
        <w:t xml:space="preserve">, which manages seized, frozen and confiscated assets. The establishment of the agency is expected - together with the amendments to the Criminal Code - to result in the further facilitation of criminal investigations and recovery of criminal assets. </w:t>
      </w:r>
    </w:p>
    <w:p w:rsidR="005E3DE3" w:rsidRPr="005B4776" w:rsidRDefault="005E3DE3" w:rsidP="005B4776">
      <w:pPr>
        <w:pStyle w:val="ListParagraph"/>
        <w:rPr>
          <w:rFonts w:cs="Arial"/>
          <w:szCs w:val="20"/>
        </w:rPr>
      </w:pPr>
    </w:p>
    <w:p w:rsidR="005E3DE3" w:rsidRPr="005B4776" w:rsidRDefault="005E3DE3" w:rsidP="0035420B">
      <w:pPr>
        <w:pStyle w:val="ListParagraph"/>
        <w:widowControl w:val="0"/>
        <w:numPr>
          <w:ilvl w:val="0"/>
          <w:numId w:val="27"/>
        </w:numPr>
        <w:spacing w:after="200"/>
        <w:ind w:left="0" w:firstLine="0"/>
        <w:rPr>
          <w:rFonts w:cs="Arial"/>
          <w:szCs w:val="20"/>
        </w:rPr>
      </w:pPr>
      <w:r w:rsidRPr="005B4776">
        <w:rPr>
          <w:rFonts w:cs="Arial"/>
          <w:szCs w:val="20"/>
        </w:rPr>
        <w:t>However, the analysis also uncovered several fields in which further progress should be made, such as: the permissibility to monitor the accounts in respect of all the relevant criminal offences; measures to increase the understanding of practitioners and guidance for judges; and efforts for international co</w:t>
      </w:r>
      <w:r w:rsidR="0086755D">
        <w:rPr>
          <w:rFonts w:cs="Arial"/>
          <w:szCs w:val="20"/>
        </w:rPr>
        <w:t>-</w:t>
      </w:r>
      <w:r w:rsidRPr="005B4776">
        <w:rPr>
          <w:rFonts w:cs="Arial"/>
          <w:szCs w:val="20"/>
        </w:rPr>
        <w:t xml:space="preserve">operation, mutual legal assistance and asset sharing. </w:t>
      </w:r>
    </w:p>
    <w:p w:rsidR="005E3DE3" w:rsidRPr="005B4776" w:rsidRDefault="005E3DE3" w:rsidP="0035420B">
      <w:pPr>
        <w:pStyle w:val="ListParagraph"/>
        <w:ind w:left="0"/>
        <w:rPr>
          <w:rFonts w:cs="Arial"/>
          <w:szCs w:val="20"/>
        </w:rPr>
      </w:pPr>
    </w:p>
    <w:p w:rsidR="005E3DE3" w:rsidRPr="005B4776" w:rsidRDefault="005E3DE3" w:rsidP="0035420B">
      <w:pPr>
        <w:pStyle w:val="ListParagraph"/>
        <w:widowControl w:val="0"/>
        <w:numPr>
          <w:ilvl w:val="0"/>
          <w:numId w:val="27"/>
        </w:numPr>
        <w:spacing w:after="200"/>
        <w:ind w:left="0" w:firstLine="0"/>
        <w:rPr>
          <w:rFonts w:cs="Arial"/>
          <w:szCs w:val="20"/>
        </w:rPr>
      </w:pPr>
      <w:r w:rsidRPr="005B4776">
        <w:rPr>
          <w:rFonts w:cs="Arial"/>
          <w:szCs w:val="20"/>
        </w:rPr>
        <w:t xml:space="preserve">Notwithstanding the progress, some deficiencies remained in place, particularly those related to laundering offences (Article 9), corporate liability (Article 10), requests for information on banking accounts (Article 17), the obligation to confiscate (Article 23), confiscated property (Article 25) and grounds for refusal (Article 28). </w:t>
      </w:r>
    </w:p>
    <w:p w:rsidR="005E3DE3" w:rsidRPr="005B4776" w:rsidRDefault="005E3DE3" w:rsidP="0035420B">
      <w:pPr>
        <w:pStyle w:val="ListParagraph"/>
        <w:ind w:left="0"/>
        <w:rPr>
          <w:rFonts w:cs="Arial"/>
          <w:szCs w:val="20"/>
        </w:rPr>
      </w:pPr>
    </w:p>
    <w:p w:rsidR="005E3DE3" w:rsidRPr="005B4776" w:rsidRDefault="005E3DE3" w:rsidP="0035420B">
      <w:pPr>
        <w:pStyle w:val="ListParagraph"/>
        <w:widowControl w:val="0"/>
        <w:numPr>
          <w:ilvl w:val="0"/>
          <w:numId w:val="27"/>
        </w:numPr>
        <w:spacing w:after="200"/>
        <w:ind w:left="0" w:firstLine="0"/>
        <w:rPr>
          <w:rFonts w:cs="Arial"/>
          <w:szCs w:val="20"/>
        </w:rPr>
      </w:pPr>
      <w:r w:rsidRPr="005B4776">
        <w:rPr>
          <w:rFonts w:cs="Arial"/>
          <w:szCs w:val="20"/>
        </w:rPr>
        <w:t>The delegation of the Republic of Moldova replied to the analysis, pointing out that judges and prosecutors are becoming familiarised with the AML/CFT Law since some high-profile cases raised awareness of the importance of these issues (e.g. the “</w:t>
      </w:r>
      <w:proofErr w:type="spellStart"/>
      <w:r w:rsidRPr="005B4776">
        <w:rPr>
          <w:rFonts w:cs="Arial"/>
          <w:szCs w:val="20"/>
        </w:rPr>
        <w:t>Magnitsky</w:t>
      </w:r>
      <w:proofErr w:type="spellEnd"/>
      <w:r w:rsidRPr="005B4776">
        <w:rPr>
          <w:rFonts w:cs="Arial"/>
          <w:szCs w:val="20"/>
        </w:rPr>
        <w:t xml:space="preserve"> case” and the “Laundromat case”). The new AML/CFT Law also foresees a procedure when a MLA request is sent following the non-conviction based confiscation in another State Party. Competences for execution of such a procedure were dedicated to the newly-established </w:t>
      </w:r>
      <w:r w:rsidRPr="005B4776">
        <w:rPr>
          <w:rFonts w:cs="Arial"/>
          <w:i/>
          <w:szCs w:val="20"/>
        </w:rPr>
        <w:t>Agency for Criminal Assets Recovery</w:t>
      </w:r>
      <w:r w:rsidRPr="005B4776">
        <w:rPr>
          <w:rFonts w:cs="Arial"/>
          <w:szCs w:val="20"/>
        </w:rPr>
        <w:t xml:space="preserve">. The amendments to the Criminal Code foresee the confiscation of instrumentalities, as well as legal and illegal assets, as liable to confiscation. </w:t>
      </w:r>
    </w:p>
    <w:p w:rsidR="005E3DE3" w:rsidRPr="005B4776" w:rsidRDefault="005E3DE3" w:rsidP="0035420B">
      <w:pPr>
        <w:pStyle w:val="ListParagraph"/>
        <w:ind w:left="0"/>
        <w:rPr>
          <w:rFonts w:cs="Arial"/>
          <w:szCs w:val="20"/>
        </w:rPr>
      </w:pPr>
    </w:p>
    <w:p w:rsidR="005E3DE3" w:rsidRPr="005B4776" w:rsidRDefault="005E3DE3" w:rsidP="0035420B">
      <w:pPr>
        <w:autoSpaceDE w:val="0"/>
        <w:autoSpaceDN w:val="0"/>
        <w:adjustRightInd w:val="0"/>
        <w:rPr>
          <w:rFonts w:cs="Arial"/>
          <w:b/>
          <w:szCs w:val="20"/>
          <w:u w:val="single"/>
        </w:rPr>
      </w:pPr>
      <w:r w:rsidRPr="005B4776">
        <w:rPr>
          <w:rFonts w:cs="Arial"/>
          <w:b/>
          <w:noProof/>
          <w:szCs w:val="20"/>
          <w:u w:val="single"/>
          <w:lang w:val="en-US"/>
        </w:rPr>
        <w:drawing>
          <wp:inline distT="0" distB="0" distL="0" distR="0" wp14:anchorId="3D26B47E" wp14:editId="10E71EB7">
            <wp:extent cx="926242" cy="580445"/>
            <wp:effectExtent l="19050" t="19050" r="26670" b="101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Poland_svg.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25728" cy="580123"/>
                    </a:xfrm>
                    <a:prstGeom prst="rect">
                      <a:avLst/>
                    </a:prstGeom>
                    <a:ln w="3175">
                      <a:solidFill>
                        <a:schemeClr val="tx1"/>
                      </a:solidFill>
                    </a:ln>
                  </pic:spPr>
                </pic:pic>
              </a:graphicData>
            </a:graphic>
          </wp:inline>
        </w:drawing>
      </w:r>
      <w:r w:rsidRPr="005B4776">
        <w:rPr>
          <w:rFonts w:cs="Arial"/>
          <w:b/>
          <w:szCs w:val="20"/>
          <w:u w:val="single"/>
        </w:rPr>
        <w:t xml:space="preserve">          Poland</w:t>
      </w:r>
    </w:p>
    <w:p w:rsidR="005E3DE3" w:rsidRPr="005B4776" w:rsidRDefault="005E3DE3" w:rsidP="0035420B">
      <w:pPr>
        <w:autoSpaceDE w:val="0"/>
        <w:autoSpaceDN w:val="0"/>
        <w:adjustRightInd w:val="0"/>
        <w:rPr>
          <w:rFonts w:cs="Arial"/>
          <w:szCs w:val="20"/>
        </w:rPr>
      </w:pPr>
    </w:p>
    <w:p w:rsidR="005E3DE3" w:rsidRPr="005B4776" w:rsidRDefault="005E3DE3" w:rsidP="0035420B">
      <w:pPr>
        <w:pStyle w:val="CMSpace"/>
        <w:numPr>
          <w:ilvl w:val="0"/>
          <w:numId w:val="27"/>
        </w:numPr>
        <w:ind w:left="0" w:firstLine="0"/>
        <w:rPr>
          <w:rFonts w:cs="Arial"/>
          <w:szCs w:val="20"/>
        </w:rPr>
      </w:pPr>
      <w:r w:rsidRPr="005B4776">
        <w:rPr>
          <w:rFonts w:cs="Arial"/>
          <w:szCs w:val="20"/>
        </w:rPr>
        <w:t xml:space="preserve">Since the </w:t>
      </w:r>
      <w:r w:rsidRPr="005B4776">
        <w:rPr>
          <w:rFonts w:eastAsia="MS Mincho" w:cs="Arial"/>
          <w:szCs w:val="20"/>
          <w:lang w:eastAsia="ar-SA"/>
        </w:rPr>
        <w:t>Conference of the Parties’</w:t>
      </w:r>
      <w:r w:rsidRPr="005B4776">
        <w:rPr>
          <w:rFonts w:cs="Arial"/>
          <w:szCs w:val="20"/>
        </w:rPr>
        <w:t xml:space="preserve"> assessment of Poland in 2013, the Party has submitted two follow-up reports and one update to the follow-up to the </w:t>
      </w:r>
      <w:r w:rsidRPr="005B4776">
        <w:rPr>
          <w:rFonts w:eastAsia="MS Mincho" w:cs="Arial"/>
          <w:szCs w:val="20"/>
          <w:lang w:eastAsia="ar-SA"/>
        </w:rPr>
        <w:t>Conference of the Parties</w:t>
      </w:r>
      <w:r w:rsidRPr="005B4776">
        <w:rPr>
          <w:rFonts w:cs="Arial"/>
          <w:szCs w:val="20"/>
        </w:rPr>
        <w:t>. At the 9</w:t>
      </w:r>
      <w:r w:rsidRPr="005B4776">
        <w:rPr>
          <w:rFonts w:cs="Arial"/>
          <w:szCs w:val="20"/>
          <w:vertAlign w:val="superscript"/>
        </w:rPr>
        <w:t>th</w:t>
      </w:r>
      <w:r w:rsidRPr="005B4776">
        <w:rPr>
          <w:rFonts w:cs="Arial"/>
          <w:szCs w:val="20"/>
        </w:rPr>
        <w:t xml:space="preserve"> </w:t>
      </w:r>
      <w:proofErr w:type="gramStart"/>
      <w:r w:rsidRPr="005B4776">
        <w:rPr>
          <w:rFonts w:cs="Arial"/>
          <w:szCs w:val="20"/>
        </w:rPr>
        <w:t>Plenary</w:t>
      </w:r>
      <w:proofErr w:type="gramEnd"/>
      <w:r w:rsidRPr="005B4776">
        <w:rPr>
          <w:rFonts w:cs="Arial"/>
          <w:szCs w:val="20"/>
        </w:rPr>
        <w:t xml:space="preserve"> meeting in 2017, the Conference of the Parties examined the update to the follow-up report on Poland and the analysis prepared by the Secretariat. Albania acted as rapporteur country.</w:t>
      </w:r>
    </w:p>
    <w:p w:rsidR="005E3DE3" w:rsidRPr="005B4776" w:rsidRDefault="005E3DE3" w:rsidP="0035420B">
      <w:pPr>
        <w:pStyle w:val="CMSpace"/>
        <w:rPr>
          <w:rFonts w:cs="Arial"/>
          <w:szCs w:val="20"/>
        </w:rPr>
      </w:pPr>
    </w:p>
    <w:p w:rsidR="005E3DE3" w:rsidRPr="005B4776" w:rsidRDefault="005E3DE3" w:rsidP="0035420B">
      <w:pPr>
        <w:pStyle w:val="CMSpace"/>
        <w:numPr>
          <w:ilvl w:val="0"/>
          <w:numId w:val="27"/>
        </w:numPr>
        <w:ind w:left="0" w:firstLine="0"/>
        <w:rPr>
          <w:rFonts w:cs="Arial"/>
          <w:szCs w:val="20"/>
        </w:rPr>
      </w:pPr>
      <w:r w:rsidRPr="005B4776">
        <w:rPr>
          <w:rFonts w:cs="Arial"/>
          <w:szCs w:val="20"/>
        </w:rPr>
        <w:t xml:space="preserve">The Secretariat presented the progress made by Poland since the time of the adoption of the second follow-up report, in particular the legislative changes made through the adoption (28 March 2017) of the Law which introduced the amendments to the Criminal Code and to certain other laws, with a view to address the recommendations made by the Conference of the Parties. While commending Poland for the progress made, the </w:t>
      </w:r>
      <w:r w:rsidRPr="005B4776">
        <w:rPr>
          <w:rFonts w:eastAsia="MS Mincho" w:cs="Arial"/>
          <w:szCs w:val="20"/>
          <w:lang w:eastAsia="ar-SA"/>
        </w:rPr>
        <w:t>Conference of the Parties</w:t>
      </w:r>
      <w:r w:rsidRPr="005B4776">
        <w:rPr>
          <w:rFonts w:cs="Arial"/>
          <w:szCs w:val="20"/>
        </w:rPr>
        <w:t xml:space="preserve"> noted that several deficiencies were addressed in on-going legislative processes, while other deficiencies were not yet addressed by concrete measures.</w:t>
      </w:r>
    </w:p>
    <w:p w:rsidR="005E3DE3" w:rsidRPr="005B4776" w:rsidRDefault="005E3DE3" w:rsidP="0035420B">
      <w:pPr>
        <w:pStyle w:val="ListParagraph"/>
        <w:widowControl w:val="0"/>
        <w:ind w:left="0"/>
        <w:rPr>
          <w:rFonts w:cs="Arial"/>
          <w:szCs w:val="20"/>
        </w:rPr>
      </w:pPr>
    </w:p>
    <w:p w:rsidR="005E3DE3" w:rsidRPr="005B4776" w:rsidRDefault="005E3DE3" w:rsidP="0035420B">
      <w:pPr>
        <w:pStyle w:val="CMSpace"/>
        <w:numPr>
          <w:ilvl w:val="0"/>
          <w:numId w:val="27"/>
        </w:numPr>
        <w:ind w:left="0" w:firstLine="0"/>
        <w:rPr>
          <w:rFonts w:cs="Arial"/>
          <w:szCs w:val="20"/>
        </w:rPr>
      </w:pPr>
      <w:r w:rsidRPr="005B4776">
        <w:rPr>
          <w:rFonts w:cs="Arial"/>
          <w:szCs w:val="20"/>
        </w:rPr>
        <w:t xml:space="preserve">Regarding Article 3 (confiscation), the reform of the Criminal Code appears to have, to a great extent, adequately addressed the deficiencies identified in the assessment report. It has strengthened the confiscation regime through the provision of: i) new confiscation measures; ii) new elements of the terrorist financing offences; and iii) new obligations for banks. However, the confiscation </w:t>
      </w:r>
      <w:r w:rsidRPr="005B4776">
        <w:rPr>
          <w:rFonts w:cs="Arial"/>
          <w:i/>
          <w:szCs w:val="20"/>
        </w:rPr>
        <w:t>in rem</w:t>
      </w:r>
      <w:r w:rsidRPr="005B4776">
        <w:rPr>
          <w:rFonts w:cs="Arial"/>
          <w:szCs w:val="20"/>
        </w:rPr>
        <w:t xml:space="preserve"> has not yet been established. The statistics provided demonstrated the proper application of the confiscation and provisional measures. Improvements on several provisions, notably Articles 11 (international recidivism), 14 (postponement of domestic suspicious transactions), 17 (requests for information on bank accounts), 18 (requests for information on banking transactions) and 25(2) (sharing of assets) were also recalled which had already been noted in the previous follow-up reports.</w:t>
      </w:r>
    </w:p>
    <w:p w:rsidR="005E3DE3" w:rsidRPr="005B4776" w:rsidRDefault="005E3DE3" w:rsidP="0035420B">
      <w:pPr>
        <w:pStyle w:val="CMSpace"/>
        <w:rPr>
          <w:rFonts w:cs="Arial"/>
          <w:szCs w:val="20"/>
        </w:rPr>
      </w:pPr>
    </w:p>
    <w:p w:rsidR="005E3DE3" w:rsidRPr="005B4776" w:rsidRDefault="005E3DE3" w:rsidP="0035420B">
      <w:pPr>
        <w:pStyle w:val="CMSpace"/>
        <w:numPr>
          <w:ilvl w:val="0"/>
          <w:numId w:val="27"/>
        </w:numPr>
        <w:ind w:left="0" w:firstLine="0"/>
        <w:rPr>
          <w:rFonts w:cs="Arial"/>
          <w:szCs w:val="20"/>
        </w:rPr>
      </w:pPr>
      <w:r w:rsidRPr="005B4776">
        <w:rPr>
          <w:rFonts w:cs="Arial"/>
          <w:szCs w:val="20"/>
        </w:rPr>
        <w:t>However, the Secretariat outlined several remaining deficiencies, particularly those in the field of Article 7 (investigative powers and techniques), 10 (corporate liability) and 23 and 25 (international co</w:t>
      </w:r>
      <w:r w:rsidR="0086755D">
        <w:rPr>
          <w:rFonts w:cs="Arial"/>
          <w:szCs w:val="20"/>
        </w:rPr>
        <w:t>-</w:t>
      </w:r>
      <w:r w:rsidRPr="005B4776">
        <w:rPr>
          <w:rFonts w:cs="Arial"/>
          <w:szCs w:val="20"/>
        </w:rPr>
        <w:t>operation). With regard to Articles 23 and 25, Poland has not yet introduced any new mechanism for the execution of measures equivalent to confiscation of property as part of international co</w:t>
      </w:r>
      <w:r w:rsidR="0086755D">
        <w:rPr>
          <w:rFonts w:cs="Arial"/>
          <w:szCs w:val="20"/>
        </w:rPr>
        <w:t>-</w:t>
      </w:r>
      <w:r w:rsidRPr="005B4776">
        <w:rPr>
          <w:rFonts w:cs="Arial"/>
          <w:szCs w:val="20"/>
        </w:rPr>
        <w:t xml:space="preserve">operation, nor has it developed any specific asset sharing mechanism. </w:t>
      </w:r>
    </w:p>
    <w:p w:rsidR="005E3DE3" w:rsidRPr="005B4776" w:rsidRDefault="005E3DE3" w:rsidP="0035420B">
      <w:pPr>
        <w:pStyle w:val="CMSpace"/>
        <w:rPr>
          <w:rFonts w:cs="Arial"/>
          <w:szCs w:val="20"/>
        </w:rPr>
      </w:pPr>
    </w:p>
    <w:p w:rsidR="0035420B" w:rsidRDefault="0035420B">
      <w:pPr>
        <w:rPr>
          <w:rFonts w:eastAsia="Times New Roman" w:cs="Arial"/>
          <w:szCs w:val="20"/>
          <w:lang w:eastAsia="fr-FR"/>
        </w:rPr>
      </w:pPr>
      <w:r>
        <w:rPr>
          <w:rFonts w:cs="Arial"/>
          <w:szCs w:val="20"/>
        </w:rPr>
        <w:br w:type="page"/>
      </w:r>
    </w:p>
    <w:p w:rsidR="005E3DE3" w:rsidRPr="005B4776" w:rsidRDefault="005E3DE3" w:rsidP="0035420B">
      <w:pPr>
        <w:pStyle w:val="CMSpace"/>
        <w:numPr>
          <w:ilvl w:val="0"/>
          <w:numId w:val="27"/>
        </w:numPr>
        <w:ind w:left="0" w:firstLine="0"/>
        <w:rPr>
          <w:rFonts w:cs="Arial"/>
          <w:szCs w:val="20"/>
        </w:rPr>
      </w:pPr>
      <w:r w:rsidRPr="005B4776">
        <w:rPr>
          <w:rFonts w:cs="Arial"/>
          <w:szCs w:val="20"/>
        </w:rPr>
        <w:t>The delegation of Poland responded to the presentation by the Secretariat, emphasising that the AML/CFT Law awaited the procedure before the Parliament, expecting its adoption by the end of 2017.</w:t>
      </w:r>
      <w:r w:rsidRPr="005B4776">
        <w:rPr>
          <w:rStyle w:val="FootnoteReference"/>
          <w:rFonts w:eastAsiaTheme="majorEastAsia" w:cs="Arial"/>
          <w:szCs w:val="20"/>
        </w:rPr>
        <w:footnoteReference w:id="12"/>
      </w:r>
      <w:r w:rsidRPr="005B4776">
        <w:rPr>
          <w:rFonts w:cs="Arial"/>
          <w:szCs w:val="20"/>
        </w:rPr>
        <w:t xml:space="preserve"> The exact wording of some provisions in the draft Law will be changed following the Secretariat’s analysis. Moreover, the Polish delegation confirmed that little progress had been made on the topics of corporate liability, confiscation </w:t>
      </w:r>
      <w:r w:rsidRPr="005B4776">
        <w:rPr>
          <w:rFonts w:cs="Arial"/>
          <w:i/>
          <w:szCs w:val="20"/>
        </w:rPr>
        <w:t>in rem</w:t>
      </w:r>
      <w:r w:rsidRPr="005B4776">
        <w:rPr>
          <w:rFonts w:cs="Arial"/>
          <w:szCs w:val="20"/>
        </w:rPr>
        <w:t xml:space="preserve"> and FIU-to-FIU co-operation with regard to requests from/to other Parties.   </w:t>
      </w:r>
    </w:p>
    <w:p w:rsidR="005E3DE3" w:rsidRPr="005B4776" w:rsidRDefault="005E3DE3" w:rsidP="0035420B">
      <w:pPr>
        <w:pStyle w:val="CMSpace"/>
        <w:rPr>
          <w:rFonts w:cs="Arial"/>
          <w:szCs w:val="20"/>
        </w:rPr>
      </w:pPr>
    </w:p>
    <w:p w:rsidR="005E3DE3" w:rsidRPr="005B4776" w:rsidRDefault="005E3DE3" w:rsidP="0035420B">
      <w:pPr>
        <w:pStyle w:val="CMSpace"/>
        <w:numPr>
          <w:ilvl w:val="0"/>
          <w:numId w:val="27"/>
        </w:numPr>
        <w:ind w:left="0" w:firstLine="0"/>
        <w:rPr>
          <w:rFonts w:cs="Arial"/>
          <w:szCs w:val="20"/>
        </w:rPr>
      </w:pPr>
      <w:r w:rsidRPr="005B4776">
        <w:rPr>
          <w:rFonts w:cs="Arial"/>
          <w:szCs w:val="20"/>
        </w:rPr>
        <w:t xml:space="preserve">The </w:t>
      </w:r>
      <w:r w:rsidRPr="005B4776">
        <w:rPr>
          <w:rFonts w:eastAsia="MS Mincho" w:cs="Arial"/>
          <w:szCs w:val="20"/>
          <w:lang w:eastAsia="ar-SA"/>
        </w:rPr>
        <w:t>Conference of the Parties</w:t>
      </w:r>
      <w:r w:rsidRPr="005B4776">
        <w:rPr>
          <w:rFonts w:cs="Arial"/>
          <w:szCs w:val="20"/>
        </w:rPr>
        <w:t xml:space="preserve"> decided to adopt the report and the analysis, but not to impose any measures foreseen by Rule 19(39)(h) of the Rules of Procedure for the time being in light of the parallel follow-up process by Poland of MONEYVAL’s 4</w:t>
      </w:r>
      <w:r w:rsidRPr="005B4776">
        <w:rPr>
          <w:rFonts w:cs="Arial"/>
          <w:szCs w:val="20"/>
          <w:vertAlign w:val="superscript"/>
        </w:rPr>
        <w:t>th</w:t>
      </w:r>
      <w:r w:rsidRPr="005B4776">
        <w:rPr>
          <w:rFonts w:cs="Arial"/>
          <w:szCs w:val="20"/>
        </w:rPr>
        <w:t xml:space="preserve"> round of mutual evaluations. Poland was asked to provide an oral update on the outstanding deficiencies noted in the Secretariat analysis at the 10</w:t>
      </w:r>
      <w:r w:rsidRPr="005B4776">
        <w:rPr>
          <w:rFonts w:cs="Arial"/>
          <w:szCs w:val="20"/>
          <w:vertAlign w:val="superscript"/>
        </w:rPr>
        <w:t>th</w:t>
      </w:r>
      <w:r w:rsidRPr="005B4776">
        <w:rPr>
          <w:rFonts w:cs="Arial"/>
          <w:szCs w:val="20"/>
        </w:rPr>
        <w:t xml:space="preserve"> meeting in October 2018. The </w:t>
      </w:r>
      <w:r w:rsidRPr="005B4776">
        <w:rPr>
          <w:rFonts w:eastAsia="MS Mincho" w:cs="Arial"/>
          <w:szCs w:val="20"/>
          <w:lang w:eastAsia="ar-SA"/>
        </w:rPr>
        <w:t>Conference of the Parties</w:t>
      </w:r>
      <w:r w:rsidRPr="005B4776">
        <w:rPr>
          <w:rFonts w:cs="Arial"/>
          <w:szCs w:val="20"/>
        </w:rPr>
        <w:t xml:space="preserve"> reserved the right to revert to the measures indicated in Rule 19(39</w:t>
      </w:r>
      <w:proofErr w:type="gramStart"/>
      <w:r w:rsidRPr="005B4776">
        <w:rPr>
          <w:rFonts w:cs="Arial"/>
          <w:szCs w:val="20"/>
        </w:rPr>
        <w:t>)(</w:t>
      </w:r>
      <w:proofErr w:type="gramEnd"/>
      <w:r w:rsidRPr="005B4776">
        <w:rPr>
          <w:rFonts w:cs="Arial"/>
          <w:szCs w:val="20"/>
        </w:rPr>
        <w:t xml:space="preserve">h) at that time, if lack of progress would require this. </w:t>
      </w:r>
    </w:p>
    <w:p w:rsidR="005E3DE3" w:rsidRPr="005B4776" w:rsidRDefault="005E3DE3" w:rsidP="0035420B">
      <w:pPr>
        <w:autoSpaceDE w:val="0"/>
        <w:autoSpaceDN w:val="0"/>
        <w:adjustRightInd w:val="0"/>
        <w:rPr>
          <w:rFonts w:cs="Arial"/>
          <w:szCs w:val="20"/>
        </w:rPr>
      </w:pPr>
    </w:p>
    <w:p w:rsidR="005E3DE3" w:rsidRPr="005B4776" w:rsidRDefault="005E3DE3" w:rsidP="0035420B">
      <w:pPr>
        <w:pStyle w:val="ListParagraph"/>
        <w:keepNext/>
        <w:numPr>
          <w:ilvl w:val="1"/>
          <w:numId w:val="14"/>
        </w:numPr>
        <w:ind w:left="0" w:firstLine="0"/>
        <w:contextualSpacing w:val="0"/>
        <w:outlineLvl w:val="1"/>
        <w:rPr>
          <w:rFonts w:cs="Arial"/>
          <w:b/>
          <w:bCs/>
          <w:iCs/>
          <w:szCs w:val="20"/>
        </w:rPr>
      </w:pPr>
      <w:bookmarkStart w:id="52" w:name="_Toc425866510"/>
      <w:bookmarkStart w:id="53" w:name="_Toc519261952"/>
      <w:bookmarkStart w:id="54" w:name="_Toc519262116"/>
      <w:bookmarkStart w:id="55" w:name="_Toc528243612"/>
      <w:r w:rsidRPr="005B4776">
        <w:rPr>
          <w:rFonts w:cs="Arial"/>
          <w:b/>
          <w:bCs/>
          <w:iCs/>
          <w:szCs w:val="20"/>
        </w:rPr>
        <w:t>Survey: Gathering Examples of Practical Application of the</w:t>
      </w:r>
      <w:r w:rsidRPr="005B4776">
        <w:rPr>
          <w:rFonts w:cs="Arial"/>
          <w:b/>
          <w:szCs w:val="20"/>
        </w:rPr>
        <w:t xml:space="preserve"> Convention</w:t>
      </w:r>
      <w:bookmarkEnd w:id="52"/>
      <w:bookmarkEnd w:id="53"/>
      <w:bookmarkEnd w:id="54"/>
      <w:bookmarkEnd w:id="55"/>
    </w:p>
    <w:p w:rsidR="005E3DE3" w:rsidRPr="005B4776" w:rsidRDefault="005E3DE3" w:rsidP="0035420B">
      <w:pPr>
        <w:autoSpaceDE w:val="0"/>
        <w:autoSpaceDN w:val="0"/>
        <w:adjustRightInd w:val="0"/>
        <w:rPr>
          <w:rFonts w:cs="Arial"/>
          <w:szCs w:val="20"/>
        </w:rPr>
      </w:pPr>
    </w:p>
    <w:p w:rsidR="005E3DE3" w:rsidRPr="005B4776" w:rsidRDefault="005E3DE3" w:rsidP="0035420B">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At its 5</w:t>
      </w:r>
      <w:r w:rsidRPr="005B4776">
        <w:rPr>
          <w:rFonts w:eastAsia="MS Mincho" w:cs="Arial"/>
          <w:szCs w:val="20"/>
          <w:vertAlign w:val="superscript"/>
          <w:lang w:eastAsia="ar-SA"/>
        </w:rPr>
        <w:t>th</w:t>
      </w:r>
      <w:r w:rsidRPr="005B4776">
        <w:rPr>
          <w:rFonts w:eastAsia="MS Mincho" w:cs="Arial"/>
          <w:szCs w:val="20"/>
          <w:lang w:eastAsia="ar-SA"/>
        </w:rPr>
        <w:t xml:space="preserve"> meeting in June 2013, the Conference of the Parties decided to invite all Parties to provide to the Secretariat details of judgments implementing the Convention’s provisions as well as cases of co-operation between Parties on the basis of CETS No. 198, with a view to preparing a compendium. A draft questionnaire was prepared and discussed at the 6</w:t>
      </w:r>
      <w:r w:rsidRPr="005B4776">
        <w:rPr>
          <w:rFonts w:eastAsia="MS Mincho" w:cs="Arial"/>
          <w:szCs w:val="20"/>
          <w:vertAlign w:val="superscript"/>
          <w:lang w:eastAsia="ar-SA"/>
        </w:rPr>
        <w:t>th</w:t>
      </w:r>
      <w:r w:rsidRPr="005B4776">
        <w:rPr>
          <w:rFonts w:eastAsia="MS Mincho" w:cs="Arial"/>
          <w:szCs w:val="20"/>
          <w:lang w:eastAsia="ar-SA"/>
        </w:rPr>
        <w:t xml:space="preserve"> meeting of the Conference of the Parties. The main findings of this survey were discussed during the 8</w:t>
      </w:r>
      <w:r w:rsidRPr="005B4776">
        <w:rPr>
          <w:rFonts w:eastAsia="MS Mincho" w:cs="Arial"/>
          <w:szCs w:val="20"/>
          <w:vertAlign w:val="superscript"/>
          <w:lang w:eastAsia="ar-SA"/>
        </w:rPr>
        <w:t>th</w:t>
      </w:r>
      <w:r w:rsidRPr="005B4776">
        <w:rPr>
          <w:rFonts w:eastAsia="MS Mincho" w:cs="Arial"/>
          <w:szCs w:val="20"/>
          <w:lang w:eastAsia="ar-SA"/>
        </w:rPr>
        <w:t xml:space="preserve"> Conference of the Parties meeting in October 2016</w:t>
      </w:r>
      <w:r w:rsidRPr="005B4776">
        <w:rPr>
          <w:rStyle w:val="FootnoteReference"/>
          <w:rFonts w:eastAsia="MS Mincho" w:cs="Arial"/>
          <w:szCs w:val="20"/>
          <w:lang w:eastAsia="ar-SA"/>
        </w:rPr>
        <w:footnoteReference w:id="13"/>
      </w:r>
      <w:r w:rsidRPr="005B4776">
        <w:rPr>
          <w:rFonts w:eastAsia="MS Mincho" w:cs="Arial"/>
          <w:szCs w:val="20"/>
          <w:lang w:eastAsia="ar-SA"/>
        </w:rPr>
        <w:t xml:space="preserve">. Overall it appears that there is still room for improvement by States Parties to fully make use of the instruments and tools which the Convention offers. </w:t>
      </w:r>
    </w:p>
    <w:p w:rsidR="005E3DE3" w:rsidRPr="005B4776" w:rsidRDefault="005E3DE3" w:rsidP="0035420B">
      <w:pPr>
        <w:keepNext/>
        <w:widowControl w:val="0"/>
        <w:ind w:right="284"/>
        <w:outlineLvl w:val="1"/>
        <w:rPr>
          <w:rFonts w:cs="Arial"/>
          <w:b/>
          <w:bCs/>
          <w:caps/>
          <w:w w:val="105"/>
          <w:kern w:val="28"/>
          <w:szCs w:val="20"/>
          <w:lang w:val="en" w:eastAsia="zh-CN"/>
        </w:rPr>
      </w:pPr>
      <w:bookmarkStart w:id="56" w:name="_Toc425866511"/>
    </w:p>
    <w:p w:rsidR="005E3DE3" w:rsidRPr="00DC4D8A" w:rsidRDefault="005E3DE3" w:rsidP="0035420B">
      <w:pPr>
        <w:pStyle w:val="ListParagraph"/>
        <w:keepNext/>
        <w:widowControl w:val="0"/>
        <w:numPr>
          <w:ilvl w:val="0"/>
          <w:numId w:val="14"/>
        </w:numPr>
        <w:ind w:left="0" w:right="284" w:firstLine="0"/>
        <w:contextualSpacing w:val="0"/>
        <w:outlineLvl w:val="1"/>
        <w:rPr>
          <w:rFonts w:ascii="Arial Bold" w:hAnsi="Arial Bold" w:cs="Arial"/>
          <w:b/>
          <w:bCs/>
          <w:caps/>
          <w:kern w:val="28"/>
          <w:szCs w:val="20"/>
          <w:lang w:eastAsia="zh-CN"/>
        </w:rPr>
      </w:pPr>
      <w:bookmarkStart w:id="57" w:name="_Toc519261953"/>
      <w:bookmarkStart w:id="58" w:name="_Toc519262117"/>
      <w:bookmarkStart w:id="59" w:name="_Toc528243613"/>
      <w:bookmarkEnd w:id="56"/>
      <w:r w:rsidRPr="00DC4D8A">
        <w:rPr>
          <w:rFonts w:ascii="Arial Bold" w:eastAsia="MS Mincho" w:hAnsi="Arial Bold" w:cs="Arial"/>
          <w:b/>
          <w:szCs w:val="20"/>
          <w:lang w:eastAsia="ar-SA"/>
        </w:rPr>
        <w:t>CONFERENCE OF THE PARTIES</w:t>
      </w:r>
      <w:r w:rsidRPr="00DC4D8A">
        <w:rPr>
          <w:rFonts w:ascii="Arial Bold" w:hAnsi="Arial Bold" w:cs="Arial"/>
          <w:b/>
          <w:bCs/>
          <w:caps/>
          <w:kern w:val="28"/>
          <w:szCs w:val="20"/>
          <w:lang w:eastAsia="zh-CN"/>
        </w:rPr>
        <w:t xml:space="preserve"> rapporteurs</w:t>
      </w:r>
      <w:bookmarkEnd w:id="57"/>
      <w:bookmarkEnd w:id="58"/>
      <w:bookmarkEnd w:id="59"/>
    </w:p>
    <w:p w:rsidR="005E3DE3" w:rsidRPr="00DC4D8A" w:rsidRDefault="005E3DE3" w:rsidP="0035420B">
      <w:pPr>
        <w:keepNext/>
        <w:outlineLvl w:val="1"/>
        <w:rPr>
          <w:rFonts w:ascii="Arial Bold" w:hAnsi="Arial Bold" w:cs="Arial"/>
          <w:b/>
          <w:bCs/>
          <w:iCs/>
          <w:strike/>
          <w:szCs w:val="20"/>
        </w:rPr>
      </w:pPr>
      <w:bookmarkStart w:id="60" w:name="_Toc425866512"/>
    </w:p>
    <w:p w:rsidR="005E3DE3" w:rsidRPr="005B4776" w:rsidRDefault="005E3DE3" w:rsidP="0035420B">
      <w:pPr>
        <w:pStyle w:val="ListParagraph"/>
        <w:keepNext/>
        <w:numPr>
          <w:ilvl w:val="1"/>
          <w:numId w:val="14"/>
        </w:numPr>
        <w:ind w:left="0" w:firstLine="0"/>
        <w:contextualSpacing w:val="0"/>
        <w:outlineLvl w:val="1"/>
        <w:rPr>
          <w:rFonts w:cs="Arial"/>
          <w:b/>
          <w:bCs/>
          <w:iCs/>
          <w:szCs w:val="20"/>
        </w:rPr>
      </w:pPr>
      <w:bookmarkStart w:id="61" w:name="_Toc519261954"/>
      <w:bookmarkStart w:id="62" w:name="_Toc519262118"/>
      <w:bookmarkStart w:id="63" w:name="_Toc528243614"/>
      <w:r w:rsidRPr="005B4776">
        <w:rPr>
          <w:rFonts w:cs="Arial"/>
          <w:b/>
          <w:bCs/>
          <w:iCs/>
          <w:szCs w:val="20"/>
        </w:rPr>
        <w:t>Role of rapporteurs</w:t>
      </w:r>
      <w:bookmarkEnd w:id="60"/>
      <w:bookmarkEnd w:id="61"/>
      <w:bookmarkEnd w:id="62"/>
      <w:bookmarkEnd w:id="63"/>
      <w:r w:rsidRPr="005B4776">
        <w:rPr>
          <w:rFonts w:cs="Arial"/>
          <w:b/>
          <w:bCs/>
          <w:iCs/>
          <w:szCs w:val="20"/>
        </w:rPr>
        <w:t xml:space="preserve"> </w:t>
      </w:r>
    </w:p>
    <w:p w:rsidR="005E3DE3" w:rsidRPr="005B4776" w:rsidRDefault="005E3DE3" w:rsidP="0035420B">
      <w:pPr>
        <w:rPr>
          <w:rFonts w:cs="Arial"/>
          <w:szCs w:val="20"/>
        </w:rPr>
      </w:pPr>
    </w:p>
    <w:p w:rsidR="005E3DE3" w:rsidRPr="005B4776" w:rsidRDefault="005E3DE3" w:rsidP="0035420B">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The Conference of the Parties assessment mechanism foresees a role for rapporteurs in the drafting and adoption of reports. Between 2010 and 2015, selected experts of States Parties participated in training workshops to act as rapporteurs for the Conference of the Parties assessments. For the analysis of follow-up reports, the Conference of the Parties is assisted by rapporteur countries. The following rapporteurs and rapporteurs’ countries contributed to the assessment process since 2015, and the Conference of the Parties would like to warmly thank all of them for their involvement:</w:t>
      </w:r>
    </w:p>
    <w:p w:rsidR="005E3DE3" w:rsidRPr="005B4776" w:rsidRDefault="005E3DE3" w:rsidP="005B4776">
      <w:pPr>
        <w:suppressAutoHyphens/>
        <w:rPr>
          <w:rFonts w:eastAsia="MS Mincho" w:cs="Arial"/>
          <w:szCs w:val="20"/>
          <w:lang w:eastAsia="ar-SA"/>
        </w:rPr>
      </w:pPr>
    </w:p>
    <w:tbl>
      <w:tblPr>
        <w:tblStyle w:val="TableGrid"/>
        <w:tblW w:w="0" w:type="auto"/>
        <w:tbl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insideH w:val="single" w:sz="12" w:space="0" w:color="548DD4" w:themeColor="text2" w:themeTint="99"/>
          <w:insideV w:val="single" w:sz="12" w:space="0" w:color="548DD4" w:themeColor="text2" w:themeTint="99"/>
        </w:tblBorders>
        <w:tblLook w:val="04A0" w:firstRow="1" w:lastRow="0" w:firstColumn="1" w:lastColumn="0" w:noHBand="0" w:noVBand="1"/>
      </w:tblPr>
      <w:tblGrid>
        <w:gridCol w:w="1095"/>
        <w:gridCol w:w="4076"/>
        <w:gridCol w:w="4600"/>
      </w:tblGrid>
      <w:tr w:rsidR="005E3DE3" w:rsidRPr="005B4776" w:rsidTr="008271EF">
        <w:tc>
          <w:tcPr>
            <w:tcW w:w="1101" w:type="dxa"/>
            <w:shd w:val="clear" w:color="auto" w:fill="8DB3E2" w:themeFill="text2" w:themeFillTint="66"/>
          </w:tcPr>
          <w:p w:rsidR="005E3DE3" w:rsidRPr="005B4776" w:rsidRDefault="005E3DE3" w:rsidP="005B4776">
            <w:pPr>
              <w:suppressAutoHyphens/>
              <w:spacing w:before="60" w:after="60" w:line="276" w:lineRule="auto"/>
              <w:rPr>
                <w:rFonts w:eastAsia="MS Mincho" w:cs="Arial"/>
                <w:b/>
                <w:szCs w:val="20"/>
                <w:lang w:eastAsia="ar-SA"/>
              </w:rPr>
            </w:pPr>
          </w:p>
        </w:tc>
        <w:tc>
          <w:tcPr>
            <w:tcW w:w="4111" w:type="dxa"/>
            <w:shd w:val="clear" w:color="auto" w:fill="8DB3E2" w:themeFill="text2" w:themeFillTint="66"/>
          </w:tcPr>
          <w:p w:rsidR="005E3DE3" w:rsidRPr="005B4776" w:rsidRDefault="005E3DE3" w:rsidP="005B4776">
            <w:pPr>
              <w:suppressAutoHyphens/>
              <w:spacing w:before="60" w:after="60" w:line="276" w:lineRule="auto"/>
              <w:rPr>
                <w:rFonts w:eastAsia="MS Mincho" w:cs="Arial"/>
                <w:b/>
                <w:szCs w:val="20"/>
                <w:lang w:eastAsia="ar-SA"/>
              </w:rPr>
            </w:pPr>
            <w:r w:rsidRPr="005B4776">
              <w:rPr>
                <w:rFonts w:eastAsia="MS Mincho" w:cs="Arial"/>
                <w:b/>
                <w:szCs w:val="20"/>
                <w:lang w:eastAsia="ar-SA"/>
              </w:rPr>
              <w:t>Party assessed</w:t>
            </w:r>
          </w:p>
        </w:tc>
        <w:tc>
          <w:tcPr>
            <w:tcW w:w="4642" w:type="dxa"/>
            <w:shd w:val="clear" w:color="auto" w:fill="8DB3E2" w:themeFill="text2" w:themeFillTint="66"/>
          </w:tcPr>
          <w:p w:rsidR="005E3DE3" w:rsidRPr="005B4776" w:rsidRDefault="005E3DE3" w:rsidP="005B4776">
            <w:pPr>
              <w:suppressAutoHyphens/>
              <w:spacing w:before="60" w:after="60" w:line="276" w:lineRule="auto"/>
              <w:rPr>
                <w:rFonts w:eastAsia="MS Mincho" w:cs="Arial"/>
                <w:b/>
                <w:szCs w:val="20"/>
                <w:lang w:eastAsia="ar-SA"/>
              </w:rPr>
            </w:pPr>
            <w:r w:rsidRPr="005B4776">
              <w:rPr>
                <w:rFonts w:eastAsia="MS Mincho" w:cs="Arial"/>
                <w:b/>
                <w:szCs w:val="20"/>
                <w:lang w:eastAsia="ar-SA"/>
              </w:rPr>
              <w:t>(Country) Rapporteur</w:t>
            </w:r>
          </w:p>
        </w:tc>
      </w:tr>
      <w:tr w:rsidR="005E3DE3" w:rsidRPr="005B4776" w:rsidTr="008271EF">
        <w:tc>
          <w:tcPr>
            <w:tcW w:w="1101" w:type="dxa"/>
            <w:vMerge w:val="restart"/>
          </w:tcPr>
          <w:p w:rsidR="005E3DE3" w:rsidRPr="005B4776" w:rsidRDefault="005E3DE3" w:rsidP="005B4776">
            <w:pPr>
              <w:suppressAutoHyphens/>
              <w:spacing w:line="276" w:lineRule="auto"/>
              <w:rPr>
                <w:rFonts w:eastAsia="MS Mincho" w:cs="Arial"/>
                <w:szCs w:val="20"/>
              </w:rPr>
            </w:pPr>
            <w:r w:rsidRPr="005B4776">
              <w:rPr>
                <w:rFonts w:eastAsia="MS Mincho" w:cs="Arial"/>
                <w:szCs w:val="20"/>
              </w:rPr>
              <w:t>2015</w:t>
            </w:r>
          </w:p>
        </w:tc>
        <w:tc>
          <w:tcPr>
            <w:tcW w:w="4111" w:type="dxa"/>
          </w:tcPr>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Bosnia &amp; Herzegovina (COP Assessment)</w:t>
            </w:r>
          </w:p>
        </w:tc>
        <w:tc>
          <w:tcPr>
            <w:tcW w:w="4642" w:type="dxa"/>
          </w:tcPr>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 xml:space="preserve">Ms </w:t>
            </w:r>
            <w:proofErr w:type="spellStart"/>
            <w:r w:rsidRPr="005B4776">
              <w:rPr>
                <w:rFonts w:eastAsia="MS Mincho" w:cs="Arial"/>
                <w:szCs w:val="20"/>
                <w:lang w:eastAsia="ar-SA"/>
              </w:rPr>
              <w:t>Iskra</w:t>
            </w:r>
            <w:proofErr w:type="spellEnd"/>
            <w:r w:rsidRPr="005B4776">
              <w:rPr>
                <w:rFonts w:eastAsia="MS Mincho" w:cs="Arial"/>
                <w:szCs w:val="20"/>
                <w:lang w:eastAsia="ar-SA"/>
              </w:rPr>
              <w:t xml:space="preserve"> </w:t>
            </w:r>
            <w:proofErr w:type="spellStart"/>
            <w:r w:rsidRPr="005B4776">
              <w:rPr>
                <w:rFonts w:eastAsia="MS Mincho" w:cs="Arial"/>
                <w:szCs w:val="20"/>
                <w:lang w:eastAsia="ar-SA"/>
              </w:rPr>
              <w:t>Mitrevska-Damcesvska</w:t>
            </w:r>
            <w:proofErr w:type="spellEnd"/>
            <w:r w:rsidRPr="005B4776">
              <w:rPr>
                <w:rFonts w:eastAsia="MS Mincho" w:cs="Arial"/>
                <w:szCs w:val="20"/>
                <w:lang w:eastAsia="ar-SA"/>
              </w:rPr>
              <w:t xml:space="preserve"> (“The former Yugoslav Republic of Macedonia”)</w:t>
            </w:r>
          </w:p>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 xml:space="preserve">Mr </w:t>
            </w:r>
            <w:proofErr w:type="spellStart"/>
            <w:r w:rsidRPr="005B4776">
              <w:rPr>
                <w:rFonts w:eastAsia="MS Mincho" w:cs="Arial"/>
                <w:szCs w:val="20"/>
                <w:lang w:eastAsia="ar-SA"/>
              </w:rPr>
              <w:t>Sorin</w:t>
            </w:r>
            <w:proofErr w:type="spellEnd"/>
            <w:r w:rsidRPr="005B4776">
              <w:rPr>
                <w:rFonts w:eastAsia="MS Mincho" w:cs="Arial"/>
                <w:szCs w:val="20"/>
                <w:lang w:eastAsia="ar-SA"/>
              </w:rPr>
              <w:t xml:space="preserve"> </w:t>
            </w:r>
            <w:proofErr w:type="spellStart"/>
            <w:r w:rsidRPr="005B4776">
              <w:rPr>
                <w:rFonts w:eastAsia="MS Mincho" w:cs="Arial"/>
                <w:szCs w:val="20"/>
                <w:lang w:eastAsia="ar-SA"/>
              </w:rPr>
              <w:t>Tanase</w:t>
            </w:r>
            <w:proofErr w:type="spellEnd"/>
            <w:r w:rsidRPr="005B4776">
              <w:rPr>
                <w:rFonts w:eastAsia="MS Mincho" w:cs="Arial"/>
                <w:szCs w:val="20"/>
                <w:lang w:eastAsia="ar-SA"/>
              </w:rPr>
              <w:t xml:space="preserve"> (Romania)</w:t>
            </w:r>
          </w:p>
        </w:tc>
      </w:tr>
      <w:tr w:rsidR="005E3DE3" w:rsidRPr="005B4776" w:rsidTr="008271EF">
        <w:tc>
          <w:tcPr>
            <w:tcW w:w="1101" w:type="dxa"/>
            <w:vMerge/>
          </w:tcPr>
          <w:p w:rsidR="005E3DE3" w:rsidRPr="005B4776" w:rsidRDefault="005E3DE3" w:rsidP="005B4776">
            <w:pPr>
              <w:suppressAutoHyphens/>
              <w:spacing w:line="276" w:lineRule="auto"/>
              <w:rPr>
                <w:rFonts w:eastAsia="MS Mincho" w:cs="Arial"/>
                <w:szCs w:val="20"/>
              </w:rPr>
            </w:pPr>
          </w:p>
        </w:tc>
        <w:tc>
          <w:tcPr>
            <w:tcW w:w="4111" w:type="dxa"/>
          </w:tcPr>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Poland (Follow-up report)</w:t>
            </w:r>
          </w:p>
        </w:tc>
        <w:tc>
          <w:tcPr>
            <w:tcW w:w="4642" w:type="dxa"/>
          </w:tcPr>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Albania</w:t>
            </w:r>
          </w:p>
        </w:tc>
      </w:tr>
      <w:tr w:rsidR="005E3DE3" w:rsidRPr="005B4776" w:rsidTr="008271EF">
        <w:tc>
          <w:tcPr>
            <w:tcW w:w="1101" w:type="dxa"/>
            <w:vMerge w:val="restart"/>
          </w:tcPr>
          <w:p w:rsidR="005E3DE3" w:rsidRPr="005B4776" w:rsidRDefault="005E3DE3" w:rsidP="005B4776">
            <w:pPr>
              <w:suppressAutoHyphens/>
              <w:spacing w:line="276" w:lineRule="auto"/>
              <w:rPr>
                <w:rFonts w:eastAsia="MS Mincho" w:cs="Arial"/>
                <w:szCs w:val="20"/>
              </w:rPr>
            </w:pPr>
            <w:r w:rsidRPr="005B4776">
              <w:rPr>
                <w:rFonts w:eastAsia="MS Mincho" w:cs="Arial"/>
                <w:szCs w:val="20"/>
              </w:rPr>
              <w:t>2016</w:t>
            </w:r>
          </w:p>
        </w:tc>
        <w:tc>
          <w:tcPr>
            <w:tcW w:w="4111" w:type="dxa"/>
          </w:tcPr>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Armenia (COP Assessment)</w:t>
            </w:r>
          </w:p>
        </w:tc>
        <w:tc>
          <w:tcPr>
            <w:tcW w:w="4642" w:type="dxa"/>
          </w:tcPr>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 xml:space="preserve">Mr </w:t>
            </w:r>
            <w:proofErr w:type="spellStart"/>
            <w:r w:rsidRPr="005B4776">
              <w:rPr>
                <w:rFonts w:eastAsia="MS Mincho" w:cs="Arial"/>
                <w:szCs w:val="20"/>
                <w:lang w:eastAsia="ar-SA"/>
              </w:rPr>
              <w:t>Artan</w:t>
            </w:r>
            <w:proofErr w:type="spellEnd"/>
            <w:r w:rsidRPr="005B4776">
              <w:rPr>
                <w:rFonts w:eastAsia="MS Mincho" w:cs="Arial"/>
                <w:szCs w:val="20"/>
                <w:lang w:eastAsia="ar-SA"/>
              </w:rPr>
              <w:t xml:space="preserve"> </w:t>
            </w:r>
            <w:proofErr w:type="spellStart"/>
            <w:r w:rsidRPr="005B4776">
              <w:rPr>
                <w:rFonts w:eastAsia="MS Mincho" w:cs="Arial"/>
                <w:szCs w:val="20"/>
                <w:lang w:eastAsia="ar-SA"/>
              </w:rPr>
              <w:t>Shiqerukaj</w:t>
            </w:r>
            <w:proofErr w:type="spellEnd"/>
            <w:r w:rsidRPr="005B4776">
              <w:rPr>
                <w:rFonts w:eastAsia="MS Mincho" w:cs="Arial"/>
                <w:szCs w:val="20"/>
                <w:lang w:eastAsia="ar-SA"/>
              </w:rPr>
              <w:t xml:space="preserve"> (Albania)</w:t>
            </w:r>
          </w:p>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 xml:space="preserve">Mr </w:t>
            </w:r>
            <w:proofErr w:type="spellStart"/>
            <w:r w:rsidRPr="005B4776">
              <w:rPr>
                <w:rFonts w:eastAsia="MS Mincho" w:cs="Arial"/>
                <w:szCs w:val="20"/>
                <w:lang w:eastAsia="ar-SA"/>
              </w:rPr>
              <w:t>Jacek</w:t>
            </w:r>
            <w:proofErr w:type="spellEnd"/>
            <w:r w:rsidRPr="005B4776">
              <w:rPr>
                <w:rFonts w:eastAsia="MS Mincho" w:cs="Arial"/>
                <w:szCs w:val="20"/>
                <w:lang w:eastAsia="ar-SA"/>
              </w:rPr>
              <w:t xml:space="preserve"> </w:t>
            </w:r>
            <w:proofErr w:type="spellStart"/>
            <w:r w:rsidRPr="005B4776">
              <w:rPr>
                <w:rFonts w:eastAsia="MS Mincho" w:cs="Arial"/>
                <w:szCs w:val="20"/>
                <w:lang w:eastAsia="ar-SA"/>
              </w:rPr>
              <w:t>Łazarowicz</w:t>
            </w:r>
            <w:proofErr w:type="spellEnd"/>
            <w:r w:rsidRPr="005B4776">
              <w:rPr>
                <w:rFonts w:eastAsia="MS Mincho" w:cs="Arial"/>
                <w:szCs w:val="20"/>
                <w:lang w:eastAsia="ar-SA"/>
              </w:rPr>
              <w:t xml:space="preserve"> (Poland)</w:t>
            </w:r>
          </w:p>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 xml:space="preserve">Ms Anna </w:t>
            </w:r>
            <w:proofErr w:type="spellStart"/>
            <w:r w:rsidRPr="005B4776">
              <w:rPr>
                <w:rFonts w:eastAsia="MS Mincho" w:cs="Arial"/>
                <w:szCs w:val="20"/>
                <w:lang w:eastAsia="ar-SA"/>
              </w:rPr>
              <w:t>Ondrejova</w:t>
            </w:r>
            <w:proofErr w:type="spellEnd"/>
            <w:r w:rsidRPr="005B4776">
              <w:rPr>
                <w:rFonts w:eastAsia="MS Mincho" w:cs="Arial"/>
                <w:szCs w:val="20"/>
                <w:lang w:eastAsia="ar-SA"/>
              </w:rPr>
              <w:t xml:space="preserve"> (Slovak Republic)</w:t>
            </w:r>
          </w:p>
        </w:tc>
      </w:tr>
      <w:tr w:rsidR="005E3DE3" w:rsidRPr="005B4776" w:rsidTr="008271EF">
        <w:tc>
          <w:tcPr>
            <w:tcW w:w="1101" w:type="dxa"/>
            <w:vMerge/>
          </w:tcPr>
          <w:p w:rsidR="005E3DE3" w:rsidRPr="005B4776" w:rsidRDefault="005E3DE3" w:rsidP="005B4776">
            <w:pPr>
              <w:suppressAutoHyphens/>
              <w:spacing w:line="276" w:lineRule="auto"/>
              <w:rPr>
                <w:rFonts w:eastAsia="MS Mincho" w:cs="Arial"/>
                <w:szCs w:val="20"/>
              </w:rPr>
            </w:pPr>
          </w:p>
        </w:tc>
        <w:tc>
          <w:tcPr>
            <w:tcW w:w="4111" w:type="dxa"/>
          </w:tcPr>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Belgium (COP Assessment)</w:t>
            </w:r>
          </w:p>
        </w:tc>
        <w:tc>
          <w:tcPr>
            <w:tcW w:w="4642" w:type="dxa"/>
          </w:tcPr>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 xml:space="preserve">Mr </w:t>
            </w:r>
            <w:proofErr w:type="spellStart"/>
            <w:r w:rsidRPr="005B4776">
              <w:rPr>
                <w:rFonts w:eastAsia="MS Mincho" w:cs="Arial"/>
                <w:szCs w:val="20"/>
                <w:lang w:eastAsia="ar-SA"/>
              </w:rPr>
              <w:t>Miha</w:t>
            </w:r>
            <w:proofErr w:type="spellEnd"/>
            <w:r w:rsidRPr="005B4776">
              <w:rPr>
                <w:rFonts w:eastAsia="MS Mincho" w:cs="Arial"/>
                <w:szCs w:val="20"/>
                <w:lang w:eastAsia="ar-SA"/>
              </w:rPr>
              <w:t xml:space="preserve"> </w:t>
            </w:r>
            <w:proofErr w:type="spellStart"/>
            <w:r w:rsidRPr="005B4776">
              <w:rPr>
                <w:rFonts w:eastAsia="MS Mincho" w:cs="Arial"/>
                <w:szCs w:val="20"/>
                <w:lang w:eastAsia="ar-SA"/>
              </w:rPr>
              <w:t>Movrin</w:t>
            </w:r>
            <w:proofErr w:type="spellEnd"/>
            <w:r w:rsidRPr="005B4776">
              <w:rPr>
                <w:rFonts w:eastAsia="MS Mincho" w:cs="Arial"/>
                <w:szCs w:val="20"/>
                <w:lang w:eastAsia="ar-SA"/>
              </w:rPr>
              <w:t xml:space="preserve"> (Slovenia)</w:t>
            </w:r>
          </w:p>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 xml:space="preserve">Ms </w:t>
            </w:r>
            <w:proofErr w:type="spellStart"/>
            <w:r w:rsidRPr="005B4776">
              <w:rPr>
                <w:rFonts w:eastAsia="MS Mincho" w:cs="Arial"/>
                <w:szCs w:val="20"/>
                <w:lang w:eastAsia="ar-SA"/>
              </w:rPr>
              <w:t>Asya</w:t>
            </w:r>
            <w:proofErr w:type="spellEnd"/>
            <w:r w:rsidRPr="005B4776">
              <w:rPr>
                <w:rFonts w:eastAsia="MS Mincho" w:cs="Arial"/>
                <w:szCs w:val="20"/>
                <w:lang w:eastAsia="ar-SA"/>
              </w:rPr>
              <w:t xml:space="preserve"> </w:t>
            </w:r>
            <w:proofErr w:type="spellStart"/>
            <w:r w:rsidRPr="005B4776">
              <w:rPr>
                <w:rFonts w:eastAsia="MS Mincho" w:cs="Arial"/>
                <w:szCs w:val="20"/>
                <w:lang w:eastAsia="ar-SA"/>
              </w:rPr>
              <w:t>Khojoyan</w:t>
            </w:r>
            <w:proofErr w:type="spellEnd"/>
            <w:r w:rsidRPr="005B4776">
              <w:rPr>
                <w:rFonts w:eastAsia="MS Mincho" w:cs="Arial"/>
                <w:szCs w:val="20"/>
                <w:lang w:eastAsia="ar-SA"/>
              </w:rPr>
              <w:t xml:space="preserve"> (Armenia)</w:t>
            </w:r>
          </w:p>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 xml:space="preserve">Ms Simona </w:t>
            </w:r>
            <w:proofErr w:type="spellStart"/>
            <w:r w:rsidRPr="005B4776">
              <w:rPr>
                <w:rFonts w:eastAsia="MS Mincho" w:cs="Arial"/>
                <w:szCs w:val="20"/>
                <w:lang w:eastAsia="ar-SA"/>
              </w:rPr>
              <w:t>Popa</w:t>
            </w:r>
            <w:proofErr w:type="spellEnd"/>
            <w:r w:rsidRPr="005B4776">
              <w:rPr>
                <w:rFonts w:eastAsia="MS Mincho" w:cs="Arial"/>
                <w:szCs w:val="20"/>
                <w:lang w:eastAsia="ar-SA"/>
              </w:rPr>
              <w:t xml:space="preserve"> (Romania)</w:t>
            </w:r>
          </w:p>
        </w:tc>
      </w:tr>
      <w:tr w:rsidR="005E3DE3" w:rsidRPr="005B4776" w:rsidTr="008271EF">
        <w:tc>
          <w:tcPr>
            <w:tcW w:w="1101" w:type="dxa"/>
            <w:vMerge/>
          </w:tcPr>
          <w:p w:rsidR="005E3DE3" w:rsidRPr="005B4776" w:rsidRDefault="005E3DE3" w:rsidP="005B4776">
            <w:pPr>
              <w:suppressAutoHyphens/>
              <w:spacing w:line="276" w:lineRule="auto"/>
              <w:rPr>
                <w:rFonts w:eastAsia="MS Mincho" w:cs="Arial"/>
                <w:szCs w:val="20"/>
              </w:rPr>
            </w:pPr>
          </w:p>
        </w:tc>
        <w:tc>
          <w:tcPr>
            <w:tcW w:w="4111" w:type="dxa"/>
          </w:tcPr>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Croatia (Follow-up report)</w:t>
            </w:r>
          </w:p>
        </w:tc>
        <w:tc>
          <w:tcPr>
            <w:tcW w:w="4642" w:type="dxa"/>
          </w:tcPr>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Spain</w:t>
            </w:r>
          </w:p>
        </w:tc>
      </w:tr>
      <w:tr w:rsidR="005E3DE3" w:rsidRPr="005B4776" w:rsidTr="008271EF">
        <w:tc>
          <w:tcPr>
            <w:tcW w:w="1101" w:type="dxa"/>
            <w:vMerge/>
          </w:tcPr>
          <w:p w:rsidR="005E3DE3" w:rsidRPr="005B4776" w:rsidRDefault="005E3DE3" w:rsidP="005B4776">
            <w:pPr>
              <w:suppressAutoHyphens/>
              <w:spacing w:line="276" w:lineRule="auto"/>
              <w:rPr>
                <w:rFonts w:eastAsia="MS Mincho" w:cs="Arial"/>
                <w:szCs w:val="20"/>
              </w:rPr>
            </w:pPr>
          </w:p>
        </w:tc>
        <w:tc>
          <w:tcPr>
            <w:tcW w:w="4111" w:type="dxa"/>
          </w:tcPr>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Poland (2</w:t>
            </w:r>
            <w:r w:rsidRPr="005B4776">
              <w:rPr>
                <w:rFonts w:eastAsia="MS Mincho" w:cs="Arial"/>
                <w:szCs w:val="20"/>
                <w:vertAlign w:val="superscript"/>
                <w:lang w:eastAsia="ar-SA"/>
              </w:rPr>
              <w:t>nd</w:t>
            </w:r>
            <w:r w:rsidRPr="005B4776">
              <w:rPr>
                <w:rFonts w:eastAsia="MS Mincho" w:cs="Arial"/>
                <w:szCs w:val="20"/>
                <w:lang w:eastAsia="ar-SA"/>
              </w:rPr>
              <w:t xml:space="preserve"> Follow-up report)</w:t>
            </w:r>
          </w:p>
        </w:tc>
        <w:tc>
          <w:tcPr>
            <w:tcW w:w="4642" w:type="dxa"/>
          </w:tcPr>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Albania</w:t>
            </w:r>
          </w:p>
        </w:tc>
      </w:tr>
      <w:tr w:rsidR="005E3DE3" w:rsidRPr="005B4776" w:rsidTr="008271EF">
        <w:tc>
          <w:tcPr>
            <w:tcW w:w="1101" w:type="dxa"/>
            <w:vMerge w:val="restart"/>
          </w:tcPr>
          <w:p w:rsidR="005E3DE3" w:rsidRPr="005B4776" w:rsidRDefault="005E3DE3" w:rsidP="005B4776">
            <w:pPr>
              <w:suppressAutoHyphens/>
              <w:spacing w:line="276" w:lineRule="auto"/>
              <w:rPr>
                <w:rFonts w:eastAsia="MS Mincho" w:cs="Arial"/>
                <w:szCs w:val="20"/>
              </w:rPr>
            </w:pPr>
            <w:r w:rsidRPr="005B4776">
              <w:rPr>
                <w:rFonts w:eastAsia="MS Mincho" w:cs="Arial"/>
                <w:szCs w:val="20"/>
              </w:rPr>
              <w:t>2017</w:t>
            </w:r>
          </w:p>
        </w:tc>
        <w:tc>
          <w:tcPr>
            <w:tcW w:w="4111" w:type="dxa"/>
          </w:tcPr>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Poland (Updated follow-up report)</w:t>
            </w:r>
          </w:p>
        </w:tc>
        <w:tc>
          <w:tcPr>
            <w:tcW w:w="4642" w:type="dxa"/>
          </w:tcPr>
          <w:p w:rsidR="005E3DE3" w:rsidRPr="005B4776" w:rsidRDefault="005E3DE3" w:rsidP="005B4776">
            <w:pPr>
              <w:suppressAutoHyphens/>
              <w:spacing w:line="276" w:lineRule="auto"/>
              <w:rPr>
                <w:rFonts w:eastAsia="MS Mincho" w:cs="Arial"/>
                <w:szCs w:val="20"/>
                <w:lang w:eastAsia="ar-SA"/>
              </w:rPr>
            </w:pPr>
          </w:p>
        </w:tc>
      </w:tr>
      <w:tr w:rsidR="005E3DE3" w:rsidRPr="005B4776" w:rsidTr="008271EF">
        <w:tc>
          <w:tcPr>
            <w:tcW w:w="1101" w:type="dxa"/>
            <w:vMerge/>
          </w:tcPr>
          <w:p w:rsidR="005E3DE3" w:rsidRPr="005B4776" w:rsidRDefault="005E3DE3" w:rsidP="005B4776">
            <w:pPr>
              <w:suppressAutoHyphens/>
              <w:spacing w:line="276" w:lineRule="auto"/>
              <w:rPr>
                <w:rFonts w:eastAsia="MS Mincho" w:cs="Arial"/>
                <w:szCs w:val="20"/>
              </w:rPr>
            </w:pPr>
          </w:p>
        </w:tc>
        <w:tc>
          <w:tcPr>
            <w:tcW w:w="4111" w:type="dxa"/>
          </w:tcPr>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Republic of Moldova (Follow-up report)</w:t>
            </w:r>
          </w:p>
        </w:tc>
        <w:tc>
          <w:tcPr>
            <w:tcW w:w="4642" w:type="dxa"/>
          </w:tcPr>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Montenegro</w:t>
            </w:r>
          </w:p>
        </w:tc>
      </w:tr>
      <w:tr w:rsidR="005E3DE3" w:rsidRPr="005B4776" w:rsidTr="008271EF">
        <w:tc>
          <w:tcPr>
            <w:tcW w:w="1101" w:type="dxa"/>
            <w:vMerge w:val="restart"/>
          </w:tcPr>
          <w:p w:rsidR="005E3DE3" w:rsidRPr="005B4776" w:rsidRDefault="005E3DE3" w:rsidP="005B4776">
            <w:pPr>
              <w:suppressAutoHyphens/>
              <w:spacing w:line="276" w:lineRule="auto"/>
              <w:rPr>
                <w:rFonts w:eastAsia="MS Mincho" w:cs="Arial"/>
                <w:szCs w:val="20"/>
              </w:rPr>
            </w:pPr>
            <w:r w:rsidRPr="005B4776">
              <w:rPr>
                <w:rFonts w:eastAsia="MS Mincho" w:cs="Arial"/>
                <w:szCs w:val="20"/>
              </w:rPr>
              <w:t>2018</w:t>
            </w:r>
          </w:p>
        </w:tc>
        <w:tc>
          <w:tcPr>
            <w:tcW w:w="4111" w:type="dxa"/>
          </w:tcPr>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Thematic monitoring review</w:t>
            </w:r>
          </w:p>
        </w:tc>
        <w:tc>
          <w:tcPr>
            <w:tcW w:w="4642" w:type="dxa"/>
          </w:tcPr>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 xml:space="preserve">Ms Ana </w:t>
            </w:r>
            <w:proofErr w:type="spellStart"/>
            <w:r w:rsidRPr="005B4776">
              <w:rPr>
                <w:rFonts w:eastAsia="MS Mincho" w:cs="Arial"/>
                <w:szCs w:val="20"/>
                <w:lang w:eastAsia="ar-SA"/>
              </w:rPr>
              <w:t>Boskovic</w:t>
            </w:r>
            <w:proofErr w:type="spellEnd"/>
            <w:r w:rsidRPr="005B4776">
              <w:rPr>
                <w:rFonts w:eastAsia="MS Mincho" w:cs="Arial"/>
                <w:szCs w:val="20"/>
                <w:lang w:eastAsia="ar-SA"/>
              </w:rPr>
              <w:t xml:space="preserve"> (Montenegro)</w:t>
            </w:r>
          </w:p>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 xml:space="preserve">Mr </w:t>
            </w:r>
            <w:proofErr w:type="spellStart"/>
            <w:r w:rsidRPr="005B4776">
              <w:rPr>
                <w:rFonts w:eastAsia="MS Mincho" w:cs="Arial"/>
                <w:szCs w:val="20"/>
                <w:lang w:eastAsia="ar-SA"/>
              </w:rPr>
              <w:t>Azer</w:t>
            </w:r>
            <w:proofErr w:type="spellEnd"/>
            <w:r w:rsidRPr="005B4776">
              <w:rPr>
                <w:rFonts w:eastAsia="MS Mincho" w:cs="Arial"/>
                <w:szCs w:val="20"/>
                <w:lang w:eastAsia="ar-SA"/>
              </w:rPr>
              <w:t xml:space="preserve"> </w:t>
            </w:r>
            <w:proofErr w:type="spellStart"/>
            <w:r w:rsidRPr="005B4776">
              <w:rPr>
                <w:rFonts w:eastAsia="MS Mincho" w:cs="Arial"/>
                <w:szCs w:val="20"/>
                <w:lang w:eastAsia="ar-SA"/>
              </w:rPr>
              <w:t>Abbasov</w:t>
            </w:r>
            <w:proofErr w:type="spellEnd"/>
            <w:r w:rsidRPr="005B4776">
              <w:rPr>
                <w:rFonts w:eastAsia="MS Mincho" w:cs="Arial"/>
                <w:szCs w:val="20"/>
                <w:lang w:eastAsia="ar-SA"/>
              </w:rPr>
              <w:t xml:space="preserve"> (Azerbaijan)</w:t>
            </w:r>
          </w:p>
        </w:tc>
      </w:tr>
      <w:tr w:rsidR="005E3DE3" w:rsidRPr="005B4776" w:rsidTr="008271EF">
        <w:tc>
          <w:tcPr>
            <w:tcW w:w="1101" w:type="dxa"/>
            <w:vMerge/>
          </w:tcPr>
          <w:p w:rsidR="005E3DE3" w:rsidRPr="005B4776" w:rsidRDefault="005E3DE3" w:rsidP="005B4776">
            <w:pPr>
              <w:suppressAutoHyphens/>
              <w:spacing w:line="276" w:lineRule="auto"/>
              <w:rPr>
                <w:rFonts w:eastAsia="MS Mincho" w:cs="Arial"/>
                <w:b/>
                <w:szCs w:val="20"/>
                <w:lang w:eastAsia="ar-SA"/>
              </w:rPr>
            </w:pPr>
          </w:p>
        </w:tc>
        <w:tc>
          <w:tcPr>
            <w:tcW w:w="4111" w:type="dxa"/>
          </w:tcPr>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Belgium (Follow-up report)</w:t>
            </w:r>
          </w:p>
        </w:tc>
        <w:tc>
          <w:tcPr>
            <w:tcW w:w="4642" w:type="dxa"/>
          </w:tcPr>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Armenia</w:t>
            </w:r>
          </w:p>
        </w:tc>
      </w:tr>
      <w:tr w:rsidR="005E3DE3" w:rsidRPr="005B4776" w:rsidTr="008271EF">
        <w:tc>
          <w:tcPr>
            <w:tcW w:w="1101" w:type="dxa"/>
            <w:vMerge/>
          </w:tcPr>
          <w:p w:rsidR="005E3DE3" w:rsidRPr="005B4776" w:rsidRDefault="005E3DE3" w:rsidP="005B4776">
            <w:pPr>
              <w:suppressAutoHyphens/>
              <w:spacing w:line="276" w:lineRule="auto"/>
              <w:rPr>
                <w:rFonts w:eastAsia="MS Mincho" w:cs="Arial"/>
                <w:b/>
                <w:szCs w:val="20"/>
                <w:lang w:eastAsia="ar-SA"/>
              </w:rPr>
            </w:pPr>
          </w:p>
        </w:tc>
        <w:tc>
          <w:tcPr>
            <w:tcW w:w="4111" w:type="dxa"/>
          </w:tcPr>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Malta (Follow-up report)</w:t>
            </w:r>
          </w:p>
        </w:tc>
        <w:tc>
          <w:tcPr>
            <w:tcW w:w="4642" w:type="dxa"/>
          </w:tcPr>
          <w:p w:rsidR="005E3DE3" w:rsidRPr="005B4776" w:rsidRDefault="005E3DE3" w:rsidP="005B4776">
            <w:pPr>
              <w:suppressAutoHyphens/>
              <w:spacing w:line="276" w:lineRule="auto"/>
              <w:rPr>
                <w:rFonts w:eastAsia="MS Mincho" w:cs="Arial"/>
                <w:szCs w:val="20"/>
                <w:lang w:eastAsia="ar-SA"/>
              </w:rPr>
            </w:pPr>
            <w:r w:rsidRPr="005B4776">
              <w:rPr>
                <w:rFonts w:eastAsia="MS Mincho" w:cs="Arial"/>
                <w:szCs w:val="20"/>
                <w:lang w:eastAsia="ar-SA"/>
              </w:rPr>
              <w:t>Portugal</w:t>
            </w:r>
          </w:p>
        </w:tc>
      </w:tr>
    </w:tbl>
    <w:p w:rsidR="005E3DE3" w:rsidRPr="005B4776" w:rsidRDefault="005E3DE3" w:rsidP="005B4776">
      <w:pPr>
        <w:suppressAutoHyphens/>
        <w:rPr>
          <w:rFonts w:eastAsia="MS Mincho" w:cs="Arial"/>
          <w:szCs w:val="20"/>
          <w:lang w:eastAsia="ar-SA"/>
        </w:rPr>
      </w:pPr>
    </w:p>
    <w:p w:rsidR="00CD3F9B" w:rsidRDefault="00CD3F9B">
      <w:pPr>
        <w:rPr>
          <w:rFonts w:cs="Arial"/>
          <w:b/>
          <w:bCs/>
          <w:iCs/>
          <w:szCs w:val="20"/>
        </w:rPr>
      </w:pPr>
      <w:bookmarkStart w:id="64" w:name="_Toc519261955"/>
      <w:bookmarkStart w:id="65" w:name="_Toc519262119"/>
      <w:bookmarkStart w:id="66" w:name="_Toc528243615"/>
      <w:r>
        <w:rPr>
          <w:rFonts w:cs="Arial"/>
          <w:b/>
          <w:bCs/>
          <w:iCs/>
          <w:szCs w:val="20"/>
        </w:rPr>
        <w:br w:type="page"/>
      </w:r>
    </w:p>
    <w:p w:rsidR="005E3DE3" w:rsidRPr="005B4776" w:rsidRDefault="005E3DE3" w:rsidP="00CD3F9B">
      <w:pPr>
        <w:pStyle w:val="ListParagraph"/>
        <w:keepNext/>
        <w:numPr>
          <w:ilvl w:val="1"/>
          <w:numId w:val="14"/>
        </w:numPr>
        <w:ind w:left="0" w:firstLine="0"/>
        <w:contextualSpacing w:val="0"/>
        <w:outlineLvl w:val="1"/>
        <w:rPr>
          <w:rFonts w:cs="Arial"/>
          <w:b/>
          <w:bCs/>
          <w:iCs/>
          <w:szCs w:val="20"/>
        </w:rPr>
      </w:pPr>
      <w:r w:rsidRPr="005B4776">
        <w:rPr>
          <w:rFonts w:cs="Arial"/>
          <w:b/>
          <w:bCs/>
          <w:iCs/>
          <w:szCs w:val="20"/>
        </w:rPr>
        <w:t>Other activities</w:t>
      </w:r>
      <w:bookmarkEnd w:id="64"/>
      <w:bookmarkEnd w:id="65"/>
      <w:bookmarkEnd w:id="66"/>
    </w:p>
    <w:p w:rsidR="005E3DE3" w:rsidRPr="005B4776" w:rsidRDefault="005E3DE3" w:rsidP="00CD3F9B">
      <w:pPr>
        <w:suppressAutoHyphens/>
        <w:rPr>
          <w:rFonts w:eastAsia="MS Mincho" w:cs="Arial"/>
          <w:szCs w:val="20"/>
          <w:lang w:eastAsia="ar-SA"/>
        </w:rPr>
      </w:pPr>
    </w:p>
    <w:p w:rsidR="005E3DE3" w:rsidRPr="005B4776" w:rsidRDefault="005E3DE3" w:rsidP="00CD3F9B">
      <w:pPr>
        <w:pStyle w:val="ListParagraph"/>
        <w:numPr>
          <w:ilvl w:val="0"/>
          <w:numId w:val="27"/>
        </w:numPr>
        <w:suppressAutoHyphens/>
        <w:ind w:left="0" w:firstLine="0"/>
        <w:contextualSpacing w:val="0"/>
        <w:rPr>
          <w:rFonts w:eastAsia="MS Mincho" w:cs="Arial"/>
          <w:szCs w:val="20"/>
          <w:lang w:eastAsia="ar-SA"/>
        </w:rPr>
      </w:pPr>
      <w:r w:rsidRPr="005B4776">
        <w:rPr>
          <w:rFonts w:eastAsia="MS Mincho" w:cs="Arial"/>
          <w:szCs w:val="20"/>
          <w:lang w:eastAsia="ar-SA"/>
        </w:rPr>
        <w:t xml:space="preserve">The Conference of the Parties Secretariat has undertaken several efforts to increase the visibility of the Convention, as well as to gain better insights in the level of implementation of some of the Convention’s provisions. </w:t>
      </w:r>
    </w:p>
    <w:p w:rsidR="005E3DE3" w:rsidRPr="005B4776" w:rsidRDefault="005E3DE3" w:rsidP="00CD3F9B">
      <w:pPr>
        <w:suppressAutoHyphens/>
        <w:rPr>
          <w:rFonts w:eastAsia="MS Mincho" w:cs="Arial"/>
          <w:szCs w:val="20"/>
          <w:lang w:eastAsia="ar-SA"/>
        </w:rPr>
      </w:pPr>
    </w:p>
    <w:p w:rsidR="005E3DE3" w:rsidRPr="005B4776" w:rsidRDefault="005E3DE3" w:rsidP="00CD3F9B">
      <w:pPr>
        <w:autoSpaceDE w:val="0"/>
        <w:autoSpaceDN w:val="0"/>
        <w:adjustRightInd w:val="0"/>
        <w:rPr>
          <w:rFonts w:cs="Arial"/>
          <w:b/>
          <w:szCs w:val="20"/>
          <w:u w:val="single"/>
        </w:rPr>
      </w:pPr>
      <w:r w:rsidRPr="005B4776">
        <w:rPr>
          <w:rFonts w:cs="Arial"/>
          <w:b/>
          <w:szCs w:val="20"/>
        </w:rPr>
        <w:t>Council of Europe Action Plan on Transnational Organised Crime (2016-2020)</w:t>
      </w:r>
    </w:p>
    <w:p w:rsidR="005E3DE3" w:rsidRPr="005B4776" w:rsidRDefault="005E3DE3" w:rsidP="00CD3F9B">
      <w:pPr>
        <w:autoSpaceDE w:val="0"/>
        <w:autoSpaceDN w:val="0"/>
        <w:adjustRightInd w:val="0"/>
        <w:rPr>
          <w:rFonts w:cs="Arial"/>
          <w:b/>
          <w:szCs w:val="20"/>
          <w:u w:val="single"/>
        </w:rPr>
      </w:pPr>
    </w:p>
    <w:p w:rsidR="005E3DE3" w:rsidRPr="005B4776" w:rsidRDefault="005E3DE3" w:rsidP="00CD3F9B">
      <w:pPr>
        <w:pStyle w:val="CMSpace"/>
        <w:numPr>
          <w:ilvl w:val="0"/>
          <w:numId w:val="27"/>
        </w:numPr>
        <w:ind w:left="0" w:firstLine="0"/>
        <w:rPr>
          <w:rFonts w:cs="Arial"/>
          <w:szCs w:val="20"/>
        </w:rPr>
      </w:pPr>
      <w:r w:rsidRPr="005B4776">
        <w:rPr>
          <w:rFonts w:cs="Arial"/>
          <w:szCs w:val="20"/>
        </w:rPr>
        <w:t>Following the endorsement of a White Paper on Transnational Organised Crime</w:t>
      </w:r>
      <w:r w:rsidRPr="005B4776">
        <w:rPr>
          <w:rStyle w:val="FootnoteReference"/>
          <w:rFonts w:eastAsiaTheme="majorEastAsia" w:cs="Arial"/>
          <w:szCs w:val="20"/>
        </w:rPr>
        <w:footnoteReference w:id="14"/>
      </w:r>
      <w:r w:rsidRPr="005B4776">
        <w:rPr>
          <w:rFonts w:cs="Arial"/>
          <w:szCs w:val="20"/>
        </w:rPr>
        <w:t xml:space="preserve"> by the European Committee on Crime Problems (CDPC) in June 2014, the CDPC decided to prepare a detailed Action Plan as a follow-up to the recommendations included in the White Paper. The Action Plan is intended to provide concrete p</w:t>
      </w:r>
      <w:r w:rsidR="008271EF">
        <w:rPr>
          <w:rFonts w:cs="Arial"/>
          <w:szCs w:val="20"/>
        </w:rPr>
        <w:t>roposals for Council of Europe m</w:t>
      </w:r>
      <w:r w:rsidRPr="005B4776">
        <w:rPr>
          <w:rFonts w:cs="Arial"/>
          <w:szCs w:val="20"/>
        </w:rPr>
        <w:t xml:space="preserve">ember States to effectively address some of the issues detailed in the five key areas identified in the White Paper, which are as follows: a) enhancing international co-operation through networks; b) special investigative </w:t>
      </w:r>
      <w:r w:rsidR="00D47AC4">
        <w:rPr>
          <w:rFonts w:cs="Arial"/>
          <w:szCs w:val="20"/>
        </w:rPr>
        <w:t>techniques</w:t>
      </w:r>
      <w:r w:rsidRPr="005B4776">
        <w:rPr>
          <w:rFonts w:cs="Arial"/>
          <w:szCs w:val="20"/>
        </w:rPr>
        <w:t xml:space="preserve">; c) witness protection and incentives for co-operation; d) administrative synergies and co-operation with the private sector; and e) recovery of assets. </w:t>
      </w:r>
    </w:p>
    <w:p w:rsidR="005E3DE3" w:rsidRPr="005B4776" w:rsidRDefault="005E3DE3" w:rsidP="00CD3F9B">
      <w:pPr>
        <w:pStyle w:val="CMSpace"/>
        <w:rPr>
          <w:rFonts w:cs="Arial"/>
          <w:szCs w:val="20"/>
        </w:rPr>
      </w:pPr>
    </w:p>
    <w:p w:rsidR="005E3DE3" w:rsidRPr="005B4776" w:rsidRDefault="005E3DE3" w:rsidP="00CD3F9B">
      <w:pPr>
        <w:pStyle w:val="ListParagraph"/>
        <w:numPr>
          <w:ilvl w:val="0"/>
          <w:numId w:val="27"/>
        </w:numPr>
        <w:ind w:left="0" w:firstLine="0"/>
        <w:contextualSpacing w:val="0"/>
        <w:rPr>
          <w:rFonts w:cs="Arial"/>
          <w:szCs w:val="20"/>
        </w:rPr>
      </w:pPr>
      <w:r w:rsidRPr="005B4776">
        <w:rPr>
          <w:rFonts w:cs="Arial"/>
          <w:szCs w:val="20"/>
        </w:rPr>
        <w:t>The Conference of the Parties is involved in the Council of Europe Action Plan on Transnational Organised Crime</w:t>
      </w:r>
      <w:r w:rsidRPr="005B4776">
        <w:rPr>
          <w:rStyle w:val="FootnoteReference"/>
          <w:rFonts w:cs="Arial"/>
          <w:szCs w:val="20"/>
        </w:rPr>
        <w:footnoteReference w:id="15"/>
      </w:r>
      <w:r w:rsidRPr="005B4776">
        <w:rPr>
          <w:rFonts w:cs="Arial"/>
          <w:szCs w:val="20"/>
        </w:rPr>
        <w:t xml:space="preserve"> (2016-2020) since its elaboration, through the participation of the Chair and the Secretariat. The main role of the </w:t>
      </w:r>
      <w:r w:rsidRPr="005B4776">
        <w:rPr>
          <w:rFonts w:eastAsia="MS Mincho" w:cs="Arial"/>
          <w:szCs w:val="20"/>
          <w:lang w:eastAsia="ar-SA"/>
        </w:rPr>
        <w:t>Conference of the Parties</w:t>
      </w:r>
      <w:r w:rsidRPr="005B4776">
        <w:rPr>
          <w:rFonts w:cs="Arial"/>
          <w:szCs w:val="20"/>
        </w:rPr>
        <w:t xml:space="preserve"> is to promote inclusion of its standards into national legislation and practice. This includes actions that do not only aim to improve different legal systems’ quality, but also to foster a certain degree of standardisation among provisions of States Parties’ national legislation relevant for enhancing the effective fight against transnational organised crime. Additionally, the </w:t>
      </w:r>
      <w:r w:rsidRPr="005B4776">
        <w:rPr>
          <w:rFonts w:eastAsia="MS Mincho" w:cs="Arial"/>
          <w:szCs w:val="20"/>
          <w:lang w:eastAsia="ar-SA"/>
        </w:rPr>
        <w:t>Conference of the Parties</w:t>
      </w:r>
      <w:r w:rsidRPr="005B4776">
        <w:rPr>
          <w:rFonts w:cs="Arial"/>
          <w:szCs w:val="20"/>
        </w:rPr>
        <w:t xml:space="preserve"> carries out actions directed at ensuring or promoting the adequate implementation of legal provisions.</w:t>
      </w:r>
    </w:p>
    <w:p w:rsidR="005E3DE3" w:rsidRPr="005B4776" w:rsidRDefault="005E3DE3" w:rsidP="00CD3F9B">
      <w:pPr>
        <w:rPr>
          <w:rFonts w:cs="Arial"/>
          <w:szCs w:val="20"/>
        </w:rPr>
      </w:pPr>
    </w:p>
    <w:p w:rsidR="005E3DE3" w:rsidRPr="005B4776" w:rsidRDefault="005E3DE3" w:rsidP="00CD3F9B">
      <w:pPr>
        <w:pStyle w:val="ListParagraph"/>
        <w:widowControl w:val="0"/>
        <w:numPr>
          <w:ilvl w:val="0"/>
          <w:numId w:val="27"/>
        </w:numPr>
        <w:ind w:left="0" w:firstLine="0"/>
        <w:rPr>
          <w:rFonts w:cs="Arial"/>
          <w:szCs w:val="20"/>
        </w:rPr>
      </w:pPr>
      <w:r w:rsidRPr="005B4776">
        <w:rPr>
          <w:rFonts w:cs="Arial"/>
          <w:szCs w:val="20"/>
        </w:rPr>
        <w:t xml:space="preserve">The Conference of the Parties’ inputs to the Action Plan mostly concerned relevant findings and recommended actions from its reports and other relevant materials such as a survey on the implementation of the provisions of the Convention or mutual legal assistance tools. The Action Plan is subject to a first preliminary assessment after two years – in 2018. </w:t>
      </w:r>
    </w:p>
    <w:p w:rsidR="005E3DE3" w:rsidRPr="005B4776" w:rsidRDefault="005E3DE3" w:rsidP="00CD3F9B">
      <w:pPr>
        <w:pStyle w:val="ListParagraph"/>
        <w:ind w:left="0"/>
        <w:rPr>
          <w:rFonts w:cs="Arial"/>
          <w:szCs w:val="20"/>
        </w:rPr>
      </w:pPr>
    </w:p>
    <w:p w:rsidR="005E3DE3" w:rsidRDefault="005E3DE3" w:rsidP="00CD3F9B">
      <w:pPr>
        <w:pStyle w:val="ListParagraph"/>
        <w:widowControl w:val="0"/>
        <w:numPr>
          <w:ilvl w:val="0"/>
          <w:numId w:val="27"/>
        </w:numPr>
        <w:ind w:left="0" w:firstLine="0"/>
        <w:rPr>
          <w:rFonts w:cs="Arial"/>
          <w:szCs w:val="20"/>
        </w:rPr>
      </w:pPr>
      <w:r w:rsidRPr="005B4776">
        <w:rPr>
          <w:rFonts w:cs="Arial"/>
          <w:szCs w:val="20"/>
        </w:rPr>
        <w:t xml:space="preserve">The </w:t>
      </w:r>
      <w:r w:rsidRPr="005B4776">
        <w:rPr>
          <w:rFonts w:eastAsia="MS Mincho" w:cs="Arial"/>
          <w:szCs w:val="20"/>
          <w:lang w:eastAsia="ar-SA"/>
        </w:rPr>
        <w:t>Conference of the Parties</w:t>
      </w:r>
      <w:r w:rsidRPr="005B4776">
        <w:rPr>
          <w:rFonts w:cs="Arial"/>
          <w:szCs w:val="20"/>
        </w:rPr>
        <w:t xml:space="preserve"> adds particularly to the topics of international co</w:t>
      </w:r>
      <w:r w:rsidR="0086755D">
        <w:rPr>
          <w:rFonts w:cs="Arial"/>
          <w:szCs w:val="20"/>
        </w:rPr>
        <w:t>-</w:t>
      </w:r>
      <w:r w:rsidRPr="005B4776">
        <w:rPr>
          <w:rFonts w:cs="Arial"/>
          <w:szCs w:val="20"/>
        </w:rPr>
        <w:t>operation; administrative synergies and co</w:t>
      </w:r>
      <w:r w:rsidR="0086755D">
        <w:rPr>
          <w:rFonts w:cs="Arial"/>
          <w:szCs w:val="20"/>
        </w:rPr>
        <w:t>-</w:t>
      </w:r>
      <w:r w:rsidRPr="005B4776">
        <w:rPr>
          <w:rFonts w:cs="Arial"/>
          <w:szCs w:val="20"/>
        </w:rPr>
        <w:t xml:space="preserve">operation with private sector; specialised investigative techniques and on asset recovery. The work already undertaken by the </w:t>
      </w:r>
      <w:r w:rsidRPr="005B4776">
        <w:rPr>
          <w:rFonts w:eastAsia="MS Mincho" w:cs="Arial"/>
          <w:szCs w:val="20"/>
          <w:lang w:eastAsia="ar-SA"/>
        </w:rPr>
        <w:t>Conference of the Parties</w:t>
      </w:r>
      <w:r w:rsidRPr="005B4776">
        <w:rPr>
          <w:rFonts w:cs="Arial"/>
          <w:szCs w:val="20"/>
        </w:rPr>
        <w:t xml:space="preserve"> – its assessment reports, analysis on the questionnaire on some horizontal issues from 2016, Interpretative Notes it developed – are the key documents from where the </w:t>
      </w:r>
      <w:r w:rsidRPr="005B4776">
        <w:rPr>
          <w:rFonts w:eastAsia="MS Mincho" w:cs="Arial"/>
          <w:szCs w:val="20"/>
          <w:lang w:eastAsia="ar-SA"/>
        </w:rPr>
        <w:t>Conference of the Parties</w:t>
      </w:r>
      <w:r w:rsidRPr="005B4776">
        <w:rPr>
          <w:rFonts w:cs="Arial"/>
          <w:szCs w:val="20"/>
        </w:rPr>
        <w:t xml:space="preserve"> provides its input to the Action Plan.</w:t>
      </w:r>
    </w:p>
    <w:p w:rsidR="00CD3F9B" w:rsidRPr="005B4776" w:rsidRDefault="00CD3F9B" w:rsidP="00CD3F9B">
      <w:pPr>
        <w:pStyle w:val="ListParagraph"/>
        <w:widowControl w:val="0"/>
        <w:ind w:left="0"/>
        <w:rPr>
          <w:rFonts w:cs="Arial"/>
          <w:szCs w:val="20"/>
        </w:rPr>
      </w:pPr>
    </w:p>
    <w:p w:rsidR="005E3DE3" w:rsidRPr="005B4776" w:rsidRDefault="005E3DE3" w:rsidP="00CD3F9B">
      <w:pPr>
        <w:widowControl w:val="0"/>
        <w:autoSpaceDE w:val="0"/>
        <w:autoSpaceDN w:val="0"/>
        <w:adjustRightInd w:val="0"/>
        <w:contextualSpacing/>
        <w:rPr>
          <w:rFonts w:cs="Arial"/>
          <w:b/>
          <w:szCs w:val="20"/>
        </w:rPr>
      </w:pPr>
      <w:r w:rsidRPr="005B4776">
        <w:rPr>
          <w:rFonts w:cs="Arial"/>
          <w:b/>
          <w:szCs w:val="20"/>
        </w:rPr>
        <w:t>Mutual legal assistance template</w:t>
      </w:r>
    </w:p>
    <w:p w:rsidR="00CD3F9B" w:rsidRDefault="00CD3F9B" w:rsidP="00CD3F9B">
      <w:pPr>
        <w:pStyle w:val="CMSpace"/>
        <w:rPr>
          <w:rFonts w:cs="Arial"/>
          <w:szCs w:val="20"/>
        </w:rPr>
      </w:pPr>
    </w:p>
    <w:p w:rsidR="005E3DE3" w:rsidRPr="005B4776" w:rsidRDefault="005E3DE3" w:rsidP="00CD3F9B">
      <w:pPr>
        <w:pStyle w:val="CMSpace"/>
        <w:numPr>
          <w:ilvl w:val="0"/>
          <w:numId w:val="27"/>
        </w:numPr>
        <w:ind w:left="0" w:firstLine="0"/>
        <w:rPr>
          <w:rFonts w:cs="Arial"/>
          <w:szCs w:val="20"/>
        </w:rPr>
      </w:pPr>
      <w:r w:rsidRPr="005B4776">
        <w:rPr>
          <w:rFonts w:cs="Arial"/>
          <w:szCs w:val="20"/>
        </w:rPr>
        <w:t xml:space="preserve">To further facilitate international co-operation in line with the Convention, in 2017 the </w:t>
      </w:r>
      <w:r w:rsidRPr="005B4776">
        <w:rPr>
          <w:rFonts w:eastAsia="MS Mincho" w:cs="Arial"/>
          <w:szCs w:val="20"/>
          <w:lang w:eastAsia="ar-SA"/>
        </w:rPr>
        <w:t>Conference of the Parties</w:t>
      </w:r>
      <w:r w:rsidRPr="005B4776">
        <w:rPr>
          <w:rFonts w:cs="Arial"/>
          <w:szCs w:val="20"/>
        </w:rPr>
        <w:t xml:space="preserve"> Secretariat circulated a template on mutual legal assistance and FIU co-operation among the States Parties. The template concerned Parties’ national procedures as regards the possibilities and modalities of practical application of the Warsaw Convention. It was drafted based on the initiative of the Council of Europe Committee of Experts on the Operation of European Conventions on Co-operation in Criminal Matters (PC-OC) to prepare a similar tool that serves better application of the Strasbourg Convention (CETS No. 141). Both templates were developed within the framework of the Council of Europe Action Plan on Transnational Organised Crime, which called for the strengthening of the mechanisms for application of the Conventions Nos. 141 and 198. </w:t>
      </w:r>
    </w:p>
    <w:p w:rsidR="005E3DE3" w:rsidRPr="005B4776" w:rsidRDefault="005E3DE3" w:rsidP="00CD3F9B">
      <w:pPr>
        <w:rPr>
          <w:rFonts w:cs="Arial"/>
          <w:szCs w:val="20"/>
        </w:rPr>
      </w:pPr>
    </w:p>
    <w:p w:rsidR="005E3DE3" w:rsidRPr="005B4776" w:rsidRDefault="005E3DE3" w:rsidP="00CD3F9B">
      <w:pPr>
        <w:pStyle w:val="CMSpace"/>
        <w:numPr>
          <w:ilvl w:val="0"/>
          <w:numId w:val="27"/>
        </w:numPr>
        <w:ind w:left="0" w:firstLine="0"/>
        <w:rPr>
          <w:rFonts w:cs="Arial"/>
          <w:szCs w:val="20"/>
        </w:rPr>
      </w:pPr>
      <w:r w:rsidRPr="005B4776">
        <w:rPr>
          <w:rFonts w:cs="Arial"/>
          <w:szCs w:val="20"/>
        </w:rPr>
        <w:t xml:space="preserve">23 out of (then) 32 States Parties submitted a completed template. The responses were published on the </w:t>
      </w:r>
      <w:r w:rsidRPr="005B4776">
        <w:rPr>
          <w:rFonts w:eastAsia="MS Mincho" w:cs="Arial"/>
          <w:szCs w:val="20"/>
          <w:lang w:eastAsia="ar-SA"/>
        </w:rPr>
        <w:t>Conference of the Parties’</w:t>
      </w:r>
      <w:r w:rsidRPr="005B4776">
        <w:rPr>
          <w:rFonts w:cs="Arial"/>
          <w:szCs w:val="20"/>
        </w:rPr>
        <w:t xml:space="preserve"> restricted website and accessible to all </w:t>
      </w:r>
      <w:r w:rsidRPr="005B4776">
        <w:rPr>
          <w:rFonts w:eastAsia="MS Mincho" w:cs="Arial"/>
          <w:szCs w:val="20"/>
          <w:lang w:eastAsia="ar-SA"/>
        </w:rPr>
        <w:t>Conference of the Parties’</w:t>
      </w:r>
      <w:r w:rsidRPr="005B4776">
        <w:rPr>
          <w:rFonts w:cs="Arial"/>
          <w:szCs w:val="20"/>
        </w:rPr>
        <w:t xml:space="preserve"> delegations. The country-specific information dossiers foster co-operation among States Parties as they serve as a source of information on channels and means of communication, relevant legal provisions and limitations, procedural requirements and available modalities and tools for sharing the assets and the costs of asset management, as well as any other relevant information. The </w:t>
      </w:r>
      <w:r w:rsidRPr="005B4776">
        <w:rPr>
          <w:rFonts w:eastAsia="MS Mincho" w:cs="Arial"/>
          <w:szCs w:val="20"/>
          <w:lang w:eastAsia="ar-SA"/>
        </w:rPr>
        <w:t>Conference of the Parties’</w:t>
      </w:r>
      <w:r w:rsidRPr="005B4776">
        <w:rPr>
          <w:rFonts w:cs="Arial"/>
          <w:szCs w:val="20"/>
        </w:rPr>
        <w:t xml:space="preserve"> delegations </w:t>
      </w:r>
      <w:proofErr w:type="gramStart"/>
      <w:r w:rsidRPr="005B4776">
        <w:rPr>
          <w:rFonts w:cs="Arial"/>
          <w:szCs w:val="20"/>
        </w:rPr>
        <w:t>are</w:t>
      </w:r>
      <w:proofErr w:type="gramEnd"/>
      <w:r w:rsidRPr="005B4776">
        <w:rPr>
          <w:rFonts w:cs="Arial"/>
          <w:szCs w:val="20"/>
        </w:rPr>
        <w:t xml:space="preserve"> encouraged to consider the relevant country template when seeking mutual legal assistance. </w:t>
      </w:r>
    </w:p>
    <w:p w:rsidR="005E3DE3" w:rsidRPr="005B4776" w:rsidRDefault="005E3DE3" w:rsidP="00CD3F9B">
      <w:pPr>
        <w:pStyle w:val="CMSpace"/>
        <w:rPr>
          <w:rFonts w:cs="Arial"/>
          <w:b/>
          <w:szCs w:val="20"/>
          <w:highlight w:val="yellow"/>
        </w:rPr>
      </w:pPr>
    </w:p>
    <w:p w:rsidR="00CD3F9B" w:rsidRDefault="00CD3F9B">
      <w:pPr>
        <w:rPr>
          <w:rFonts w:eastAsia="Times New Roman" w:cs="Arial"/>
          <w:b/>
          <w:szCs w:val="20"/>
          <w:lang w:eastAsia="fr-FR"/>
        </w:rPr>
      </w:pPr>
      <w:r>
        <w:rPr>
          <w:rFonts w:cs="Arial"/>
          <w:b/>
          <w:szCs w:val="20"/>
        </w:rPr>
        <w:br w:type="page"/>
      </w:r>
    </w:p>
    <w:p w:rsidR="005E3DE3" w:rsidRPr="005B4776" w:rsidRDefault="005E3DE3" w:rsidP="00CD3F9B">
      <w:pPr>
        <w:pStyle w:val="CMSpace"/>
        <w:rPr>
          <w:rFonts w:cs="Arial"/>
          <w:szCs w:val="20"/>
        </w:rPr>
      </w:pPr>
      <w:r w:rsidRPr="005B4776">
        <w:rPr>
          <w:rFonts w:cs="Arial"/>
          <w:b/>
          <w:szCs w:val="20"/>
        </w:rPr>
        <w:t>Interpretative notes</w:t>
      </w:r>
      <w:r w:rsidRPr="005B4776">
        <w:rPr>
          <w:rFonts w:cs="Arial"/>
          <w:szCs w:val="20"/>
        </w:rPr>
        <w:t xml:space="preserve"> </w:t>
      </w:r>
    </w:p>
    <w:p w:rsidR="005E3DE3" w:rsidRPr="005B4776" w:rsidRDefault="005E3DE3" w:rsidP="00CD3F9B">
      <w:pPr>
        <w:pStyle w:val="CMSpace"/>
        <w:rPr>
          <w:rFonts w:cs="Arial"/>
          <w:szCs w:val="20"/>
        </w:rPr>
      </w:pPr>
    </w:p>
    <w:p w:rsidR="005E3DE3" w:rsidRPr="005B4776" w:rsidRDefault="005E3DE3" w:rsidP="00CD3F9B">
      <w:pPr>
        <w:pStyle w:val="CMSpace"/>
        <w:numPr>
          <w:ilvl w:val="0"/>
          <w:numId w:val="27"/>
        </w:numPr>
        <w:ind w:left="0" w:firstLine="0"/>
        <w:rPr>
          <w:rFonts w:cs="Arial"/>
          <w:szCs w:val="20"/>
        </w:rPr>
      </w:pPr>
      <w:r w:rsidRPr="005B4776">
        <w:rPr>
          <w:rFonts w:cs="Arial"/>
          <w:szCs w:val="20"/>
        </w:rPr>
        <w:t>The Conference of the Parties at its 9</w:t>
      </w:r>
      <w:r w:rsidRPr="005B4776">
        <w:rPr>
          <w:rFonts w:cs="Arial"/>
          <w:szCs w:val="20"/>
          <w:vertAlign w:val="superscript"/>
        </w:rPr>
        <w:t>th</w:t>
      </w:r>
      <w:r w:rsidRPr="005B4776">
        <w:rPr>
          <w:rFonts w:cs="Arial"/>
          <w:szCs w:val="20"/>
        </w:rPr>
        <w:t xml:space="preserve"> meeting in 2017 considered certain interpretative issues related to the Convention. The document discussed Articles 3, paragraph 4 (confiscation measures/reversal of the burden of proof), 25, paragraph 2 (confiscated property/asset sharing), and 11 (previous decisions). The findings presented in the document include an explanation of the respective provision, examples of good practices by States Parties, international (legal) guidelines (e.g. </w:t>
      </w:r>
      <w:proofErr w:type="spellStart"/>
      <w:r w:rsidRPr="005B4776">
        <w:rPr>
          <w:rFonts w:cs="Arial"/>
          <w:szCs w:val="20"/>
        </w:rPr>
        <w:t>ECtHR</w:t>
      </w:r>
      <w:proofErr w:type="spellEnd"/>
      <w:r w:rsidRPr="005B4776">
        <w:rPr>
          <w:rFonts w:cs="Arial"/>
          <w:szCs w:val="20"/>
        </w:rPr>
        <w:t xml:space="preserve">-case law and EU decisions), assessment criteria and advises for effective implementation. </w:t>
      </w:r>
    </w:p>
    <w:p w:rsidR="005E3DE3" w:rsidRPr="005B4776" w:rsidRDefault="005E3DE3" w:rsidP="00CD3F9B">
      <w:pPr>
        <w:pStyle w:val="CMSpace"/>
        <w:rPr>
          <w:rFonts w:cs="Arial"/>
          <w:szCs w:val="20"/>
        </w:rPr>
      </w:pPr>
    </w:p>
    <w:p w:rsidR="005E3DE3" w:rsidRDefault="005E3DE3" w:rsidP="00CD3F9B">
      <w:pPr>
        <w:pStyle w:val="ListParagraph"/>
        <w:widowControl w:val="0"/>
        <w:numPr>
          <w:ilvl w:val="0"/>
          <w:numId w:val="27"/>
        </w:numPr>
        <w:ind w:left="0" w:firstLine="0"/>
        <w:rPr>
          <w:rFonts w:cs="Arial"/>
          <w:szCs w:val="20"/>
        </w:rPr>
      </w:pPr>
      <w:r w:rsidRPr="005B4776">
        <w:rPr>
          <w:rFonts w:cs="Arial"/>
          <w:szCs w:val="20"/>
        </w:rPr>
        <w:t>Under Article 3(4), four issues were discussed related to the reversed burden of proof, the definition of the notion of serious offence, the assessment of provisions and the effective implementation of Article 3(4). In relation to Article 11, international recidivism, mutual assistance in criminal matters and the possibility to assess the effective implementation of the article were discussed. Moreover</w:t>
      </w:r>
      <w:r w:rsidR="00D47AC4">
        <w:rPr>
          <w:rFonts w:cs="Arial"/>
          <w:szCs w:val="20"/>
        </w:rPr>
        <w:t>,</w:t>
      </w:r>
      <w:r w:rsidRPr="005B4776">
        <w:rPr>
          <w:rFonts w:cs="Arial"/>
          <w:szCs w:val="20"/>
        </w:rPr>
        <w:t xml:space="preserve"> Article 25(2) on asset sharing was elaborated upon, particularly in the light of assessing its effective implementation, co</w:t>
      </w:r>
      <w:r w:rsidR="00D47AC4">
        <w:rPr>
          <w:rFonts w:cs="Arial"/>
          <w:szCs w:val="20"/>
        </w:rPr>
        <w:noBreakHyphen/>
      </w:r>
      <w:r w:rsidRPr="005B4776">
        <w:rPr>
          <w:rFonts w:cs="Arial"/>
          <w:szCs w:val="20"/>
        </w:rPr>
        <w:t>operation between States Parti</w:t>
      </w:r>
      <w:r w:rsidR="00D47AC4">
        <w:rPr>
          <w:rFonts w:cs="Arial"/>
          <w:szCs w:val="20"/>
        </w:rPr>
        <w:t>es and compensation of victims.</w:t>
      </w:r>
    </w:p>
    <w:p w:rsidR="00D47AC4" w:rsidRPr="005B4776" w:rsidRDefault="00D47AC4" w:rsidP="00D47AC4">
      <w:pPr>
        <w:pStyle w:val="ListParagraph"/>
        <w:widowControl w:val="0"/>
        <w:ind w:left="0"/>
        <w:rPr>
          <w:rFonts w:cs="Arial"/>
          <w:szCs w:val="20"/>
        </w:rPr>
      </w:pPr>
    </w:p>
    <w:p w:rsidR="005E3DE3" w:rsidRPr="005B4776" w:rsidRDefault="005E3DE3" w:rsidP="00CD3F9B">
      <w:pPr>
        <w:pStyle w:val="CMSpace"/>
        <w:numPr>
          <w:ilvl w:val="0"/>
          <w:numId w:val="27"/>
        </w:numPr>
        <w:ind w:left="0" w:firstLine="0"/>
        <w:rPr>
          <w:rFonts w:cs="Arial"/>
          <w:szCs w:val="20"/>
        </w:rPr>
      </w:pPr>
      <w:r w:rsidRPr="005B4776">
        <w:rPr>
          <w:rFonts w:cs="Arial"/>
          <w:szCs w:val="20"/>
        </w:rPr>
        <w:t>The interpretative issues document is published on the website of the Conference of the Parties.</w:t>
      </w:r>
      <w:r w:rsidRPr="005B4776">
        <w:rPr>
          <w:rStyle w:val="FootnoteReference"/>
          <w:rFonts w:eastAsiaTheme="majorEastAsia" w:cs="Arial"/>
          <w:szCs w:val="20"/>
        </w:rPr>
        <w:footnoteReference w:id="16"/>
      </w:r>
    </w:p>
    <w:p w:rsidR="005E3DE3" w:rsidRPr="005B4776" w:rsidRDefault="005E3DE3" w:rsidP="00CD3F9B">
      <w:pPr>
        <w:widowControl w:val="0"/>
        <w:autoSpaceDE w:val="0"/>
        <w:autoSpaceDN w:val="0"/>
        <w:adjustRightInd w:val="0"/>
        <w:contextualSpacing/>
        <w:rPr>
          <w:rFonts w:cs="Arial"/>
          <w:b/>
          <w:szCs w:val="20"/>
          <w:u w:val="single"/>
        </w:rPr>
      </w:pPr>
    </w:p>
    <w:p w:rsidR="005E3DE3" w:rsidRDefault="005E3DE3" w:rsidP="00CD3F9B">
      <w:pPr>
        <w:widowControl w:val="0"/>
        <w:autoSpaceDE w:val="0"/>
        <w:autoSpaceDN w:val="0"/>
        <w:adjustRightInd w:val="0"/>
        <w:contextualSpacing/>
        <w:rPr>
          <w:rFonts w:cs="Arial"/>
          <w:b/>
          <w:szCs w:val="20"/>
        </w:rPr>
      </w:pPr>
      <w:r w:rsidRPr="005B4776">
        <w:rPr>
          <w:rFonts w:cs="Arial"/>
          <w:b/>
          <w:szCs w:val="20"/>
        </w:rPr>
        <w:t>Website maintenance</w:t>
      </w:r>
    </w:p>
    <w:p w:rsidR="00CD3F9B" w:rsidRPr="005B4776" w:rsidRDefault="00CD3F9B" w:rsidP="00CD3F9B">
      <w:pPr>
        <w:widowControl w:val="0"/>
        <w:autoSpaceDE w:val="0"/>
        <w:autoSpaceDN w:val="0"/>
        <w:adjustRightInd w:val="0"/>
        <w:contextualSpacing/>
        <w:rPr>
          <w:rFonts w:cs="Arial"/>
          <w:b/>
          <w:szCs w:val="20"/>
        </w:rPr>
      </w:pPr>
    </w:p>
    <w:p w:rsidR="005E3DE3" w:rsidRPr="005B4776" w:rsidRDefault="005E3DE3" w:rsidP="00CD3F9B">
      <w:pPr>
        <w:pStyle w:val="NoSpacing"/>
        <w:numPr>
          <w:ilvl w:val="0"/>
          <w:numId w:val="27"/>
        </w:numPr>
        <w:ind w:left="0" w:firstLine="0"/>
        <w:rPr>
          <w:rFonts w:cs="Arial"/>
        </w:rPr>
      </w:pPr>
      <w:r w:rsidRPr="005B4776">
        <w:rPr>
          <w:rFonts w:cs="Arial"/>
        </w:rPr>
        <w:t xml:space="preserve">In line with the revised Council of Europe online strategy to harmonise the online appearance of the organisation, the website of the </w:t>
      </w:r>
      <w:r w:rsidRPr="005B4776">
        <w:rPr>
          <w:rFonts w:eastAsia="MS Mincho" w:cs="Arial"/>
          <w:lang w:eastAsia="ar-SA"/>
        </w:rPr>
        <w:t>Conference of the Parties</w:t>
      </w:r>
      <w:r w:rsidRPr="005B4776">
        <w:rPr>
          <w:rFonts w:cs="Arial"/>
        </w:rPr>
        <w:t xml:space="preserve"> was updated in 2017. The new website is more user-friendly and allows the </w:t>
      </w:r>
      <w:r w:rsidRPr="005B4776">
        <w:rPr>
          <w:rFonts w:eastAsia="MS Mincho" w:cs="Arial"/>
          <w:lang w:eastAsia="ar-SA"/>
        </w:rPr>
        <w:t>Conference of the Parties</w:t>
      </w:r>
      <w:r w:rsidRPr="005B4776">
        <w:rPr>
          <w:rFonts w:cs="Arial"/>
        </w:rPr>
        <w:t xml:space="preserve"> to better communicate on its activities. The website includes the basic documents underlying the Convention, including the Warsaw Declaration, the Action Plan and the Explanatory Report, as well as the </w:t>
      </w:r>
      <w:r w:rsidRPr="005B4776">
        <w:rPr>
          <w:rFonts w:eastAsia="MS Mincho" w:cs="Arial"/>
          <w:lang w:eastAsia="ar-SA"/>
        </w:rPr>
        <w:t>Conference of the Parties</w:t>
      </w:r>
      <w:r w:rsidRPr="005B4776">
        <w:rPr>
          <w:rFonts w:cs="Arial"/>
        </w:rPr>
        <w:t xml:space="preserve"> Assessment and follow-up reports; and it updates regularly on news concerning the Convention. In such manner, visitors of the website easily get an overview of the mandate and activities of the </w:t>
      </w:r>
      <w:r w:rsidRPr="005B4776">
        <w:rPr>
          <w:rFonts w:eastAsia="MS Mincho" w:cs="Arial"/>
          <w:lang w:eastAsia="ar-SA"/>
        </w:rPr>
        <w:t>Conference of the Parties</w:t>
      </w:r>
      <w:r w:rsidRPr="005B4776">
        <w:rPr>
          <w:rFonts w:cs="Arial"/>
        </w:rPr>
        <w:t xml:space="preserve">. The website can be visited at: </w:t>
      </w:r>
      <w:hyperlink r:id="rId18" w:history="1">
        <w:r w:rsidRPr="005B4776">
          <w:rPr>
            <w:rStyle w:val="Hyperlink"/>
            <w:rFonts w:cs="Arial"/>
          </w:rPr>
          <w:t>https://www.coe.int/en/web/cop198/home</w:t>
        </w:r>
      </w:hyperlink>
      <w:r w:rsidRPr="005B4776">
        <w:rPr>
          <w:rFonts w:cs="Arial"/>
        </w:rPr>
        <w:t xml:space="preserve">. </w:t>
      </w:r>
    </w:p>
    <w:p w:rsidR="005E3DE3" w:rsidRPr="005B4776" w:rsidRDefault="005E3DE3" w:rsidP="005B4776">
      <w:pPr>
        <w:pStyle w:val="NoSpacing"/>
        <w:rPr>
          <w:rFonts w:cs="Arial"/>
        </w:rPr>
      </w:pPr>
    </w:p>
    <w:p w:rsidR="00CD3F9B" w:rsidRDefault="005E3DE3" w:rsidP="00D47AC4">
      <w:pPr>
        <w:pStyle w:val="NoSpacing"/>
        <w:jc w:val="both"/>
        <w:rPr>
          <w:rFonts w:cs="Arial"/>
          <w:b/>
        </w:rPr>
      </w:pPr>
      <w:r>
        <w:rPr>
          <w:noProof/>
          <w:lang w:val="en-US"/>
        </w:rPr>
        <w:drawing>
          <wp:inline distT="0" distB="0" distL="0" distR="0" wp14:anchorId="77443024" wp14:editId="0DF7CBC5">
            <wp:extent cx="5943600" cy="49949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4994910"/>
                    </a:xfrm>
                    <a:prstGeom prst="rect">
                      <a:avLst/>
                    </a:prstGeom>
                  </pic:spPr>
                </pic:pic>
              </a:graphicData>
            </a:graphic>
          </wp:inline>
        </w:drawing>
      </w:r>
      <w:bookmarkStart w:id="67" w:name="_Toc425866514"/>
      <w:r w:rsidR="00CD3F9B">
        <w:rPr>
          <w:rFonts w:cs="Arial"/>
          <w:b/>
        </w:rPr>
        <w:br w:type="page"/>
      </w:r>
    </w:p>
    <w:p w:rsidR="005E3DE3" w:rsidRDefault="005E3DE3" w:rsidP="00CD3F9B">
      <w:pPr>
        <w:widowControl w:val="0"/>
        <w:autoSpaceDE w:val="0"/>
        <w:autoSpaceDN w:val="0"/>
        <w:adjustRightInd w:val="0"/>
        <w:contextualSpacing/>
        <w:rPr>
          <w:rFonts w:cs="Arial"/>
          <w:b/>
          <w:szCs w:val="20"/>
        </w:rPr>
      </w:pPr>
      <w:r w:rsidRPr="00862CA4">
        <w:rPr>
          <w:rFonts w:cs="Arial"/>
          <w:b/>
          <w:szCs w:val="20"/>
        </w:rPr>
        <w:t xml:space="preserve">Other issues discussed at </w:t>
      </w:r>
      <w:proofErr w:type="gramStart"/>
      <w:r w:rsidRPr="00862CA4">
        <w:rPr>
          <w:rFonts w:cs="Arial"/>
          <w:b/>
          <w:szCs w:val="20"/>
        </w:rPr>
        <w:t>P</w:t>
      </w:r>
      <w:r>
        <w:rPr>
          <w:rFonts w:cs="Arial"/>
          <w:b/>
          <w:szCs w:val="20"/>
        </w:rPr>
        <w:t>lenary</w:t>
      </w:r>
      <w:proofErr w:type="gramEnd"/>
      <w:r>
        <w:rPr>
          <w:rFonts w:cs="Arial"/>
          <w:b/>
          <w:szCs w:val="20"/>
        </w:rPr>
        <w:t xml:space="preserve"> meetings of the Conference of the Parties</w:t>
      </w:r>
    </w:p>
    <w:p w:rsidR="00CD3F9B" w:rsidRPr="00CD3F9B" w:rsidRDefault="00CD3F9B" w:rsidP="00CD3F9B">
      <w:pPr>
        <w:widowControl w:val="0"/>
        <w:autoSpaceDE w:val="0"/>
        <w:autoSpaceDN w:val="0"/>
        <w:adjustRightInd w:val="0"/>
        <w:contextualSpacing/>
        <w:rPr>
          <w:rFonts w:cs="Arial"/>
          <w:szCs w:val="20"/>
        </w:rPr>
      </w:pPr>
    </w:p>
    <w:p w:rsidR="005E3DE3" w:rsidRPr="00E7124C" w:rsidRDefault="005E3DE3" w:rsidP="00CD3F9B">
      <w:pPr>
        <w:pStyle w:val="ListParagraph"/>
        <w:numPr>
          <w:ilvl w:val="0"/>
          <w:numId w:val="27"/>
        </w:numPr>
        <w:ind w:left="0" w:firstLine="0"/>
        <w:contextualSpacing w:val="0"/>
        <w:rPr>
          <w:rFonts w:cs="Arial"/>
          <w:szCs w:val="20"/>
        </w:rPr>
      </w:pPr>
      <w:r w:rsidRPr="00E7124C">
        <w:rPr>
          <w:rFonts w:cs="Arial"/>
          <w:szCs w:val="20"/>
        </w:rPr>
        <w:t xml:space="preserve">At each </w:t>
      </w:r>
      <w:proofErr w:type="gramStart"/>
      <w:r w:rsidRPr="00E7124C">
        <w:rPr>
          <w:rFonts w:cs="Arial"/>
          <w:szCs w:val="20"/>
        </w:rPr>
        <w:t>Plenary</w:t>
      </w:r>
      <w:proofErr w:type="gramEnd"/>
      <w:r w:rsidRPr="00E7124C">
        <w:rPr>
          <w:rFonts w:cs="Arial"/>
          <w:szCs w:val="20"/>
        </w:rPr>
        <w:t xml:space="preserve"> meeting, the Conference of the Parties discussed a number of topical issues in the AML/CFT field, heard presentations by, or had exchanges of views with AML/CFT experts. Apart from the issues already covered elsewhere in this report, the following lists a selection of these additional activities. In particular, the Conference of the Parties</w:t>
      </w:r>
      <w:r>
        <w:rPr>
          <w:rFonts w:cs="Arial"/>
          <w:szCs w:val="20"/>
        </w:rPr>
        <w:t xml:space="preserve"> discussed</w:t>
      </w:r>
      <w:r w:rsidRPr="00E7124C">
        <w:rPr>
          <w:rFonts w:cs="Arial"/>
          <w:szCs w:val="20"/>
        </w:rPr>
        <w:t>:</w:t>
      </w:r>
    </w:p>
    <w:p w:rsidR="005E3DE3" w:rsidRPr="00E7124C" w:rsidRDefault="005E3DE3" w:rsidP="00CD3F9B">
      <w:pPr>
        <w:pStyle w:val="ListParagraph"/>
        <w:ind w:left="0"/>
        <w:rPr>
          <w:rFonts w:cs="Arial"/>
          <w:szCs w:val="20"/>
        </w:rPr>
      </w:pPr>
    </w:p>
    <w:p w:rsidR="005E3DE3" w:rsidRPr="00E7124C" w:rsidRDefault="005E3DE3" w:rsidP="00CD3F9B">
      <w:pPr>
        <w:pStyle w:val="ListParagraph"/>
        <w:numPr>
          <w:ilvl w:val="0"/>
          <w:numId w:val="28"/>
        </w:numPr>
        <w:ind w:left="0" w:firstLine="0"/>
        <w:contextualSpacing w:val="0"/>
        <w:rPr>
          <w:rFonts w:cs="Arial"/>
          <w:szCs w:val="20"/>
        </w:rPr>
      </w:pPr>
      <w:r w:rsidRPr="00E7124C">
        <w:rPr>
          <w:rFonts w:cs="Arial"/>
          <w:szCs w:val="20"/>
        </w:rPr>
        <w:t>the use and efficiency of Council of Europe instruments as regards international co-operation in the field of seizure and confiscation of proceeds of crime, including the management of confiscated goods and asset sharing</w:t>
      </w:r>
      <w:r>
        <w:rPr>
          <w:rFonts w:cs="Arial"/>
          <w:szCs w:val="20"/>
        </w:rPr>
        <w:t>, with experts from</w:t>
      </w:r>
      <w:r w:rsidRPr="00E7124C">
        <w:rPr>
          <w:rFonts w:cs="Arial"/>
          <w:szCs w:val="20"/>
        </w:rPr>
        <w:t xml:space="preserve"> the European Committee on Crime Problems (CDPC) and Committee of Experts on the Operation of European Conventions on Co-operation in Criminal Matters (PC-OC);</w:t>
      </w:r>
    </w:p>
    <w:p w:rsidR="005E3DE3" w:rsidRPr="00E7124C" w:rsidRDefault="005E3DE3" w:rsidP="00CD3F9B">
      <w:pPr>
        <w:pStyle w:val="ListParagraph"/>
        <w:ind w:left="0"/>
        <w:rPr>
          <w:rFonts w:cs="Arial"/>
          <w:szCs w:val="20"/>
        </w:rPr>
      </w:pPr>
    </w:p>
    <w:p w:rsidR="005E3DE3" w:rsidRPr="00E7124C" w:rsidRDefault="005E3DE3" w:rsidP="00CD3F9B">
      <w:pPr>
        <w:pStyle w:val="ListParagraph"/>
        <w:numPr>
          <w:ilvl w:val="0"/>
          <w:numId w:val="28"/>
        </w:numPr>
        <w:ind w:left="0" w:firstLine="0"/>
        <w:contextualSpacing w:val="0"/>
        <w:rPr>
          <w:rFonts w:cs="Arial"/>
          <w:szCs w:val="20"/>
        </w:rPr>
      </w:pPr>
      <w:r w:rsidRPr="00E7124C">
        <w:rPr>
          <w:rFonts w:cs="Arial"/>
          <w:szCs w:val="20"/>
        </w:rPr>
        <w:t>ML/TF risks posed by virtual currencies</w:t>
      </w:r>
      <w:r>
        <w:rPr>
          <w:rFonts w:cs="Arial"/>
          <w:szCs w:val="20"/>
        </w:rPr>
        <w:t>, with experts from the UNODC and the Cybercrime Programme Office of the Council of Europe (C-PROC);</w:t>
      </w:r>
    </w:p>
    <w:p w:rsidR="005E3DE3" w:rsidRPr="00E7124C" w:rsidRDefault="005E3DE3" w:rsidP="00CD3F9B">
      <w:pPr>
        <w:pStyle w:val="ListParagraph"/>
        <w:ind w:left="0"/>
        <w:rPr>
          <w:rFonts w:cs="Arial"/>
          <w:szCs w:val="20"/>
        </w:rPr>
      </w:pPr>
    </w:p>
    <w:p w:rsidR="005E3DE3" w:rsidRPr="00E7124C" w:rsidRDefault="005E3DE3" w:rsidP="00CD3F9B">
      <w:pPr>
        <w:pStyle w:val="ListParagraph"/>
        <w:numPr>
          <w:ilvl w:val="0"/>
          <w:numId w:val="28"/>
        </w:numPr>
        <w:ind w:left="0" w:firstLine="0"/>
        <w:contextualSpacing w:val="0"/>
        <w:rPr>
          <w:rFonts w:cs="Arial"/>
          <w:szCs w:val="20"/>
        </w:rPr>
      </w:pPr>
      <w:r w:rsidRPr="00E7124C">
        <w:rPr>
          <w:rFonts w:cs="Arial"/>
          <w:szCs w:val="20"/>
        </w:rPr>
        <w:t xml:space="preserve">the MLA Model form of the PC-OC; </w:t>
      </w:r>
    </w:p>
    <w:p w:rsidR="005E3DE3" w:rsidRPr="00E7124C" w:rsidRDefault="005E3DE3" w:rsidP="00CD3F9B">
      <w:pPr>
        <w:pStyle w:val="ListParagraph"/>
        <w:ind w:left="0"/>
        <w:rPr>
          <w:rFonts w:cs="Arial"/>
          <w:szCs w:val="20"/>
        </w:rPr>
      </w:pPr>
    </w:p>
    <w:p w:rsidR="005E3DE3" w:rsidRDefault="005E3DE3" w:rsidP="00CD3F9B">
      <w:pPr>
        <w:pStyle w:val="ListParagraph"/>
        <w:numPr>
          <w:ilvl w:val="0"/>
          <w:numId w:val="28"/>
        </w:numPr>
        <w:ind w:left="0" w:firstLine="0"/>
        <w:contextualSpacing w:val="0"/>
        <w:rPr>
          <w:rFonts w:cs="Arial"/>
          <w:szCs w:val="20"/>
        </w:rPr>
      </w:pPr>
      <w:r>
        <w:rPr>
          <w:rFonts w:cs="Arial"/>
          <w:szCs w:val="20"/>
        </w:rPr>
        <w:t xml:space="preserve">the new </w:t>
      </w:r>
      <w:r w:rsidRPr="00E7124C">
        <w:rPr>
          <w:rFonts w:cs="Arial"/>
          <w:szCs w:val="20"/>
        </w:rPr>
        <w:t>European Convention on Offences relating to Cultural Property and the ML/TF aspects of this Convention;</w:t>
      </w:r>
    </w:p>
    <w:p w:rsidR="005E3DE3" w:rsidRPr="00276951" w:rsidRDefault="005E3DE3" w:rsidP="00CD3F9B">
      <w:pPr>
        <w:pStyle w:val="ListParagraph"/>
        <w:ind w:left="0"/>
        <w:rPr>
          <w:rFonts w:cs="Arial"/>
          <w:szCs w:val="20"/>
        </w:rPr>
      </w:pPr>
    </w:p>
    <w:p w:rsidR="005E3DE3" w:rsidRPr="001745E8" w:rsidRDefault="005E3DE3" w:rsidP="00CD3F9B">
      <w:pPr>
        <w:pStyle w:val="ListParagraph"/>
        <w:numPr>
          <w:ilvl w:val="0"/>
          <w:numId w:val="28"/>
        </w:numPr>
        <w:ind w:left="0" w:firstLine="0"/>
        <w:contextualSpacing w:val="0"/>
        <w:rPr>
          <w:rFonts w:cs="Arial"/>
          <w:szCs w:val="20"/>
        </w:rPr>
      </w:pPr>
      <w:r w:rsidRPr="00E7124C">
        <w:rPr>
          <w:rFonts w:cs="Arial"/>
          <w:szCs w:val="20"/>
        </w:rPr>
        <w:t>the training for rapporteurs of the Conference of the Parties, held in Strasbourg from 15-16 July 2015;</w:t>
      </w:r>
    </w:p>
    <w:p w:rsidR="005E3DE3" w:rsidRPr="00CD3F9B" w:rsidRDefault="005E3DE3" w:rsidP="00CD3F9B">
      <w:pPr>
        <w:keepNext/>
        <w:widowControl w:val="0"/>
        <w:ind w:right="284"/>
        <w:outlineLvl w:val="1"/>
        <w:rPr>
          <w:rFonts w:cs="Arial"/>
          <w:bCs/>
          <w:caps/>
          <w:w w:val="105"/>
          <w:kern w:val="28"/>
          <w:szCs w:val="20"/>
          <w:lang w:eastAsia="zh-CN"/>
        </w:rPr>
      </w:pPr>
    </w:p>
    <w:p w:rsidR="005E3DE3" w:rsidRPr="00DC4D8A" w:rsidRDefault="005E3DE3" w:rsidP="00CD3F9B">
      <w:pPr>
        <w:pStyle w:val="ListParagraph"/>
        <w:keepNext/>
        <w:widowControl w:val="0"/>
        <w:numPr>
          <w:ilvl w:val="0"/>
          <w:numId w:val="14"/>
        </w:numPr>
        <w:ind w:left="0" w:right="284" w:firstLine="0"/>
        <w:contextualSpacing w:val="0"/>
        <w:outlineLvl w:val="1"/>
        <w:rPr>
          <w:rFonts w:ascii="Arial Bold" w:hAnsi="Arial Bold" w:cs="Arial"/>
          <w:b/>
          <w:bCs/>
          <w:caps/>
          <w:kern w:val="28"/>
          <w:szCs w:val="20"/>
          <w:lang w:eastAsia="zh-CN"/>
        </w:rPr>
      </w:pPr>
      <w:bookmarkStart w:id="68" w:name="_Toc519261956"/>
      <w:bookmarkStart w:id="69" w:name="_Toc519262120"/>
      <w:bookmarkStart w:id="70" w:name="_Toc528243616"/>
      <w:r w:rsidRPr="00DC4D8A">
        <w:rPr>
          <w:rFonts w:ascii="Arial Bold" w:hAnsi="Arial Bold" w:cs="Arial"/>
          <w:b/>
          <w:bCs/>
          <w:caps/>
          <w:kern w:val="28"/>
          <w:szCs w:val="20"/>
          <w:lang w:eastAsia="zh-CN"/>
        </w:rPr>
        <w:t>Recent developments</w:t>
      </w:r>
      <w:bookmarkEnd w:id="67"/>
      <w:bookmarkEnd w:id="68"/>
      <w:bookmarkEnd w:id="69"/>
      <w:bookmarkEnd w:id="70"/>
    </w:p>
    <w:p w:rsidR="005E3DE3" w:rsidRPr="00DC4D8A" w:rsidRDefault="005E3DE3" w:rsidP="00CD3F9B">
      <w:pPr>
        <w:keepNext/>
        <w:widowControl w:val="0"/>
        <w:ind w:right="284"/>
        <w:outlineLvl w:val="1"/>
        <w:rPr>
          <w:rFonts w:ascii="Arial Bold" w:hAnsi="Arial Bold" w:cs="Arial"/>
          <w:bCs/>
          <w:caps/>
          <w:kern w:val="28"/>
          <w:szCs w:val="20"/>
          <w:lang w:eastAsia="zh-CN"/>
        </w:rPr>
      </w:pPr>
    </w:p>
    <w:p w:rsidR="005E3DE3" w:rsidRPr="00DC4D8A" w:rsidRDefault="005E3DE3" w:rsidP="00CD3F9B">
      <w:pPr>
        <w:pStyle w:val="ListParagraph"/>
        <w:keepNext/>
        <w:numPr>
          <w:ilvl w:val="1"/>
          <w:numId w:val="14"/>
        </w:numPr>
        <w:ind w:left="0" w:firstLine="0"/>
        <w:contextualSpacing w:val="0"/>
        <w:outlineLvl w:val="1"/>
        <w:rPr>
          <w:rFonts w:ascii="Arial Bold" w:hAnsi="Arial Bold" w:cs="Arial"/>
          <w:b/>
          <w:bCs/>
          <w:iCs/>
          <w:szCs w:val="20"/>
        </w:rPr>
      </w:pPr>
      <w:bookmarkStart w:id="71" w:name="_Toc425866517"/>
      <w:bookmarkStart w:id="72" w:name="_Toc519261957"/>
      <w:bookmarkStart w:id="73" w:name="_Toc519262121"/>
      <w:bookmarkStart w:id="74" w:name="_Toc528243617"/>
      <w:r w:rsidRPr="00DC4D8A">
        <w:rPr>
          <w:rFonts w:ascii="Arial Bold" w:hAnsi="Arial Bold" w:cs="Arial"/>
          <w:b/>
          <w:bCs/>
          <w:iCs/>
          <w:szCs w:val="20"/>
        </w:rPr>
        <w:t>Review of declarations and reservations</w:t>
      </w:r>
      <w:bookmarkEnd w:id="71"/>
      <w:bookmarkEnd w:id="72"/>
      <w:bookmarkEnd w:id="73"/>
      <w:bookmarkEnd w:id="74"/>
    </w:p>
    <w:p w:rsidR="005E3DE3" w:rsidRPr="00DD3B45" w:rsidRDefault="005E3DE3" w:rsidP="00CD3F9B">
      <w:pPr>
        <w:rPr>
          <w:rFonts w:cs="Arial"/>
          <w:szCs w:val="20"/>
        </w:rPr>
      </w:pPr>
    </w:p>
    <w:p w:rsidR="005E3DE3" w:rsidRPr="000533DE" w:rsidRDefault="005E3DE3" w:rsidP="00CD3F9B">
      <w:pPr>
        <w:pStyle w:val="CMSpace"/>
        <w:numPr>
          <w:ilvl w:val="0"/>
          <w:numId w:val="27"/>
        </w:numPr>
        <w:ind w:left="0" w:firstLine="0"/>
        <w:rPr>
          <w:rFonts w:eastAsia="MS Mincho"/>
          <w:lang w:eastAsia="ar-SA"/>
        </w:rPr>
      </w:pPr>
      <w:r w:rsidRPr="000533DE">
        <w:rPr>
          <w:rFonts w:eastAsia="MS Mincho"/>
          <w:lang w:eastAsia="ar-SA"/>
        </w:rPr>
        <w:t xml:space="preserve">The </w:t>
      </w:r>
      <w:r>
        <w:rPr>
          <w:rFonts w:eastAsia="MS Mincho"/>
          <w:lang w:eastAsia="ar-SA"/>
        </w:rPr>
        <w:t>C</w:t>
      </w:r>
      <w:r w:rsidRPr="000533DE">
        <w:rPr>
          <w:rFonts w:eastAsia="MS Mincho"/>
          <w:lang w:eastAsia="ar-SA"/>
        </w:rPr>
        <w:t xml:space="preserve">onvention allows </w:t>
      </w:r>
      <w:r>
        <w:rPr>
          <w:rFonts w:eastAsia="MS Mincho"/>
          <w:lang w:eastAsia="ar-SA"/>
        </w:rPr>
        <w:t>S</w:t>
      </w:r>
      <w:r w:rsidRPr="000533DE">
        <w:rPr>
          <w:rFonts w:eastAsia="MS Mincho"/>
          <w:lang w:eastAsia="ar-SA"/>
        </w:rPr>
        <w:t xml:space="preserve">tates </w:t>
      </w:r>
      <w:r>
        <w:rPr>
          <w:rFonts w:eastAsia="MS Mincho"/>
          <w:lang w:eastAsia="ar-SA"/>
        </w:rPr>
        <w:t xml:space="preserve">Parties </w:t>
      </w:r>
      <w:r w:rsidRPr="000533DE">
        <w:rPr>
          <w:rFonts w:eastAsia="MS Mincho"/>
          <w:lang w:eastAsia="ar-SA"/>
        </w:rPr>
        <w:t xml:space="preserve">to make declarations and reservations in respect of a series of substantive provisions. Six countries have not made any declaration or reservation in respect of its substantive provisions: Albania, Belgium, Bosnia and Herzegovina, France, Montenegro and Serbia.  </w:t>
      </w:r>
    </w:p>
    <w:p w:rsidR="005E3DE3" w:rsidRPr="009444BC" w:rsidRDefault="005E3DE3" w:rsidP="00CD3F9B">
      <w:pPr>
        <w:suppressAutoHyphens/>
        <w:rPr>
          <w:rFonts w:eastAsia="MS Mincho" w:cs="Arial"/>
          <w:szCs w:val="20"/>
          <w:lang w:eastAsia="ar-SA"/>
        </w:rPr>
      </w:pPr>
    </w:p>
    <w:p w:rsidR="005E3DE3" w:rsidRDefault="005E3DE3" w:rsidP="00CD3F9B">
      <w:pPr>
        <w:pStyle w:val="ListParagraph"/>
        <w:numPr>
          <w:ilvl w:val="0"/>
          <w:numId w:val="27"/>
        </w:numPr>
        <w:suppressAutoHyphens/>
        <w:ind w:left="0" w:firstLine="0"/>
        <w:contextualSpacing w:val="0"/>
        <w:rPr>
          <w:rFonts w:eastAsia="MS Mincho" w:cs="Arial"/>
          <w:szCs w:val="20"/>
          <w:lang w:eastAsia="ar-SA"/>
        </w:rPr>
      </w:pPr>
      <w:r w:rsidRPr="003A7E4A">
        <w:rPr>
          <w:rFonts w:eastAsia="MS Mincho" w:cs="Arial"/>
          <w:szCs w:val="20"/>
          <w:lang w:eastAsia="ar-SA"/>
        </w:rPr>
        <w:t>It is worth recalling that some State</w:t>
      </w:r>
      <w:r>
        <w:rPr>
          <w:rFonts w:eastAsia="MS Mincho" w:cs="Arial"/>
          <w:szCs w:val="20"/>
          <w:lang w:eastAsia="ar-SA"/>
        </w:rPr>
        <w:t>s</w:t>
      </w:r>
      <w:r w:rsidRPr="003A7E4A">
        <w:rPr>
          <w:rFonts w:eastAsia="MS Mincho" w:cs="Arial"/>
          <w:szCs w:val="20"/>
          <w:lang w:eastAsia="ar-SA"/>
        </w:rPr>
        <w:t xml:space="preserve"> Parties removed or changed a number of their reservations and declarations, which is very welcome. As noted in the previous activity report, San Marino removed some of its reservations in 2013. </w:t>
      </w:r>
      <w:r w:rsidRPr="00D117DF">
        <w:rPr>
          <w:rFonts w:eastAsia="MS Mincho" w:cs="Arial"/>
          <w:szCs w:val="20"/>
          <w:lang w:eastAsia="ar-SA"/>
        </w:rPr>
        <w:t xml:space="preserve">In 2015, </w:t>
      </w:r>
      <w:r w:rsidRPr="002172E3">
        <w:rPr>
          <w:rFonts w:eastAsia="MS Mincho" w:cs="Arial"/>
          <w:szCs w:val="20"/>
          <w:lang w:eastAsia="ar-SA"/>
        </w:rPr>
        <w:t>the Netherlands added several reservations especially in regards to its overseas territories.</w:t>
      </w:r>
      <w:r>
        <w:rPr>
          <w:rFonts w:eastAsia="MS Mincho" w:cs="Arial"/>
          <w:szCs w:val="20"/>
          <w:lang w:eastAsia="ar-SA"/>
        </w:rPr>
        <w:t xml:space="preserve"> Many Parties declared their competent authorities under Articles 33 and 46 of the Convention, which cover the central authority and the financial intelligence unit</w:t>
      </w:r>
      <w:r w:rsidRPr="002172E3">
        <w:rPr>
          <w:rFonts w:eastAsia="MS Mincho" w:cs="Arial"/>
          <w:szCs w:val="20"/>
          <w:lang w:eastAsia="ar-SA"/>
        </w:rPr>
        <w:t xml:space="preserve"> </w:t>
      </w:r>
      <w:r>
        <w:rPr>
          <w:rFonts w:eastAsia="MS Mincho" w:cs="Arial"/>
          <w:szCs w:val="20"/>
          <w:lang w:eastAsia="ar-SA"/>
        </w:rPr>
        <w:t xml:space="preserve">respectively.   </w:t>
      </w:r>
    </w:p>
    <w:p w:rsidR="005E3DE3" w:rsidRPr="003A7E4A" w:rsidRDefault="005E3DE3" w:rsidP="00CD3F9B">
      <w:pPr>
        <w:suppressAutoHyphens/>
        <w:rPr>
          <w:rFonts w:eastAsia="MS Mincho" w:cs="Arial"/>
          <w:szCs w:val="20"/>
          <w:lang w:eastAsia="ar-SA"/>
        </w:rPr>
      </w:pPr>
    </w:p>
    <w:p w:rsidR="005E3DE3" w:rsidRPr="002172E3" w:rsidRDefault="005E3DE3" w:rsidP="00CD3F9B">
      <w:pPr>
        <w:pStyle w:val="ListParagraph"/>
        <w:numPr>
          <w:ilvl w:val="0"/>
          <w:numId w:val="27"/>
        </w:numPr>
        <w:suppressAutoHyphens/>
        <w:ind w:left="0" w:firstLine="0"/>
        <w:contextualSpacing w:val="0"/>
        <w:rPr>
          <w:rFonts w:eastAsia="MS Mincho"/>
        </w:rPr>
      </w:pPr>
      <w:r w:rsidRPr="004A2378">
        <w:rPr>
          <w:rFonts w:eastAsia="MS Mincho" w:cs="Arial"/>
          <w:szCs w:val="20"/>
          <w:lang w:eastAsia="ar-SA"/>
        </w:rPr>
        <w:t xml:space="preserve">At its eighth </w:t>
      </w:r>
      <w:r>
        <w:rPr>
          <w:rFonts w:eastAsia="MS Mincho" w:cs="Arial"/>
          <w:szCs w:val="20"/>
          <w:lang w:eastAsia="ar-SA"/>
        </w:rPr>
        <w:t xml:space="preserve">and ninth </w:t>
      </w:r>
      <w:r w:rsidRPr="004A2378">
        <w:rPr>
          <w:rFonts w:eastAsia="MS Mincho" w:cs="Arial"/>
          <w:szCs w:val="20"/>
          <w:lang w:eastAsia="ar-SA"/>
        </w:rPr>
        <w:t>meeting</w:t>
      </w:r>
      <w:r>
        <w:rPr>
          <w:rFonts w:eastAsia="MS Mincho" w:cs="Arial"/>
          <w:szCs w:val="20"/>
          <w:lang w:eastAsia="ar-SA"/>
        </w:rPr>
        <w:t xml:space="preserve"> in 2016 and 2017</w:t>
      </w:r>
      <w:r w:rsidRPr="004A2378">
        <w:rPr>
          <w:rFonts w:eastAsia="MS Mincho" w:cs="Arial"/>
          <w:szCs w:val="20"/>
          <w:lang w:eastAsia="ar-SA"/>
        </w:rPr>
        <w:t xml:space="preserve">, the </w:t>
      </w:r>
      <w:r>
        <w:rPr>
          <w:rFonts w:eastAsia="MS Mincho" w:cs="Arial"/>
          <w:szCs w:val="20"/>
          <w:lang w:eastAsia="ar-SA"/>
        </w:rPr>
        <w:t>Conference of the Parties</w:t>
      </w:r>
      <w:r w:rsidRPr="004A2378">
        <w:rPr>
          <w:rFonts w:eastAsia="MS Mincho" w:cs="Arial"/>
          <w:szCs w:val="20"/>
          <w:lang w:eastAsia="ar-SA"/>
        </w:rPr>
        <w:t xml:space="preserve"> invited all parties t</w:t>
      </w:r>
      <w:r>
        <w:rPr>
          <w:rFonts w:eastAsia="MS Mincho" w:cs="Arial"/>
          <w:szCs w:val="20"/>
          <w:lang w:eastAsia="ar-SA"/>
        </w:rPr>
        <w:t xml:space="preserve">o review their reservations </w:t>
      </w:r>
      <w:r w:rsidRPr="004A2378">
        <w:rPr>
          <w:rFonts w:eastAsia="MS Mincho" w:cs="Arial"/>
          <w:szCs w:val="20"/>
          <w:lang w:eastAsia="ar-SA"/>
        </w:rPr>
        <w:t xml:space="preserve">in order to remove those that are no longer necessary. The replies to the survey entitled “Gathering examples of cases of the use or implementation of CETS 198’s provisions” made it possible to identify the purpose of </w:t>
      </w:r>
      <w:r>
        <w:rPr>
          <w:rFonts w:eastAsia="MS Mincho" w:cs="Arial"/>
          <w:szCs w:val="20"/>
          <w:lang w:eastAsia="ar-SA"/>
        </w:rPr>
        <w:t>some</w:t>
      </w:r>
      <w:r w:rsidRPr="004A2378">
        <w:rPr>
          <w:rFonts w:eastAsia="MS Mincho" w:cs="Arial"/>
          <w:szCs w:val="20"/>
          <w:lang w:eastAsia="ar-SA"/>
        </w:rPr>
        <w:t xml:space="preserve"> reservations and the main obstacles to the implementation of several provisions such as those </w:t>
      </w:r>
      <w:r>
        <w:rPr>
          <w:rFonts w:eastAsia="MS Mincho" w:cs="Arial"/>
          <w:szCs w:val="20"/>
          <w:lang w:eastAsia="ar-SA"/>
        </w:rPr>
        <w:t>addressing the reversal</w:t>
      </w:r>
      <w:r w:rsidRPr="004A2378">
        <w:rPr>
          <w:rFonts w:eastAsia="MS Mincho" w:cs="Arial"/>
          <w:szCs w:val="20"/>
          <w:lang w:eastAsia="ar-SA"/>
        </w:rPr>
        <w:t xml:space="preserve"> burden of proof for confiscation (Article 3, paragraph 4); monitoring of bank accounts (Article 7, paragraph 2); conviction for money laundering without establishing precisely the predicate offence (Article 9, paragraph 6); postponement of transactions at the request of a party (Article 47); and provision of information by the requested FIU without</w:t>
      </w:r>
      <w:r>
        <w:rPr>
          <w:rFonts w:eastAsia="MS Mincho" w:cs="Arial"/>
          <w:szCs w:val="20"/>
          <w:lang w:eastAsia="ar-SA"/>
        </w:rPr>
        <w:t xml:space="preserve"> </w:t>
      </w:r>
      <w:r w:rsidRPr="004A2378">
        <w:rPr>
          <w:rFonts w:eastAsia="MS Mincho" w:cs="Arial"/>
          <w:szCs w:val="20"/>
          <w:lang w:val="en-US" w:eastAsia="ar-SA"/>
        </w:rPr>
        <w:t xml:space="preserve">a formal request (Article 46, paragraph 5). </w:t>
      </w:r>
      <w:r w:rsidRPr="004A2378">
        <w:rPr>
          <w:rFonts w:eastAsia="MS Mincho" w:cs="Arial"/>
          <w:szCs w:val="20"/>
          <w:lang w:eastAsia="ar-SA"/>
        </w:rPr>
        <w:t xml:space="preserve">These are mainly constitutional principles and the basic concepts of jurisdiction’s legal systems. </w:t>
      </w:r>
      <w:r w:rsidRPr="002172E3">
        <w:rPr>
          <w:rFonts w:eastAsia="MS Mincho"/>
        </w:rPr>
        <w:t xml:space="preserve">In addition, several jurisdictions made declarations/reservations in relation to the territorial application of the Convention. </w:t>
      </w:r>
    </w:p>
    <w:p w:rsidR="005E3DE3" w:rsidRPr="00DD3B45" w:rsidRDefault="005E3DE3" w:rsidP="00CD3F9B">
      <w:pPr>
        <w:autoSpaceDE w:val="0"/>
        <w:autoSpaceDN w:val="0"/>
        <w:adjustRightInd w:val="0"/>
        <w:rPr>
          <w:rFonts w:cs="Arial"/>
          <w:szCs w:val="20"/>
        </w:rPr>
      </w:pPr>
    </w:p>
    <w:p w:rsidR="00CD3F9B" w:rsidRDefault="00CD3F9B">
      <w:pPr>
        <w:rPr>
          <w:rFonts w:cs="Arial"/>
          <w:b/>
          <w:bCs/>
          <w:caps/>
          <w:w w:val="105"/>
          <w:kern w:val="28"/>
          <w:szCs w:val="20"/>
          <w:highlight w:val="lightGray"/>
          <w:lang w:eastAsia="zh-CN"/>
        </w:rPr>
      </w:pPr>
      <w:bookmarkStart w:id="75" w:name="_Toc425866519"/>
      <w:bookmarkStart w:id="76" w:name="_Toc519261958"/>
      <w:bookmarkStart w:id="77" w:name="_Toc519262122"/>
      <w:bookmarkStart w:id="78" w:name="_Toc528243618"/>
      <w:r>
        <w:rPr>
          <w:rFonts w:cs="Arial"/>
          <w:b/>
          <w:bCs/>
          <w:caps/>
          <w:w w:val="105"/>
          <w:kern w:val="28"/>
          <w:szCs w:val="20"/>
          <w:highlight w:val="lightGray"/>
          <w:lang w:eastAsia="zh-CN"/>
        </w:rPr>
        <w:br w:type="page"/>
      </w:r>
    </w:p>
    <w:p w:rsidR="005E3DE3" w:rsidRPr="00DC4D8A" w:rsidRDefault="00D47AC4" w:rsidP="00D47AC4">
      <w:pPr>
        <w:keepNext/>
        <w:widowControl w:val="0"/>
        <w:ind w:right="284"/>
        <w:outlineLvl w:val="1"/>
        <w:rPr>
          <w:rFonts w:ascii="Arial Bold" w:hAnsi="Arial Bold" w:cs="Arial"/>
          <w:b/>
          <w:bCs/>
          <w:caps/>
          <w:kern w:val="28"/>
          <w:szCs w:val="20"/>
          <w:lang w:eastAsia="zh-CN"/>
        </w:rPr>
      </w:pPr>
      <w:r w:rsidRPr="00DC4D8A">
        <w:rPr>
          <w:rFonts w:ascii="Arial Bold" w:hAnsi="Arial Bold" w:cs="Arial"/>
          <w:b/>
          <w:bCs/>
          <w:caps/>
          <w:kern w:val="28"/>
          <w:szCs w:val="20"/>
          <w:lang w:eastAsia="zh-CN"/>
        </w:rPr>
        <w:t>6.</w:t>
      </w:r>
      <w:r w:rsidRPr="00DC4D8A">
        <w:rPr>
          <w:rFonts w:ascii="Arial Bold" w:hAnsi="Arial Bold" w:cs="Arial"/>
          <w:b/>
          <w:bCs/>
          <w:caps/>
          <w:kern w:val="28"/>
          <w:szCs w:val="20"/>
          <w:lang w:eastAsia="zh-CN"/>
        </w:rPr>
        <w:tab/>
      </w:r>
      <w:r w:rsidR="005E3DE3" w:rsidRPr="00DC4D8A">
        <w:rPr>
          <w:rFonts w:ascii="Arial Bold" w:hAnsi="Arial Bold" w:cs="Arial"/>
          <w:b/>
          <w:bCs/>
          <w:caps/>
          <w:kern w:val="28"/>
          <w:szCs w:val="20"/>
          <w:lang w:eastAsia="zh-CN"/>
        </w:rPr>
        <w:t>Way forward and conclusions</w:t>
      </w:r>
      <w:bookmarkEnd w:id="75"/>
      <w:bookmarkEnd w:id="76"/>
      <w:bookmarkEnd w:id="77"/>
      <w:bookmarkEnd w:id="78"/>
    </w:p>
    <w:p w:rsidR="005E3DE3" w:rsidRPr="00DD3B45" w:rsidRDefault="005E3DE3" w:rsidP="00CD3F9B">
      <w:pPr>
        <w:autoSpaceDE w:val="0"/>
        <w:autoSpaceDN w:val="0"/>
        <w:adjustRightInd w:val="0"/>
        <w:rPr>
          <w:rFonts w:cs="Arial"/>
          <w:szCs w:val="20"/>
        </w:rPr>
      </w:pPr>
    </w:p>
    <w:p w:rsidR="005E3DE3" w:rsidRPr="00937C6A" w:rsidRDefault="005E3DE3" w:rsidP="00CD3F9B">
      <w:pPr>
        <w:pStyle w:val="ListParagraph"/>
        <w:numPr>
          <w:ilvl w:val="0"/>
          <w:numId w:val="27"/>
        </w:numPr>
        <w:autoSpaceDE w:val="0"/>
        <w:autoSpaceDN w:val="0"/>
        <w:adjustRightInd w:val="0"/>
        <w:ind w:left="0" w:firstLine="0"/>
        <w:contextualSpacing w:val="0"/>
        <w:rPr>
          <w:rFonts w:cs="Arial"/>
          <w:color w:val="272425"/>
          <w:szCs w:val="20"/>
        </w:rPr>
      </w:pPr>
      <w:r w:rsidRPr="00937C6A">
        <w:rPr>
          <w:rFonts w:cs="Arial"/>
          <w:szCs w:val="20"/>
          <w:lang w:eastAsia="en-GB"/>
        </w:rPr>
        <w:t>The Warsaw Convention, which came into force in 2008, is a corner-stone of international standards in the area of combatting money laundering and terrorist financing. The Convention</w:t>
      </w:r>
      <w:r w:rsidRPr="00937C6A">
        <w:rPr>
          <w:rFonts w:cs="Arial"/>
          <w:color w:val="272425"/>
          <w:szCs w:val="20"/>
        </w:rPr>
        <w:t xml:space="preserve"> is the only international treaty worldwide specifically devoted to combat both phenomena. A number of measures provided in the Convention go beyond the globally-agreed AML/CFT standards by the FATF, and provide for a better basis to facilitate the investigations and prosecution of money laundering and terrorist financing, as well as the fostering of international co</w:t>
      </w:r>
      <w:r w:rsidR="0086755D">
        <w:rPr>
          <w:rFonts w:cs="Arial"/>
          <w:color w:val="272425"/>
          <w:szCs w:val="20"/>
        </w:rPr>
        <w:t>-</w:t>
      </w:r>
      <w:r w:rsidRPr="00937C6A">
        <w:rPr>
          <w:rFonts w:cs="Arial"/>
          <w:color w:val="272425"/>
          <w:szCs w:val="20"/>
        </w:rPr>
        <w:t>operation in this field. While a growing number of States Parties has incorporated the strategically important provisions of the Warsaw Convention within their legal frameworks, their effective implementation still needs to produce better results. Such results mainly relate to detecting and disrupting money laundering and terrorist financing, to sanction the persons involved therein and to confiscate the illicit assets from these activities. In light of the growing number of recent ratifications of the Warsaw Convention, further staff reinforcement is needed to continue the important mandate of the COP in order to be able to fully explore the potential of the Warsaw Convention. Attracting new State</w:t>
      </w:r>
      <w:r>
        <w:rPr>
          <w:rFonts w:cs="Arial"/>
          <w:color w:val="272425"/>
          <w:szCs w:val="20"/>
        </w:rPr>
        <w:t>s</w:t>
      </w:r>
      <w:r w:rsidRPr="00937C6A">
        <w:rPr>
          <w:rFonts w:cs="Arial"/>
          <w:color w:val="272425"/>
          <w:szCs w:val="20"/>
        </w:rPr>
        <w:t xml:space="preserve"> Parties is one of the challenges for the COP, </w:t>
      </w:r>
      <w:r>
        <w:rPr>
          <w:rFonts w:cs="Arial"/>
          <w:color w:val="272425"/>
          <w:szCs w:val="20"/>
        </w:rPr>
        <w:t xml:space="preserve">as well as to </w:t>
      </w:r>
      <w:r w:rsidRPr="00937C6A">
        <w:rPr>
          <w:rFonts w:cs="Arial"/>
          <w:color w:val="272425"/>
          <w:szCs w:val="20"/>
        </w:rPr>
        <w:t xml:space="preserve">follow new trends and technologies and looking for responses </w:t>
      </w:r>
      <w:r>
        <w:rPr>
          <w:rFonts w:cs="Arial"/>
          <w:color w:val="272425"/>
          <w:szCs w:val="20"/>
        </w:rPr>
        <w:t>by</w:t>
      </w:r>
      <w:r w:rsidRPr="00937C6A">
        <w:rPr>
          <w:rFonts w:cs="Arial"/>
          <w:color w:val="272425"/>
          <w:szCs w:val="20"/>
        </w:rPr>
        <w:t xml:space="preserve"> </w:t>
      </w:r>
      <w:r>
        <w:rPr>
          <w:rFonts w:cs="Arial"/>
          <w:color w:val="272425"/>
          <w:szCs w:val="20"/>
        </w:rPr>
        <w:t xml:space="preserve">States Parties’ </w:t>
      </w:r>
      <w:r w:rsidRPr="00937C6A">
        <w:rPr>
          <w:rFonts w:cs="Arial"/>
          <w:color w:val="272425"/>
          <w:szCs w:val="20"/>
        </w:rPr>
        <w:t>criminal justice systems</w:t>
      </w:r>
      <w:r>
        <w:rPr>
          <w:rFonts w:cs="Arial"/>
          <w:color w:val="272425"/>
          <w:szCs w:val="20"/>
        </w:rPr>
        <w:t xml:space="preserve"> to them</w:t>
      </w:r>
      <w:r w:rsidRPr="00937C6A">
        <w:rPr>
          <w:rFonts w:cs="Arial"/>
          <w:color w:val="272425"/>
          <w:szCs w:val="20"/>
        </w:rPr>
        <w:t xml:space="preserve">.  </w:t>
      </w:r>
    </w:p>
    <w:p w:rsidR="005E3DE3" w:rsidRPr="00735B7D" w:rsidRDefault="005E3DE3" w:rsidP="005E3DE3">
      <w:pPr>
        <w:pStyle w:val="ListParagraph"/>
        <w:ind w:left="644"/>
        <w:jc w:val="both"/>
      </w:pPr>
    </w:p>
    <w:p w:rsidR="005E3DE3" w:rsidRPr="0058293C" w:rsidRDefault="005E3DE3" w:rsidP="005E3DE3">
      <w:pPr>
        <w:autoSpaceDE w:val="0"/>
        <w:autoSpaceDN w:val="0"/>
        <w:adjustRightInd w:val="0"/>
        <w:rPr>
          <w:rFonts w:cs="Arial"/>
          <w:szCs w:val="20"/>
        </w:rPr>
      </w:pPr>
    </w:p>
    <w:p w:rsidR="005E3DE3" w:rsidRDefault="005E3DE3">
      <w:pPr>
        <w:rPr>
          <w:rFonts w:cs="Arial"/>
          <w:szCs w:val="20"/>
        </w:rPr>
      </w:pPr>
      <w:r>
        <w:rPr>
          <w:rFonts w:cs="Arial"/>
          <w:szCs w:val="20"/>
        </w:rPr>
        <w:br w:type="page"/>
      </w:r>
    </w:p>
    <w:p w:rsidR="005E3DE3" w:rsidRPr="00CD3F9B" w:rsidRDefault="00D47AC4" w:rsidP="00D47AC4">
      <w:pPr>
        <w:pStyle w:val="Heading1"/>
        <w:numPr>
          <w:ilvl w:val="0"/>
          <w:numId w:val="0"/>
        </w:numPr>
        <w:spacing w:after="0"/>
        <w:rPr>
          <w:color w:val="auto"/>
          <w:sz w:val="20"/>
        </w:rPr>
      </w:pPr>
      <w:bookmarkStart w:id="79" w:name="_Toc425866520"/>
      <w:bookmarkStart w:id="80" w:name="_Toc519262123"/>
      <w:bookmarkStart w:id="81" w:name="_Toc528243619"/>
      <w:r>
        <w:rPr>
          <w:color w:val="auto"/>
          <w:sz w:val="20"/>
        </w:rPr>
        <w:t>V.</w:t>
      </w:r>
      <w:r>
        <w:rPr>
          <w:color w:val="auto"/>
          <w:sz w:val="20"/>
        </w:rPr>
        <w:tab/>
      </w:r>
      <w:r w:rsidR="005E3DE3" w:rsidRPr="00CD3F9B">
        <w:rPr>
          <w:color w:val="auto"/>
          <w:sz w:val="20"/>
        </w:rPr>
        <w:t>APPENDIX</w:t>
      </w:r>
      <w:bookmarkEnd w:id="79"/>
      <w:bookmarkEnd w:id="80"/>
      <w:bookmarkEnd w:id="81"/>
    </w:p>
    <w:p w:rsidR="005E3DE3" w:rsidRPr="00CD3F9B" w:rsidRDefault="005E3DE3" w:rsidP="00CD3F9B">
      <w:pPr>
        <w:rPr>
          <w:rFonts w:cs="Arial"/>
          <w:b/>
          <w:bCs/>
          <w:iCs/>
          <w:szCs w:val="20"/>
        </w:rPr>
      </w:pPr>
      <w:bookmarkStart w:id="82" w:name="_Toc425866521"/>
    </w:p>
    <w:p w:rsidR="005E3DE3" w:rsidRPr="00CD3F9B" w:rsidRDefault="005E3DE3" w:rsidP="00CD3F9B">
      <w:pPr>
        <w:rPr>
          <w:rFonts w:cs="Arial"/>
          <w:b/>
          <w:bCs/>
          <w:iCs/>
          <w:szCs w:val="20"/>
        </w:rPr>
      </w:pPr>
      <w:r w:rsidRPr="00CD3F9B">
        <w:rPr>
          <w:rFonts w:cs="Arial"/>
          <w:b/>
          <w:bCs/>
          <w:iCs/>
          <w:szCs w:val="20"/>
        </w:rPr>
        <w:t xml:space="preserve">Signatures and ratifications of </w:t>
      </w:r>
      <w:bookmarkEnd w:id="82"/>
      <w:r w:rsidRPr="00CD3F9B">
        <w:rPr>
          <w:rFonts w:cs="Arial"/>
          <w:b/>
          <w:bCs/>
          <w:iCs/>
          <w:szCs w:val="20"/>
        </w:rPr>
        <w:t>the Warsaw Convention</w:t>
      </w:r>
    </w:p>
    <w:p w:rsidR="005E3DE3" w:rsidRPr="00CD3F9B" w:rsidRDefault="005E3DE3" w:rsidP="005E3DE3">
      <w:pPr>
        <w:rPr>
          <w:rFonts w:cs="Arial"/>
          <w:szCs w:val="20"/>
        </w:rPr>
      </w:pPr>
    </w:p>
    <w:tbl>
      <w:tblPr>
        <w:tblW w:w="5000" w:type="pct"/>
        <w:tblCellSpacing w:w="15" w:type="dxa"/>
        <w:tblInd w:w="30" w:type="dxa"/>
        <w:tblLook w:val="04A0" w:firstRow="1" w:lastRow="0" w:firstColumn="1" w:lastColumn="0" w:noHBand="0" w:noVBand="1"/>
      </w:tblPr>
      <w:tblGrid>
        <w:gridCol w:w="4822"/>
        <w:gridCol w:w="4823"/>
      </w:tblGrid>
      <w:tr w:rsidR="005E3DE3" w:rsidRPr="00CD3F9B" w:rsidTr="008271EF">
        <w:trPr>
          <w:tblCellSpacing w:w="15" w:type="dxa"/>
        </w:trPr>
        <w:tc>
          <w:tcPr>
            <w:tcW w:w="2476" w:type="pct"/>
            <w:tcMar>
              <w:top w:w="15" w:type="dxa"/>
              <w:left w:w="15" w:type="dxa"/>
              <w:bottom w:w="15" w:type="dxa"/>
              <w:right w:w="15" w:type="dxa"/>
            </w:tcMar>
            <w:vAlign w:val="center"/>
            <w:hideMark/>
          </w:tcPr>
          <w:p w:rsidR="005E3DE3" w:rsidRPr="00CD3F9B" w:rsidRDefault="005E3DE3" w:rsidP="008271EF">
            <w:pPr>
              <w:jc w:val="center"/>
              <w:rPr>
                <w:rFonts w:cs="Arial"/>
                <w:b/>
                <w:bCs/>
                <w:szCs w:val="20"/>
              </w:rPr>
            </w:pPr>
            <w:r w:rsidRPr="00CD3F9B">
              <w:rPr>
                <w:rFonts w:cs="Arial"/>
                <w:b/>
                <w:bCs/>
                <w:szCs w:val="20"/>
              </w:rPr>
              <w:t>Opening for signature</w:t>
            </w:r>
          </w:p>
        </w:tc>
        <w:tc>
          <w:tcPr>
            <w:tcW w:w="2476" w:type="pct"/>
            <w:tcMar>
              <w:top w:w="15" w:type="dxa"/>
              <w:left w:w="15" w:type="dxa"/>
              <w:bottom w:w="15" w:type="dxa"/>
              <w:right w:w="15" w:type="dxa"/>
            </w:tcMar>
            <w:vAlign w:val="center"/>
            <w:hideMark/>
          </w:tcPr>
          <w:p w:rsidR="005E3DE3" w:rsidRPr="00CD3F9B" w:rsidRDefault="005E3DE3" w:rsidP="008271EF">
            <w:pPr>
              <w:jc w:val="center"/>
              <w:rPr>
                <w:rFonts w:cs="Arial"/>
                <w:b/>
                <w:bCs/>
                <w:szCs w:val="20"/>
              </w:rPr>
            </w:pPr>
            <w:r w:rsidRPr="00CD3F9B">
              <w:rPr>
                <w:rFonts w:cs="Arial"/>
                <w:b/>
                <w:bCs/>
                <w:szCs w:val="20"/>
              </w:rPr>
              <w:t>Entry into force</w:t>
            </w:r>
          </w:p>
        </w:tc>
      </w:tr>
      <w:tr w:rsidR="005E3DE3" w:rsidRPr="00CD3F9B" w:rsidTr="008271EF">
        <w:trPr>
          <w:tblCellSpacing w:w="15" w:type="dxa"/>
        </w:trPr>
        <w:tc>
          <w:tcPr>
            <w:tcW w:w="2476" w:type="pct"/>
            <w:tcMar>
              <w:top w:w="15" w:type="dxa"/>
              <w:left w:w="15" w:type="dxa"/>
              <w:bottom w:w="15" w:type="dxa"/>
              <w:right w:w="15" w:type="dxa"/>
            </w:tcMar>
            <w:vAlign w:val="center"/>
            <w:hideMark/>
          </w:tcPr>
          <w:p w:rsidR="005E3DE3" w:rsidRPr="00CD3F9B" w:rsidRDefault="005E3DE3" w:rsidP="008271EF">
            <w:pPr>
              <w:jc w:val="center"/>
              <w:rPr>
                <w:rFonts w:cs="Arial"/>
                <w:szCs w:val="20"/>
              </w:rPr>
            </w:pPr>
            <w:r w:rsidRPr="00CD3F9B">
              <w:rPr>
                <w:rFonts w:cs="Arial"/>
                <w:szCs w:val="20"/>
              </w:rPr>
              <w:t>Place: Warsaw</w:t>
            </w:r>
            <w:r w:rsidRPr="00CD3F9B">
              <w:rPr>
                <w:rFonts w:cs="Arial"/>
                <w:szCs w:val="20"/>
              </w:rPr>
              <w:br/>
              <w:t>Date : 16/5/2005</w:t>
            </w:r>
          </w:p>
        </w:tc>
        <w:tc>
          <w:tcPr>
            <w:tcW w:w="2476" w:type="pct"/>
            <w:tcMar>
              <w:top w:w="15" w:type="dxa"/>
              <w:left w:w="15" w:type="dxa"/>
              <w:bottom w:w="15" w:type="dxa"/>
              <w:right w:w="15" w:type="dxa"/>
            </w:tcMar>
            <w:vAlign w:val="center"/>
            <w:hideMark/>
          </w:tcPr>
          <w:p w:rsidR="005E3DE3" w:rsidRPr="00CD3F9B" w:rsidRDefault="005E3DE3" w:rsidP="008271EF">
            <w:pPr>
              <w:jc w:val="center"/>
              <w:rPr>
                <w:rFonts w:cs="Arial"/>
                <w:szCs w:val="20"/>
              </w:rPr>
            </w:pPr>
            <w:r w:rsidRPr="00CD3F9B">
              <w:rPr>
                <w:rFonts w:cs="Arial"/>
                <w:szCs w:val="20"/>
              </w:rPr>
              <w:t xml:space="preserve">Conditions: 6 Ratifications including </w:t>
            </w:r>
            <w:r w:rsidRPr="00CD3F9B">
              <w:rPr>
                <w:rFonts w:cs="Arial"/>
                <w:szCs w:val="20"/>
              </w:rPr>
              <w:br/>
              <w:t xml:space="preserve">4 </w:t>
            </w:r>
            <w:r w:rsidR="008271EF">
              <w:rPr>
                <w:rFonts w:cs="Arial"/>
                <w:szCs w:val="20"/>
              </w:rPr>
              <w:t>m</w:t>
            </w:r>
            <w:r w:rsidRPr="00CD3F9B">
              <w:rPr>
                <w:rFonts w:cs="Arial"/>
                <w:szCs w:val="20"/>
              </w:rPr>
              <w:t>ember States</w:t>
            </w:r>
          </w:p>
          <w:p w:rsidR="005E3DE3" w:rsidRPr="00CD3F9B" w:rsidRDefault="005E3DE3" w:rsidP="008271EF">
            <w:pPr>
              <w:jc w:val="center"/>
              <w:rPr>
                <w:rFonts w:cs="Arial"/>
                <w:szCs w:val="20"/>
              </w:rPr>
            </w:pPr>
            <w:r w:rsidRPr="00CD3F9B">
              <w:rPr>
                <w:rFonts w:cs="Arial"/>
                <w:szCs w:val="20"/>
              </w:rPr>
              <w:t>Date : 1/5/2008</w:t>
            </w:r>
          </w:p>
        </w:tc>
      </w:tr>
    </w:tbl>
    <w:p w:rsidR="005E3DE3" w:rsidRPr="00CD3F9B" w:rsidRDefault="005E3DE3" w:rsidP="005E3DE3">
      <w:pPr>
        <w:rPr>
          <w:rFonts w:cs="Arial"/>
          <w:b/>
          <w:bCs/>
          <w:szCs w:val="20"/>
        </w:rPr>
      </w:pPr>
    </w:p>
    <w:p w:rsidR="005E3DE3" w:rsidRPr="00CD3F9B" w:rsidRDefault="005E3DE3" w:rsidP="005E3DE3">
      <w:pPr>
        <w:jc w:val="center"/>
        <w:rPr>
          <w:rFonts w:cs="Arial"/>
          <w:b/>
          <w:bCs/>
          <w:szCs w:val="20"/>
        </w:rPr>
      </w:pPr>
      <w:r w:rsidRPr="00CD3F9B">
        <w:rPr>
          <w:rFonts w:cs="Arial"/>
          <w:b/>
          <w:bCs/>
          <w:szCs w:val="20"/>
        </w:rPr>
        <w:t>Status as of: 25/10/2018</w:t>
      </w:r>
    </w:p>
    <w:p w:rsidR="005E3DE3" w:rsidRPr="00CD3F9B" w:rsidRDefault="005E3DE3" w:rsidP="005E3DE3">
      <w:pPr>
        <w:jc w:val="center"/>
        <w:rPr>
          <w:rFonts w:cs="Arial"/>
          <w:b/>
          <w:bCs/>
          <w:szCs w:val="20"/>
        </w:rPr>
      </w:pPr>
    </w:p>
    <w:p w:rsidR="005E3DE3" w:rsidRPr="00CD3F9B" w:rsidRDefault="005E3DE3" w:rsidP="005E3DE3">
      <w:pPr>
        <w:spacing w:after="60"/>
        <w:rPr>
          <w:rFonts w:cs="Arial"/>
          <w:b/>
          <w:szCs w:val="20"/>
        </w:rPr>
      </w:pPr>
      <w:r w:rsidRPr="00CD3F9B">
        <w:rPr>
          <w:rFonts w:cs="Arial"/>
          <w:b/>
          <w:szCs w:val="20"/>
        </w:rPr>
        <w:t>Member States of the Council of Europe</w:t>
      </w:r>
    </w:p>
    <w:tbl>
      <w:tblPr>
        <w:tblStyle w:val="TableGrid"/>
        <w:tblW w:w="5000" w:type="pct"/>
        <w:tbl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insideH w:val="single" w:sz="12" w:space="0" w:color="548DD4" w:themeColor="text2" w:themeTint="99"/>
          <w:insideV w:val="single" w:sz="12" w:space="0" w:color="548DD4" w:themeColor="text2" w:themeTint="99"/>
        </w:tblBorders>
        <w:tblLook w:val="04A0" w:firstRow="1" w:lastRow="0" w:firstColumn="1" w:lastColumn="0" w:noHBand="0" w:noVBand="1"/>
      </w:tblPr>
      <w:tblGrid>
        <w:gridCol w:w="4472"/>
        <w:gridCol w:w="1556"/>
        <w:gridCol w:w="1472"/>
        <w:gridCol w:w="2271"/>
      </w:tblGrid>
      <w:tr w:rsidR="005E3DE3" w:rsidRPr="00CD3F9B" w:rsidTr="00CD3F9B">
        <w:trPr>
          <w:trHeight w:val="225"/>
        </w:trPr>
        <w:tc>
          <w:tcPr>
            <w:tcW w:w="2288" w:type="pct"/>
            <w:shd w:val="clear" w:color="auto" w:fill="8DB3E2" w:themeFill="text2" w:themeFillTint="66"/>
          </w:tcPr>
          <w:p w:rsidR="005E3DE3" w:rsidRPr="00CD3F9B" w:rsidRDefault="005E3DE3" w:rsidP="008271EF">
            <w:pPr>
              <w:spacing w:before="60" w:after="60"/>
              <w:rPr>
                <w:rFonts w:cs="Arial"/>
                <w:szCs w:val="20"/>
              </w:rPr>
            </w:pPr>
          </w:p>
        </w:tc>
        <w:tc>
          <w:tcPr>
            <w:tcW w:w="796" w:type="pct"/>
            <w:shd w:val="clear" w:color="auto" w:fill="8DB3E2" w:themeFill="text2" w:themeFillTint="66"/>
          </w:tcPr>
          <w:p w:rsidR="005E3DE3" w:rsidRPr="00CD3F9B" w:rsidRDefault="005E3DE3" w:rsidP="008271EF">
            <w:pPr>
              <w:spacing w:before="60" w:after="60"/>
              <w:rPr>
                <w:rFonts w:cs="Arial"/>
                <w:b/>
                <w:szCs w:val="20"/>
              </w:rPr>
            </w:pPr>
            <w:bookmarkStart w:id="83" w:name="lt_pId873"/>
            <w:r w:rsidRPr="00CD3F9B">
              <w:rPr>
                <w:rFonts w:cs="Arial"/>
                <w:b/>
                <w:szCs w:val="20"/>
              </w:rPr>
              <w:t>Signatu</w:t>
            </w:r>
            <w:bookmarkEnd w:id="83"/>
            <w:r w:rsidRPr="00CD3F9B">
              <w:rPr>
                <w:rFonts w:cs="Arial"/>
                <w:b/>
                <w:szCs w:val="20"/>
              </w:rPr>
              <w:t>re</w:t>
            </w:r>
          </w:p>
        </w:tc>
        <w:tc>
          <w:tcPr>
            <w:tcW w:w="753" w:type="pct"/>
            <w:shd w:val="clear" w:color="auto" w:fill="8DB3E2" w:themeFill="text2" w:themeFillTint="66"/>
          </w:tcPr>
          <w:p w:rsidR="005E3DE3" w:rsidRPr="00CD3F9B" w:rsidRDefault="005E3DE3" w:rsidP="008271EF">
            <w:pPr>
              <w:spacing w:before="60" w:after="60"/>
              <w:rPr>
                <w:rFonts w:cs="Arial"/>
                <w:b/>
                <w:szCs w:val="20"/>
              </w:rPr>
            </w:pPr>
            <w:bookmarkStart w:id="84" w:name="lt_pId874"/>
            <w:r w:rsidRPr="00CD3F9B">
              <w:rPr>
                <w:rFonts w:cs="Arial"/>
                <w:b/>
                <w:szCs w:val="20"/>
              </w:rPr>
              <w:t>Ratification</w:t>
            </w:r>
            <w:bookmarkEnd w:id="84"/>
          </w:p>
        </w:tc>
        <w:tc>
          <w:tcPr>
            <w:tcW w:w="1162" w:type="pct"/>
            <w:shd w:val="clear" w:color="auto" w:fill="8DB3E2" w:themeFill="text2" w:themeFillTint="66"/>
          </w:tcPr>
          <w:p w:rsidR="005E3DE3" w:rsidRPr="00CD3F9B" w:rsidRDefault="005E3DE3" w:rsidP="008271EF">
            <w:pPr>
              <w:spacing w:before="60" w:after="60"/>
              <w:rPr>
                <w:rFonts w:cs="Arial"/>
                <w:b/>
                <w:szCs w:val="20"/>
              </w:rPr>
            </w:pPr>
            <w:bookmarkStart w:id="85" w:name="lt_pId875"/>
            <w:r w:rsidRPr="00CD3F9B">
              <w:rPr>
                <w:rFonts w:cs="Arial"/>
                <w:b/>
                <w:szCs w:val="20"/>
              </w:rPr>
              <w:t xml:space="preserve">Entrée en </w:t>
            </w:r>
            <w:proofErr w:type="spellStart"/>
            <w:r w:rsidRPr="00CD3F9B">
              <w:rPr>
                <w:rFonts w:cs="Arial"/>
                <w:b/>
                <w:szCs w:val="20"/>
              </w:rPr>
              <w:t>vigueur</w:t>
            </w:r>
            <w:bookmarkEnd w:id="85"/>
            <w:proofErr w:type="spellEnd"/>
          </w:p>
        </w:tc>
      </w:tr>
      <w:tr w:rsidR="005E3DE3" w:rsidRPr="00CD3F9B" w:rsidTr="00CD3F9B">
        <w:trPr>
          <w:trHeight w:val="240"/>
        </w:trPr>
        <w:tc>
          <w:tcPr>
            <w:tcW w:w="2288" w:type="pct"/>
            <w:vAlign w:val="center"/>
            <w:hideMark/>
          </w:tcPr>
          <w:p w:rsidR="005E3DE3" w:rsidRPr="00CD3F9B" w:rsidRDefault="005E3DE3" w:rsidP="008271EF">
            <w:pPr>
              <w:rPr>
                <w:rFonts w:cs="Arial"/>
                <w:szCs w:val="20"/>
              </w:rPr>
            </w:pPr>
            <w:r w:rsidRPr="00CD3F9B">
              <w:rPr>
                <w:rFonts w:cs="Arial"/>
                <w:szCs w:val="20"/>
              </w:rPr>
              <w:t xml:space="preserve">Albania </w:t>
            </w:r>
          </w:p>
        </w:tc>
        <w:tc>
          <w:tcPr>
            <w:tcW w:w="796" w:type="pct"/>
            <w:vAlign w:val="center"/>
            <w:hideMark/>
          </w:tcPr>
          <w:p w:rsidR="005E3DE3" w:rsidRPr="00CD3F9B" w:rsidRDefault="005E3DE3" w:rsidP="008271EF">
            <w:pPr>
              <w:rPr>
                <w:rFonts w:cs="Arial"/>
                <w:szCs w:val="20"/>
              </w:rPr>
            </w:pPr>
            <w:r w:rsidRPr="00CD3F9B">
              <w:rPr>
                <w:rFonts w:cs="Arial"/>
                <w:szCs w:val="20"/>
              </w:rPr>
              <w:t xml:space="preserve">22/12/2005 </w:t>
            </w:r>
          </w:p>
        </w:tc>
        <w:tc>
          <w:tcPr>
            <w:tcW w:w="753" w:type="pct"/>
            <w:vAlign w:val="center"/>
            <w:hideMark/>
          </w:tcPr>
          <w:p w:rsidR="005E3DE3" w:rsidRPr="00CD3F9B" w:rsidRDefault="005E3DE3" w:rsidP="008271EF">
            <w:pPr>
              <w:rPr>
                <w:rFonts w:cs="Arial"/>
                <w:szCs w:val="20"/>
              </w:rPr>
            </w:pPr>
            <w:r w:rsidRPr="00CD3F9B">
              <w:rPr>
                <w:rFonts w:cs="Arial"/>
                <w:szCs w:val="20"/>
              </w:rPr>
              <w:t xml:space="preserve">06/02/2007 </w:t>
            </w:r>
          </w:p>
        </w:tc>
        <w:tc>
          <w:tcPr>
            <w:tcW w:w="1162" w:type="pct"/>
            <w:vAlign w:val="center"/>
            <w:hideMark/>
          </w:tcPr>
          <w:p w:rsidR="005E3DE3" w:rsidRPr="00CD3F9B" w:rsidRDefault="005E3DE3" w:rsidP="008271EF">
            <w:pPr>
              <w:rPr>
                <w:rFonts w:cs="Arial"/>
                <w:szCs w:val="20"/>
              </w:rPr>
            </w:pPr>
            <w:r w:rsidRPr="00CD3F9B">
              <w:rPr>
                <w:rFonts w:cs="Arial"/>
                <w:szCs w:val="20"/>
              </w:rPr>
              <w:t xml:space="preserve">01/05/2008 </w:t>
            </w:r>
          </w:p>
        </w:tc>
      </w:tr>
      <w:tr w:rsidR="005E3DE3" w:rsidRPr="00CD3F9B" w:rsidTr="00CD3F9B">
        <w:trPr>
          <w:trHeight w:val="225"/>
        </w:trPr>
        <w:tc>
          <w:tcPr>
            <w:tcW w:w="2288" w:type="pct"/>
            <w:vAlign w:val="center"/>
            <w:hideMark/>
          </w:tcPr>
          <w:p w:rsidR="005E3DE3" w:rsidRPr="00CD3F9B" w:rsidRDefault="005E3DE3" w:rsidP="008271EF">
            <w:pPr>
              <w:rPr>
                <w:rFonts w:cs="Arial"/>
                <w:szCs w:val="20"/>
              </w:rPr>
            </w:pPr>
            <w:r w:rsidRPr="00CD3F9B">
              <w:rPr>
                <w:rFonts w:cs="Arial"/>
                <w:szCs w:val="20"/>
              </w:rPr>
              <w:t xml:space="preserve">Andorra </w:t>
            </w:r>
          </w:p>
        </w:tc>
        <w:tc>
          <w:tcPr>
            <w:tcW w:w="796" w:type="pct"/>
            <w:vAlign w:val="center"/>
            <w:hideMark/>
          </w:tcPr>
          <w:p w:rsidR="005E3DE3" w:rsidRPr="00CD3F9B" w:rsidRDefault="005E3DE3" w:rsidP="008271EF">
            <w:pPr>
              <w:rPr>
                <w:rFonts w:cs="Arial"/>
                <w:szCs w:val="20"/>
              </w:rPr>
            </w:pPr>
          </w:p>
        </w:tc>
        <w:tc>
          <w:tcPr>
            <w:tcW w:w="753" w:type="pct"/>
            <w:vAlign w:val="center"/>
            <w:hideMark/>
          </w:tcPr>
          <w:p w:rsidR="005E3DE3" w:rsidRPr="00CD3F9B" w:rsidRDefault="005E3DE3" w:rsidP="008271EF">
            <w:pPr>
              <w:rPr>
                <w:rFonts w:cs="Arial"/>
                <w:szCs w:val="20"/>
              </w:rPr>
            </w:pPr>
          </w:p>
        </w:tc>
        <w:tc>
          <w:tcPr>
            <w:tcW w:w="1162" w:type="pct"/>
            <w:vAlign w:val="center"/>
            <w:hideMark/>
          </w:tcPr>
          <w:p w:rsidR="005E3DE3" w:rsidRPr="00CD3F9B" w:rsidRDefault="005E3DE3" w:rsidP="008271EF">
            <w:pPr>
              <w:rPr>
                <w:rFonts w:cs="Arial"/>
                <w:szCs w:val="20"/>
              </w:rPr>
            </w:pPr>
          </w:p>
        </w:tc>
      </w:tr>
      <w:tr w:rsidR="005E3DE3" w:rsidRPr="00CD3F9B" w:rsidTr="00CD3F9B">
        <w:trPr>
          <w:trHeight w:val="240"/>
        </w:trPr>
        <w:tc>
          <w:tcPr>
            <w:tcW w:w="2288" w:type="pct"/>
            <w:vAlign w:val="center"/>
            <w:hideMark/>
          </w:tcPr>
          <w:p w:rsidR="005E3DE3" w:rsidRPr="00CD3F9B" w:rsidRDefault="005E3DE3" w:rsidP="008271EF">
            <w:pPr>
              <w:rPr>
                <w:rFonts w:cs="Arial"/>
                <w:szCs w:val="20"/>
              </w:rPr>
            </w:pPr>
            <w:r w:rsidRPr="00CD3F9B">
              <w:rPr>
                <w:rFonts w:cs="Arial"/>
                <w:szCs w:val="20"/>
              </w:rPr>
              <w:t xml:space="preserve">Armenia </w:t>
            </w:r>
          </w:p>
        </w:tc>
        <w:tc>
          <w:tcPr>
            <w:tcW w:w="796" w:type="pct"/>
            <w:vAlign w:val="center"/>
            <w:hideMark/>
          </w:tcPr>
          <w:p w:rsidR="005E3DE3" w:rsidRPr="00CD3F9B" w:rsidRDefault="005E3DE3" w:rsidP="008271EF">
            <w:pPr>
              <w:rPr>
                <w:rFonts w:cs="Arial"/>
                <w:szCs w:val="20"/>
              </w:rPr>
            </w:pPr>
            <w:r w:rsidRPr="00CD3F9B">
              <w:rPr>
                <w:rFonts w:cs="Arial"/>
                <w:szCs w:val="20"/>
              </w:rPr>
              <w:t xml:space="preserve">17/11/2005 </w:t>
            </w:r>
          </w:p>
        </w:tc>
        <w:tc>
          <w:tcPr>
            <w:tcW w:w="753" w:type="pct"/>
            <w:vAlign w:val="center"/>
            <w:hideMark/>
          </w:tcPr>
          <w:p w:rsidR="005E3DE3" w:rsidRPr="00CD3F9B" w:rsidRDefault="005E3DE3" w:rsidP="008271EF">
            <w:pPr>
              <w:rPr>
                <w:rFonts w:cs="Arial"/>
                <w:szCs w:val="20"/>
              </w:rPr>
            </w:pPr>
            <w:r w:rsidRPr="00CD3F9B">
              <w:rPr>
                <w:rFonts w:cs="Arial"/>
                <w:szCs w:val="20"/>
              </w:rPr>
              <w:t xml:space="preserve">02/06/2008 </w:t>
            </w:r>
          </w:p>
        </w:tc>
        <w:tc>
          <w:tcPr>
            <w:tcW w:w="1162" w:type="pct"/>
            <w:vAlign w:val="center"/>
            <w:hideMark/>
          </w:tcPr>
          <w:p w:rsidR="005E3DE3" w:rsidRPr="00CD3F9B" w:rsidRDefault="005E3DE3" w:rsidP="008271EF">
            <w:pPr>
              <w:rPr>
                <w:rFonts w:cs="Arial"/>
                <w:szCs w:val="20"/>
              </w:rPr>
            </w:pPr>
            <w:r w:rsidRPr="00CD3F9B">
              <w:rPr>
                <w:rFonts w:cs="Arial"/>
                <w:szCs w:val="20"/>
              </w:rPr>
              <w:t xml:space="preserve">01/10/2008 </w:t>
            </w:r>
          </w:p>
        </w:tc>
      </w:tr>
      <w:tr w:rsidR="005E3DE3" w:rsidRPr="00CD3F9B" w:rsidTr="00CD3F9B">
        <w:trPr>
          <w:trHeight w:val="240"/>
        </w:trPr>
        <w:tc>
          <w:tcPr>
            <w:tcW w:w="2288" w:type="pct"/>
            <w:vAlign w:val="center"/>
            <w:hideMark/>
          </w:tcPr>
          <w:p w:rsidR="005E3DE3" w:rsidRPr="00CD3F9B" w:rsidRDefault="005E3DE3" w:rsidP="008271EF">
            <w:pPr>
              <w:rPr>
                <w:rFonts w:cs="Arial"/>
                <w:szCs w:val="20"/>
              </w:rPr>
            </w:pPr>
            <w:r w:rsidRPr="00CD3F9B">
              <w:rPr>
                <w:rFonts w:cs="Arial"/>
                <w:szCs w:val="20"/>
              </w:rPr>
              <w:t xml:space="preserve">Austria </w:t>
            </w:r>
          </w:p>
        </w:tc>
        <w:tc>
          <w:tcPr>
            <w:tcW w:w="796" w:type="pct"/>
            <w:vAlign w:val="center"/>
            <w:hideMark/>
          </w:tcPr>
          <w:p w:rsidR="005E3DE3" w:rsidRPr="00CD3F9B" w:rsidRDefault="005E3DE3" w:rsidP="008271EF">
            <w:pPr>
              <w:rPr>
                <w:rFonts w:cs="Arial"/>
                <w:szCs w:val="20"/>
              </w:rPr>
            </w:pPr>
            <w:r w:rsidRPr="00CD3F9B">
              <w:rPr>
                <w:rFonts w:cs="Arial"/>
                <w:szCs w:val="20"/>
              </w:rPr>
              <w:t xml:space="preserve">16/05/2005 </w:t>
            </w:r>
          </w:p>
        </w:tc>
        <w:tc>
          <w:tcPr>
            <w:tcW w:w="753" w:type="pct"/>
            <w:vAlign w:val="center"/>
            <w:hideMark/>
          </w:tcPr>
          <w:p w:rsidR="005E3DE3" w:rsidRPr="00CD3F9B" w:rsidRDefault="005E3DE3" w:rsidP="008271EF">
            <w:pPr>
              <w:rPr>
                <w:rFonts w:cs="Arial"/>
                <w:szCs w:val="20"/>
              </w:rPr>
            </w:pPr>
          </w:p>
        </w:tc>
        <w:tc>
          <w:tcPr>
            <w:tcW w:w="1162" w:type="pct"/>
            <w:vAlign w:val="center"/>
            <w:hideMark/>
          </w:tcPr>
          <w:p w:rsidR="005E3DE3" w:rsidRPr="00CD3F9B" w:rsidRDefault="005E3DE3" w:rsidP="008271EF">
            <w:pPr>
              <w:rPr>
                <w:rFonts w:cs="Arial"/>
                <w:szCs w:val="20"/>
              </w:rPr>
            </w:pPr>
          </w:p>
        </w:tc>
      </w:tr>
      <w:tr w:rsidR="005E3DE3" w:rsidRPr="00CD3F9B" w:rsidTr="00CD3F9B">
        <w:trPr>
          <w:trHeight w:val="225"/>
        </w:trPr>
        <w:tc>
          <w:tcPr>
            <w:tcW w:w="2288" w:type="pct"/>
            <w:vAlign w:val="center"/>
            <w:hideMark/>
          </w:tcPr>
          <w:p w:rsidR="005E3DE3" w:rsidRPr="00CD3F9B" w:rsidRDefault="005E3DE3" w:rsidP="008271EF">
            <w:pPr>
              <w:rPr>
                <w:rFonts w:cs="Arial"/>
                <w:szCs w:val="20"/>
              </w:rPr>
            </w:pPr>
            <w:r w:rsidRPr="00CD3F9B">
              <w:rPr>
                <w:rFonts w:cs="Arial"/>
                <w:szCs w:val="20"/>
              </w:rPr>
              <w:t xml:space="preserve">Azerbaijan </w:t>
            </w:r>
          </w:p>
        </w:tc>
        <w:tc>
          <w:tcPr>
            <w:tcW w:w="796" w:type="pct"/>
            <w:vAlign w:val="center"/>
            <w:hideMark/>
          </w:tcPr>
          <w:p w:rsidR="005E3DE3" w:rsidRPr="00CD3F9B" w:rsidRDefault="005E3DE3" w:rsidP="008271EF">
            <w:pPr>
              <w:rPr>
                <w:rFonts w:cs="Arial"/>
                <w:szCs w:val="20"/>
              </w:rPr>
            </w:pPr>
            <w:r w:rsidRPr="00CD3F9B">
              <w:rPr>
                <w:rFonts w:cs="Arial"/>
                <w:szCs w:val="20"/>
              </w:rPr>
              <w:t>07/11/2016</w:t>
            </w:r>
          </w:p>
        </w:tc>
        <w:tc>
          <w:tcPr>
            <w:tcW w:w="753" w:type="pct"/>
            <w:vAlign w:val="center"/>
            <w:hideMark/>
          </w:tcPr>
          <w:p w:rsidR="005E3DE3" w:rsidRPr="00CD3F9B" w:rsidRDefault="005E3DE3" w:rsidP="008271EF">
            <w:pPr>
              <w:rPr>
                <w:rFonts w:cs="Arial"/>
                <w:szCs w:val="20"/>
              </w:rPr>
            </w:pPr>
            <w:r w:rsidRPr="00CD3F9B">
              <w:rPr>
                <w:rFonts w:cs="Arial"/>
                <w:szCs w:val="20"/>
              </w:rPr>
              <w:t>09/08/2017</w:t>
            </w:r>
          </w:p>
        </w:tc>
        <w:tc>
          <w:tcPr>
            <w:tcW w:w="1162" w:type="pct"/>
            <w:vAlign w:val="center"/>
            <w:hideMark/>
          </w:tcPr>
          <w:p w:rsidR="005E3DE3" w:rsidRPr="00CD3F9B" w:rsidRDefault="005E3DE3" w:rsidP="008271EF">
            <w:pPr>
              <w:rPr>
                <w:rFonts w:cs="Arial"/>
                <w:szCs w:val="20"/>
              </w:rPr>
            </w:pPr>
            <w:r w:rsidRPr="00CD3F9B">
              <w:rPr>
                <w:rFonts w:cs="Arial"/>
                <w:szCs w:val="20"/>
              </w:rPr>
              <w:t>01/12/2017</w:t>
            </w:r>
          </w:p>
        </w:tc>
      </w:tr>
      <w:tr w:rsidR="005E3DE3" w:rsidRPr="00CD3F9B" w:rsidTr="00CD3F9B">
        <w:trPr>
          <w:trHeight w:val="240"/>
        </w:trPr>
        <w:tc>
          <w:tcPr>
            <w:tcW w:w="2288" w:type="pct"/>
            <w:vAlign w:val="center"/>
            <w:hideMark/>
          </w:tcPr>
          <w:p w:rsidR="005E3DE3" w:rsidRPr="00CD3F9B" w:rsidRDefault="005E3DE3" w:rsidP="008271EF">
            <w:pPr>
              <w:rPr>
                <w:rFonts w:cs="Arial"/>
                <w:szCs w:val="20"/>
              </w:rPr>
            </w:pPr>
            <w:r w:rsidRPr="00CD3F9B">
              <w:rPr>
                <w:rFonts w:cs="Arial"/>
                <w:szCs w:val="20"/>
              </w:rPr>
              <w:t xml:space="preserve">Belgium </w:t>
            </w:r>
          </w:p>
        </w:tc>
        <w:tc>
          <w:tcPr>
            <w:tcW w:w="796" w:type="pct"/>
            <w:vAlign w:val="center"/>
            <w:hideMark/>
          </w:tcPr>
          <w:p w:rsidR="005E3DE3" w:rsidRPr="00CD3F9B" w:rsidRDefault="005E3DE3" w:rsidP="008271EF">
            <w:pPr>
              <w:rPr>
                <w:rFonts w:cs="Arial"/>
                <w:szCs w:val="20"/>
              </w:rPr>
            </w:pPr>
            <w:r w:rsidRPr="00CD3F9B">
              <w:rPr>
                <w:rFonts w:cs="Arial"/>
                <w:szCs w:val="20"/>
              </w:rPr>
              <w:t xml:space="preserve">16/05/2005 </w:t>
            </w:r>
          </w:p>
        </w:tc>
        <w:tc>
          <w:tcPr>
            <w:tcW w:w="753" w:type="pct"/>
            <w:vAlign w:val="center"/>
            <w:hideMark/>
          </w:tcPr>
          <w:p w:rsidR="005E3DE3" w:rsidRPr="00CD3F9B" w:rsidRDefault="005E3DE3" w:rsidP="008271EF">
            <w:pPr>
              <w:rPr>
                <w:rFonts w:cs="Arial"/>
                <w:szCs w:val="20"/>
              </w:rPr>
            </w:pPr>
            <w:r w:rsidRPr="00CD3F9B">
              <w:rPr>
                <w:rFonts w:cs="Arial"/>
                <w:szCs w:val="20"/>
              </w:rPr>
              <w:t xml:space="preserve">17/09/2009 </w:t>
            </w:r>
          </w:p>
        </w:tc>
        <w:tc>
          <w:tcPr>
            <w:tcW w:w="1162" w:type="pct"/>
            <w:vAlign w:val="center"/>
            <w:hideMark/>
          </w:tcPr>
          <w:p w:rsidR="005E3DE3" w:rsidRPr="00CD3F9B" w:rsidRDefault="005E3DE3" w:rsidP="008271EF">
            <w:pPr>
              <w:rPr>
                <w:rFonts w:cs="Arial"/>
                <w:szCs w:val="20"/>
              </w:rPr>
            </w:pPr>
            <w:r w:rsidRPr="00CD3F9B">
              <w:rPr>
                <w:rFonts w:cs="Arial"/>
                <w:szCs w:val="20"/>
              </w:rPr>
              <w:t xml:space="preserve">01/01/2010 </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Bosnia and Herzegovina </w:t>
            </w:r>
          </w:p>
        </w:tc>
        <w:tc>
          <w:tcPr>
            <w:tcW w:w="796" w:type="pct"/>
            <w:vAlign w:val="center"/>
          </w:tcPr>
          <w:p w:rsidR="005E3DE3" w:rsidRPr="00CD3F9B" w:rsidRDefault="005E3DE3" w:rsidP="008271EF">
            <w:pPr>
              <w:rPr>
                <w:rFonts w:cs="Arial"/>
                <w:szCs w:val="20"/>
              </w:rPr>
            </w:pPr>
            <w:r w:rsidRPr="00CD3F9B">
              <w:rPr>
                <w:rFonts w:cs="Arial"/>
                <w:szCs w:val="20"/>
              </w:rPr>
              <w:t xml:space="preserve">19/01/2006 </w:t>
            </w:r>
          </w:p>
        </w:tc>
        <w:tc>
          <w:tcPr>
            <w:tcW w:w="753" w:type="pct"/>
            <w:vAlign w:val="center"/>
          </w:tcPr>
          <w:p w:rsidR="005E3DE3" w:rsidRPr="00CD3F9B" w:rsidRDefault="005E3DE3" w:rsidP="008271EF">
            <w:pPr>
              <w:rPr>
                <w:rFonts w:cs="Arial"/>
                <w:szCs w:val="20"/>
              </w:rPr>
            </w:pPr>
            <w:r w:rsidRPr="00CD3F9B">
              <w:rPr>
                <w:rFonts w:cs="Arial"/>
                <w:szCs w:val="20"/>
              </w:rPr>
              <w:t xml:space="preserve">11/01/2008 </w:t>
            </w:r>
          </w:p>
        </w:tc>
        <w:tc>
          <w:tcPr>
            <w:tcW w:w="1162" w:type="pct"/>
            <w:vAlign w:val="center"/>
          </w:tcPr>
          <w:p w:rsidR="005E3DE3" w:rsidRPr="00CD3F9B" w:rsidRDefault="005E3DE3" w:rsidP="008271EF">
            <w:pPr>
              <w:rPr>
                <w:rFonts w:cs="Arial"/>
                <w:szCs w:val="20"/>
              </w:rPr>
            </w:pPr>
            <w:r w:rsidRPr="00CD3F9B">
              <w:rPr>
                <w:rFonts w:cs="Arial"/>
                <w:szCs w:val="20"/>
              </w:rPr>
              <w:t xml:space="preserve">01/05/2008 </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Bulgaria </w:t>
            </w:r>
          </w:p>
        </w:tc>
        <w:tc>
          <w:tcPr>
            <w:tcW w:w="796" w:type="pct"/>
            <w:vAlign w:val="center"/>
          </w:tcPr>
          <w:p w:rsidR="005E3DE3" w:rsidRPr="00CD3F9B" w:rsidRDefault="005E3DE3" w:rsidP="008271EF">
            <w:pPr>
              <w:rPr>
                <w:rFonts w:cs="Arial"/>
                <w:szCs w:val="20"/>
              </w:rPr>
            </w:pPr>
            <w:r w:rsidRPr="00CD3F9B">
              <w:rPr>
                <w:rFonts w:cs="Arial"/>
                <w:szCs w:val="20"/>
              </w:rPr>
              <w:t xml:space="preserve">22/11/2006 </w:t>
            </w:r>
          </w:p>
        </w:tc>
        <w:tc>
          <w:tcPr>
            <w:tcW w:w="753" w:type="pct"/>
            <w:vAlign w:val="center"/>
          </w:tcPr>
          <w:p w:rsidR="005E3DE3" w:rsidRPr="00CD3F9B" w:rsidRDefault="005E3DE3" w:rsidP="008271EF">
            <w:pPr>
              <w:rPr>
                <w:rFonts w:cs="Arial"/>
                <w:szCs w:val="20"/>
              </w:rPr>
            </w:pPr>
            <w:r w:rsidRPr="00CD3F9B">
              <w:rPr>
                <w:rFonts w:cs="Arial"/>
                <w:szCs w:val="20"/>
              </w:rPr>
              <w:t xml:space="preserve">25/02/2013 </w:t>
            </w:r>
          </w:p>
        </w:tc>
        <w:tc>
          <w:tcPr>
            <w:tcW w:w="1162" w:type="pct"/>
            <w:vAlign w:val="center"/>
          </w:tcPr>
          <w:p w:rsidR="005E3DE3" w:rsidRPr="00CD3F9B" w:rsidRDefault="005E3DE3" w:rsidP="008271EF">
            <w:pPr>
              <w:rPr>
                <w:rFonts w:cs="Arial"/>
                <w:szCs w:val="20"/>
              </w:rPr>
            </w:pPr>
            <w:r w:rsidRPr="00CD3F9B">
              <w:rPr>
                <w:rFonts w:cs="Arial"/>
                <w:szCs w:val="20"/>
              </w:rPr>
              <w:t xml:space="preserve">01/06/2013 </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Croatia </w:t>
            </w:r>
          </w:p>
        </w:tc>
        <w:tc>
          <w:tcPr>
            <w:tcW w:w="796" w:type="pct"/>
            <w:vAlign w:val="center"/>
          </w:tcPr>
          <w:p w:rsidR="005E3DE3" w:rsidRPr="00CD3F9B" w:rsidRDefault="005E3DE3" w:rsidP="008271EF">
            <w:pPr>
              <w:rPr>
                <w:rFonts w:cs="Arial"/>
                <w:szCs w:val="20"/>
              </w:rPr>
            </w:pPr>
            <w:r w:rsidRPr="00CD3F9B">
              <w:rPr>
                <w:rFonts w:cs="Arial"/>
                <w:szCs w:val="20"/>
              </w:rPr>
              <w:t xml:space="preserve">29/04/2008 </w:t>
            </w:r>
          </w:p>
        </w:tc>
        <w:tc>
          <w:tcPr>
            <w:tcW w:w="753" w:type="pct"/>
            <w:vAlign w:val="center"/>
          </w:tcPr>
          <w:p w:rsidR="005E3DE3" w:rsidRPr="00CD3F9B" w:rsidRDefault="005E3DE3" w:rsidP="008271EF">
            <w:pPr>
              <w:rPr>
                <w:rFonts w:cs="Arial"/>
                <w:szCs w:val="20"/>
              </w:rPr>
            </w:pPr>
            <w:r w:rsidRPr="00CD3F9B">
              <w:rPr>
                <w:rFonts w:cs="Arial"/>
                <w:szCs w:val="20"/>
              </w:rPr>
              <w:t xml:space="preserve">10/10/2008 </w:t>
            </w:r>
          </w:p>
        </w:tc>
        <w:tc>
          <w:tcPr>
            <w:tcW w:w="1162" w:type="pct"/>
            <w:vAlign w:val="center"/>
          </w:tcPr>
          <w:p w:rsidR="005E3DE3" w:rsidRPr="00CD3F9B" w:rsidRDefault="005E3DE3" w:rsidP="008271EF">
            <w:pPr>
              <w:rPr>
                <w:rFonts w:cs="Arial"/>
                <w:szCs w:val="20"/>
              </w:rPr>
            </w:pPr>
            <w:r w:rsidRPr="00CD3F9B">
              <w:rPr>
                <w:rFonts w:cs="Arial"/>
                <w:szCs w:val="20"/>
              </w:rPr>
              <w:t xml:space="preserve">01/02/2009 </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Cyprus </w:t>
            </w:r>
          </w:p>
        </w:tc>
        <w:tc>
          <w:tcPr>
            <w:tcW w:w="796" w:type="pct"/>
            <w:vAlign w:val="center"/>
          </w:tcPr>
          <w:p w:rsidR="005E3DE3" w:rsidRPr="00CD3F9B" w:rsidRDefault="005E3DE3" w:rsidP="008271EF">
            <w:pPr>
              <w:rPr>
                <w:rFonts w:cs="Arial"/>
                <w:szCs w:val="20"/>
              </w:rPr>
            </w:pPr>
            <w:r w:rsidRPr="00CD3F9B">
              <w:rPr>
                <w:rFonts w:cs="Arial"/>
                <w:szCs w:val="20"/>
              </w:rPr>
              <w:t xml:space="preserve">16/05/2005 </w:t>
            </w:r>
          </w:p>
        </w:tc>
        <w:tc>
          <w:tcPr>
            <w:tcW w:w="753" w:type="pct"/>
            <w:vAlign w:val="center"/>
          </w:tcPr>
          <w:p w:rsidR="005E3DE3" w:rsidRPr="00CD3F9B" w:rsidRDefault="005E3DE3" w:rsidP="008271EF">
            <w:pPr>
              <w:rPr>
                <w:rFonts w:cs="Arial"/>
                <w:szCs w:val="20"/>
              </w:rPr>
            </w:pPr>
            <w:r w:rsidRPr="00CD3F9B">
              <w:rPr>
                <w:rFonts w:cs="Arial"/>
                <w:szCs w:val="20"/>
              </w:rPr>
              <w:t xml:space="preserve">27/03/2009 </w:t>
            </w:r>
          </w:p>
        </w:tc>
        <w:tc>
          <w:tcPr>
            <w:tcW w:w="1162" w:type="pct"/>
            <w:vAlign w:val="center"/>
          </w:tcPr>
          <w:p w:rsidR="005E3DE3" w:rsidRPr="00CD3F9B" w:rsidRDefault="005E3DE3" w:rsidP="008271EF">
            <w:pPr>
              <w:rPr>
                <w:rFonts w:cs="Arial"/>
                <w:szCs w:val="20"/>
              </w:rPr>
            </w:pPr>
            <w:r w:rsidRPr="00CD3F9B">
              <w:rPr>
                <w:rFonts w:cs="Arial"/>
                <w:szCs w:val="20"/>
              </w:rPr>
              <w:t xml:space="preserve">01/07/2009 </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Czech Republic </w:t>
            </w:r>
          </w:p>
        </w:tc>
        <w:tc>
          <w:tcPr>
            <w:tcW w:w="796" w:type="pct"/>
            <w:vAlign w:val="center"/>
          </w:tcPr>
          <w:p w:rsidR="005E3DE3" w:rsidRPr="00CD3F9B" w:rsidRDefault="005E3DE3" w:rsidP="008271EF">
            <w:pPr>
              <w:rPr>
                <w:rFonts w:cs="Arial"/>
                <w:szCs w:val="20"/>
              </w:rPr>
            </w:pPr>
          </w:p>
        </w:tc>
        <w:tc>
          <w:tcPr>
            <w:tcW w:w="753" w:type="pct"/>
            <w:vAlign w:val="center"/>
          </w:tcPr>
          <w:p w:rsidR="005E3DE3" w:rsidRPr="00CD3F9B" w:rsidRDefault="005E3DE3" w:rsidP="008271EF">
            <w:pPr>
              <w:rPr>
                <w:rFonts w:cs="Arial"/>
                <w:szCs w:val="20"/>
              </w:rPr>
            </w:pPr>
          </w:p>
        </w:tc>
        <w:tc>
          <w:tcPr>
            <w:tcW w:w="1162" w:type="pct"/>
            <w:vAlign w:val="center"/>
          </w:tcPr>
          <w:p w:rsidR="005E3DE3" w:rsidRPr="00CD3F9B" w:rsidRDefault="005E3DE3" w:rsidP="008271EF">
            <w:pPr>
              <w:rPr>
                <w:rFonts w:cs="Arial"/>
                <w:szCs w:val="20"/>
              </w:rPr>
            </w:pP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Denmark </w:t>
            </w:r>
          </w:p>
        </w:tc>
        <w:tc>
          <w:tcPr>
            <w:tcW w:w="796" w:type="pct"/>
            <w:vAlign w:val="center"/>
          </w:tcPr>
          <w:p w:rsidR="005E3DE3" w:rsidRPr="00CD3F9B" w:rsidRDefault="005E3DE3" w:rsidP="008271EF">
            <w:pPr>
              <w:rPr>
                <w:rFonts w:cs="Arial"/>
                <w:szCs w:val="20"/>
              </w:rPr>
            </w:pPr>
            <w:r w:rsidRPr="00CD3F9B">
              <w:rPr>
                <w:rFonts w:cs="Arial"/>
                <w:szCs w:val="20"/>
              </w:rPr>
              <w:t xml:space="preserve">28/09/2012 </w:t>
            </w:r>
          </w:p>
        </w:tc>
        <w:tc>
          <w:tcPr>
            <w:tcW w:w="753" w:type="pct"/>
            <w:vAlign w:val="center"/>
          </w:tcPr>
          <w:p w:rsidR="005E3DE3" w:rsidRPr="00CD3F9B" w:rsidRDefault="005E3DE3" w:rsidP="008271EF">
            <w:pPr>
              <w:rPr>
                <w:rFonts w:cs="Arial"/>
                <w:szCs w:val="20"/>
              </w:rPr>
            </w:pPr>
            <w:r w:rsidRPr="00CD3F9B">
              <w:rPr>
                <w:rFonts w:cs="Arial"/>
                <w:szCs w:val="20"/>
              </w:rPr>
              <w:t>12/02/2018</w:t>
            </w:r>
          </w:p>
        </w:tc>
        <w:tc>
          <w:tcPr>
            <w:tcW w:w="1162" w:type="pct"/>
            <w:vAlign w:val="center"/>
          </w:tcPr>
          <w:p w:rsidR="005E3DE3" w:rsidRPr="00CD3F9B" w:rsidRDefault="005E3DE3" w:rsidP="008271EF">
            <w:pPr>
              <w:rPr>
                <w:rFonts w:cs="Arial"/>
                <w:szCs w:val="20"/>
              </w:rPr>
            </w:pPr>
            <w:r w:rsidRPr="00CD3F9B">
              <w:rPr>
                <w:rFonts w:cs="Arial"/>
                <w:szCs w:val="20"/>
              </w:rPr>
              <w:t>01/06/2018</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Estonia </w:t>
            </w:r>
          </w:p>
        </w:tc>
        <w:tc>
          <w:tcPr>
            <w:tcW w:w="796" w:type="pct"/>
            <w:vAlign w:val="center"/>
          </w:tcPr>
          <w:p w:rsidR="005E3DE3" w:rsidRPr="00CD3F9B" w:rsidRDefault="005E3DE3" w:rsidP="008271EF">
            <w:pPr>
              <w:rPr>
                <w:rFonts w:cs="Arial"/>
                <w:szCs w:val="20"/>
              </w:rPr>
            </w:pPr>
            <w:r w:rsidRPr="00CD3F9B">
              <w:rPr>
                <w:rFonts w:cs="Arial"/>
                <w:szCs w:val="20"/>
              </w:rPr>
              <w:t xml:space="preserve">07/03/2013 </w:t>
            </w:r>
          </w:p>
        </w:tc>
        <w:tc>
          <w:tcPr>
            <w:tcW w:w="753" w:type="pct"/>
            <w:vAlign w:val="center"/>
          </w:tcPr>
          <w:p w:rsidR="005E3DE3" w:rsidRPr="00CD3F9B" w:rsidRDefault="005E3DE3" w:rsidP="008271EF">
            <w:pPr>
              <w:rPr>
                <w:rFonts w:cs="Arial"/>
                <w:szCs w:val="20"/>
              </w:rPr>
            </w:pPr>
          </w:p>
        </w:tc>
        <w:tc>
          <w:tcPr>
            <w:tcW w:w="1162" w:type="pct"/>
            <w:vAlign w:val="center"/>
          </w:tcPr>
          <w:p w:rsidR="005E3DE3" w:rsidRPr="00CD3F9B" w:rsidRDefault="005E3DE3" w:rsidP="008271EF">
            <w:pPr>
              <w:rPr>
                <w:rFonts w:cs="Arial"/>
                <w:szCs w:val="20"/>
              </w:rPr>
            </w:pP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Finland </w:t>
            </w:r>
          </w:p>
        </w:tc>
        <w:tc>
          <w:tcPr>
            <w:tcW w:w="796" w:type="pct"/>
            <w:vAlign w:val="center"/>
          </w:tcPr>
          <w:p w:rsidR="005E3DE3" w:rsidRPr="00CD3F9B" w:rsidRDefault="005E3DE3" w:rsidP="008271EF">
            <w:pPr>
              <w:rPr>
                <w:rFonts w:cs="Arial"/>
                <w:szCs w:val="20"/>
              </w:rPr>
            </w:pPr>
            <w:r w:rsidRPr="00CD3F9B">
              <w:rPr>
                <w:rFonts w:cs="Arial"/>
                <w:szCs w:val="20"/>
              </w:rPr>
              <w:t xml:space="preserve">16/12/2005 </w:t>
            </w:r>
          </w:p>
        </w:tc>
        <w:tc>
          <w:tcPr>
            <w:tcW w:w="753" w:type="pct"/>
            <w:vAlign w:val="center"/>
          </w:tcPr>
          <w:p w:rsidR="005E3DE3" w:rsidRPr="00CD3F9B" w:rsidRDefault="005E3DE3" w:rsidP="008271EF">
            <w:pPr>
              <w:rPr>
                <w:rFonts w:cs="Arial"/>
                <w:szCs w:val="20"/>
              </w:rPr>
            </w:pPr>
          </w:p>
        </w:tc>
        <w:tc>
          <w:tcPr>
            <w:tcW w:w="1162" w:type="pct"/>
            <w:vAlign w:val="center"/>
          </w:tcPr>
          <w:p w:rsidR="005E3DE3" w:rsidRPr="00CD3F9B" w:rsidRDefault="005E3DE3" w:rsidP="008271EF">
            <w:pPr>
              <w:rPr>
                <w:rFonts w:cs="Arial"/>
                <w:szCs w:val="20"/>
              </w:rPr>
            </w:pP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France </w:t>
            </w:r>
          </w:p>
        </w:tc>
        <w:tc>
          <w:tcPr>
            <w:tcW w:w="796" w:type="pct"/>
            <w:vAlign w:val="center"/>
          </w:tcPr>
          <w:p w:rsidR="005E3DE3" w:rsidRPr="00CD3F9B" w:rsidRDefault="005E3DE3" w:rsidP="008271EF">
            <w:pPr>
              <w:rPr>
                <w:rFonts w:cs="Arial"/>
                <w:szCs w:val="20"/>
              </w:rPr>
            </w:pPr>
            <w:r w:rsidRPr="00CD3F9B">
              <w:rPr>
                <w:rFonts w:cs="Arial"/>
                <w:szCs w:val="20"/>
              </w:rPr>
              <w:t xml:space="preserve">23/03/2011 </w:t>
            </w:r>
          </w:p>
        </w:tc>
        <w:tc>
          <w:tcPr>
            <w:tcW w:w="753" w:type="pct"/>
            <w:vAlign w:val="center"/>
          </w:tcPr>
          <w:p w:rsidR="005E3DE3" w:rsidRPr="00CD3F9B" w:rsidRDefault="005E3DE3" w:rsidP="008271EF">
            <w:pPr>
              <w:rPr>
                <w:rFonts w:cs="Arial"/>
                <w:szCs w:val="20"/>
              </w:rPr>
            </w:pPr>
            <w:r w:rsidRPr="00CD3F9B">
              <w:rPr>
                <w:rFonts w:cs="Arial"/>
                <w:szCs w:val="20"/>
              </w:rPr>
              <w:t>08/12/2015</w:t>
            </w:r>
          </w:p>
        </w:tc>
        <w:tc>
          <w:tcPr>
            <w:tcW w:w="1162" w:type="pct"/>
            <w:vAlign w:val="center"/>
          </w:tcPr>
          <w:p w:rsidR="005E3DE3" w:rsidRPr="00CD3F9B" w:rsidRDefault="005E3DE3" w:rsidP="008271EF">
            <w:pPr>
              <w:rPr>
                <w:rFonts w:cs="Arial"/>
                <w:szCs w:val="20"/>
              </w:rPr>
            </w:pPr>
            <w:r w:rsidRPr="00CD3F9B">
              <w:rPr>
                <w:rFonts w:cs="Arial"/>
                <w:szCs w:val="20"/>
              </w:rPr>
              <w:t>01/04/2016</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Georgia </w:t>
            </w:r>
          </w:p>
        </w:tc>
        <w:tc>
          <w:tcPr>
            <w:tcW w:w="796" w:type="pct"/>
            <w:vAlign w:val="center"/>
          </w:tcPr>
          <w:p w:rsidR="005E3DE3" w:rsidRPr="00CD3F9B" w:rsidRDefault="005E3DE3" w:rsidP="008271EF">
            <w:pPr>
              <w:rPr>
                <w:rFonts w:cs="Arial"/>
                <w:szCs w:val="20"/>
              </w:rPr>
            </w:pPr>
            <w:r w:rsidRPr="00CD3F9B">
              <w:rPr>
                <w:rFonts w:cs="Arial"/>
                <w:szCs w:val="20"/>
              </w:rPr>
              <w:t xml:space="preserve">25/03/2013 </w:t>
            </w:r>
          </w:p>
        </w:tc>
        <w:tc>
          <w:tcPr>
            <w:tcW w:w="753" w:type="pct"/>
            <w:vAlign w:val="center"/>
          </w:tcPr>
          <w:p w:rsidR="005E3DE3" w:rsidRPr="00CD3F9B" w:rsidRDefault="005E3DE3" w:rsidP="008271EF">
            <w:pPr>
              <w:rPr>
                <w:rFonts w:cs="Arial"/>
                <w:szCs w:val="20"/>
              </w:rPr>
            </w:pPr>
            <w:r w:rsidRPr="00CD3F9B">
              <w:rPr>
                <w:rFonts w:cs="Arial"/>
                <w:szCs w:val="20"/>
              </w:rPr>
              <w:t xml:space="preserve">10/01/2014 </w:t>
            </w:r>
          </w:p>
        </w:tc>
        <w:tc>
          <w:tcPr>
            <w:tcW w:w="1162" w:type="pct"/>
            <w:vAlign w:val="center"/>
          </w:tcPr>
          <w:p w:rsidR="005E3DE3" w:rsidRPr="00CD3F9B" w:rsidRDefault="005E3DE3" w:rsidP="008271EF">
            <w:pPr>
              <w:rPr>
                <w:rFonts w:cs="Arial"/>
                <w:szCs w:val="20"/>
              </w:rPr>
            </w:pPr>
            <w:r w:rsidRPr="00CD3F9B">
              <w:rPr>
                <w:rFonts w:cs="Arial"/>
                <w:szCs w:val="20"/>
              </w:rPr>
              <w:t xml:space="preserve">01/05/2014 </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Germany </w:t>
            </w:r>
          </w:p>
        </w:tc>
        <w:tc>
          <w:tcPr>
            <w:tcW w:w="796" w:type="pct"/>
            <w:vAlign w:val="center"/>
          </w:tcPr>
          <w:p w:rsidR="005E3DE3" w:rsidRPr="00CD3F9B" w:rsidRDefault="005E3DE3" w:rsidP="008271EF">
            <w:pPr>
              <w:rPr>
                <w:rFonts w:cs="Arial"/>
                <w:szCs w:val="20"/>
              </w:rPr>
            </w:pPr>
            <w:r w:rsidRPr="00CD3F9B">
              <w:rPr>
                <w:rFonts w:cs="Arial"/>
                <w:szCs w:val="20"/>
              </w:rPr>
              <w:t>28/01/2016</w:t>
            </w:r>
          </w:p>
        </w:tc>
        <w:tc>
          <w:tcPr>
            <w:tcW w:w="753" w:type="pct"/>
            <w:vAlign w:val="center"/>
          </w:tcPr>
          <w:p w:rsidR="005E3DE3" w:rsidRPr="00CD3F9B" w:rsidRDefault="005E3DE3" w:rsidP="008271EF">
            <w:pPr>
              <w:rPr>
                <w:rFonts w:cs="Arial"/>
                <w:szCs w:val="20"/>
              </w:rPr>
            </w:pPr>
            <w:r w:rsidRPr="00CD3F9B">
              <w:rPr>
                <w:rFonts w:cs="Arial"/>
                <w:szCs w:val="20"/>
              </w:rPr>
              <w:t>20/06/2017</w:t>
            </w:r>
          </w:p>
        </w:tc>
        <w:tc>
          <w:tcPr>
            <w:tcW w:w="1162" w:type="pct"/>
            <w:vAlign w:val="center"/>
          </w:tcPr>
          <w:p w:rsidR="005E3DE3" w:rsidRPr="00CD3F9B" w:rsidRDefault="005E3DE3" w:rsidP="008271EF">
            <w:pPr>
              <w:rPr>
                <w:rFonts w:cs="Arial"/>
                <w:szCs w:val="20"/>
              </w:rPr>
            </w:pPr>
            <w:r w:rsidRPr="00CD3F9B">
              <w:rPr>
                <w:rFonts w:cs="Arial"/>
                <w:szCs w:val="20"/>
              </w:rPr>
              <w:t>01/10/2017</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Greece </w:t>
            </w:r>
          </w:p>
        </w:tc>
        <w:tc>
          <w:tcPr>
            <w:tcW w:w="796" w:type="pct"/>
            <w:vAlign w:val="center"/>
          </w:tcPr>
          <w:p w:rsidR="005E3DE3" w:rsidRPr="00CD3F9B" w:rsidRDefault="005E3DE3" w:rsidP="008271EF">
            <w:pPr>
              <w:rPr>
                <w:rFonts w:cs="Arial"/>
                <w:szCs w:val="20"/>
              </w:rPr>
            </w:pPr>
            <w:r w:rsidRPr="00CD3F9B">
              <w:rPr>
                <w:rFonts w:cs="Arial"/>
                <w:szCs w:val="20"/>
              </w:rPr>
              <w:t xml:space="preserve">12/10/2006 </w:t>
            </w:r>
          </w:p>
        </w:tc>
        <w:tc>
          <w:tcPr>
            <w:tcW w:w="753" w:type="pct"/>
            <w:vAlign w:val="center"/>
          </w:tcPr>
          <w:p w:rsidR="005E3DE3" w:rsidRPr="00CD3F9B" w:rsidRDefault="005E3DE3" w:rsidP="008271EF">
            <w:pPr>
              <w:rPr>
                <w:rFonts w:cs="Arial"/>
                <w:szCs w:val="20"/>
              </w:rPr>
            </w:pPr>
            <w:r w:rsidRPr="00CD3F9B">
              <w:rPr>
                <w:rFonts w:cs="Arial"/>
                <w:szCs w:val="20"/>
              </w:rPr>
              <w:t>07/11/2017</w:t>
            </w:r>
          </w:p>
        </w:tc>
        <w:tc>
          <w:tcPr>
            <w:tcW w:w="1162" w:type="pct"/>
            <w:vAlign w:val="center"/>
          </w:tcPr>
          <w:p w:rsidR="005E3DE3" w:rsidRPr="00CD3F9B" w:rsidRDefault="005E3DE3" w:rsidP="008271EF">
            <w:pPr>
              <w:rPr>
                <w:rFonts w:cs="Arial"/>
                <w:szCs w:val="20"/>
              </w:rPr>
            </w:pPr>
            <w:r w:rsidRPr="00CD3F9B">
              <w:rPr>
                <w:rFonts w:cs="Arial"/>
                <w:szCs w:val="20"/>
              </w:rPr>
              <w:t>01/03/2018</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Hungary </w:t>
            </w:r>
          </w:p>
        </w:tc>
        <w:tc>
          <w:tcPr>
            <w:tcW w:w="796" w:type="pct"/>
            <w:vAlign w:val="center"/>
          </w:tcPr>
          <w:p w:rsidR="005E3DE3" w:rsidRPr="00CD3F9B" w:rsidRDefault="005E3DE3" w:rsidP="008271EF">
            <w:pPr>
              <w:rPr>
                <w:rFonts w:cs="Arial"/>
                <w:szCs w:val="20"/>
              </w:rPr>
            </w:pPr>
            <w:r w:rsidRPr="00CD3F9B">
              <w:rPr>
                <w:rFonts w:cs="Arial"/>
                <w:szCs w:val="20"/>
              </w:rPr>
              <w:t xml:space="preserve">14/04/2009 </w:t>
            </w:r>
          </w:p>
        </w:tc>
        <w:tc>
          <w:tcPr>
            <w:tcW w:w="753" w:type="pct"/>
            <w:vAlign w:val="center"/>
          </w:tcPr>
          <w:p w:rsidR="005E3DE3" w:rsidRPr="00CD3F9B" w:rsidRDefault="005E3DE3" w:rsidP="008271EF">
            <w:pPr>
              <w:rPr>
                <w:rFonts w:cs="Arial"/>
                <w:szCs w:val="20"/>
              </w:rPr>
            </w:pPr>
            <w:r w:rsidRPr="00CD3F9B">
              <w:rPr>
                <w:rFonts w:cs="Arial"/>
                <w:szCs w:val="20"/>
              </w:rPr>
              <w:t xml:space="preserve">14/04/2009 </w:t>
            </w:r>
          </w:p>
        </w:tc>
        <w:tc>
          <w:tcPr>
            <w:tcW w:w="1162" w:type="pct"/>
            <w:vAlign w:val="center"/>
          </w:tcPr>
          <w:p w:rsidR="005E3DE3" w:rsidRPr="00CD3F9B" w:rsidRDefault="005E3DE3" w:rsidP="008271EF">
            <w:pPr>
              <w:rPr>
                <w:rFonts w:cs="Arial"/>
                <w:szCs w:val="20"/>
              </w:rPr>
            </w:pPr>
            <w:r w:rsidRPr="00CD3F9B">
              <w:rPr>
                <w:rFonts w:cs="Arial"/>
                <w:szCs w:val="20"/>
              </w:rPr>
              <w:t xml:space="preserve">01/08/2009 </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Iceland </w:t>
            </w:r>
          </w:p>
        </w:tc>
        <w:tc>
          <w:tcPr>
            <w:tcW w:w="796" w:type="pct"/>
            <w:vAlign w:val="center"/>
          </w:tcPr>
          <w:p w:rsidR="005E3DE3" w:rsidRPr="00CD3F9B" w:rsidRDefault="005E3DE3" w:rsidP="008271EF">
            <w:pPr>
              <w:rPr>
                <w:rFonts w:cs="Arial"/>
                <w:szCs w:val="20"/>
              </w:rPr>
            </w:pPr>
            <w:r w:rsidRPr="00CD3F9B">
              <w:rPr>
                <w:rFonts w:cs="Arial"/>
                <w:szCs w:val="20"/>
              </w:rPr>
              <w:t xml:space="preserve">16/05/2005 </w:t>
            </w:r>
          </w:p>
        </w:tc>
        <w:tc>
          <w:tcPr>
            <w:tcW w:w="753" w:type="pct"/>
            <w:vAlign w:val="center"/>
          </w:tcPr>
          <w:p w:rsidR="005E3DE3" w:rsidRPr="00CD3F9B" w:rsidRDefault="005E3DE3" w:rsidP="008271EF">
            <w:pPr>
              <w:rPr>
                <w:rFonts w:cs="Arial"/>
                <w:szCs w:val="20"/>
              </w:rPr>
            </w:pPr>
          </w:p>
        </w:tc>
        <w:tc>
          <w:tcPr>
            <w:tcW w:w="1162" w:type="pct"/>
            <w:vAlign w:val="center"/>
          </w:tcPr>
          <w:p w:rsidR="005E3DE3" w:rsidRPr="00CD3F9B" w:rsidRDefault="005E3DE3" w:rsidP="008271EF">
            <w:pPr>
              <w:rPr>
                <w:rFonts w:cs="Arial"/>
                <w:szCs w:val="20"/>
              </w:rPr>
            </w:pP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Ireland </w:t>
            </w:r>
          </w:p>
        </w:tc>
        <w:tc>
          <w:tcPr>
            <w:tcW w:w="796" w:type="pct"/>
            <w:vAlign w:val="center"/>
          </w:tcPr>
          <w:p w:rsidR="005E3DE3" w:rsidRPr="00CD3F9B" w:rsidRDefault="005E3DE3" w:rsidP="008271EF">
            <w:pPr>
              <w:rPr>
                <w:rFonts w:cs="Arial"/>
                <w:szCs w:val="20"/>
              </w:rPr>
            </w:pPr>
          </w:p>
        </w:tc>
        <w:tc>
          <w:tcPr>
            <w:tcW w:w="753" w:type="pct"/>
            <w:vAlign w:val="center"/>
          </w:tcPr>
          <w:p w:rsidR="005E3DE3" w:rsidRPr="00CD3F9B" w:rsidRDefault="005E3DE3" w:rsidP="008271EF">
            <w:pPr>
              <w:rPr>
                <w:rFonts w:cs="Arial"/>
                <w:szCs w:val="20"/>
              </w:rPr>
            </w:pPr>
          </w:p>
        </w:tc>
        <w:tc>
          <w:tcPr>
            <w:tcW w:w="1162" w:type="pct"/>
            <w:vAlign w:val="center"/>
          </w:tcPr>
          <w:p w:rsidR="005E3DE3" w:rsidRPr="00CD3F9B" w:rsidRDefault="005E3DE3" w:rsidP="008271EF">
            <w:pPr>
              <w:rPr>
                <w:rFonts w:cs="Arial"/>
                <w:szCs w:val="20"/>
              </w:rPr>
            </w:pP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Italy </w:t>
            </w:r>
          </w:p>
        </w:tc>
        <w:tc>
          <w:tcPr>
            <w:tcW w:w="796" w:type="pct"/>
            <w:vAlign w:val="center"/>
          </w:tcPr>
          <w:p w:rsidR="005E3DE3" w:rsidRPr="00CD3F9B" w:rsidRDefault="005E3DE3" w:rsidP="008271EF">
            <w:pPr>
              <w:rPr>
                <w:rFonts w:cs="Arial"/>
                <w:szCs w:val="20"/>
              </w:rPr>
            </w:pPr>
            <w:r w:rsidRPr="00CD3F9B">
              <w:rPr>
                <w:rFonts w:cs="Arial"/>
                <w:szCs w:val="20"/>
              </w:rPr>
              <w:t xml:space="preserve">08/06/2005 </w:t>
            </w:r>
          </w:p>
        </w:tc>
        <w:tc>
          <w:tcPr>
            <w:tcW w:w="753" w:type="pct"/>
            <w:vAlign w:val="center"/>
          </w:tcPr>
          <w:p w:rsidR="005E3DE3" w:rsidRPr="00CD3F9B" w:rsidRDefault="005E3DE3" w:rsidP="008271EF">
            <w:pPr>
              <w:rPr>
                <w:rFonts w:cs="Arial"/>
                <w:szCs w:val="20"/>
              </w:rPr>
            </w:pPr>
            <w:r w:rsidRPr="00CD3F9B">
              <w:rPr>
                <w:rFonts w:cs="Arial"/>
                <w:szCs w:val="20"/>
              </w:rPr>
              <w:t>21/02/2017</w:t>
            </w:r>
          </w:p>
        </w:tc>
        <w:tc>
          <w:tcPr>
            <w:tcW w:w="1162" w:type="pct"/>
            <w:vAlign w:val="center"/>
          </w:tcPr>
          <w:p w:rsidR="005E3DE3" w:rsidRPr="00CD3F9B" w:rsidRDefault="005E3DE3" w:rsidP="008271EF">
            <w:pPr>
              <w:rPr>
                <w:rFonts w:cs="Arial"/>
                <w:szCs w:val="20"/>
              </w:rPr>
            </w:pPr>
            <w:r w:rsidRPr="00CD3F9B">
              <w:rPr>
                <w:rFonts w:cs="Arial"/>
                <w:szCs w:val="20"/>
              </w:rPr>
              <w:t>01/06/2017</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Latvia </w:t>
            </w:r>
          </w:p>
        </w:tc>
        <w:tc>
          <w:tcPr>
            <w:tcW w:w="796" w:type="pct"/>
            <w:vAlign w:val="center"/>
          </w:tcPr>
          <w:p w:rsidR="005E3DE3" w:rsidRPr="00CD3F9B" w:rsidRDefault="005E3DE3" w:rsidP="008271EF">
            <w:pPr>
              <w:rPr>
                <w:rFonts w:cs="Arial"/>
                <w:szCs w:val="20"/>
              </w:rPr>
            </w:pPr>
            <w:r w:rsidRPr="00CD3F9B">
              <w:rPr>
                <w:rFonts w:cs="Arial"/>
                <w:szCs w:val="20"/>
              </w:rPr>
              <w:t xml:space="preserve">19/05/2006 </w:t>
            </w:r>
          </w:p>
        </w:tc>
        <w:tc>
          <w:tcPr>
            <w:tcW w:w="753" w:type="pct"/>
            <w:vAlign w:val="center"/>
          </w:tcPr>
          <w:p w:rsidR="005E3DE3" w:rsidRPr="00CD3F9B" w:rsidRDefault="005E3DE3" w:rsidP="008271EF">
            <w:pPr>
              <w:rPr>
                <w:rFonts w:cs="Arial"/>
                <w:szCs w:val="20"/>
              </w:rPr>
            </w:pPr>
            <w:r w:rsidRPr="00CD3F9B">
              <w:rPr>
                <w:rFonts w:cs="Arial"/>
                <w:szCs w:val="20"/>
              </w:rPr>
              <w:t xml:space="preserve">25/02/2010 </w:t>
            </w:r>
          </w:p>
        </w:tc>
        <w:tc>
          <w:tcPr>
            <w:tcW w:w="1162" w:type="pct"/>
            <w:vAlign w:val="center"/>
          </w:tcPr>
          <w:p w:rsidR="005E3DE3" w:rsidRPr="00CD3F9B" w:rsidRDefault="005E3DE3" w:rsidP="008271EF">
            <w:pPr>
              <w:rPr>
                <w:rFonts w:cs="Arial"/>
                <w:szCs w:val="20"/>
              </w:rPr>
            </w:pPr>
            <w:r w:rsidRPr="00CD3F9B">
              <w:rPr>
                <w:rFonts w:cs="Arial"/>
                <w:szCs w:val="20"/>
              </w:rPr>
              <w:t xml:space="preserve">01/06/2010 </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Liechtenstein </w:t>
            </w:r>
          </w:p>
        </w:tc>
        <w:tc>
          <w:tcPr>
            <w:tcW w:w="796" w:type="pct"/>
            <w:vAlign w:val="center"/>
          </w:tcPr>
          <w:p w:rsidR="005E3DE3" w:rsidRPr="00CD3F9B" w:rsidRDefault="005E3DE3" w:rsidP="008271EF">
            <w:pPr>
              <w:rPr>
                <w:rFonts w:cs="Arial"/>
                <w:szCs w:val="20"/>
              </w:rPr>
            </w:pPr>
          </w:p>
        </w:tc>
        <w:tc>
          <w:tcPr>
            <w:tcW w:w="753" w:type="pct"/>
            <w:vAlign w:val="center"/>
          </w:tcPr>
          <w:p w:rsidR="005E3DE3" w:rsidRPr="00CD3F9B" w:rsidRDefault="005E3DE3" w:rsidP="008271EF">
            <w:pPr>
              <w:rPr>
                <w:rFonts w:cs="Arial"/>
                <w:szCs w:val="20"/>
              </w:rPr>
            </w:pPr>
          </w:p>
        </w:tc>
        <w:tc>
          <w:tcPr>
            <w:tcW w:w="1162" w:type="pct"/>
            <w:vAlign w:val="center"/>
          </w:tcPr>
          <w:p w:rsidR="005E3DE3" w:rsidRPr="00CD3F9B" w:rsidRDefault="005E3DE3" w:rsidP="008271EF">
            <w:pPr>
              <w:rPr>
                <w:rFonts w:cs="Arial"/>
                <w:szCs w:val="20"/>
              </w:rPr>
            </w:pP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Lithuania </w:t>
            </w:r>
          </w:p>
        </w:tc>
        <w:tc>
          <w:tcPr>
            <w:tcW w:w="796" w:type="pct"/>
            <w:vAlign w:val="center"/>
          </w:tcPr>
          <w:p w:rsidR="005E3DE3" w:rsidRPr="00CD3F9B" w:rsidRDefault="005E3DE3" w:rsidP="008271EF">
            <w:pPr>
              <w:rPr>
                <w:rFonts w:cs="Arial"/>
                <w:szCs w:val="20"/>
              </w:rPr>
            </w:pPr>
            <w:r w:rsidRPr="00CD3F9B">
              <w:rPr>
                <w:rFonts w:cs="Arial"/>
                <w:szCs w:val="20"/>
              </w:rPr>
              <w:t>28/10/2015</w:t>
            </w:r>
          </w:p>
        </w:tc>
        <w:tc>
          <w:tcPr>
            <w:tcW w:w="753" w:type="pct"/>
            <w:vAlign w:val="center"/>
          </w:tcPr>
          <w:p w:rsidR="005E3DE3" w:rsidRPr="00CD3F9B" w:rsidRDefault="005E3DE3" w:rsidP="008271EF">
            <w:pPr>
              <w:rPr>
                <w:rFonts w:cs="Arial"/>
                <w:szCs w:val="20"/>
              </w:rPr>
            </w:pPr>
          </w:p>
        </w:tc>
        <w:tc>
          <w:tcPr>
            <w:tcW w:w="1162" w:type="pct"/>
            <w:vAlign w:val="center"/>
          </w:tcPr>
          <w:p w:rsidR="005E3DE3" w:rsidRPr="00CD3F9B" w:rsidRDefault="005E3DE3" w:rsidP="008271EF">
            <w:pPr>
              <w:rPr>
                <w:rFonts w:cs="Arial"/>
                <w:szCs w:val="20"/>
              </w:rPr>
            </w:pP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Luxembourg </w:t>
            </w:r>
          </w:p>
        </w:tc>
        <w:tc>
          <w:tcPr>
            <w:tcW w:w="796" w:type="pct"/>
            <w:vAlign w:val="center"/>
          </w:tcPr>
          <w:p w:rsidR="005E3DE3" w:rsidRPr="00CD3F9B" w:rsidRDefault="005E3DE3" w:rsidP="008271EF">
            <w:pPr>
              <w:rPr>
                <w:rFonts w:cs="Arial"/>
                <w:szCs w:val="20"/>
              </w:rPr>
            </w:pPr>
            <w:r w:rsidRPr="00CD3F9B">
              <w:rPr>
                <w:rFonts w:cs="Arial"/>
                <w:szCs w:val="20"/>
              </w:rPr>
              <w:t xml:space="preserve">16/05/2005 </w:t>
            </w:r>
          </w:p>
        </w:tc>
        <w:tc>
          <w:tcPr>
            <w:tcW w:w="753" w:type="pct"/>
            <w:vAlign w:val="center"/>
          </w:tcPr>
          <w:p w:rsidR="005E3DE3" w:rsidRPr="00CD3F9B" w:rsidRDefault="005E3DE3" w:rsidP="008271EF">
            <w:pPr>
              <w:rPr>
                <w:rFonts w:cs="Arial"/>
                <w:szCs w:val="20"/>
              </w:rPr>
            </w:pPr>
          </w:p>
        </w:tc>
        <w:tc>
          <w:tcPr>
            <w:tcW w:w="1162" w:type="pct"/>
            <w:vAlign w:val="center"/>
          </w:tcPr>
          <w:p w:rsidR="005E3DE3" w:rsidRPr="00CD3F9B" w:rsidRDefault="005E3DE3" w:rsidP="008271EF">
            <w:pPr>
              <w:rPr>
                <w:rFonts w:cs="Arial"/>
                <w:szCs w:val="20"/>
              </w:rPr>
            </w:pP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Malta </w:t>
            </w:r>
          </w:p>
        </w:tc>
        <w:tc>
          <w:tcPr>
            <w:tcW w:w="796" w:type="pct"/>
            <w:vAlign w:val="center"/>
          </w:tcPr>
          <w:p w:rsidR="005E3DE3" w:rsidRPr="00CD3F9B" w:rsidRDefault="005E3DE3" w:rsidP="008271EF">
            <w:pPr>
              <w:rPr>
                <w:rFonts w:cs="Arial"/>
                <w:szCs w:val="20"/>
              </w:rPr>
            </w:pPr>
            <w:r w:rsidRPr="00CD3F9B">
              <w:rPr>
                <w:rFonts w:cs="Arial"/>
                <w:szCs w:val="20"/>
              </w:rPr>
              <w:t xml:space="preserve">16/05/2005 </w:t>
            </w:r>
          </w:p>
        </w:tc>
        <w:tc>
          <w:tcPr>
            <w:tcW w:w="753" w:type="pct"/>
            <w:vAlign w:val="center"/>
          </w:tcPr>
          <w:p w:rsidR="005E3DE3" w:rsidRPr="00CD3F9B" w:rsidRDefault="005E3DE3" w:rsidP="008271EF">
            <w:pPr>
              <w:rPr>
                <w:rFonts w:cs="Arial"/>
                <w:szCs w:val="20"/>
              </w:rPr>
            </w:pPr>
            <w:r w:rsidRPr="00CD3F9B">
              <w:rPr>
                <w:rFonts w:cs="Arial"/>
                <w:szCs w:val="20"/>
              </w:rPr>
              <w:t xml:space="preserve">30/01/2008 </w:t>
            </w:r>
          </w:p>
        </w:tc>
        <w:tc>
          <w:tcPr>
            <w:tcW w:w="1162" w:type="pct"/>
            <w:vAlign w:val="center"/>
          </w:tcPr>
          <w:p w:rsidR="005E3DE3" w:rsidRPr="00CD3F9B" w:rsidRDefault="005E3DE3" w:rsidP="008271EF">
            <w:pPr>
              <w:rPr>
                <w:rFonts w:cs="Arial"/>
                <w:szCs w:val="20"/>
              </w:rPr>
            </w:pPr>
            <w:r w:rsidRPr="00CD3F9B">
              <w:rPr>
                <w:rFonts w:cs="Arial"/>
                <w:szCs w:val="20"/>
              </w:rPr>
              <w:t xml:space="preserve">01/05/2008 </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Republic of Moldova </w:t>
            </w:r>
          </w:p>
        </w:tc>
        <w:tc>
          <w:tcPr>
            <w:tcW w:w="796" w:type="pct"/>
            <w:vAlign w:val="center"/>
          </w:tcPr>
          <w:p w:rsidR="005E3DE3" w:rsidRPr="00CD3F9B" w:rsidRDefault="005E3DE3" w:rsidP="008271EF">
            <w:pPr>
              <w:rPr>
                <w:rFonts w:cs="Arial"/>
                <w:szCs w:val="20"/>
              </w:rPr>
            </w:pPr>
            <w:r w:rsidRPr="00CD3F9B">
              <w:rPr>
                <w:rFonts w:cs="Arial"/>
                <w:szCs w:val="20"/>
              </w:rPr>
              <w:t xml:space="preserve">16/05/2005 </w:t>
            </w:r>
          </w:p>
        </w:tc>
        <w:tc>
          <w:tcPr>
            <w:tcW w:w="753" w:type="pct"/>
            <w:vAlign w:val="center"/>
          </w:tcPr>
          <w:p w:rsidR="005E3DE3" w:rsidRPr="00CD3F9B" w:rsidRDefault="005E3DE3" w:rsidP="008271EF">
            <w:pPr>
              <w:rPr>
                <w:rFonts w:cs="Arial"/>
                <w:szCs w:val="20"/>
              </w:rPr>
            </w:pPr>
            <w:r w:rsidRPr="00CD3F9B">
              <w:rPr>
                <w:rFonts w:cs="Arial"/>
                <w:szCs w:val="20"/>
              </w:rPr>
              <w:t xml:space="preserve">18/09/2007 </w:t>
            </w:r>
          </w:p>
        </w:tc>
        <w:tc>
          <w:tcPr>
            <w:tcW w:w="1162" w:type="pct"/>
            <w:vAlign w:val="center"/>
          </w:tcPr>
          <w:p w:rsidR="005E3DE3" w:rsidRPr="00CD3F9B" w:rsidRDefault="005E3DE3" w:rsidP="008271EF">
            <w:pPr>
              <w:rPr>
                <w:rFonts w:cs="Arial"/>
                <w:szCs w:val="20"/>
              </w:rPr>
            </w:pPr>
            <w:r w:rsidRPr="00CD3F9B">
              <w:rPr>
                <w:rFonts w:cs="Arial"/>
                <w:szCs w:val="20"/>
              </w:rPr>
              <w:t xml:space="preserve">01/05/2008 </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Monaco </w:t>
            </w:r>
          </w:p>
        </w:tc>
        <w:tc>
          <w:tcPr>
            <w:tcW w:w="796" w:type="pct"/>
            <w:vAlign w:val="center"/>
          </w:tcPr>
          <w:p w:rsidR="005E3DE3" w:rsidRPr="00CD3F9B" w:rsidRDefault="005E3DE3" w:rsidP="008271EF">
            <w:pPr>
              <w:rPr>
                <w:rFonts w:cs="Arial"/>
                <w:szCs w:val="20"/>
              </w:rPr>
            </w:pPr>
            <w:r w:rsidRPr="00CD3F9B">
              <w:rPr>
                <w:rFonts w:cs="Arial"/>
                <w:szCs w:val="20"/>
              </w:rPr>
              <w:t>01/09/2017</w:t>
            </w:r>
          </w:p>
        </w:tc>
        <w:tc>
          <w:tcPr>
            <w:tcW w:w="753" w:type="pct"/>
            <w:vAlign w:val="center"/>
          </w:tcPr>
          <w:p w:rsidR="005E3DE3" w:rsidRPr="00CD3F9B" w:rsidRDefault="005E3DE3" w:rsidP="008271EF">
            <w:pPr>
              <w:rPr>
                <w:rFonts w:cs="Arial"/>
                <w:szCs w:val="20"/>
              </w:rPr>
            </w:pPr>
          </w:p>
        </w:tc>
        <w:tc>
          <w:tcPr>
            <w:tcW w:w="1162" w:type="pct"/>
            <w:vAlign w:val="center"/>
          </w:tcPr>
          <w:p w:rsidR="005E3DE3" w:rsidRPr="00CD3F9B" w:rsidRDefault="005E3DE3" w:rsidP="008271EF">
            <w:pPr>
              <w:rPr>
                <w:rFonts w:cs="Arial"/>
                <w:szCs w:val="20"/>
              </w:rPr>
            </w:pP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Montenegro </w:t>
            </w:r>
          </w:p>
        </w:tc>
        <w:tc>
          <w:tcPr>
            <w:tcW w:w="796" w:type="pct"/>
            <w:vAlign w:val="center"/>
          </w:tcPr>
          <w:p w:rsidR="005E3DE3" w:rsidRPr="00CD3F9B" w:rsidRDefault="005E3DE3" w:rsidP="008271EF">
            <w:pPr>
              <w:rPr>
                <w:rFonts w:cs="Arial"/>
                <w:szCs w:val="20"/>
              </w:rPr>
            </w:pPr>
            <w:r w:rsidRPr="00CD3F9B">
              <w:rPr>
                <w:rFonts w:cs="Arial"/>
                <w:szCs w:val="20"/>
              </w:rPr>
              <w:t xml:space="preserve">16/05/2005 </w:t>
            </w:r>
          </w:p>
        </w:tc>
        <w:tc>
          <w:tcPr>
            <w:tcW w:w="753" w:type="pct"/>
            <w:vAlign w:val="center"/>
          </w:tcPr>
          <w:p w:rsidR="005E3DE3" w:rsidRPr="00CD3F9B" w:rsidRDefault="005E3DE3" w:rsidP="008271EF">
            <w:pPr>
              <w:rPr>
                <w:rFonts w:cs="Arial"/>
                <w:szCs w:val="20"/>
              </w:rPr>
            </w:pPr>
            <w:r w:rsidRPr="00CD3F9B">
              <w:rPr>
                <w:rFonts w:cs="Arial"/>
                <w:szCs w:val="20"/>
              </w:rPr>
              <w:t xml:space="preserve">20/10/2008 </w:t>
            </w:r>
          </w:p>
        </w:tc>
        <w:tc>
          <w:tcPr>
            <w:tcW w:w="1162" w:type="pct"/>
            <w:vAlign w:val="center"/>
          </w:tcPr>
          <w:p w:rsidR="005E3DE3" w:rsidRPr="00CD3F9B" w:rsidRDefault="005E3DE3" w:rsidP="008271EF">
            <w:pPr>
              <w:rPr>
                <w:rFonts w:cs="Arial"/>
                <w:szCs w:val="20"/>
              </w:rPr>
            </w:pPr>
            <w:r w:rsidRPr="00CD3F9B">
              <w:rPr>
                <w:rFonts w:cs="Arial"/>
                <w:szCs w:val="20"/>
              </w:rPr>
              <w:t xml:space="preserve">01/02/2009 </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Netherlands </w:t>
            </w:r>
          </w:p>
        </w:tc>
        <w:tc>
          <w:tcPr>
            <w:tcW w:w="796" w:type="pct"/>
            <w:vAlign w:val="center"/>
          </w:tcPr>
          <w:p w:rsidR="005E3DE3" w:rsidRPr="00CD3F9B" w:rsidRDefault="005E3DE3" w:rsidP="008271EF">
            <w:pPr>
              <w:rPr>
                <w:rFonts w:cs="Arial"/>
                <w:szCs w:val="20"/>
              </w:rPr>
            </w:pPr>
            <w:r w:rsidRPr="00CD3F9B">
              <w:rPr>
                <w:rFonts w:cs="Arial"/>
                <w:szCs w:val="20"/>
              </w:rPr>
              <w:t xml:space="preserve">17/11/2005 </w:t>
            </w:r>
          </w:p>
        </w:tc>
        <w:tc>
          <w:tcPr>
            <w:tcW w:w="753" w:type="pct"/>
            <w:vAlign w:val="center"/>
          </w:tcPr>
          <w:p w:rsidR="005E3DE3" w:rsidRPr="00CD3F9B" w:rsidRDefault="005E3DE3" w:rsidP="008271EF">
            <w:pPr>
              <w:rPr>
                <w:rFonts w:cs="Arial"/>
                <w:szCs w:val="20"/>
              </w:rPr>
            </w:pPr>
            <w:r w:rsidRPr="00CD3F9B">
              <w:rPr>
                <w:rFonts w:cs="Arial"/>
                <w:szCs w:val="20"/>
              </w:rPr>
              <w:t xml:space="preserve">13/08/2008 </w:t>
            </w:r>
          </w:p>
        </w:tc>
        <w:tc>
          <w:tcPr>
            <w:tcW w:w="1162" w:type="pct"/>
            <w:vAlign w:val="center"/>
          </w:tcPr>
          <w:p w:rsidR="005E3DE3" w:rsidRPr="00CD3F9B" w:rsidRDefault="005E3DE3" w:rsidP="008271EF">
            <w:pPr>
              <w:rPr>
                <w:rFonts w:cs="Arial"/>
                <w:szCs w:val="20"/>
              </w:rPr>
            </w:pPr>
            <w:r w:rsidRPr="00CD3F9B">
              <w:rPr>
                <w:rFonts w:cs="Arial"/>
                <w:szCs w:val="20"/>
              </w:rPr>
              <w:t xml:space="preserve">01/12/2008 </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Norway </w:t>
            </w:r>
          </w:p>
        </w:tc>
        <w:tc>
          <w:tcPr>
            <w:tcW w:w="796" w:type="pct"/>
            <w:vAlign w:val="center"/>
          </w:tcPr>
          <w:p w:rsidR="005E3DE3" w:rsidRPr="00CD3F9B" w:rsidRDefault="005E3DE3" w:rsidP="008271EF">
            <w:pPr>
              <w:rPr>
                <w:rFonts w:cs="Arial"/>
                <w:szCs w:val="20"/>
              </w:rPr>
            </w:pPr>
          </w:p>
        </w:tc>
        <w:tc>
          <w:tcPr>
            <w:tcW w:w="753" w:type="pct"/>
            <w:vAlign w:val="center"/>
          </w:tcPr>
          <w:p w:rsidR="005E3DE3" w:rsidRPr="00CD3F9B" w:rsidRDefault="005E3DE3" w:rsidP="008271EF">
            <w:pPr>
              <w:rPr>
                <w:rFonts w:cs="Arial"/>
                <w:szCs w:val="20"/>
              </w:rPr>
            </w:pPr>
          </w:p>
        </w:tc>
        <w:tc>
          <w:tcPr>
            <w:tcW w:w="1162" w:type="pct"/>
            <w:vAlign w:val="center"/>
          </w:tcPr>
          <w:p w:rsidR="005E3DE3" w:rsidRPr="00CD3F9B" w:rsidRDefault="005E3DE3" w:rsidP="008271EF">
            <w:pPr>
              <w:rPr>
                <w:rFonts w:cs="Arial"/>
                <w:szCs w:val="20"/>
              </w:rPr>
            </w:pP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Poland </w:t>
            </w:r>
          </w:p>
        </w:tc>
        <w:tc>
          <w:tcPr>
            <w:tcW w:w="796" w:type="pct"/>
            <w:vAlign w:val="center"/>
          </w:tcPr>
          <w:p w:rsidR="005E3DE3" w:rsidRPr="00CD3F9B" w:rsidRDefault="005E3DE3" w:rsidP="008271EF">
            <w:pPr>
              <w:rPr>
                <w:rFonts w:cs="Arial"/>
                <w:szCs w:val="20"/>
              </w:rPr>
            </w:pPr>
            <w:r w:rsidRPr="00CD3F9B">
              <w:rPr>
                <w:rFonts w:cs="Arial"/>
                <w:szCs w:val="20"/>
              </w:rPr>
              <w:t xml:space="preserve">16/05/2005 </w:t>
            </w:r>
          </w:p>
        </w:tc>
        <w:tc>
          <w:tcPr>
            <w:tcW w:w="753" w:type="pct"/>
            <w:vAlign w:val="center"/>
          </w:tcPr>
          <w:p w:rsidR="005E3DE3" w:rsidRPr="00CD3F9B" w:rsidRDefault="005E3DE3" w:rsidP="008271EF">
            <w:pPr>
              <w:rPr>
                <w:rFonts w:cs="Arial"/>
                <w:szCs w:val="20"/>
              </w:rPr>
            </w:pPr>
            <w:r w:rsidRPr="00CD3F9B">
              <w:rPr>
                <w:rFonts w:cs="Arial"/>
                <w:szCs w:val="20"/>
              </w:rPr>
              <w:t xml:space="preserve">08/08/2007 </w:t>
            </w:r>
          </w:p>
        </w:tc>
        <w:tc>
          <w:tcPr>
            <w:tcW w:w="1162" w:type="pct"/>
            <w:vAlign w:val="center"/>
          </w:tcPr>
          <w:p w:rsidR="005E3DE3" w:rsidRPr="00CD3F9B" w:rsidRDefault="005E3DE3" w:rsidP="008271EF">
            <w:pPr>
              <w:rPr>
                <w:rFonts w:cs="Arial"/>
                <w:szCs w:val="20"/>
              </w:rPr>
            </w:pPr>
            <w:r w:rsidRPr="00CD3F9B">
              <w:rPr>
                <w:rFonts w:cs="Arial"/>
                <w:szCs w:val="20"/>
              </w:rPr>
              <w:t xml:space="preserve">01/05/2008 </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Portugal </w:t>
            </w:r>
          </w:p>
        </w:tc>
        <w:tc>
          <w:tcPr>
            <w:tcW w:w="796" w:type="pct"/>
            <w:vAlign w:val="center"/>
          </w:tcPr>
          <w:p w:rsidR="005E3DE3" w:rsidRPr="00CD3F9B" w:rsidRDefault="005E3DE3" w:rsidP="008271EF">
            <w:pPr>
              <w:rPr>
                <w:rFonts w:cs="Arial"/>
                <w:szCs w:val="20"/>
              </w:rPr>
            </w:pPr>
            <w:r w:rsidRPr="00CD3F9B">
              <w:rPr>
                <w:rFonts w:cs="Arial"/>
                <w:szCs w:val="20"/>
              </w:rPr>
              <w:t xml:space="preserve">16/05/2005 </w:t>
            </w:r>
          </w:p>
        </w:tc>
        <w:tc>
          <w:tcPr>
            <w:tcW w:w="753" w:type="pct"/>
            <w:vAlign w:val="center"/>
          </w:tcPr>
          <w:p w:rsidR="005E3DE3" w:rsidRPr="00CD3F9B" w:rsidRDefault="005E3DE3" w:rsidP="008271EF">
            <w:pPr>
              <w:rPr>
                <w:rFonts w:cs="Arial"/>
                <w:szCs w:val="20"/>
              </w:rPr>
            </w:pPr>
            <w:r w:rsidRPr="00CD3F9B">
              <w:rPr>
                <w:rFonts w:cs="Arial"/>
                <w:szCs w:val="20"/>
              </w:rPr>
              <w:t xml:space="preserve">22/04/2010 </w:t>
            </w:r>
          </w:p>
        </w:tc>
        <w:tc>
          <w:tcPr>
            <w:tcW w:w="1162" w:type="pct"/>
            <w:vAlign w:val="center"/>
          </w:tcPr>
          <w:p w:rsidR="005E3DE3" w:rsidRPr="00CD3F9B" w:rsidRDefault="005E3DE3" w:rsidP="008271EF">
            <w:pPr>
              <w:rPr>
                <w:rFonts w:cs="Arial"/>
                <w:szCs w:val="20"/>
              </w:rPr>
            </w:pPr>
            <w:r w:rsidRPr="00CD3F9B">
              <w:rPr>
                <w:rFonts w:cs="Arial"/>
                <w:szCs w:val="20"/>
              </w:rPr>
              <w:t xml:space="preserve">01/08/2010 </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Romania </w:t>
            </w:r>
          </w:p>
        </w:tc>
        <w:tc>
          <w:tcPr>
            <w:tcW w:w="796" w:type="pct"/>
            <w:vAlign w:val="center"/>
          </w:tcPr>
          <w:p w:rsidR="005E3DE3" w:rsidRPr="00CD3F9B" w:rsidRDefault="005E3DE3" w:rsidP="008271EF">
            <w:pPr>
              <w:rPr>
                <w:rFonts w:cs="Arial"/>
                <w:szCs w:val="20"/>
              </w:rPr>
            </w:pPr>
            <w:r w:rsidRPr="00CD3F9B">
              <w:rPr>
                <w:rFonts w:cs="Arial"/>
                <w:szCs w:val="20"/>
              </w:rPr>
              <w:t xml:space="preserve">16/05/2005 </w:t>
            </w:r>
          </w:p>
        </w:tc>
        <w:tc>
          <w:tcPr>
            <w:tcW w:w="753" w:type="pct"/>
            <w:vAlign w:val="center"/>
          </w:tcPr>
          <w:p w:rsidR="005E3DE3" w:rsidRPr="00CD3F9B" w:rsidRDefault="005E3DE3" w:rsidP="008271EF">
            <w:pPr>
              <w:rPr>
                <w:rFonts w:cs="Arial"/>
                <w:szCs w:val="20"/>
              </w:rPr>
            </w:pPr>
            <w:r w:rsidRPr="00CD3F9B">
              <w:rPr>
                <w:rFonts w:cs="Arial"/>
                <w:szCs w:val="20"/>
              </w:rPr>
              <w:t xml:space="preserve">21/02/2007 </w:t>
            </w:r>
          </w:p>
        </w:tc>
        <w:tc>
          <w:tcPr>
            <w:tcW w:w="1162" w:type="pct"/>
            <w:vAlign w:val="center"/>
          </w:tcPr>
          <w:p w:rsidR="005E3DE3" w:rsidRPr="00CD3F9B" w:rsidRDefault="005E3DE3" w:rsidP="008271EF">
            <w:pPr>
              <w:rPr>
                <w:rFonts w:cs="Arial"/>
                <w:szCs w:val="20"/>
              </w:rPr>
            </w:pPr>
            <w:r w:rsidRPr="00CD3F9B">
              <w:rPr>
                <w:rFonts w:cs="Arial"/>
                <w:szCs w:val="20"/>
              </w:rPr>
              <w:t xml:space="preserve">01/05/2008 </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Russian Federation</w:t>
            </w:r>
          </w:p>
        </w:tc>
        <w:tc>
          <w:tcPr>
            <w:tcW w:w="796" w:type="pct"/>
            <w:vAlign w:val="center"/>
          </w:tcPr>
          <w:p w:rsidR="005E3DE3" w:rsidRPr="00CD3F9B" w:rsidRDefault="005E3DE3" w:rsidP="008271EF">
            <w:pPr>
              <w:rPr>
                <w:rFonts w:cs="Arial"/>
                <w:szCs w:val="20"/>
              </w:rPr>
            </w:pPr>
            <w:r w:rsidRPr="00CD3F9B">
              <w:rPr>
                <w:rFonts w:cs="Arial"/>
                <w:szCs w:val="20"/>
              </w:rPr>
              <w:t xml:space="preserve">26/01/2009 </w:t>
            </w:r>
          </w:p>
        </w:tc>
        <w:tc>
          <w:tcPr>
            <w:tcW w:w="753" w:type="pct"/>
            <w:vAlign w:val="center"/>
          </w:tcPr>
          <w:p w:rsidR="005E3DE3" w:rsidRPr="00CD3F9B" w:rsidRDefault="005E3DE3" w:rsidP="008271EF">
            <w:pPr>
              <w:rPr>
                <w:rFonts w:cs="Arial"/>
                <w:szCs w:val="20"/>
              </w:rPr>
            </w:pPr>
            <w:r w:rsidRPr="00CD3F9B">
              <w:rPr>
                <w:rFonts w:cs="Arial"/>
                <w:szCs w:val="20"/>
              </w:rPr>
              <w:t>28/09/2017</w:t>
            </w:r>
          </w:p>
        </w:tc>
        <w:tc>
          <w:tcPr>
            <w:tcW w:w="1162" w:type="pct"/>
            <w:vAlign w:val="center"/>
          </w:tcPr>
          <w:p w:rsidR="005E3DE3" w:rsidRPr="00CD3F9B" w:rsidRDefault="005E3DE3" w:rsidP="008271EF">
            <w:pPr>
              <w:rPr>
                <w:rFonts w:cs="Arial"/>
                <w:szCs w:val="20"/>
              </w:rPr>
            </w:pPr>
            <w:r w:rsidRPr="00CD3F9B">
              <w:rPr>
                <w:rFonts w:cs="Arial"/>
                <w:szCs w:val="20"/>
              </w:rPr>
              <w:t>01/01/2018</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San Marino </w:t>
            </w:r>
          </w:p>
        </w:tc>
        <w:tc>
          <w:tcPr>
            <w:tcW w:w="796" w:type="pct"/>
            <w:vAlign w:val="center"/>
          </w:tcPr>
          <w:p w:rsidR="005E3DE3" w:rsidRPr="00CD3F9B" w:rsidRDefault="005E3DE3" w:rsidP="008271EF">
            <w:pPr>
              <w:rPr>
                <w:rFonts w:cs="Arial"/>
                <w:szCs w:val="20"/>
              </w:rPr>
            </w:pPr>
            <w:r w:rsidRPr="00CD3F9B">
              <w:rPr>
                <w:rFonts w:cs="Arial"/>
                <w:szCs w:val="20"/>
              </w:rPr>
              <w:t xml:space="preserve">14/11/2006 </w:t>
            </w:r>
          </w:p>
        </w:tc>
        <w:tc>
          <w:tcPr>
            <w:tcW w:w="753" w:type="pct"/>
            <w:vAlign w:val="center"/>
          </w:tcPr>
          <w:p w:rsidR="005E3DE3" w:rsidRPr="00CD3F9B" w:rsidRDefault="005E3DE3" w:rsidP="008271EF">
            <w:pPr>
              <w:rPr>
                <w:rFonts w:cs="Arial"/>
                <w:szCs w:val="20"/>
              </w:rPr>
            </w:pPr>
            <w:r w:rsidRPr="00CD3F9B">
              <w:rPr>
                <w:rFonts w:cs="Arial"/>
                <w:szCs w:val="20"/>
              </w:rPr>
              <w:t xml:space="preserve">27/07/2010 </w:t>
            </w:r>
          </w:p>
        </w:tc>
        <w:tc>
          <w:tcPr>
            <w:tcW w:w="1162" w:type="pct"/>
            <w:vAlign w:val="center"/>
          </w:tcPr>
          <w:p w:rsidR="005E3DE3" w:rsidRPr="00CD3F9B" w:rsidRDefault="005E3DE3" w:rsidP="008271EF">
            <w:pPr>
              <w:rPr>
                <w:rFonts w:cs="Arial"/>
                <w:szCs w:val="20"/>
              </w:rPr>
            </w:pPr>
            <w:r w:rsidRPr="00CD3F9B">
              <w:rPr>
                <w:rFonts w:cs="Arial"/>
                <w:szCs w:val="20"/>
              </w:rPr>
              <w:t xml:space="preserve">01/11/2010 </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Serbia </w:t>
            </w:r>
          </w:p>
        </w:tc>
        <w:tc>
          <w:tcPr>
            <w:tcW w:w="796" w:type="pct"/>
            <w:vAlign w:val="center"/>
          </w:tcPr>
          <w:p w:rsidR="005E3DE3" w:rsidRPr="00CD3F9B" w:rsidRDefault="005E3DE3" w:rsidP="008271EF">
            <w:pPr>
              <w:rPr>
                <w:rFonts w:cs="Arial"/>
                <w:szCs w:val="20"/>
              </w:rPr>
            </w:pPr>
            <w:r w:rsidRPr="00CD3F9B">
              <w:rPr>
                <w:rFonts w:cs="Arial"/>
                <w:szCs w:val="20"/>
              </w:rPr>
              <w:t xml:space="preserve">16/05/2005 </w:t>
            </w:r>
          </w:p>
        </w:tc>
        <w:tc>
          <w:tcPr>
            <w:tcW w:w="753" w:type="pct"/>
            <w:vAlign w:val="center"/>
          </w:tcPr>
          <w:p w:rsidR="005E3DE3" w:rsidRPr="00CD3F9B" w:rsidRDefault="005E3DE3" w:rsidP="008271EF">
            <w:pPr>
              <w:rPr>
                <w:rFonts w:cs="Arial"/>
                <w:szCs w:val="20"/>
              </w:rPr>
            </w:pPr>
            <w:r w:rsidRPr="00CD3F9B">
              <w:rPr>
                <w:rFonts w:cs="Arial"/>
                <w:szCs w:val="20"/>
              </w:rPr>
              <w:t xml:space="preserve">14/04/2009 </w:t>
            </w:r>
          </w:p>
        </w:tc>
        <w:tc>
          <w:tcPr>
            <w:tcW w:w="1162" w:type="pct"/>
            <w:vAlign w:val="center"/>
          </w:tcPr>
          <w:p w:rsidR="005E3DE3" w:rsidRPr="00CD3F9B" w:rsidRDefault="005E3DE3" w:rsidP="008271EF">
            <w:pPr>
              <w:rPr>
                <w:rFonts w:cs="Arial"/>
                <w:szCs w:val="20"/>
              </w:rPr>
            </w:pPr>
            <w:r w:rsidRPr="00CD3F9B">
              <w:rPr>
                <w:rFonts w:cs="Arial"/>
                <w:szCs w:val="20"/>
              </w:rPr>
              <w:t xml:space="preserve">01/08/2009 </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Slovakia </w:t>
            </w:r>
          </w:p>
        </w:tc>
        <w:tc>
          <w:tcPr>
            <w:tcW w:w="796" w:type="pct"/>
            <w:vAlign w:val="center"/>
          </w:tcPr>
          <w:p w:rsidR="005E3DE3" w:rsidRPr="00CD3F9B" w:rsidRDefault="005E3DE3" w:rsidP="008271EF">
            <w:pPr>
              <w:rPr>
                <w:rFonts w:cs="Arial"/>
                <w:szCs w:val="20"/>
              </w:rPr>
            </w:pPr>
            <w:r w:rsidRPr="00CD3F9B">
              <w:rPr>
                <w:rFonts w:cs="Arial"/>
                <w:szCs w:val="20"/>
              </w:rPr>
              <w:t xml:space="preserve">12/11/2007 </w:t>
            </w:r>
          </w:p>
        </w:tc>
        <w:tc>
          <w:tcPr>
            <w:tcW w:w="753" w:type="pct"/>
            <w:vAlign w:val="center"/>
          </w:tcPr>
          <w:p w:rsidR="005E3DE3" w:rsidRPr="00CD3F9B" w:rsidRDefault="005E3DE3" w:rsidP="008271EF">
            <w:pPr>
              <w:rPr>
                <w:rFonts w:cs="Arial"/>
                <w:szCs w:val="20"/>
              </w:rPr>
            </w:pPr>
            <w:r w:rsidRPr="00CD3F9B">
              <w:rPr>
                <w:rFonts w:cs="Arial"/>
                <w:szCs w:val="20"/>
              </w:rPr>
              <w:t xml:space="preserve">16/09/2008 </w:t>
            </w:r>
          </w:p>
        </w:tc>
        <w:tc>
          <w:tcPr>
            <w:tcW w:w="1162" w:type="pct"/>
            <w:vAlign w:val="center"/>
          </w:tcPr>
          <w:p w:rsidR="005E3DE3" w:rsidRPr="00CD3F9B" w:rsidRDefault="005E3DE3" w:rsidP="008271EF">
            <w:pPr>
              <w:rPr>
                <w:rFonts w:cs="Arial"/>
                <w:szCs w:val="20"/>
              </w:rPr>
            </w:pPr>
            <w:r w:rsidRPr="00CD3F9B">
              <w:rPr>
                <w:rFonts w:cs="Arial"/>
                <w:szCs w:val="20"/>
              </w:rPr>
              <w:t xml:space="preserve">01/01/2009 </w:t>
            </w:r>
          </w:p>
        </w:tc>
      </w:tr>
    </w:tbl>
    <w:p w:rsidR="00CD3F9B" w:rsidRDefault="00CD3F9B">
      <w:r>
        <w:br w:type="page"/>
      </w:r>
    </w:p>
    <w:tbl>
      <w:tblPr>
        <w:tblStyle w:val="TableGrid"/>
        <w:tblW w:w="5000" w:type="pct"/>
        <w:tbl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insideH w:val="single" w:sz="12" w:space="0" w:color="548DD4" w:themeColor="text2" w:themeTint="99"/>
          <w:insideV w:val="single" w:sz="12" w:space="0" w:color="548DD4" w:themeColor="text2" w:themeTint="99"/>
        </w:tblBorders>
        <w:tblLook w:val="04A0" w:firstRow="1" w:lastRow="0" w:firstColumn="1" w:lastColumn="0" w:noHBand="0" w:noVBand="1"/>
      </w:tblPr>
      <w:tblGrid>
        <w:gridCol w:w="4472"/>
        <w:gridCol w:w="1556"/>
        <w:gridCol w:w="1472"/>
        <w:gridCol w:w="2271"/>
      </w:tblGrid>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Slovenia </w:t>
            </w:r>
          </w:p>
        </w:tc>
        <w:tc>
          <w:tcPr>
            <w:tcW w:w="796" w:type="pct"/>
            <w:vAlign w:val="center"/>
          </w:tcPr>
          <w:p w:rsidR="005E3DE3" w:rsidRPr="00CD3F9B" w:rsidRDefault="005E3DE3" w:rsidP="008271EF">
            <w:pPr>
              <w:rPr>
                <w:rFonts w:cs="Arial"/>
                <w:szCs w:val="20"/>
              </w:rPr>
            </w:pPr>
            <w:r w:rsidRPr="00CD3F9B">
              <w:rPr>
                <w:rFonts w:cs="Arial"/>
                <w:szCs w:val="20"/>
              </w:rPr>
              <w:t xml:space="preserve">28/03/2007 </w:t>
            </w:r>
          </w:p>
        </w:tc>
        <w:tc>
          <w:tcPr>
            <w:tcW w:w="753" w:type="pct"/>
            <w:vAlign w:val="center"/>
          </w:tcPr>
          <w:p w:rsidR="005E3DE3" w:rsidRPr="00CD3F9B" w:rsidRDefault="005E3DE3" w:rsidP="008271EF">
            <w:pPr>
              <w:rPr>
                <w:rFonts w:cs="Arial"/>
                <w:szCs w:val="20"/>
              </w:rPr>
            </w:pPr>
            <w:r w:rsidRPr="00CD3F9B">
              <w:rPr>
                <w:rFonts w:cs="Arial"/>
                <w:szCs w:val="20"/>
              </w:rPr>
              <w:t xml:space="preserve">26/04/2010 </w:t>
            </w:r>
          </w:p>
        </w:tc>
        <w:tc>
          <w:tcPr>
            <w:tcW w:w="1162" w:type="pct"/>
            <w:vAlign w:val="center"/>
          </w:tcPr>
          <w:p w:rsidR="005E3DE3" w:rsidRPr="00CD3F9B" w:rsidRDefault="005E3DE3" w:rsidP="008271EF">
            <w:pPr>
              <w:rPr>
                <w:rFonts w:cs="Arial"/>
                <w:szCs w:val="20"/>
              </w:rPr>
            </w:pPr>
            <w:r w:rsidRPr="00CD3F9B">
              <w:rPr>
                <w:rFonts w:cs="Arial"/>
                <w:szCs w:val="20"/>
              </w:rPr>
              <w:t xml:space="preserve">01/08/2010 </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Spain </w:t>
            </w:r>
          </w:p>
        </w:tc>
        <w:tc>
          <w:tcPr>
            <w:tcW w:w="796" w:type="pct"/>
            <w:vAlign w:val="center"/>
          </w:tcPr>
          <w:p w:rsidR="005E3DE3" w:rsidRPr="00CD3F9B" w:rsidRDefault="005E3DE3" w:rsidP="008271EF">
            <w:pPr>
              <w:rPr>
                <w:rFonts w:cs="Arial"/>
                <w:szCs w:val="20"/>
              </w:rPr>
            </w:pPr>
            <w:r w:rsidRPr="00CD3F9B">
              <w:rPr>
                <w:rFonts w:cs="Arial"/>
                <w:szCs w:val="20"/>
              </w:rPr>
              <w:t xml:space="preserve">20/02/2009 </w:t>
            </w:r>
          </w:p>
        </w:tc>
        <w:tc>
          <w:tcPr>
            <w:tcW w:w="753" w:type="pct"/>
            <w:vAlign w:val="center"/>
          </w:tcPr>
          <w:p w:rsidR="005E3DE3" w:rsidRPr="00CD3F9B" w:rsidRDefault="005E3DE3" w:rsidP="008271EF">
            <w:pPr>
              <w:rPr>
                <w:rFonts w:cs="Arial"/>
                <w:szCs w:val="20"/>
              </w:rPr>
            </w:pPr>
            <w:r w:rsidRPr="00CD3F9B">
              <w:rPr>
                <w:rFonts w:cs="Arial"/>
                <w:szCs w:val="20"/>
              </w:rPr>
              <w:t xml:space="preserve">26/03/2010 </w:t>
            </w:r>
          </w:p>
        </w:tc>
        <w:tc>
          <w:tcPr>
            <w:tcW w:w="1162" w:type="pct"/>
            <w:vAlign w:val="center"/>
          </w:tcPr>
          <w:p w:rsidR="005E3DE3" w:rsidRPr="00CD3F9B" w:rsidRDefault="005E3DE3" w:rsidP="008271EF">
            <w:pPr>
              <w:rPr>
                <w:rFonts w:cs="Arial"/>
                <w:szCs w:val="20"/>
              </w:rPr>
            </w:pPr>
            <w:r w:rsidRPr="00CD3F9B">
              <w:rPr>
                <w:rFonts w:cs="Arial"/>
                <w:szCs w:val="20"/>
              </w:rPr>
              <w:t xml:space="preserve">01/07/2010 </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Sweden </w:t>
            </w:r>
          </w:p>
        </w:tc>
        <w:tc>
          <w:tcPr>
            <w:tcW w:w="796" w:type="pct"/>
            <w:vAlign w:val="center"/>
          </w:tcPr>
          <w:p w:rsidR="005E3DE3" w:rsidRPr="00CD3F9B" w:rsidRDefault="005E3DE3" w:rsidP="008271EF">
            <w:pPr>
              <w:rPr>
                <w:rFonts w:cs="Arial"/>
                <w:szCs w:val="20"/>
              </w:rPr>
            </w:pPr>
            <w:r w:rsidRPr="00CD3F9B">
              <w:rPr>
                <w:rFonts w:cs="Arial"/>
                <w:szCs w:val="20"/>
              </w:rPr>
              <w:t xml:space="preserve">16/05/2005 </w:t>
            </w:r>
          </w:p>
        </w:tc>
        <w:tc>
          <w:tcPr>
            <w:tcW w:w="753" w:type="pct"/>
            <w:vAlign w:val="center"/>
          </w:tcPr>
          <w:p w:rsidR="005E3DE3" w:rsidRPr="00CD3F9B" w:rsidRDefault="005E3DE3" w:rsidP="008271EF">
            <w:pPr>
              <w:rPr>
                <w:rFonts w:cs="Arial"/>
                <w:szCs w:val="20"/>
              </w:rPr>
            </w:pPr>
            <w:r w:rsidRPr="00CD3F9B">
              <w:rPr>
                <w:rFonts w:cs="Arial"/>
                <w:szCs w:val="20"/>
              </w:rPr>
              <w:t xml:space="preserve">23/06/2014 </w:t>
            </w:r>
          </w:p>
        </w:tc>
        <w:tc>
          <w:tcPr>
            <w:tcW w:w="1162" w:type="pct"/>
            <w:vAlign w:val="center"/>
          </w:tcPr>
          <w:p w:rsidR="005E3DE3" w:rsidRPr="00CD3F9B" w:rsidRDefault="005E3DE3" w:rsidP="008271EF">
            <w:pPr>
              <w:rPr>
                <w:rFonts w:cs="Arial"/>
                <w:szCs w:val="20"/>
              </w:rPr>
            </w:pPr>
            <w:r w:rsidRPr="00CD3F9B">
              <w:rPr>
                <w:rFonts w:cs="Arial"/>
                <w:szCs w:val="20"/>
              </w:rPr>
              <w:t xml:space="preserve">01/10/2014 </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Switzerland </w:t>
            </w:r>
          </w:p>
        </w:tc>
        <w:tc>
          <w:tcPr>
            <w:tcW w:w="796" w:type="pct"/>
            <w:vAlign w:val="center"/>
          </w:tcPr>
          <w:p w:rsidR="005E3DE3" w:rsidRPr="00CD3F9B" w:rsidRDefault="005E3DE3" w:rsidP="008271EF">
            <w:pPr>
              <w:rPr>
                <w:rFonts w:cs="Arial"/>
                <w:szCs w:val="20"/>
              </w:rPr>
            </w:pPr>
          </w:p>
        </w:tc>
        <w:tc>
          <w:tcPr>
            <w:tcW w:w="753" w:type="pct"/>
            <w:vAlign w:val="center"/>
          </w:tcPr>
          <w:p w:rsidR="005E3DE3" w:rsidRPr="00CD3F9B" w:rsidRDefault="005E3DE3" w:rsidP="008271EF">
            <w:pPr>
              <w:rPr>
                <w:rFonts w:cs="Arial"/>
                <w:szCs w:val="20"/>
              </w:rPr>
            </w:pPr>
          </w:p>
        </w:tc>
        <w:tc>
          <w:tcPr>
            <w:tcW w:w="1162" w:type="pct"/>
            <w:vAlign w:val="center"/>
          </w:tcPr>
          <w:p w:rsidR="005E3DE3" w:rsidRPr="00CD3F9B" w:rsidRDefault="005E3DE3" w:rsidP="008271EF">
            <w:pPr>
              <w:rPr>
                <w:rFonts w:cs="Arial"/>
                <w:szCs w:val="20"/>
              </w:rPr>
            </w:pP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“The former Yugoslav Republic of Macedonia” </w:t>
            </w:r>
          </w:p>
        </w:tc>
        <w:tc>
          <w:tcPr>
            <w:tcW w:w="796" w:type="pct"/>
            <w:vAlign w:val="center"/>
          </w:tcPr>
          <w:p w:rsidR="005E3DE3" w:rsidRPr="00CD3F9B" w:rsidRDefault="005E3DE3" w:rsidP="008271EF">
            <w:pPr>
              <w:rPr>
                <w:rFonts w:cs="Arial"/>
                <w:szCs w:val="20"/>
              </w:rPr>
            </w:pPr>
            <w:r w:rsidRPr="00CD3F9B">
              <w:rPr>
                <w:rFonts w:cs="Arial"/>
                <w:szCs w:val="20"/>
              </w:rPr>
              <w:t xml:space="preserve">17/11/2005 </w:t>
            </w:r>
          </w:p>
        </w:tc>
        <w:tc>
          <w:tcPr>
            <w:tcW w:w="753" w:type="pct"/>
            <w:vAlign w:val="center"/>
          </w:tcPr>
          <w:p w:rsidR="005E3DE3" w:rsidRPr="00CD3F9B" w:rsidRDefault="005E3DE3" w:rsidP="008271EF">
            <w:pPr>
              <w:rPr>
                <w:rFonts w:cs="Arial"/>
                <w:szCs w:val="20"/>
              </w:rPr>
            </w:pPr>
            <w:r w:rsidRPr="00CD3F9B">
              <w:rPr>
                <w:rFonts w:cs="Arial"/>
                <w:szCs w:val="20"/>
              </w:rPr>
              <w:t xml:space="preserve">27/05/2009 </w:t>
            </w:r>
          </w:p>
        </w:tc>
        <w:tc>
          <w:tcPr>
            <w:tcW w:w="1162" w:type="pct"/>
            <w:vAlign w:val="center"/>
          </w:tcPr>
          <w:p w:rsidR="005E3DE3" w:rsidRPr="00CD3F9B" w:rsidRDefault="005E3DE3" w:rsidP="008271EF">
            <w:pPr>
              <w:rPr>
                <w:rFonts w:cs="Arial"/>
                <w:szCs w:val="20"/>
              </w:rPr>
            </w:pPr>
            <w:r w:rsidRPr="00CD3F9B">
              <w:rPr>
                <w:rFonts w:cs="Arial"/>
                <w:szCs w:val="20"/>
              </w:rPr>
              <w:t xml:space="preserve">01/09/2009 </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Turkey </w:t>
            </w:r>
          </w:p>
        </w:tc>
        <w:tc>
          <w:tcPr>
            <w:tcW w:w="796" w:type="pct"/>
            <w:vAlign w:val="center"/>
          </w:tcPr>
          <w:p w:rsidR="005E3DE3" w:rsidRPr="00CD3F9B" w:rsidRDefault="005E3DE3" w:rsidP="008271EF">
            <w:pPr>
              <w:rPr>
                <w:rFonts w:cs="Arial"/>
                <w:szCs w:val="20"/>
              </w:rPr>
            </w:pPr>
            <w:r w:rsidRPr="00CD3F9B">
              <w:rPr>
                <w:rFonts w:cs="Arial"/>
                <w:szCs w:val="20"/>
              </w:rPr>
              <w:t xml:space="preserve">28/03/2007 </w:t>
            </w:r>
          </w:p>
        </w:tc>
        <w:tc>
          <w:tcPr>
            <w:tcW w:w="753" w:type="pct"/>
            <w:vAlign w:val="center"/>
          </w:tcPr>
          <w:p w:rsidR="005E3DE3" w:rsidRPr="00CD3F9B" w:rsidRDefault="005E3DE3" w:rsidP="008271EF">
            <w:pPr>
              <w:rPr>
                <w:rFonts w:cs="Arial"/>
                <w:szCs w:val="20"/>
              </w:rPr>
            </w:pPr>
            <w:r w:rsidRPr="00CD3F9B">
              <w:rPr>
                <w:rFonts w:cs="Arial"/>
                <w:szCs w:val="20"/>
              </w:rPr>
              <w:t>02/05/2016</w:t>
            </w:r>
          </w:p>
        </w:tc>
        <w:tc>
          <w:tcPr>
            <w:tcW w:w="1162" w:type="pct"/>
            <w:vAlign w:val="center"/>
          </w:tcPr>
          <w:p w:rsidR="005E3DE3" w:rsidRPr="00CD3F9B" w:rsidRDefault="005E3DE3" w:rsidP="008271EF">
            <w:pPr>
              <w:rPr>
                <w:rFonts w:cs="Arial"/>
                <w:szCs w:val="20"/>
              </w:rPr>
            </w:pPr>
            <w:r w:rsidRPr="00CD3F9B">
              <w:rPr>
                <w:rFonts w:cs="Arial"/>
                <w:szCs w:val="20"/>
              </w:rPr>
              <w:t>01/09/2016</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Ukraine </w:t>
            </w:r>
          </w:p>
        </w:tc>
        <w:tc>
          <w:tcPr>
            <w:tcW w:w="796" w:type="pct"/>
            <w:vAlign w:val="center"/>
          </w:tcPr>
          <w:p w:rsidR="005E3DE3" w:rsidRPr="00CD3F9B" w:rsidRDefault="005E3DE3" w:rsidP="008271EF">
            <w:pPr>
              <w:rPr>
                <w:rFonts w:cs="Arial"/>
                <w:szCs w:val="20"/>
              </w:rPr>
            </w:pPr>
            <w:r w:rsidRPr="00CD3F9B">
              <w:rPr>
                <w:rFonts w:cs="Arial"/>
                <w:szCs w:val="20"/>
              </w:rPr>
              <w:t xml:space="preserve">29/11/2005 </w:t>
            </w:r>
          </w:p>
        </w:tc>
        <w:tc>
          <w:tcPr>
            <w:tcW w:w="753" w:type="pct"/>
            <w:vAlign w:val="center"/>
          </w:tcPr>
          <w:p w:rsidR="005E3DE3" w:rsidRPr="00CD3F9B" w:rsidRDefault="005E3DE3" w:rsidP="008271EF">
            <w:pPr>
              <w:rPr>
                <w:rFonts w:cs="Arial"/>
                <w:szCs w:val="20"/>
              </w:rPr>
            </w:pPr>
            <w:r w:rsidRPr="00CD3F9B">
              <w:rPr>
                <w:rFonts w:cs="Arial"/>
                <w:szCs w:val="20"/>
              </w:rPr>
              <w:t xml:space="preserve">02/02/2011 </w:t>
            </w:r>
          </w:p>
        </w:tc>
        <w:tc>
          <w:tcPr>
            <w:tcW w:w="1162" w:type="pct"/>
            <w:vAlign w:val="center"/>
          </w:tcPr>
          <w:p w:rsidR="005E3DE3" w:rsidRPr="00CD3F9B" w:rsidRDefault="005E3DE3" w:rsidP="008271EF">
            <w:pPr>
              <w:rPr>
                <w:rFonts w:cs="Arial"/>
                <w:szCs w:val="20"/>
              </w:rPr>
            </w:pPr>
            <w:r w:rsidRPr="00CD3F9B">
              <w:rPr>
                <w:rFonts w:cs="Arial"/>
                <w:szCs w:val="20"/>
              </w:rPr>
              <w:t xml:space="preserve">01/06/2011 </w:t>
            </w:r>
          </w:p>
        </w:tc>
      </w:tr>
      <w:tr w:rsidR="005E3DE3" w:rsidRPr="00CD3F9B" w:rsidTr="00CD3F9B">
        <w:trPr>
          <w:trHeight w:val="240"/>
        </w:trPr>
        <w:tc>
          <w:tcPr>
            <w:tcW w:w="2288" w:type="pct"/>
            <w:vAlign w:val="center"/>
          </w:tcPr>
          <w:p w:rsidR="005E3DE3" w:rsidRPr="00CD3F9B" w:rsidRDefault="005E3DE3" w:rsidP="008271EF">
            <w:pPr>
              <w:rPr>
                <w:rFonts w:cs="Arial"/>
                <w:szCs w:val="20"/>
              </w:rPr>
            </w:pPr>
            <w:r w:rsidRPr="00CD3F9B">
              <w:rPr>
                <w:rFonts w:cs="Arial"/>
                <w:szCs w:val="20"/>
              </w:rPr>
              <w:t xml:space="preserve">United Kingdom </w:t>
            </w:r>
          </w:p>
        </w:tc>
        <w:tc>
          <w:tcPr>
            <w:tcW w:w="796" w:type="pct"/>
            <w:vAlign w:val="center"/>
          </w:tcPr>
          <w:p w:rsidR="005E3DE3" w:rsidRPr="00CD3F9B" w:rsidRDefault="005E3DE3" w:rsidP="008271EF">
            <w:pPr>
              <w:rPr>
                <w:rFonts w:cs="Arial"/>
                <w:szCs w:val="20"/>
              </w:rPr>
            </w:pPr>
            <w:r w:rsidRPr="00CD3F9B">
              <w:rPr>
                <w:rFonts w:cs="Arial"/>
                <w:szCs w:val="20"/>
              </w:rPr>
              <w:t xml:space="preserve">29/9/2014 </w:t>
            </w:r>
          </w:p>
        </w:tc>
        <w:tc>
          <w:tcPr>
            <w:tcW w:w="753" w:type="pct"/>
            <w:vAlign w:val="center"/>
          </w:tcPr>
          <w:p w:rsidR="005E3DE3" w:rsidRPr="00CD3F9B" w:rsidRDefault="005E3DE3" w:rsidP="008271EF">
            <w:pPr>
              <w:rPr>
                <w:rFonts w:cs="Arial"/>
                <w:szCs w:val="20"/>
              </w:rPr>
            </w:pPr>
            <w:r w:rsidRPr="00CD3F9B">
              <w:rPr>
                <w:rFonts w:cs="Arial"/>
                <w:szCs w:val="20"/>
              </w:rPr>
              <w:t xml:space="preserve">27/04/2015 </w:t>
            </w:r>
          </w:p>
        </w:tc>
        <w:tc>
          <w:tcPr>
            <w:tcW w:w="1162" w:type="pct"/>
            <w:vAlign w:val="center"/>
          </w:tcPr>
          <w:p w:rsidR="005E3DE3" w:rsidRPr="00CD3F9B" w:rsidRDefault="005E3DE3" w:rsidP="008271EF">
            <w:pPr>
              <w:rPr>
                <w:rFonts w:cs="Arial"/>
                <w:szCs w:val="20"/>
              </w:rPr>
            </w:pPr>
            <w:r w:rsidRPr="00CD3F9B">
              <w:rPr>
                <w:rFonts w:cs="Arial"/>
                <w:szCs w:val="20"/>
              </w:rPr>
              <w:t xml:space="preserve">01/08/2015 </w:t>
            </w:r>
          </w:p>
        </w:tc>
      </w:tr>
    </w:tbl>
    <w:p w:rsidR="005E3DE3" w:rsidRPr="00CD3F9B" w:rsidRDefault="005E3DE3" w:rsidP="005E3DE3">
      <w:pPr>
        <w:spacing w:before="60" w:after="60"/>
        <w:rPr>
          <w:rFonts w:cs="Arial"/>
          <w:b/>
          <w:szCs w:val="20"/>
        </w:rPr>
      </w:pPr>
    </w:p>
    <w:p w:rsidR="005E3DE3" w:rsidRPr="00CD3F9B" w:rsidRDefault="005E3DE3" w:rsidP="005E3DE3">
      <w:pPr>
        <w:spacing w:before="60" w:after="60"/>
        <w:rPr>
          <w:rFonts w:cs="Arial"/>
          <w:b/>
          <w:szCs w:val="20"/>
        </w:rPr>
      </w:pPr>
      <w:r w:rsidRPr="00CD3F9B">
        <w:rPr>
          <w:rFonts w:cs="Arial"/>
          <w:b/>
          <w:szCs w:val="20"/>
        </w:rPr>
        <w:t>Non-members of the Council of Europe</w:t>
      </w:r>
    </w:p>
    <w:tbl>
      <w:tblPr>
        <w:tblStyle w:val="TableGrid"/>
        <w:tblW w:w="5000" w:type="pct"/>
        <w:tbl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insideH w:val="single" w:sz="12" w:space="0" w:color="548DD4" w:themeColor="text2" w:themeTint="99"/>
          <w:insideV w:val="single" w:sz="12" w:space="0" w:color="548DD4" w:themeColor="text2" w:themeTint="99"/>
        </w:tblBorders>
        <w:tblLook w:val="04A0" w:firstRow="1" w:lastRow="0" w:firstColumn="1" w:lastColumn="0" w:noHBand="0" w:noVBand="1"/>
      </w:tblPr>
      <w:tblGrid>
        <w:gridCol w:w="4472"/>
        <w:gridCol w:w="1556"/>
        <w:gridCol w:w="1472"/>
        <w:gridCol w:w="2271"/>
      </w:tblGrid>
      <w:tr w:rsidR="005E3DE3" w:rsidRPr="00CD3F9B" w:rsidTr="008271EF">
        <w:trPr>
          <w:trHeight w:val="225"/>
        </w:trPr>
        <w:tc>
          <w:tcPr>
            <w:tcW w:w="2289" w:type="pct"/>
            <w:shd w:val="clear" w:color="auto" w:fill="8DB3E2" w:themeFill="text2" w:themeFillTint="66"/>
          </w:tcPr>
          <w:p w:rsidR="005E3DE3" w:rsidRPr="00CD3F9B" w:rsidRDefault="005E3DE3" w:rsidP="008271EF">
            <w:pPr>
              <w:spacing w:before="60" w:after="60"/>
              <w:rPr>
                <w:rFonts w:cs="Arial"/>
                <w:szCs w:val="20"/>
              </w:rPr>
            </w:pPr>
          </w:p>
        </w:tc>
        <w:tc>
          <w:tcPr>
            <w:tcW w:w="796" w:type="pct"/>
            <w:shd w:val="clear" w:color="auto" w:fill="8DB3E2" w:themeFill="text2" w:themeFillTint="66"/>
          </w:tcPr>
          <w:p w:rsidR="005E3DE3" w:rsidRPr="00CD3F9B" w:rsidRDefault="005E3DE3" w:rsidP="008271EF">
            <w:pPr>
              <w:spacing w:before="60" w:after="60"/>
              <w:rPr>
                <w:rFonts w:cs="Arial"/>
                <w:b/>
                <w:szCs w:val="20"/>
              </w:rPr>
            </w:pPr>
            <w:r w:rsidRPr="00CD3F9B">
              <w:rPr>
                <w:rFonts w:cs="Arial"/>
                <w:b/>
                <w:szCs w:val="20"/>
              </w:rPr>
              <w:t>Signature</w:t>
            </w:r>
          </w:p>
        </w:tc>
        <w:tc>
          <w:tcPr>
            <w:tcW w:w="753" w:type="pct"/>
            <w:shd w:val="clear" w:color="auto" w:fill="8DB3E2" w:themeFill="text2" w:themeFillTint="66"/>
          </w:tcPr>
          <w:p w:rsidR="005E3DE3" w:rsidRPr="00CD3F9B" w:rsidRDefault="005E3DE3" w:rsidP="008271EF">
            <w:pPr>
              <w:spacing w:before="60" w:after="60"/>
              <w:rPr>
                <w:rFonts w:cs="Arial"/>
                <w:b/>
                <w:szCs w:val="20"/>
              </w:rPr>
            </w:pPr>
            <w:r w:rsidRPr="00CD3F9B">
              <w:rPr>
                <w:rFonts w:cs="Arial"/>
                <w:b/>
                <w:szCs w:val="20"/>
              </w:rPr>
              <w:t>Ratification</w:t>
            </w:r>
          </w:p>
        </w:tc>
        <w:tc>
          <w:tcPr>
            <w:tcW w:w="1163" w:type="pct"/>
            <w:shd w:val="clear" w:color="auto" w:fill="8DB3E2" w:themeFill="text2" w:themeFillTint="66"/>
          </w:tcPr>
          <w:p w:rsidR="005E3DE3" w:rsidRPr="00CD3F9B" w:rsidRDefault="005E3DE3" w:rsidP="008271EF">
            <w:pPr>
              <w:spacing w:before="60" w:after="60"/>
              <w:rPr>
                <w:rFonts w:cs="Arial"/>
                <w:b/>
                <w:szCs w:val="20"/>
              </w:rPr>
            </w:pPr>
            <w:r w:rsidRPr="00CD3F9B">
              <w:rPr>
                <w:rFonts w:cs="Arial"/>
                <w:b/>
                <w:szCs w:val="20"/>
              </w:rPr>
              <w:t xml:space="preserve">Entrée en </w:t>
            </w:r>
            <w:proofErr w:type="spellStart"/>
            <w:r w:rsidRPr="00CD3F9B">
              <w:rPr>
                <w:rFonts w:cs="Arial"/>
                <w:b/>
                <w:szCs w:val="20"/>
              </w:rPr>
              <w:t>vigueur</w:t>
            </w:r>
            <w:proofErr w:type="spellEnd"/>
          </w:p>
        </w:tc>
      </w:tr>
      <w:tr w:rsidR="005E3DE3" w:rsidRPr="00CD3F9B" w:rsidTr="008271EF">
        <w:trPr>
          <w:trHeight w:val="240"/>
        </w:trPr>
        <w:tc>
          <w:tcPr>
            <w:tcW w:w="2289" w:type="pct"/>
            <w:vAlign w:val="center"/>
            <w:hideMark/>
          </w:tcPr>
          <w:p w:rsidR="005E3DE3" w:rsidRPr="00CD3F9B" w:rsidRDefault="005E3DE3" w:rsidP="008271EF">
            <w:pPr>
              <w:rPr>
                <w:rFonts w:cs="Arial"/>
                <w:szCs w:val="20"/>
              </w:rPr>
            </w:pPr>
            <w:r w:rsidRPr="00CD3F9B">
              <w:rPr>
                <w:rFonts w:cs="Arial"/>
                <w:szCs w:val="20"/>
              </w:rPr>
              <w:t xml:space="preserve">Canada </w:t>
            </w:r>
          </w:p>
        </w:tc>
        <w:tc>
          <w:tcPr>
            <w:tcW w:w="796" w:type="pct"/>
            <w:vAlign w:val="center"/>
            <w:hideMark/>
          </w:tcPr>
          <w:p w:rsidR="005E3DE3" w:rsidRPr="00CD3F9B" w:rsidRDefault="005E3DE3" w:rsidP="008271EF">
            <w:pPr>
              <w:rPr>
                <w:rFonts w:cs="Arial"/>
                <w:szCs w:val="20"/>
              </w:rPr>
            </w:pPr>
          </w:p>
        </w:tc>
        <w:tc>
          <w:tcPr>
            <w:tcW w:w="753" w:type="pct"/>
            <w:vAlign w:val="center"/>
            <w:hideMark/>
          </w:tcPr>
          <w:p w:rsidR="005E3DE3" w:rsidRPr="00CD3F9B" w:rsidRDefault="005E3DE3" w:rsidP="008271EF">
            <w:pPr>
              <w:rPr>
                <w:rFonts w:cs="Arial"/>
                <w:szCs w:val="20"/>
              </w:rPr>
            </w:pPr>
          </w:p>
        </w:tc>
        <w:tc>
          <w:tcPr>
            <w:tcW w:w="1163" w:type="pct"/>
            <w:vAlign w:val="center"/>
            <w:hideMark/>
          </w:tcPr>
          <w:p w:rsidR="005E3DE3" w:rsidRPr="00CD3F9B" w:rsidRDefault="005E3DE3" w:rsidP="008271EF">
            <w:pPr>
              <w:rPr>
                <w:rFonts w:cs="Arial"/>
                <w:szCs w:val="20"/>
              </w:rPr>
            </w:pPr>
          </w:p>
        </w:tc>
      </w:tr>
      <w:tr w:rsidR="005E3DE3" w:rsidRPr="00CD3F9B" w:rsidTr="008271EF">
        <w:trPr>
          <w:trHeight w:val="225"/>
        </w:trPr>
        <w:tc>
          <w:tcPr>
            <w:tcW w:w="2289" w:type="pct"/>
            <w:vAlign w:val="center"/>
            <w:hideMark/>
          </w:tcPr>
          <w:p w:rsidR="005E3DE3" w:rsidRPr="00CD3F9B" w:rsidRDefault="005E3DE3" w:rsidP="008271EF">
            <w:pPr>
              <w:rPr>
                <w:rFonts w:cs="Arial"/>
                <w:szCs w:val="20"/>
              </w:rPr>
            </w:pPr>
            <w:r w:rsidRPr="00CD3F9B">
              <w:rPr>
                <w:rFonts w:cs="Arial"/>
                <w:szCs w:val="20"/>
              </w:rPr>
              <w:t xml:space="preserve">Holy See </w:t>
            </w:r>
          </w:p>
        </w:tc>
        <w:tc>
          <w:tcPr>
            <w:tcW w:w="796" w:type="pct"/>
            <w:vAlign w:val="center"/>
            <w:hideMark/>
          </w:tcPr>
          <w:p w:rsidR="005E3DE3" w:rsidRPr="00CD3F9B" w:rsidRDefault="005E3DE3" w:rsidP="008271EF">
            <w:pPr>
              <w:rPr>
                <w:rFonts w:cs="Arial"/>
                <w:szCs w:val="20"/>
              </w:rPr>
            </w:pPr>
          </w:p>
        </w:tc>
        <w:tc>
          <w:tcPr>
            <w:tcW w:w="753" w:type="pct"/>
            <w:vAlign w:val="center"/>
            <w:hideMark/>
          </w:tcPr>
          <w:p w:rsidR="005E3DE3" w:rsidRPr="00CD3F9B" w:rsidRDefault="005E3DE3" w:rsidP="008271EF">
            <w:pPr>
              <w:rPr>
                <w:rFonts w:cs="Arial"/>
                <w:szCs w:val="20"/>
              </w:rPr>
            </w:pPr>
          </w:p>
        </w:tc>
        <w:tc>
          <w:tcPr>
            <w:tcW w:w="1163" w:type="pct"/>
            <w:vAlign w:val="center"/>
            <w:hideMark/>
          </w:tcPr>
          <w:p w:rsidR="005E3DE3" w:rsidRPr="00CD3F9B" w:rsidRDefault="005E3DE3" w:rsidP="008271EF">
            <w:pPr>
              <w:rPr>
                <w:rFonts w:cs="Arial"/>
                <w:szCs w:val="20"/>
              </w:rPr>
            </w:pPr>
          </w:p>
        </w:tc>
      </w:tr>
      <w:tr w:rsidR="005E3DE3" w:rsidRPr="00CD3F9B" w:rsidTr="008271EF">
        <w:trPr>
          <w:trHeight w:val="240"/>
        </w:trPr>
        <w:tc>
          <w:tcPr>
            <w:tcW w:w="2289" w:type="pct"/>
            <w:vAlign w:val="center"/>
            <w:hideMark/>
          </w:tcPr>
          <w:p w:rsidR="005E3DE3" w:rsidRPr="00CD3F9B" w:rsidRDefault="005E3DE3" w:rsidP="008271EF">
            <w:pPr>
              <w:rPr>
                <w:rFonts w:cs="Arial"/>
                <w:szCs w:val="20"/>
              </w:rPr>
            </w:pPr>
            <w:r w:rsidRPr="00CD3F9B">
              <w:rPr>
                <w:rFonts w:cs="Arial"/>
                <w:szCs w:val="20"/>
              </w:rPr>
              <w:t xml:space="preserve">Japan </w:t>
            </w:r>
          </w:p>
        </w:tc>
        <w:tc>
          <w:tcPr>
            <w:tcW w:w="796" w:type="pct"/>
            <w:vAlign w:val="center"/>
            <w:hideMark/>
          </w:tcPr>
          <w:p w:rsidR="005E3DE3" w:rsidRPr="00CD3F9B" w:rsidRDefault="005E3DE3" w:rsidP="008271EF">
            <w:pPr>
              <w:rPr>
                <w:rFonts w:cs="Arial"/>
                <w:szCs w:val="20"/>
              </w:rPr>
            </w:pPr>
          </w:p>
        </w:tc>
        <w:tc>
          <w:tcPr>
            <w:tcW w:w="753" w:type="pct"/>
            <w:vAlign w:val="center"/>
            <w:hideMark/>
          </w:tcPr>
          <w:p w:rsidR="005E3DE3" w:rsidRPr="00CD3F9B" w:rsidRDefault="005E3DE3" w:rsidP="008271EF">
            <w:pPr>
              <w:rPr>
                <w:rFonts w:cs="Arial"/>
                <w:szCs w:val="20"/>
              </w:rPr>
            </w:pPr>
          </w:p>
        </w:tc>
        <w:tc>
          <w:tcPr>
            <w:tcW w:w="1163" w:type="pct"/>
            <w:vAlign w:val="center"/>
            <w:hideMark/>
          </w:tcPr>
          <w:p w:rsidR="005E3DE3" w:rsidRPr="00CD3F9B" w:rsidRDefault="005E3DE3" w:rsidP="008271EF">
            <w:pPr>
              <w:rPr>
                <w:rFonts w:cs="Arial"/>
                <w:szCs w:val="20"/>
              </w:rPr>
            </w:pPr>
          </w:p>
        </w:tc>
      </w:tr>
      <w:tr w:rsidR="005E3DE3" w:rsidRPr="00CD3F9B" w:rsidTr="008271EF">
        <w:trPr>
          <w:trHeight w:val="240"/>
        </w:trPr>
        <w:tc>
          <w:tcPr>
            <w:tcW w:w="2289" w:type="pct"/>
            <w:vAlign w:val="center"/>
            <w:hideMark/>
          </w:tcPr>
          <w:p w:rsidR="005E3DE3" w:rsidRPr="00CD3F9B" w:rsidRDefault="005E3DE3" w:rsidP="008271EF">
            <w:pPr>
              <w:rPr>
                <w:rFonts w:cs="Arial"/>
                <w:szCs w:val="20"/>
              </w:rPr>
            </w:pPr>
            <w:r w:rsidRPr="00CD3F9B">
              <w:rPr>
                <w:rFonts w:cs="Arial"/>
                <w:szCs w:val="20"/>
              </w:rPr>
              <w:t xml:space="preserve">Mexico </w:t>
            </w:r>
          </w:p>
        </w:tc>
        <w:tc>
          <w:tcPr>
            <w:tcW w:w="796" w:type="pct"/>
            <w:vAlign w:val="center"/>
            <w:hideMark/>
          </w:tcPr>
          <w:p w:rsidR="005E3DE3" w:rsidRPr="00CD3F9B" w:rsidRDefault="005E3DE3" w:rsidP="008271EF">
            <w:pPr>
              <w:rPr>
                <w:rFonts w:cs="Arial"/>
                <w:szCs w:val="20"/>
              </w:rPr>
            </w:pPr>
          </w:p>
        </w:tc>
        <w:tc>
          <w:tcPr>
            <w:tcW w:w="753" w:type="pct"/>
            <w:vAlign w:val="center"/>
            <w:hideMark/>
          </w:tcPr>
          <w:p w:rsidR="005E3DE3" w:rsidRPr="00CD3F9B" w:rsidRDefault="005E3DE3" w:rsidP="008271EF">
            <w:pPr>
              <w:rPr>
                <w:rFonts w:cs="Arial"/>
                <w:szCs w:val="20"/>
              </w:rPr>
            </w:pPr>
          </w:p>
        </w:tc>
        <w:tc>
          <w:tcPr>
            <w:tcW w:w="1163" w:type="pct"/>
            <w:vAlign w:val="center"/>
            <w:hideMark/>
          </w:tcPr>
          <w:p w:rsidR="005E3DE3" w:rsidRPr="00CD3F9B" w:rsidRDefault="005E3DE3" w:rsidP="008271EF">
            <w:pPr>
              <w:rPr>
                <w:rFonts w:cs="Arial"/>
                <w:szCs w:val="20"/>
              </w:rPr>
            </w:pPr>
          </w:p>
        </w:tc>
      </w:tr>
      <w:tr w:rsidR="005E3DE3" w:rsidRPr="00CD3F9B" w:rsidTr="008271EF">
        <w:trPr>
          <w:trHeight w:val="225"/>
        </w:trPr>
        <w:tc>
          <w:tcPr>
            <w:tcW w:w="2289" w:type="pct"/>
            <w:vAlign w:val="center"/>
            <w:hideMark/>
          </w:tcPr>
          <w:p w:rsidR="005E3DE3" w:rsidRPr="00CD3F9B" w:rsidRDefault="005E3DE3" w:rsidP="008271EF">
            <w:pPr>
              <w:rPr>
                <w:rFonts w:cs="Arial"/>
                <w:szCs w:val="20"/>
              </w:rPr>
            </w:pPr>
            <w:r w:rsidRPr="00CD3F9B">
              <w:rPr>
                <w:rFonts w:cs="Arial"/>
                <w:szCs w:val="20"/>
              </w:rPr>
              <w:t xml:space="preserve">Morocco </w:t>
            </w:r>
          </w:p>
        </w:tc>
        <w:tc>
          <w:tcPr>
            <w:tcW w:w="796" w:type="pct"/>
            <w:vAlign w:val="center"/>
            <w:hideMark/>
          </w:tcPr>
          <w:p w:rsidR="005E3DE3" w:rsidRPr="00CD3F9B" w:rsidRDefault="005E3DE3" w:rsidP="008271EF">
            <w:pPr>
              <w:rPr>
                <w:rFonts w:cs="Arial"/>
                <w:szCs w:val="20"/>
              </w:rPr>
            </w:pPr>
          </w:p>
        </w:tc>
        <w:tc>
          <w:tcPr>
            <w:tcW w:w="753" w:type="pct"/>
            <w:vAlign w:val="center"/>
            <w:hideMark/>
          </w:tcPr>
          <w:p w:rsidR="005E3DE3" w:rsidRPr="00CD3F9B" w:rsidRDefault="005E3DE3" w:rsidP="008271EF">
            <w:pPr>
              <w:rPr>
                <w:rFonts w:cs="Arial"/>
                <w:szCs w:val="20"/>
              </w:rPr>
            </w:pPr>
          </w:p>
        </w:tc>
        <w:tc>
          <w:tcPr>
            <w:tcW w:w="1163" w:type="pct"/>
            <w:vAlign w:val="center"/>
            <w:hideMark/>
          </w:tcPr>
          <w:p w:rsidR="005E3DE3" w:rsidRPr="00CD3F9B" w:rsidRDefault="005E3DE3" w:rsidP="008271EF">
            <w:pPr>
              <w:rPr>
                <w:rFonts w:cs="Arial"/>
                <w:szCs w:val="20"/>
              </w:rPr>
            </w:pPr>
          </w:p>
        </w:tc>
      </w:tr>
      <w:tr w:rsidR="005E3DE3" w:rsidRPr="00CD3F9B" w:rsidTr="008271EF">
        <w:trPr>
          <w:trHeight w:val="240"/>
        </w:trPr>
        <w:tc>
          <w:tcPr>
            <w:tcW w:w="2289" w:type="pct"/>
            <w:vAlign w:val="center"/>
            <w:hideMark/>
          </w:tcPr>
          <w:p w:rsidR="005E3DE3" w:rsidRPr="00CD3F9B" w:rsidRDefault="005E3DE3" w:rsidP="008271EF">
            <w:pPr>
              <w:rPr>
                <w:rFonts w:cs="Arial"/>
                <w:szCs w:val="20"/>
              </w:rPr>
            </w:pPr>
            <w:r w:rsidRPr="00CD3F9B">
              <w:rPr>
                <w:rFonts w:cs="Arial"/>
                <w:szCs w:val="20"/>
              </w:rPr>
              <w:t xml:space="preserve">United States of America </w:t>
            </w:r>
          </w:p>
        </w:tc>
        <w:tc>
          <w:tcPr>
            <w:tcW w:w="796" w:type="pct"/>
            <w:vAlign w:val="center"/>
            <w:hideMark/>
          </w:tcPr>
          <w:p w:rsidR="005E3DE3" w:rsidRPr="00CD3F9B" w:rsidRDefault="005E3DE3" w:rsidP="008271EF">
            <w:pPr>
              <w:rPr>
                <w:rFonts w:cs="Arial"/>
                <w:szCs w:val="20"/>
              </w:rPr>
            </w:pPr>
          </w:p>
        </w:tc>
        <w:tc>
          <w:tcPr>
            <w:tcW w:w="753" w:type="pct"/>
            <w:vAlign w:val="center"/>
            <w:hideMark/>
          </w:tcPr>
          <w:p w:rsidR="005E3DE3" w:rsidRPr="00CD3F9B" w:rsidRDefault="005E3DE3" w:rsidP="008271EF">
            <w:pPr>
              <w:rPr>
                <w:rFonts w:cs="Arial"/>
                <w:szCs w:val="20"/>
              </w:rPr>
            </w:pPr>
          </w:p>
        </w:tc>
        <w:tc>
          <w:tcPr>
            <w:tcW w:w="1163" w:type="pct"/>
            <w:vAlign w:val="center"/>
            <w:hideMark/>
          </w:tcPr>
          <w:p w:rsidR="005E3DE3" w:rsidRPr="00CD3F9B" w:rsidRDefault="005E3DE3" w:rsidP="008271EF">
            <w:pPr>
              <w:rPr>
                <w:rFonts w:cs="Arial"/>
                <w:szCs w:val="20"/>
              </w:rPr>
            </w:pPr>
          </w:p>
        </w:tc>
      </w:tr>
    </w:tbl>
    <w:p w:rsidR="005E3DE3" w:rsidRPr="00CD3F9B" w:rsidRDefault="005E3DE3" w:rsidP="005E3DE3">
      <w:pPr>
        <w:spacing w:before="60" w:after="60"/>
        <w:rPr>
          <w:rFonts w:cs="Arial"/>
          <w:b/>
          <w:szCs w:val="20"/>
        </w:rPr>
      </w:pPr>
    </w:p>
    <w:p w:rsidR="005E3DE3" w:rsidRPr="00CD3F9B" w:rsidRDefault="005E3DE3" w:rsidP="005E3DE3">
      <w:pPr>
        <w:spacing w:before="60" w:after="60"/>
        <w:rPr>
          <w:rFonts w:cs="Arial"/>
          <w:b/>
          <w:szCs w:val="20"/>
        </w:rPr>
      </w:pPr>
      <w:r w:rsidRPr="00CD3F9B">
        <w:rPr>
          <w:rFonts w:cs="Arial"/>
          <w:b/>
          <w:szCs w:val="20"/>
        </w:rPr>
        <w:t>International Organisations</w:t>
      </w:r>
    </w:p>
    <w:tbl>
      <w:tblPr>
        <w:tblStyle w:val="TableGrid"/>
        <w:tblW w:w="4859" w:type="pct"/>
        <w:tbl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insideH w:val="single" w:sz="12" w:space="0" w:color="548DD4" w:themeColor="text2" w:themeTint="99"/>
          <w:insideV w:val="single" w:sz="12" w:space="0" w:color="548DD4" w:themeColor="text2" w:themeTint="99"/>
        </w:tblBorders>
        <w:tblLook w:val="04A0" w:firstRow="1" w:lastRow="0" w:firstColumn="1" w:lastColumn="0" w:noHBand="0" w:noVBand="1"/>
      </w:tblPr>
      <w:tblGrid>
        <w:gridCol w:w="4342"/>
        <w:gridCol w:w="1511"/>
        <w:gridCol w:w="1371"/>
        <w:gridCol w:w="2271"/>
      </w:tblGrid>
      <w:tr w:rsidR="005E3DE3" w:rsidRPr="00CD3F9B" w:rsidTr="008271EF">
        <w:trPr>
          <w:trHeight w:val="218"/>
        </w:trPr>
        <w:tc>
          <w:tcPr>
            <w:tcW w:w="2286" w:type="pct"/>
            <w:shd w:val="clear" w:color="auto" w:fill="8DB3E2" w:themeFill="text2" w:themeFillTint="66"/>
          </w:tcPr>
          <w:p w:rsidR="005E3DE3" w:rsidRPr="00CD3F9B" w:rsidRDefault="005E3DE3" w:rsidP="008271EF">
            <w:pPr>
              <w:spacing w:before="60" w:after="60"/>
              <w:rPr>
                <w:rFonts w:cs="Arial"/>
                <w:szCs w:val="20"/>
              </w:rPr>
            </w:pPr>
          </w:p>
        </w:tc>
        <w:tc>
          <w:tcPr>
            <w:tcW w:w="795" w:type="pct"/>
            <w:shd w:val="clear" w:color="auto" w:fill="8DB3E2" w:themeFill="text2" w:themeFillTint="66"/>
          </w:tcPr>
          <w:p w:rsidR="005E3DE3" w:rsidRPr="00CD3F9B" w:rsidRDefault="005E3DE3" w:rsidP="008271EF">
            <w:pPr>
              <w:spacing w:before="60" w:after="60"/>
              <w:rPr>
                <w:rFonts w:cs="Arial"/>
                <w:b/>
                <w:szCs w:val="20"/>
              </w:rPr>
            </w:pPr>
            <w:r w:rsidRPr="00CD3F9B">
              <w:rPr>
                <w:rFonts w:cs="Arial"/>
                <w:b/>
                <w:szCs w:val="20"/>
              </w:rPr>
              <w:t>Signature</w:t>
            </w:r>
          </w:p>
        </w:tc>
        <w:tc>
          <w:tcPr>
            <w:tcW w:w="722" w:type="pct"/>
            <w:shd w:val="clear" w:color="auto" w:fill="8DB3E2" w:themeFill="text2" w:themeFillTint="66"/>
          </w:tcPr>
          <w:p w:rsidR="005E3DE3" w:rsidRPr="00CD3F9B" w:rsidRDefault="005E3DE3" w:rsidP="008271EF">
            <w:pPr>
              <w:spacing w:before="60" w:after="60"/>
              <w:rPr>
                <w:rFonts w:cs="Arial"/>
                <w:b/>
                <w:szCs w:val="20"/>
              </w:rPr>
            </w:pPr>
            <w:r w:rsidRPr="00CD3F9B">
              <w:rPr>
                <w:rFonts w:cs="Arial"/>
                <w:b/>
                <w:szCs w:val="20"/>
              </w:rPr>
              <w:t>Ratification</w:t>
            </w:r>
          </w:p>
        </w:tc>
        <w:tc>
          <w:tcPr>
            <w:tcW w:w="1196" w:type="pct"/>
            <w:shd w:val="clear" w:color="auto" w:fill="8DB3E2" w:themeFill="text2" w:themeFillTint="66"/>
          </w:tcPr>
          <w:p w:rsidR="005E3DE3" w:rsidRPr="00CD3F9B" w:rsidRDefault="005E3DE3" w:rsidP="008271EF">
            <w:pPr>
              <w:spacing w:before="60" w:after="60"/>
              <w:rPr>
                <w:rFonts w:cs="Arial"/>
                <w:b/>
                <w:szCs w:val="20"/>
              </w:rPr>
            </w:pPr>
            <w:r w:rsidRPr="00CD3F9B">
              <w:rPr>
                <w:rFonts w:cs="Arial"/>
                <w:b/>
                <w:szCs w:val="20"/>
              </w:rPr>
              <w:t xml:space="preserve">Entrée en </w:t>
            </w:r>
            <w:proofErr w:type="spellStart"/>
            <w:r w:rsidRPr="00CD3F9B">
              <w:rPr>
                <w:rFonts w:cs="Arial"/>
                <w:b/>
                <w:szCs w:val="20"/>
              </w:rPr>
              <w:t>vigueur</w:t>
            </w:r>
            <w:proofErr w:type="spellEnd"/>
          </w:p>
        </w:tc>
      </w:tr>
      <w:tr w:rsidR="005E3DE3" w:rsidRPr="00CD3F9B" w:rsidTr="008271EF">
        <w:trPr>
          <w:trHeight w:val="246"/>
        </w:trPr>
        <w:tc>
          <w:tcPr>
            <w:tcW w:w="2286" w:type="pct"/>
            <w:hideMark/>
          </w:tcPr>
          <w:p w:rsidR="005E3DE3" w:rsidRPr="00CD3F9B" w:rsidRDefault="005E3DE3" w:rsidP="008271EF">
            <w:pPr>
              <w:spacing w:line="276" w:lineRule="auto"/>
              <w:rPr>
                <w:rFonts w:cs="Arial"/>
                <w:szCs w:val="20"/>
              </w:rPr>
            </w:pPr>
            <w:r w:rsidRPr="00CD3F9B">
              <w:rPr>
                <w:rFonts w:cs="Arial"/>
                <w:szCs w:val="20"/>
              </w:rPr>
              <w:t xml:space="preserve">European Union </w:t>
            </w:r>
          </w:p>
        </w:tc>
        <w:tc>
          <w:tcPr>
            <w:tcW w:w="795" w:type="pct"/>
            <w:hideMark/>
          </w:tcPr>
          <w:p w:rsidR="005E3DE3" w:rsidRPr="00CD3F9B" w:rsidRDefault="005E3DE3" w:rsidP="008271EF">
            <w:pPr>
              <w:spacing w:line="276" w:lineRule="auto"/>
              <w:rPr>
                <w:rFonts w:cs="Arial"/>
                <w:szCs w:val="20"/>
              </w:rPr>
            </w:pPr>
            <w:r w:rsidRPr="00CD3F9B">
              <w:rPr>
                <w:rFonts w:cs="Arial"/>
                <w:szCs w:val="20"/>
              </w:rPr>
              <w:t xml:space="preserve">02/04/2009 </w:t>
            </w:r>
          </w:p>
        </w:tc>
        <w:tc>
          <w:tcPr>
            <w:tcW w:w="722" w:type="pct"/>
            <w:hideMark/>
          </w:tcPr>
          <w:p w:rsidR="005E3DE3" w:rsidRPr="00CD3F9B" w:rsidRDefault="005E3DE3" w:rsidP="008271EF">
            <w:pPr>
              <w:spacing w:line="276" w:lineRule="auto"/>
              <w:rPr>
                <w:rFonts w:cs="Arial"/>
                <w:szCs w:val="20"/>
              </w:rPr>
            </w:pPr>
          </w:p>
        </w:tc>
        <w:tc>
          <w:tcPr>
            <w:tcW w:w="1196" w:type="pct"/>
            <w:hideMark/>
          </w:tcPr>
          <w:p w:rsidR="005E3DE3" w:rsidRPr="00CD3F9B" w:rsidRDefault="005E3DE3" w:rsidP="008271EF">
            <w:pPr>
              <w:spacing w:line="276" w:lineRule="auto"/>
              <w:rPr>
                <w:rFonts w:cs="Arial"/>
                <w:szCs w:val="20"/>
              </w:rPr>
            </w:pPr>
          </w:p>
        </w:tc>
      </w:tr>
    </w:tbl>
    <w:p w:rsidR="005E3DE3" w:rsidRPr="00CD3F9B" w:rsidRDefault="005E3DE3" w:rsidP="005E3DE3">
      <w:pPr>
        <w:rPr>
          <w:rFonts w:cs="Arial"/>
          <w:szCs w:val="20"/>
        </w:rPr>
      </w:pPr>
    </w:p>
    <w:tbl>
      <w:tblPr>
        <w:tblStyle w:val="TableGrid"/>
        <w:tblW w:w="2976" w:type="pct"/>
        <w:tblBorders>
          <w:top w:val="single" w:sz="12" w:space="0" w:color="548DD4" w:themeColor="text2" w:themeTint="99"/>
          <w:left w:val="single" w:sz="12" w:space="0" w:color="548DD4" w:themeColor="text2" w:themeTint="99"/>
          <w:bottom w:val="single" w:sz="12" w:space="0" w:color="548DD4" w:themeColor="text2" w:themeTint="99"/>
          <w:right w:val="single" w:sz="12" w:space="0" w:color="548DD4" w:themeColor="text2" w:themeTint="99"/>
          <w:insideH w:val="single" w:sz="12" w:space="0" w:color="548DD4" w:themeColor="text2" w:themeTint="99"/>
          <w:insideV w:val="single" w:sz="12" w:space="0" w:color="548DD4" w:themeColor="text2" w:themeTint="99"/>
        </w:tblBorders>
        <w:tblLook w:val="04A0" w:firstRow="1" w:lastRow="0" w:firstColumn="1" w:lastColumn="0" w:noHBand="0" w:noVBand="1"/>
      </w:tblPr>
      <w:tblGrid>
        <w:gridCol w:w="5234"/>
        <w:gridCol w:w="582"/>
      </w:tblGrid>
      <w:tr w:rsidR="005E3DE3" w:rsidRPr="00CD3F9B" w:rsidTr="008271EF">
        <w:tc>
          <w:tcPr>
            <w:tcW w:w="4500" w:type="pct"/>
            <w:vAlign w:val="center"/>
          </w:tcPr>
          <w:p w:rsidR="005E3DE3" w:rsidRPr="00CD3F9B" w:rsidRDefault="005E3DE3" w:rsidP="008271EF">
            <w:pPr>
              <w:rPr>
                <w:rFonts w:cs="Arial"/>
                <w:szCs w:val="20"/>
              </w:rPr>
            </w:pPr>
            <w:r w:rsidRPr="00CD3F9B">
              <w:rPr>
                <w:rFonts w:cs="Arial"/>
                <w:szCs w:val="20"/>
              </w:rPr>
              <w:t xml:space="preserve">Total number of signatures not followed by ratifications: </w:t>
            </w:r>
          </w:p>
        </w:tc>
        <w:tc>
          <w:tcPr>
            <w:tcW w:w="500" w:type="pct"/>
            <w:hideMark/>
          </w:tcPr>
          <w:p w:rsidR="005E3DE3" w:rsidRPr="00CD3F9B" w:rsidRDefault="005E3DE3" w:rsidP="008271EF">
            <w:pPr>
              <w:spacing w:line="276" w:lineRule="auto"/>
              <w:rPr>
                <w:rFonts w:cs="Arial"/>
                <w:szCs w:val="20"/>
              </w:rPr>
            </w:pPr>
            <w:r w:rsidRPr="00CD3F9B">
              <w:rPr>
                <w:rFonts w:cs="Arial"/>
                <w:szCs w:val="20"/>
              </w:rPr>
              <w:t xml:space="preserve">8 </w:t>
            </w:r>
          </w:p>
        </w:tc>
      </w:tr>
      <w:tr w:rsidR="005E3DE3" w:rsidRPr="00CD3F9B" w:rsidTr="008271EF">
        <w:tc>
          <w:tcPr>
            <w:tcW w:w="4500" w:type="pct"/>
            <w:vAlign w:val="center"/>
          </w:tcPr>
          <w:p w:rsidR="005E3DE3" w:rsidRPr="00CD3F9B" w:rsidRDefault="005E3DE3" w:rsidP="008271EF">
            <w:pPr>
              <w:rPr>
                <w:rFonts w:cs="Arial"/>
                <w:szCs w:val="20"/>
              </w:rPr>
            </w:pPr>
            <w:r w:rsidRPr="00CD3F9B">
              <w:rPr>
                <w:rFonts w:cs="Arial"/>
                <w:szCs w:val="20"/>
              </w:rPr>
              <w:t xml:space="preserve">Total number of ratifications/accessions: </w:t>
            </w:r>
          </w:p>
        </w:tc>
        <w:tc>
          <w:tcPr>
            <w:tcW w:w="500" w:type="pct"/>
            <w:hideMark/>
          </w:tcPr>
          <w:p w:rsidR="005E3DE3" w:rsidRPr="00CD3F9B" w:rsidRDefault="005E3DE3" w:rsidP="008271EF">
            <w:pPr>
              <w:spacing w:line="276" w:lineRule="auto"/>
              <w:rPr>
                <w:rFonts w:cs="Arial"/>
                <w:szCs w:val="20"/>
              </w:rPr>
            </w:pPr>
            <w:r w:rsidRPr="00CD3F9B">
              <w:rPr>
                <w:rFonts w:cs="Arial"/>
                <w:szCs w:val="20"/>
              </w:rPr>
              <w:t xml:space="preserve">34 </w:t>
            </w:r>
          </w:p>
        </w:tc>
      </w:tr>
    </w:tbl>
    <w:p w:rsidR="005E3DE3" w:rsidRPr="00CD3F9B" w:rsidRDefault="005E3DE3" w:rsidP="005E3DE3">
      <w:pPr>
        <w:rPr>
          <w:rFonts w:cs="Arial"/>
          <w:szCs w:val="20"/>
        </w:rPr>
      </w:pPr>
    </w:p>
    <w:p w:rsidR="005E3DE3" w:rsidRPr="00CD3F9B" w:rsidRDefault="005E3DE3" w:rsidP="005E3DE3">
      <w:pPr>
        <w:rPr>
          <w:rFonts w:cs="Arial"/>
          <w:sz w:val="16"/>
          <w:szCs w:val="16"/>
        </w:rPr>
      </w:pPr>
      <w:r w:rsidRPr="00CD3F9B">
        <w:rPr>
          <w:rFonts w:cs="Arial"/>
          <w:sz w:val="16"/>
          <w:szCs w:val="16"/>
        </w:rPr>
        <w:t xml:space="preserve">Source: Treaty Office at </w:t>
      </w:r>
      <w:hyperlink r:id="rId20" w:history="1">
        <w:r w:rsidRPr="00CD3F9B">
          <w:rPr>
            <w:rStyle w:val="Hyperlink"/>
            <w:rFonts w:cs="Arial"/>
            <w:b/>
            <w:bCs/>
            <w:sz w:val="16"/>
            <w:szCs w:val="16"/>
          </w:rPr>
          <w:t>http://conventions.coe.int</w:t>
        </w:r>
      </w:hyperlink>
    </w:p>
    <w:p w:rsidR="005E3DE3" w:rsidRPr="0058293C" w:rsidRDefault="005E3DE3" w:rsidP="005E3DE3">
      <w:pPr>
        <w:autoSpaceDE w:val="0"/>
        <w:autoSpaceDN w:val="0"/>
        <w:adjustRightInd w:val="0"/>
        <w:rPr>
          <w:rFonts w:cs="Arial"/>
          <w:szCs w:val="20"/>
        </w:rPr>
      </w:pPr>
    </w:p>
    <w:p w:rsidR="005E3DE3" w:rsidRPr="0099654D" w:rsidRDefault="005E3DE3" w:rsidP="0099654D">
      <w:pPr>
        <w:rPr>
          <w:rFonts w:eastAsia="Times New Roman" w:cs="Arial"/>
          <w:szCs w:val="20"/>
        </w:rPr>
      </w:pPr>
    </w:p>
    <w:sectPr w:rsidR="005E3DE3" w:rsidRPr="0099654D" w:rsidSect="003536F9">
      <w:headerReference w:type="even" r:id="rId21"/>
      <w:headerReference w:type="default" r:id="rId22"/>
      <w:footerReference w:type="default" r:id="rId23"/>
      <w:headerReference w:type="first" r:id="rId24"/>
      <w:footerReference w:type="first" r:id="rId25"/>
      <w:type w:val="continuous"/>
      <w:pgSz w:w="11907" w:h="16840" w:code="9"/>
      <w:pgMar w:top="992" w:right="1162" w:bottom="709" w:left="1077" w:header="454" w:footer="340" w:gutter="113"/>
      <w:pgNumType w:chapStyle="1"/>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D8A" w:rsidRDefault="00DC4D8A" w:rsidP="00FD6043">
      <w:r>
        <w:separator/>
      </w:r>
    </w:p>
  </w:endnote>
  <w:endnote w:type="continuationSeparator" w:id="0">
    <w:p w:rsidR="00DC4D8A" w:rsidRDefault="00DC4D8A"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charset w:val="00"/>
    <w:family w:val="auto"/>
    <w:pitch w:val="variable"/>
    <w:sig w:usb0="E00002AF" w:usb1="5000607B" w:usb2="00000000" w:usb3="00000000" w:csb0="0000009F" w:csb1="00000000"/>
  </w:font>
  <w:font w:name="Ebrima">
    <w:panose1 w:val="02000000000000000000"/>
    <w:charset w:val="00"/>
    <w:family w:val="auto"/>
    <w:pitch w:val="variable"/>
    <w:sig w:usb0="A000005F" w:usb1="02000041" w:usb2="00000000" w:usb3="00000000" w:csb0="00000093" w:csb1="00000000"/>
  </w:font>
  <w:font w:name="ヒラギノ角ゴ Pro W3">
    <w:altName w:val="Times New Roman"/>
    <w:charset w:val="00"/>
    <w:family w:val="roman"/>
    <w:pitch w:val="default"/>
  </w:font>
  <w:font w:name="Lucida Grande">
    <w:altName w:val="Arial"/>
    <w:charset w:val="00"/>
    <w:family w:val="auto"/>
    <w:pitch w:val="variable"/>
    <w:sig w:usb0="00000000" w:usb1="5000A1FF" w:usb2="00000000" w:usb3="00000000" w:csb0="000001B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Univers">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OrigGarmnd BT">
    <w:altName w:val="Times New Roman"/>
    <w:charset w:val="00"/>
    <w:family w:val="roman"/>
    <w:pitch w:val="variable"/>
    <w:sig w:usb0="00000001"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DepCentury Old Style">
    <w:altName w:val="Times New Roman"/>
    <w:charset w:val="00"/>
    <w:family w:val="roman"/>
    <w:pitch w:val="variable"/>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D8A" w:rsidRPr="002F3006" w:rsidRDefault="00DC4D8A" w:rsidP="002F3006">
    <w:pPr>
      <w:pStyle w:val="Footer"/>
      <w:jc w:val="right"/>
      <w:rPr>
        <w:rFonts w:cs="Arial"/>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D8A" w:rsidRPr="00113EB0" w:rsidRDefault="00DC4D8A" w:rsidP="00E15639">
    <w:pPr>
      <w:pStyle w:val="Footer"/>
      <w:rPr>
        <w:sz w:val="16"/>
        <w:szCs w:val="16"/>
      </w:rPr>
    </w:pPr>
    <w:r>
      <w:rPr>
        <w:sz w:val="16"/>
        <w:szCs w:val="16"/>
      </w:rPr>
      <w:t>W</w:t>
    </w:r>
    <w:r w:rsidRPr="00113EB0">
      <w:rPr>
        <w:sz w:val="16"/>
        <w:szCs w:val="16"/>
      </w:rPr>
      <w:t>eb</w:t>
    </w:r>
    <w:r>
      <w:rPr>
        <w:sz w:val="16"/>
        <w:szCs w:val="16"/>
      </w:rPr>
      <w:t>site</w:t>
    </w:r>
    <w:r w:rsidRPr="00113EB0">
      <w:rPr>
        <w:sz w:val="16"/>
        <w:szCs w:val="16"/>
      </w:rPr>
      <w:t xml:space="preserve">: </w:t>
    </w:r>
    <w:hyperlink r:id="rId1" w:history="1">
      <w:r w:rsidRPr="00533557">
        <w:rPr>
          <w:rStyle w:val="Hyperlink"/>
          <w:sz w:val="16"/>
          <w:szCs w:val="16"/>
        </w:rPr>
        <w:t>www.coe.int/cm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D8A" w:rsidRDefault="00DC4D8A" w:rsidP="00FD6043">
      <w:r>
        <w:separator/>
      </w:r>
    </w:p>
  </w:footnote>
  <w:footnote w:type="continuationSeparator" w:id="0">
    <w:p w:rsidR="00DC4D8A" w:rsidRDefault="00DC4D8A" w:rsidP="00FD6043">
      <w:r>
        <w:continuationSeparator/>
      </w:r>
    </w:p>
  </w:footnote>
  <w:footnote w:id="1">
    <w:p w:rsidR="00DC4D8A" w:rsidRPr="00FD5916" w:rsidRDefault="00DC4D8A" w:rsidP="003D6AC2">
      <w:pPr>
        <w:pStyle w:val="FootnoteText"/>
        <w:rPr>
          <w:szCs w:val="16"/>
        </w:rPr>
      </w:pPr>
      <w:r w:rsidRPr="00637CBE">
        <w:rPr>
          <w:rStyle w:val="FootnoteReference"/>
        </w:rPr>
        <w:footnoteRef/>
      </w:r>
      <w:r w:rsidRPr="00637CBE">
        <w:t xml:space="preserve"> </w:t>
      </w:r>
      <w:r w:rsidRPr="00637CBE">
        <w:rPr>
          <w:szCs w:val="16"/>
        </w:rPr>
        <w:t>This document has been classified restricted until examination by the Committee of Ministers.</w:t>
      </w:r>
    </w:p>
  </w:footnote>
  <w:footnote w:id="2">
    <w:p w:rsidR="00DC4D8A" w:rsidRPr="005B7C13" w:rsidRDefault="00DC4D8A" w:rsidP="005E3DE3">
      <w:pPr>
        <w:pStyle w:val="FootnoteText"/>
        <w:rPr>
          <w:lang w:val="en-US"/>
        </w:rPr>
      </w:pPr>
      <w:r w:rsidRPr="005F2A51">
        <w:rPr>
          <w:rStyle w:val="FootnoteReference"/>
        </w:rPr>
        <w:footnoteRef/>
      </w:r>
      <w:r>
        <w:rPr>
          <w:lang w:val="en-US"/>
        </w:rPr>
        <w:t xml:space="preserve"> </w:t>
      </w:r>
      <w:r w:rsidRPr="005B7C13">
        <w:rPr>
          <w:lang w:val="en-US"/>
        </w:rPr>
        <w:t>All of these provisions</w:t>
      </w:r>
      <w:r>
        <w:rPr>
          <w:lang w:val="en-US"/>
        </w:rPr>
        <w:t xml:space="preserve"> also</w:t>
      </w:r>
      <w:r w:rsidRPr="005B7C13">
        <w:rPr>
          <w:lang w:val="en-US"/>
        </w:rPr>
        <w:t xml:space="preserve"> apply to </w:t>
      </w:r>
      <w:r>
        <w:rPr>
          <w:lang w:val="en-US"/>
        </w:rPr>
        <w:t xml:space="preserve">the </w:t>
      </w:r>
      <w:r w:rsidRPr="005B7C13">
        <w:rPr>
          <w:lang w:val="en-US"/>
        </w:rPr>
        <w:t>financing of terrorism.</w:t>
      </w:r>
    </w:p>
  </w:footnote>
  <w:footnote w:id="3">
    <w:p w:rsidR="00DC4D8A" w:rsidRPr="00EE317D" w:rsidRDefault="00DC4D8A" w:rsidP="005B4776">
      <w:pPr>
        <w:pStyle w:val="FootnoteText"/>
        <w:rPr>
          <w:szCs w:val="16"/>
          <w:lang w:val="en-US"/>
        </w:rPr>
      </w:pPr>
      <w:r w:rsidRPr="00EE317D">
        <w:rPr>
          <w:rStyle w:val="FootnoteReference"/>
          <w:szCs w:val="16"/>
        </w:rPr>
        <w:footnoteRef/>
      </w:r>
      <w:r w:rsidRPr="00EE317D">
        <w:rPr>
          <w:szCs w:val="16"/>
          <w:lang w:val="en-US"/>
        </w:rPr>
        <w:t xml:space="preserve">. </w:t>
      </w:r>
      <w:proofErr w:type="gramStart"/>
      <w:r w:rsidRPr="00EE317D">
        <w:rPr>
          <w:szCs w:val="16"/>
          <w:lang w:val="en-US"/>
        </w:rPr>
        <w:t>Recommendation No.</w:t>
      </w:r>
      <w:proofErr w:type="gramEnd"/>
      <w:r w:rsidRPr="00EE317D">
        <w:rPr>
          <w:szCs w:val="16"/>
          <w:lang w:val="en-US"/>
        </w:rPr>
        <w:t xml:space="preserve"> R (80) 10 on measures against the transfer and safekeeping of funds of criminal origin, adopted by the Committee of Ministers of the Council of Europe on 27 June 1980.</w:t>
      </w:r>
    </w:p>
  </w:footnote>
  <w:footnote w:id="4">
    <w:p w:rsidR="00DC4D8A" w:rsidRPr="005B4776" w:rsidRDefault="00DC4D8A" w:rsidP="005B4776">
      <w:pPr>
        <w:suppressAutoHyphens/>
        <w:rPr>
          <w:rFonts w:eastAsia="MS Mincho" w:cs="Arial"/>
          <w:sz w:val="16"/>
          <w:szCs w:val="16"/>
          <w:lang w:eastAsia="ar-SA"/>
        </w:rPr>
      </w:pPr>
      <w:r w:rsidRPr="00D117DF">
        <w:rPr>
          <w:rStyle w:val="FootnoteReference"/>
          <w:sz w:val="16"/>
          <w:szCs w:val="16"/>
        </w:rPr>
        <w:footnoteRef/>
      </w:r>
      <w:r w:rsidRPr="00D117DF">
        <w:rPr>
          <w:sz w:val="16"/>
          <w:szCs w:val="16"/>
        </w:rPr>
        <w:t xml:space="preserve"> </w:t>
      </w:r>
      <w:r>
        <w:rPr>
          <w:sz w:val="16"/>
          <w:szCs w:val="16"/>
        </w:rPr>
        <w:t>Note that t</w:t>
      </w:r>
      <w:r w:rsidRPr="00D117DF">
        <w:rPr>
          <w:rFonts w:eastAsia="MS Mincho" w:cs="Arial"/>
          <w:sz w:val="16"/>
          <w:szCs w:val="16"/>
          <w:lang w:eastAsia="ar-SA"/>
        </w:rPr>
        <w:t xml:space="preserve">he Warsaw Convention, unlike the Strasbourg Convention, provides for a monitoring mechanism through </w:t>
      </w:r>
      <w:r>
        <w:rPr>
          <w:rFonts w:eastAsia="MS Mincho" w:cs="Arial"/>
          <w:sz w:val="16"/>
          <w:szCs w:val="16"/>
          <w:lang w:eastAsia="ar-SA"/>
        </w:rPr>
        <w:t>the</w:t>
      </w:r>
      <w:r w:rsidRPr="00D117DF">
        <w:rPr>
          <w:rFonts w:eastAsia="MS Mincho" w:cs="Arial"/>
          <w:sz w:val="16"/>
          <w:szCs w:val="16"/>
          <w:lang w:eastAsia="ar-SA"/>
        </w:rPr>
        <w:t xml:space="preserve"> Conference of the Parties to ensure that its provis</w:t>
      </w:r>
      <w:r>
        <w:rPr>
          <w:rFonts w:eastAsia="MS Mincho" w:cs="Arial"/>
          <w:sz w:val="16"/>
          <w:szCs w:val="16"/>
          <w:lang w:eastAsia="ar-SA"/>
        </w:rPr>
        <w:t xml:space="preserve">ions are properly implemented. </w:t>
      </w:r>
    </w:p>
  </w:footnote>
  <w:footnote w:id="5">
    <w:p w:rsidR="00DC4D8A" w:rsidRPr="00863EF4" w:rsidRDefault="00DC4D8A" w:rsidP="005E3DE3">
      <w:pPr>
        <w:rPr>
          <w:sz w:val="16"/>
          <w:szCs w:val="16"/>
        </w:rPr>
      </w:pPr>
      <w:r w:rsidRPr="005F2A51">
        <w:rPr>
          <w:sz w:val="16"/>
          <w:szCs w:val="16"/>
        </w:rPr>
        <w:footnoteRef/>
      </w:r>
      <w:r>
        <w:rPr>
          <w:sz w:val="16"/>
          <w:szCs w:val="16"/>
        </w:rPr>
        <w:t xml:space="preserve">. </w:t>
      </w:r>
      <w:r w:rsidRPr="00863EF4">
        <w:rPr>
          <w:sz w:val="16"/>
          <w:szCs w:val="16"/>
        </w:rPr>
        <w:t>See Article 49</w:t>
      </w:r>
      <w:r>
        <w:rPr>
          <w:sz w:val="16"/>
          <w:szCs w:val="16"/>
        </w:rPr>
        <w:t>, paragraph 1,</w:t>
      </w:r>
      <w:r w:rsidRPr="00863EF4">
        <w:rPr>
          <w:sz w:val="16"/>
          <w:szCs w:val="16"/>
        </w:rPr>
        <w:t xml:space="preserve"> of the </w:t>
      </w:r>
      <w:r>
        <w:rPr>
          <w:sz w:val="16"/>
          <w:szCs w:val="16"/>
        </w:rPr>
        <w:t>c</w:t>
      </w:r>
      <w:r w:rsidRPr="00863EF4">
        <w:rPr>
          <w:sz w:val="16"/>
          <w:szCs w:val="16"/>
        </w:rPr>
        <w:t>onvention.</w:t>
      </w:r>
    </w:p>
  </w:footnote>
  <w:footnote w:id="6">
    <w:p w:rsidR="00DC4D8A" w:rsidRPr="007A52D8" w:rsidRDefault="00DC4D8A" w:rsidP="005E3DE3">
      <w:pPr>
        <w:rPr>
          <w:sz w:val="18"/>
          <w:szCs w:val="18"/>
        </w:rPr>
      </w:pPr>
      <w:r w:rsidRPr="005F2A51">
        <w:rPr>
          <w:sz w:val="16"/>
          <w:szCs w:val="16"/>
        </w:rPr>
        <w:footnoteRef/>
      </w:r>
      <w:r>
        <w:rPr>
          <w:sz w:val="16"/>
          <w:szCs w:val="16"/>
        </w:rPr>
        <w:t xml:space="preserve">. </w:t>
      </w:r>
      <w:r w:rsidRPr="00863EF4">
        <w:rPr>
          <w:sz w:val="16"/>
          <w:szCs w:val="16"/>
        </w:rPr>
        <w:t>See Article 50.</w:t>
      </w:r>
    </w:p>
  </w:footnote>
  <w:footnote w:id="7">
    <w:p w:rsidR="00DC4D8A" w:rsidRPr="002F18B6" w:rsidRDefault="00DC4D8A" w:rsidP="005E3DE3">
      <w:pPr>
        <w:pStyle w:val="FootnoteText"/>
        <w:rPr>
          <w:rFonts w:cs="Arial"/>
          <w:szCs w:val="16"/>
        </w:rPr>
      </w:pPr>
      <w:r w:rsidRPr="00991F55">
        <w:rPr>
          <w:rStyle w:val="FootnoteReference"/>
          <w:rFonts w:cs="Arial"/>
          <w:szCs w:val="16"/>
        </w:rPr>
        <w:footnoteRef/>
      </w:r>
      <w:r w:rsidRPr="002F18B6">
        <w:rPr>
          <w:rFonts w:cs="Arial"/>
          <w:szCs w:val="16"/>
        </w:rPr>
        <w:t xml:space="preserve"> </w:t>
      </w:r>
      <w:r w:rsidRPr="008109E4">
        <w:rPr>
          <w:rFonts w:cs="Arial"/>
          <w:szCs w:val="16"/>
        </w:rPr>
        <w:t xml:space="preserve">Note that Ms </w:t>
      </w:r>
      <w:proofErr w:type="spellStart"/>
      <w:r w:rsidRPr="008109E4">
        <w:rPr>
          <w:rFonts w:cs="Arial"/>
          <w:szCs w:val="16"/>
        </w:rPr>
        <w:t>Ani</w:t>
      </w:r>
      <w:proofErr w:type="spellEnd"/>
      <w:r w:rsidRPr="008109E4">
        <w:rPr>
          <w:rFonts w:cs="Arial"/>
          <w:szCs w:val="16"/>
        </w:rPr>
        <w:t xml:space="preserve"> </w:t>
      </w:r>
      <w:proofErr w:type="spellStart"/>
      <w:r w:rsidRPr="008109E4">
        <w:rPr>
          <w:rFonts w:cs="Arial"/>
          <w:szCs w:val="16"/>
        </w:rPr>
        <w:t>Melk</w:t>
      </w:r>
      <w:r>
        <w:rPr>
          <w:rFonts w:cs="Arial"/>
          <w:szCs w:val="16"/>
        </w:rPr>
        <w:t>on</w:t>
      </w:r>
      <w:r w:rsidRPr="008109E4">
        <w:rPr>
          <w:rFonts w:cs="Arial"/>
          <w:szCs w:val="16"/>
        </w:rPr>
        <w:t>yan</w:t>
      </w:r>
      <w:proofErr w:type="spellEnd"/>
      <w:r w:rsidRPr="008109E4">
        <w:rPr>
          <w:rFonts w:cs="Arial"/>
          <w:szCs w:val="16"/>
        </w:rPr>
        <w:t xml:space="preserve"> (Armenia) </w:t>
      </w:r>
      <w:r>
        <w:rPr>
          <w:rFonts w:cs="Arial"/>
          <w:szCs w:val="16"/>
        </w:rPr>
        <w:t xml:space="preserve">was member of the Bureau during the period 2015-2016 </w:t>
      </w:r>
      <w:r w:rsidRPr="008109E4">
        <w:rPr>
          <w:rFonts w:cs="Arial"/>
          <w:szCs w:val="16"/>
        </w:rPr>
        <w:t xml:space="preserve">and </w:t>
      </w:r>
      <w:r>
        <w:rPr>
          <w:rFonts w:cs="Arial"/>
          <w:szCs w:val="16"/>
        </w:rPr>
        <w:t xml:space="preserve">was succeeded in October 2016 by </w:t>
      </w:r>
      <w:r w:rsidRPr="008109E4">
        <w:rPr>
          <w:rFonts w:cs="Arial"/>
          <w:szCs w:val="16"/>
        </w:rPr>
        <w:t xml:space="preserve">Ms </w:t>
      </w:r>
      <w:proofErr w:type="spellStart"/>
      <w:r w:rsidRPr="008109E4">
        <w:rPr>
          <w:rFonts w:cs="Arial"/>
          <w:szCs w:val="16"/>
        </w:rPr>
        <w:t>Oxana</w:t>
      </w:r>
      <w:proofErr w:type="spellEnd"/>
      <w:r w:rsidRPr="008109E4">
        <w:rPr>
          <w:rFonts w:cs="Arial"/>
          <w:szCs w:val="16"/>
        </w:rPr>
        <w:t xml:space="preserve"> </w:t>
      </w:r>
      <w:proofErr w:type="spellStart"/>
      <w:r w:rsidRPr="008109E4">
        <w:rPr>
          <w:rFonts w:cs="Arial"/>
          <w:szCs w:val="16"/>
        </w:rPr>
        <w:t>Gasca</w:t>
      </w:r>
      <w:proofErr w:type="spellEnd"/>
      <w:r>
        <w:rPr>
          <w:rFonts w:cs="Arial"/>
          <w:szCs w:val="16"/>
        </w:rPr>
        <w:t xml:space="preserve"> (Republic of Moldova)</w:t>
      </w:r>
      <w:r w:rsidRPr="008109E4">
        <w:rPr>
          <w:rFonts w:cs="Arial"/>
          <w:szCs w:val="16"/>
        </w:rPr>
        <w:t xml:space="preserve">. </w:t>
      </w:r>
    </w:p>
  </w:footnote>
  <w:footnote w:id="8">
    <w:p w:rsidR="00DC4D8A" w:rsidRPr="00EE317D" w:rsidRDefault="00DC4D8A" w:rsidP="0035420B">
      <w:pPr>
        <w:pStyle w:val="FootnoteText"/>
        <w:rPr>
          <w:rFonts w:cs="Arial"/>
          <w:szCs w:val="16"/>
        </w:rPr>
      </w:pPr>
      <w:r w:rsidRPr="00D117DF">
        <w:rPr>
          <w:rStyle w:val="FootnoteReference"/>
          <w:rFonts w:cs="Arial"/>
          <w:szCs w:val="16"/>
        </w:rPr>
        <w:footnoteRef/>
      </w:r>
      <w:r w:rsidRPr="00EE317D">
        <w:rPr>
          <w:rFonts w:cs="Arial"/>
          <w:szCs w:val="16"/>
          <w:lang w:val="en-US"/>
        </w:rPr>
        <w:t xml:space="preserve"> </w:t>
      </w:r>
      <w:r w:rsidRPr="00EE317D">
        <w:rPr>
          <w:rFonts w:cs="Arial"/>
          <w:szCs w:val="16"/>
        </w:rPr>
        <w:t xml:space="preserve">The Council of Europe Strategy on Gender Equality 2014-2017 was adopted in November 2013 by the Committee of Ministers. The overall goal of the strategy is to achieve the advancement and empowering of women and, hence, the effective realisation of gender equality in Council of Europe </w:t>
      </w:r>
      <w:r>
        <w:rPr>
          <w:rFonts w:cs="Arial"/>
          <w:szCs w:val="16"/>
        </w:rPr>
        <w:t>M</w:t>
      </w:r>
      <w:r w:rsidRPr="00EE317D">
        <w:rPr>
          <w:rFonts w:cs="Arial"/>
          <w:szCs w:val="16"/>
        </w:rPr>
        <w:t xml:space="preserve">ember </w:t>
      </w:r>
      <w:r>
        <w:rPr>
          <w:rFonts w:cs="Arial"/>
          <w:szCs w:val="16"/>
        </w:rPr>
        <w:t>S</w:t>
      </w:r>
      <w:r w:rsidRPr="00EE317D">
        <w:rPr>
          <w:rFonts w:cs="Arial"/>
          <w:szCs w:val="16"/>
        </w:rPr>
        <w:t xml:space="preserve">tates. To this end, the strategy promotes a holistic and integrated approach to gender equality and provides policy guidance and support to Council of Europe </w:t>
      </w:r>
      <w:r>
        <w:rPr>
          <w:rFonts w:cs="Arial"/>
          <w:szCs w:val="16"/>
        </w:rPr>
        <w:t>M</w:t>
      </w:r>
      <w:r w:rsidRPr="00EE317D">
        <w:rPr>
          <w:rFonts w:cs="Arial"/>
          <w:szCs w:val="16"/>
        </w:rPr>
        <w:t xml:space="preserve">ember </w:t>
      </w:r>
      <w:r>
        <w:rPr>
          <w:rFonts w:cs="Arial"/>
          <w:szCs w:val="16"/>
        </w:rPr>
        <w:t>S</w:t>
      </w:r>
      <w:r w:rsidRPr="00EE317D">
        <w:rPr>
          <w:rFonts w:cs="Arial"/>
          <w:szCs w:val="16"/>
        </w:rPr>
        <w:t>tates, as well as internal institutional bodies and mechanisms to tackle old and new challenges in implementing standards in the area of gender equality. Co-operation and synergies were reinforced with the various steering committees and monitoring mechanisms to ensure an integrated approach and introduce a gender equality perspective in all policies and at all levels. Gender Equality Rapporteurs (GERs) have been appointed in all steering committees, other institutional bodies as well as in some of the monitoring mechanisms.</w:t>
      </w:r>
    </w:p>
  </w:footnote>
  <w:footnote w:id="9">
    <w:p w:rsidR="00DC4D8A" w:rsidRPr="002F18B6" w:rsidRDefault="00DC4D8A" w:rsidP="0035420B">
      <w:pPr>
        <w:pStyle w:val="FootnoteText"/>
        <w:rPr>
          <w:rFonts w:cs="Arial"/>
          <w:szCs w:val="16"/>
        </w:rPr>
      </w:pPr>
      <w:r w:rsidRPr="00EE317D">
        <w:rPr>
          <w:rStyle w:val="FootnoteReference"/>
          <w:rFonts w:cs="Arial"/>
          <w:szCs w:val="16"/>
        </w:rPr>
        <w:footnoteRef/>
      </w:r>
      <w:r w:rsidRPr="00EE317D">
        <w:rPr>
          <w:rFonts w:cs="Arial"/>
          <w:szCs w:val="16"/>
        </w:rPr>
        <w:t xml:space="preserve"> Note that, at its 7</w:t>
      </w:r>
      <w:r w:rsidRPr="00EE317D">
        <w:rPr>
          <w:rFonts w:cs="Arial"/>
          <w:szCs w:val="16"/>
          <w:vertAlign w:val="superscript"/>
        </w:rPr>
        <w:t>th</w:t>
      </w:r>
      <w:r w:rsidRPr="00EE317D">
        <w:rPr>
          <w:rFonts w:cs="Arial"/>
          <w:szCs w:val="16"/>
        </w:rPr>
        <w:t xml:space="preserve"> meeting (5-6 November 2015), the </w:t>
      </w:r>
      <w:r w:rsidRPr="00B22CC5">
        <w:rPr>
          <w:rFonts w:cs="Arial"/>
          <w:szCs w:val="16"/>
        </w:rPr>
        <w:t xml:space="preserve">Conference of the Parties </w:t>
      </w:r>
      <w:r w:rsidRPr="00EE317D">
        <w:rPr>
          <w:rFonts w:cs="Arial"/>
          <w:szCs w:val="16"/>
        </w:rPr>
        <w:t xml:space="preserve">invited Poland to present an updated follow-up report at the next meeting of the </w:t>
      </w:r>
      <w:r w:rsidRPr="00B22CC5">
        <w:rPr>
          <w:rFonts w:cs="Arial"/>
          <w:szCs w:val="16"/>
        </w:rPr>
        <w:t xml:space="preserve">Conference of the Parties </w:t>
      </w:r>
      <w:r w:rsidRPr="00EE317D">
        <w:rPr>
          <w:rFonts w:cs="Arial"/>
          <w:szCs w:val="16"/>
        </w:rPr>
        <w:t>due to the lack of progress reported with respect to several important recommendations and the respective concern expressed by several delegations.</w:t>
      </w:r>
      <w:r>
        <w:rPr>
          <w:rFonts w:cs="Arial"/>
          <w:szCs w:val="16"/>
        </w:rPr>
        <w:t xml:space="preserve"> The country has since then reported back on an annual basis to inform the Conference of Parties about developments.</w:t>
      </w:r>
    </w:p>
  </w:footnote>
  <w:footnote w:id="10">
    <w:p w:rsidR="00DC4D8A" w:rsidRPr="00846F7F" w:rsidRDefault="00DC4D8A" w:rsidP="0035420B">
      <w:pPr>
        <w:pStyle w:val="FootnoteText"/>
      </w:pPr>
      <w:r>
        <w:rPr>
          <w:rStyle w:val="FootnoteReference"/>
        </w:rPr>
        <w:footnoteRef/>
      </w:r>
      <w:r w:rsidRPr="00CB295D">
        <w:rPr>
          <w:lang w:val="en-US"/>
        </w:rPr>
        <w:t xml:space="preserve"> </w:t>
      </w:r>
      <w:r>
        <w:t>The Vienna and Palermo Conventions provide comprehensive measures against drug trafficking and forms of organised crime, including provisions against money laundering. The FATF Recommendation 36 establishes that countries should take steps to become party to and implement fully the respective conventions.</w:t>
      </w:r>
    </w:p>
  </w:footnote>
  <w:footnote w:id="11">
    <w:p w:rsidR="00DC4D8A" w:rsidRPr="00006D3C" w:rsidRDefault="00DC4D8A" w:rsidP="005E3DE3">
      <w:pPr>
        <w:pStyle w:val="FootnoteText"/>
        <w:rPr>
          <w:lang w:val="en-US"/>
        </w:rPr>
      </w:pPr>
      <w:r>
        <w:rPr>
          <w:rStyle w:val="FootnoteReference"/>
        </w:rPr>
        <w:footnoteRef/>
      </w:r>
      <w:r w:rsidRPr="00006D3C">
        <w:rPr>
          <w:lang w:val="en-US"/>
        </w:rPr>
        <w:t xml:space="preserve"> Under Article 31(4) </w:t>
      </w:r>
      <w:r>
        <w:rPr>
          <w:lang w:val="en-US"/>
        </w:rPr>
        <w:t>of the Law on Operational and Intelligence Activities (LOIA)</w:t>
      </w:r>
      <w:r w:rsidRPr="00006D3C">
        <w:rPr>
          <w:lang w:val="en-US"/>
        </w:rPr>
        <w:t>, the financial investigative measures of Articles 14 (15) and Article 29 LOIA are subject to two conditions. They may be used only 1) with respect to grave and particularly grave crimes (meaning that the ML offence, which is not qualified as grave or particularly grave as per provisions of the C</w:t>
      </w:r>
      <w:r>
        <w:rPr>
          <w:lang w:val="en-US"/>
        </w:rPr>
        <w:t xml:space="preserve">riminal </w:t>
      </w:r>
      <w:r w:rsidRPr="00006D3C">
        <w:rPr>
          <w:lang w:val="en-US"/>
        </w:rPr>
        <w:t>C</w:t>
      </w:r>
      <w:r>
        <w:rPr>
          <w:lang w:val="en-US"/>
        </w:rPr>
        <w:t>ode</w:t>
      </w:r>
      <w:r w:rsidRPr="00006D3C">
        <w:rPr>
          <w:lang w:val="en-US"/>
        </w:rPr>
        <w:t>, is excluded); and 2) provided there is substantial evidence that it would be impossible for the investigation body to perform duties assigned to it by law through any other means of operational work.</w:t>
      </w:r>
    </w:p>
  </w:footnote>
  <w:footnote w:id="12">
    <w:p w:rsidR="00DC4D8A" w:rsidRPr="000A5F7E" w:rsidRDefault="00DC4D8A" w:rsidP="005E3DE3">
      <w:pPr>
        <w:pStyle w:val="FootnoteText"/>
      </w:pPr>
      <w:r>
        <w:rPr>
          <w:rStyle w:val="FootnoteReference"/>
        </w:rPr>
        <w:footnoteRef/>
      </w:r>
      <w:r w:rsidRPr="00CB295D">
        <w:rPr>
          <w:lang w:val="en-US"/>
        </w:rPr>
        <w:t xml:space="preserve"> The Law has meanwhile been signed and adopted on 28 March 2018. </w:t>
      </w:r>
    </w:p>
  </w:footnote>
  <w:footnote w:id="13">
    <w:p w:rsidR="00DC4D8A" w:rsidRPr="00DE5D71" w:rsidRDefault="00DC4D8A" w:rsidP="005E3DE3">
      <w:pPr>
        <w:pStyle w:val="FootnoteText"/>
      </w:pPr>
      <w:r>
        <w:rPr>
          <w:rStyle w:val="FootnoteReference"/>
        </w:rPr>
        <w:footnoteRef/>
      </w:r>
      <w:r w:rsidRPr="00CB295D">
        <w:rPr>
          <w:lang w:val="en-US"/>
        </w:rPr>
        <w:t xml:space="preserve"> </w:t>
      </w:r>
      <w:r>
        <w:t>The document is accessible through the restricted website of the Conference of the Parties, for which permission to access can be restricted through the Secretariat of the Conference of the Parties.</w:t>
      </w:r>
    </w:p>
  </w:footnote>
  <w:footnote w:id="14">
    <w:p w:rsidR="00DC4D8A" w:rsidRPr="00307D9A" w:rsidRDefault="00DC4D8A" w:rsidP="005E3DE3">
      <w:pPr>
        <w:pStyle w:val="FootnoteText"/>
      </w:pPr>
      <w:r>
        <w:rPr>
          <w:rStyle w:val="FootnoteReference"/>
        </w:rPr>
        <w:footnoteRef/>
      </w:r>
      <w:r w:rsidRPr="00FE0906">
        <w:t xml:space="preserve"> </w:t>
      </w:r>
      <w:r>
        <w:t xml:space="preserve">Full PDF version can be consulted via </w:t>
      </w:r>
      <w:hyperlink r:id="rId1" w:history="1">
        <w:r w:rsidRPr="009A0A1D">
          <w:rPr>
            <w:rStyle w:val="Hyperlink"/>
          </w:rPr>
          <w:t>https://rm.coe.int/168070afba</w:t>
        </w:r>
      </w:hyperlink>
      <w:r>
        <w:t xml:space="preserve">. </w:t>
      </w:r>
    </w:p>
  </w:footnote>
  <w:footnote w:id="15">
    <w:p w:rsidR="00DC4D8A" w:rsidRPr="0083055A" w:rsidRDefault="00DC4D8A" w:rsidP="005E3DE3">
      <w:pPr>
        <w:pStyle w:val="FootnoteText"/>
      </w:pPr>
      <w:r>
        <w:rPr>
          <w:rStyle w:val="FootnoteReference"/>
        </w:rPr>
        <w:footnoteRef/>
      </w:r>
      <w:r w:rsidRPr="00CB295D">
        <w:rPr>
          <w:lang w:val="en-US"/>
        </w:rPr>
        <w:t xml:space="preserve"> </w:t>
      </w:r>
      <w:r>
        <w:t>This Action Plan was adopted by the Committee of Ministers of the Council of Europe on 3 March 2016</w:t>
      </w:r>
    </w:p>
  </w:footnote>
  <w:footnote w:id="16">
    <w:p w:rsidR="00DC4D8A" w:rsidRPr="00862CA4" w:rsidRDefault="00DC4D8A" w:rsidP="005E3DE3">
      <w:pPr>
        <w:pStyle w:val="FootnoteText"/>
      </w:pPr>
      <w:r>
        <w:rPr>
          <w:rStyle w:val="FootnoteReference"/>
        </w:rPr>
        <w:footnoteRef/>
      </w:r>
      <w:r w:rsidRPr="00CB295D">
        <w:rPr>
          <w:lang w:val="en-US"/>
        </w:rPr>
        <w:t xml:space="preserve"> </w:t>
      </w:r>
      <w:r>
        <w:t xml:space="preserve">The document can be accessed here: </w:t>
      </w:r>
      <w:hyperlink r:id="rId2" w:history="1">
        <w:r w:rsidRPr="00756AA0">
          <w:rPr>
            <w:rStyle w:val="Hyperlink"/>
          </w:rPr>
          <w:t>http://rm.coe.int/interpretative-notes-cop198-9th-meeting/168076ce79</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D8A" w:rsidRPr="00E54322" w:rsidRDefault="00DC4D8A" w:rsidP="00E54322">
    <w:pPr>
      <w:pStyle w:val="Header"/>
    </w:pPr>
    <w:proofErr w:type="gramStart"/>
    <w:r w:rsidRPr="00E54322">
      <w:t>CM(</w:t>
    </w:r>
    <w:proofErr w:type="gramEnd"/>
    <w:r w:rsidRPr="00E54322">
      <w:t>201</w:t>
    </w:r>
    <w:r>
      <w:t>8)158</w:t>
    </w:r>
    <w:r w:rsidRPr="00E54322">
      <w:tab/>
    </w:r>
    <w:r w:rsidRPr="00E54322">
      <w:fldChar w:fldCharType="begin"/>
    </w:r>
    <w:r w:rsidRPr="00E54322">
      <w:instrText xml:space="preserve"> PAGE  \* Arabic  \* MERGEFORMAT </w:instrText>
    </w:r>
    <w:r w:rsidRPr="00E54322">
      <w:fldChar w:fldCharType="separate"/>
    </w:r>
    <w:r w:rsidR="00681B3C">
      <w:rPr>
        <w:noProof/>
      </w:rPr>
      <w:t>2</w:t>
    </w:r>
    <w:r w:rsidRPr="00E54322">
      <w:fldChar w:fldCharType="end"/>
    </w:r>
  </w:p>
  <w:p w:rsidR="00DC4D8A" w:rsidRDefault="00DC4D8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D8A" w:rsidRPr="00E54322" w:rsidRDefault="00DC4D8A" w:rsidP="00E54322">
    <w:pPr>
      <w:pStyle w:val="Header"/>
    </w:pPr>
    <w:r w:rsidRPr="00E54322">
      <w:tab/>
    </w:r>
    <w:r w:rsidRPr="00E54322">
      <w:fldChar w:fldCharType="begin"/>
    </w:r>
    <w:r w:rsidRPr="00E54322">
      <w:instrText xml:space="preserve"> PAGE  \* Arabic  \* MERGEFORMAT </w:instrText>
    </w:r>
    <w:r w:rsidRPr="00E54322">
      <w:fldChar w:fldCharType="separate"/>
    </w:r>
    <w:r w:rsidR="00681B3C">
      <w:rPr>
        <w:noProof/>
      </w:rPr>
      <w:t>27</w:t>
    </w:r>
    <w:r w:rsidRPr="00E54322">
      <w:fldChar w:fldCharType="end"/>
    </w:r>
    <w:r w:rsidRPr="00E54322">
      <w:tab/>
    </w:r>
    <w:proofErr w:type="gramStart"/>
    <w:r w:rsidRPr="00E54322">
      <w:t>CM(</w:t>
    </w:r>
    <w:proofErr w:type="gramEnd"/>
    <w:r w:rsidRPr="00E54322">
      <w:t>201</w:t>
    </w:r>
    <w:r>
      <w:t>8</w:t>
    </w:r>
    <w:r w:rsidRPr="00E54322">
      <w:t>)</w:t>
    </w:r>
    <w:r>
      <w:t>158</w:t>
    </w:r>
  </w:p>
  <w:p w:rsidR="00DC4D8A" w:rsidRDefault="00DC4D8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D8A" w:rsidRDefault="00DC4D8A" w:rsidP="00123CDD">
    <w:pPr>
      <w:pStyle w:val="Header"/>
      <w:spacing w:after="2280"/>
    </w:pPr>
    <w:r>
      <w:rPr>
        <w:noProof/>
        <w:lang w:val="en-US"/>
      </w:rPr>
      <w:drawing>
        <wp:anchor distT="0" distB="0" distL="114300" distR="114300" simplePos="0" relativeHeight="251657728" behindDoc="1" locked="0" layoutInCell="0" allowOverlap="0" wp14:anchorId="32BBA34C" wp14:editId="637467C9">
          <wp:simplePos x="0" y="0"/>
          <wp:positionH relativeFrom="page">
            <wp:posOffset>309880</wp:posOffset>
          </wp:positionH>
          <wp:positionV relativeFrom="page">
            <wp:posOffset>17780</wp:posOffset>
          </wp:positionV>
          <wp:extent cx="7581900" cy="10724515"/>
          <wp:effectExtent l="0" t="0" r="0" b="635"/>
          <wp:wrapNone/>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1072451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3.2pt;height:13.2pt" o:bullet="t">
        <v:imagedata r:id="rId1" o:title=""/>
      </v:shape>
    </w:pict>
  </w:numPicBullet>
  <w:abstractNum w:abstractNumId="0">
    <w:nsid w:val="FFFFFF83"/>
    <w:multiLevelType w:val="singleLevel"/>
    <w:tmpl w:val="DA768E36"/>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8"/>
    <w:multiLevelType w:val="singleLevel"/>
    <w:tmpl w:val="E96EDF54"/>
    <w:lvl w:ilvl="0">
      <w:start w:val="1"/>
      <w:numFmt w:val="decimal"/>
      <w:pStyle w:val="ListNumber"/>
      <w:lvlText w:val="%1."/>
      <w:lvlJc w:val="left"/>
      <w:pPr>
        <w:tabs>
          <w:tab w:val="num" w:pos="360"/>
        </w:tabs>
        <w:ind w:left="360" w:hanging="360"/>
      </w:pPr>
    </w:lvl>
  </w:abstractNum>
  <w:abstractNum w:abstractNumId="2">
    <w:nsid w:val="00672125"/>
    <w:multiLevelType w:val="multilevel"/>
    <w:tmpl w:val="BEDEEA86"/>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09451E8"/>
    <w:multiLevelType w:val="hybridMultilevel"/>
    <w:tmpl w:val="DF381AA4"/>
    <w:lvl w:ilvl="0" w:tplc="5BA89DC4">
      <w:start w:val="1"/>
      <w:numFmt w:val="decimal"/>
      <w:lvlText w:val="%1."/>
      <w:lvlJc w:val="left"/>
      <w:pPr>
        <w:ind w:left="644" w:hanging="360"/>
      </w:pPr>
      <w:rPr>
        <w:rFonts w:ascii="Arial" w:hAnsi="Arial" w:cs="Arial" w:hint="default"/>
        <w:i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E16195"/>
    <w:multiLevelType w:val="hybridMultilevel"/>
    <w:tmpl w:val="C4B634A6"/>
    <w:lvl w:ilvl="0" w:tplc="04090005">
      <w:start w:val="1"/>
      <w:numFmt w:val="bullet"/>
      <w:lvlText w:val=""/>
      <w:lvlJc w:val="left"/>
      <w:pPr>
        <w:ind w:left="360" w:hanging="360"/>
      </w:pPr>
      <w:rPr>
        <w:rFonts w:ascii="Wingdings" w:hAnsi="Wingdings"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8464FB"/>
    <w:multiLevelType w:val="hybridMultilevel"/>
    <w:tmpl w:val="956E3988"/>
    <w:lvl w:ilvl="0" w:tplc="04090005">
      <w:start w:val="1"/>
      <w:numFmt w:val="bullet"/>
      <w:lvlText w:val=""/>
      <w:lvlJc w:val="left"/>
      <w:pPr>
        <w:ind w:left="720" w:hanging="360"/>
      </w:pPr>
      <w:rPr>
        <w:rFonts w:ascii="Wingdings" w:hAnsi="Wingdings" w:hint="default"/>
        <w:i w:val="0"/>
        <w:sz w:val="20"/>
        <w:szCs w:val="2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2127231"/>
    <w:multiLevelType w:val="multilevel"/>
    <w:tmpl w:val="00FC1E90"/>
    <w:lvl w:ilvl="0">
      <w:start w:val="1"/>
      <w:numFmt w:val="upperRoman"/>
      <w:pStyle w:val="COEParagraphn"/>
      <w:lvlText w:val="%1."/>
      <w:lvlJc w:val="left"/>
      <w:pPr>
        <w:tabs>
          <w:tab w:val="num" w:pos="360"/>
        </w:tabs>
        <w:ind w:left="0" w:firstLine="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1.%2.%3."/>
      <w:lvlJc w:val="left"/>
      <w:pPr>
        <w:tabs>
          <w:tab w:val="num" w:pos="1800"/>
        </w:tabs>
        <w:ind w:left="1440" w:firstLine="0"/>
      </w:pPr>
      <w:rPr>
        <w:rFonts w:hint="default"/>
      </w:rPr>
    </w:lvl>
    <w:lvl w:ilvl="3">
      <w:start w:val="1"/>
      <w:numFmt w:val="decimal"/>
      <w:pStyle w:val="COEHeading4"/>
      <w:lvlText w:val="%1.%2.%3.%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
    <w:nsid w:val="15C555F8"/>
    <w:multiLevelType w:val="hybridMultilevel"/>
    <w:tmpl w:val="BF583962"/>
    <w:lvl w:ilvl="0" w:tplc="04090005">
      <w:start w:val="1"/>
      <w:numFmt w:val="bullet"/>
      <w:lvlText w:val=""/>
      <w:lvlJc w:val="left"/>
      <w:pPr>
        <w:ind w:left="360" w:hanging="360"/>
      </w:pPr>
      <w:rPr>
        <w:rFonts w:ascii="Wingdings" w:hAnsi="Wingdings"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5112A4"/>
    <w:multiLevelType w:val="hybridMultilevel"/>
    <w:tmpl w:val="A3E4EBF8"/>
    <w:lvl w:ilvl="0" w:tplc="12E88FD4">
      <w:start w:val="1"/>
      <w:numFmt w:val="decimal"/>
      <w:pStyle w:val="COEHeading5"/>
      <w:lvlText w:val="%1."/>
      <w:lvlJc w:val="left"/>
      <w:pPr>
        <w:tabs>
          <w:tab w:val="num" w:pos="1440"/>
        </w:tabs>
        <w:ind w:left="144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39C2745C"/>
    <w:multiLevelType w:val="hybridMultilevel"/>
    <w:tmpl w:val="52EE09A8"/>
    <w:lvl w:ilvl="0" w:tplc="FFFFFFFF">
      <w:start w:val="4"/>
      <w:numFmt w:val="decimal"/>
      <w:pStyle w:val="ParagraphNumberingChar"/>
      <w:lvlText w:val="%1.     "/>
      <w:lvlJc w:val="left"/>
      <w:pPr>
        <w:tabs>
          <w:tab w:val="num" w:pos="851"/>
        </w:tabs>
        <w:ind w:left="0" w:firstLine="0"/>
      </w:pPr>
      <w:rPr>
        <w:rFonts w:ascii="Times New Roman" w:hAnsi="Times New Roman" w:hint="default"/>
        <w:b w:val="0"/>
        <w:i w:val="0"/>
        <w:color w:val="auto"/>
        <w:sz w:val="22"/>
        <w:szCs w:val="22"/>
      </w:rPr>
    </w:lvl>
    <w:lvl w:ilvl="1" w:tplc="FFFFFFFF" w:tentative="1">
      <w:start w:val="1"/>
      <w:numFmt w:val="lowerLetter"/>
      <w:lvlText w:val="%2."/>
      <w:lvlJc w:val="left"/>
      <w:pPr>
        <w:tabs>
          <w:tab w:val="num" w:pos="1233"/>
        </w:tabs>
        <w:ind w:left="1233" w:hanging="360"/>
      </w:pPr>
    </w:lvl>
    <w:lvl w:ilvl="2" w:tplc="FFFFFFFF" w:tentative="1">
      <w:start w:val="1"/>
      <w:numFmt w:val="lowerRoman"/>
      <w:lvlText w:val="%3."/>
      <w:lvlJc w:val="right"/>
      <w:pPr>
        <w:tabs>
          <w:tab w:val="num" w:pos="1953"/>
        </w:tabs>
        <w:ind w:left="1953" w:hanging="180"/>
      </w:pPr>
    </w:lvl>
    <w:lvl w:ilvl="3" w:tplc="FFFFFFFF" w:tentative="1">
      <w:start w:val="1"/>
      <w:numFmt w:val="decimal"/>
      <w:lvlText w:val="%4."/>
      <w:lvlJc w:val="left"/>
      <w:pPr>
        <w:tabs>
          <w:tab w:val="num" w:pos="2673"/>
        </w:tabs>
        <w:ind w:left="2673" w:hanging="360"/>
      </w:pPr>
    </w:lvl>
    <w:lvl w:ilvl="4" w:tplc="FFFFFFFF" w:tentative="1">
      <w:start w:val="1"/>
      <w:numFmt w:val="lowerLetter"/>
      <w:lvlText w:val="%5."/>
      <w:lvlJc w:val="left"/>
      <w:pPr>
        <w:tabs>
          <w:tab w:val="num" w:pos="3393"/>
        </w:tabs>
        <w:ind w:left="3393" w:hanging="360"/>
      </w:pPr>
    </w:lvl>
    <w:lvl w:ilvl="5" w:tplc="FFFFFFFF" w:tentative="1">
      <w:start w:val="1"/>
      <w:numFmt w:val="lowerRoman"/>
      <w:lvlText w:val="%6."/>
      <w:lvlJc w:val="right"/>
      <w:pPr>
        <w:tabs>
          <w:tab w:val="num" w:pos="4113"/>
        </w:tabs>
        <w:ind w:left="4113" w:hanging="180"/>
      </w:pPr>
    </w:lvl>
    <w:lvl w:ilvl="6" w:tplc="FFFFFFFF" w:tentative="1">
      <w:start w:val="1"/>
      <w:numFmt w:val="decimal"/>
      <w:lvlText w:val="%7."/>
      <w:lvlJc w:val="left"/>
      <w:pPr>
        <w:tabs>
          <w:tab w:val="num" w:pos="4833"/>
        </w:tabs>
        <w:ind w:left="4833" w:hanging="360"/>
      </w:pPr>
    </w:lvl>
    <w:lvl w:ilvl="7" w:tplc="FFFFFFFF" w:tentative="1">
      <w:start w:val="1"/>
      <w:numFmt w:val="lowerLetter"/>
      <w:lvlText w:val="%8."/>
      <w:lvlJc w:val="left"/>
      <w:pPr>
        <w:tabs>
          <w:tab w:val="num" w:pos="5553"/>
        </w:tabs>
        <w:ind w:left="5553" w:hanging="360"/>
      </w:pPr>
    </w:lvl>
    <w:lvl w:ilvl="8" w:tplc="FFFFFFFF" w:tentative="1">
      <w:start w:val="1"/>
      <w:numFmt w:val="lowerRoman"/>
      <w:lvlText w:val="%9."/>
      <w:lvlJc w:val="right"/>
      <w:pPr>
        <w:tabs>
          <w:tab w:val="num" w:pos="6273"/>
        </w:tabs>
        <w:ind w:left="6273" w:hanging="180"/>
      </w:pPr>
    </w:lvl>
  </w:abstractNum>
  <w:abstractNum w:abstractNumId="10">
    <w:nsid w:val="3B044669"/>
    <w:multiLevelType w:val="hybridMultilevel"/>
    <w:tmpl w:val="D4B012A8"/>
    <w:lvl w:ilvl="0" w:tplc="04090005">
      <w:start w:val="1"/>
      <w:numFmt w:val="bullet"/>
      <w:lvlText w:val=""/>
      <w:lvlJc w:val="left"/>
      <w:pPr>
        <w:ind w:left="360" w:hanging="360"/>
      </w:pPr>
      <w:rPr>
        <w:rFonts w:ascii="Wingdings" w:hAnsi="Wingdings"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97278C"/>
    <w:multiLevelType w:val="hybridMultilevel"/>
    <w:tmpl w:val="CDE440B0"/>
    <w:lvl w:ilvl="0" w:tplc="04090005">
      <w:start w:val="1"/>
      <w:numFmt w:val="bullet"/>
      <w:lvlText w:val=""/>
      <w:lvlJc w:val="left"/>
      <w:pPr>
        <w:ind w:left="360" w:hanging="360"/>
      </w:pPr>
      <w:rPr>
        <w:rFonts w:ascii="Wingdings" w:hAnsi="Wingdings"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B7034F"/>
    <w:multiLevelType w:val="hybridMultilevel"/>
    <w:tmpl w:val="F4C84346"/>
    <w:lvl w:ilvl="0" w:tplc="D2D24FF2">
      <w:start w:val="1"/>
      <w:numFmt w:val="bullet"/>
      <w:pStyle w:val="COE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42BC63D3"/>
    <w:multiLevelType w:val="hybridMultilevel"/>
    <w:tmpl w:val="BBBEF048"/>
    <w:lvl w:ilvl="0" w:tplc="EB9A1C5E">
      <w:start w:val="1"/>
      <w:numFmt w:val="decimal"/>
      <w:pStyle w:val="LD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3C2836"/>
    <w:multiLevelType w:val="hybridMultilevel"/>
    <w:tmpl w:val="DEF0311E"/>
    <w:lvl w:ilvl="0" w:tplc="0EDA40FA">
      <w:start w:val="1"/>
      <w:numFmt w:val="decimal"/>
      <w:lvlText w:val="%1."/>
      <w:lvlJc w:val="left"/>
      <w:pPr>
        <w:ind w:left="360" w:hanging="360"/>
      </w:pPr>
      <w:rPr>
        <w:rFonts w:ascii="Arial" w:hAnsi="Arial" w:cs="Arial" w:hint="default"/>
        <w:b w:val="0"/>
        <w:i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827949"/>
    <w:multiLevelType w:val="hybridMultilevel"/>
    <w:tmpl w:val="1D28DC30"/>
    <w:lvl w:ilvl="0" w:tplc="D2D24FF2">
      <w:start w:val="1"/>
      <w:numFmt w:val="bullet"/>
      <w:pStyle w:val="StyleBefore3ptAfter3pt"/>
      <w:lvlText w:val=""/>
      <w:lvlJc w:val="left"/>
      <w:pPr>
        <w:tabs>
          <w:tab w:val="num" w:pos="454"/>
        </w:tabs>
        <w:ind w:left="454" w:hanging="454"/>
      </w:pPr>
      <w:rPr>
        <w:rFonts w:ascii="Symbol" w:hAnsi="Symbol" w:hint="default"/>
      </w:rPr>
    </w:lvl>
    <w:lvl w:ilvl="1" w:tplc="04090003">
      <w:start w:val="1"/>
      <w:numFmt w:val="bullet"/>
      <w:lvlText w:val=""/>
      <w:lvlPicBulletId w:val="0"/>
      <w:lvlJc w:val="left"/>
      <w:pPr>
        <w:tabs>
          <w:tab w:val="num" w:pos="1440"/>
        </w:tabs>
        <w:ind w:left="1440" w:hanging="360"/>
      </w:pPr>
      <w:rPr>
        <w:rFonts w:ascii="Symbol" w:hAnsi="Symbol" w:hint="default"/>
        <w:color w:val="auto"/>
      </w:rPr>
    </w:lvl>
    <w:lvl w:ilvl="2" w:tplc="04090001"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D922BCB"/>
    <w:multiLevelType w:val="hybridMultilevel"/>
    <w:tmpl w:val="69600D9C"/>
    <w:lvl w:ilvl="0" w:tplc="CBE6F292">
      <w:start w:val="1"/>
      <w:numFmt w:val="decimal"/>
      <w:pStyle w:val="LDbody"/>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DD11C9F"/>
    <w:multiLevelType w:val="hybridMultilevel"/>
    <w:tmpl w:val="57D4E45A"/>
    <w:lvl w:ilvl="0" w:tplc="4F2A4C8E">
      <w:start w:val="10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ED87AD1"/>
    <w:multiLevelType w:val="hybridMultilevel"/>
    <w:tmpl w:val="CC8EDFB0"/>
    <w:lvl w:ilvl="0" w:tplc="04090005">
      <w:start w:val="1"/>
      <w:numFmt w:val="bullet"/>
      <w:lvlText w:val=""/>
      <w:lvlJc w:val="left"/>
      <w:pPr>
        <w:ind w:left="360" w:hanging="360"/>
      </w:pPr>
      <w:rPr>
        <w:rFonts w:ascii="Wingdings" w:hAnsi="Wingdings"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47070E"/>
    <w:multiLevelType w:val="hybridMultilevel"/>
    <w:tmpl w:val="BB5C411A"/>
    <w:lvl w:ilvl="0" w:tplc="04090005">
      <w:start w:val="1"/>
      <w:numFmt w:val="bullet"/>
      <w:lvlText w:val=""/>
      <w:lvlJc w:val="left"/>
      <w:pPr>
        <w:ind w:left="360" w:hanging="360"/>
      </w:pPr>
      <w:rPr>
        <w:rFonts w:ascii="Wingdings" w:hAnsi="Wingdings"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FB38EA"/>
    <w:multiLevelType w:val="multilevel"/>
    <w:tmpl w:val="D040A904"/>
    <w:lvl w:ilvl="0">
      <w:start w:val="2"/>
      <w:numFmt w:val="upperLetter"/>
      <w:lvlText w:val="%1"/>
      <w:lvlJc w:val="left"/>
      <w:pPr>
        <w:tabs>
          <w:tab w:val="num" w:pos="360"/>
        </w:tabs>
        <w:ind w:left="284" w:hanging="284"/>
      </w:pPr>
      <w:rPr>
        <w:rFonts w:cs="Times New Roman"/>
      </w:rPr>
    </w:lvl>
    <w:lvl w:ilvl="1">
      <w:start w:val="9"/>
      <w:numFmt w:val="decimal"/>
      <w:lvlText w:val="%2"/>
      <w:lvlJc w:val="left"/>
      <w:pPr>
        <w:tabs>
          <w:tab w:val="num" w:pos="360"/>
        </w:tabs>
        <w:ind w:left="284" w:hanging="284"/>
      </w:pPr>
      <w:rPr>
        <w:rFonts w:cs="Times New Roman"/>
        <w:vanish/>
        <w:u w:val="none"/>
      </w:rPr>
    </w:lvl>
    <w:lvl w:ilvl="2">
      <w:start w:val="1"/>
      <w:numFmt w:val="lowerLetter"/>
      <w:lvlText w:val="%2%3"/>
      <w:lvlJc w:val="left"/>
      <w:pPr>
        <w:tabs>
          <w:tab w:val="num" w:pos="360"/>
        </w:tabs>
        <w:ind w:left="284" w:hanging="284"/>
      </w:pPr>
      <w:rPr>
        <w:rFonts w:cs="Times New Roman"/>
        <w:vanish/>
      </w:rPr>
    </w:lvl>
    <w:lvl w:ilvl="3">
      <w:start w:val="1"/>
      <w:numFmt w:val="decimal"/>
      <w:lvlText w:val="%2.%4"/>
      <w:lvlJc w:val="left"/>
      <w:pPr>
        <w:tabs>
          <w:tab w:val="num" w:pos="360"/>
        </w:tabs>
      </w:pPr>
      <w:rPr>
        <w:rFonts w:cs="Times New Roman"/>
      </w:rPr>
    </w:lvl>
    <w:lvl w:ilvl="4">
      <w:start w:val="1"/>
      <w:numFmt w:val="decimal"/>
      <w:lvlText w:val="%2.%4.%5"/>
      <w:lvlJc w:val="left"/>
      <w:pPr>
        <w:tabs>
          <w:tab w:val="num" w:pos="720"/>
        </w:tabs>
        <w:ind w:left="284" w:hanging="284"/>
      </w:pPr>
      <w:rPr>
        <w:rFonts w:cs="Times New Roman"/>
      </w:rPr>
    </w:lvl>
    <w:lvl w:ilvl="5">
      <w:start w:val="1"/>
      <w:numFmt w:val="none"/>
      <w:lvlText w:val=""/>
      <w:lvlJc w:val="left"/>
      <w:pPr>
        <w:tabs>
          <w:tab w:val="num" w:pos="360"/>
        </w:tabs>
      </w:pPr>
      <w:rPr>
        <w:rFonts w:cs="Times New Roman"/>
      </w:rPr>
    </w:lvl>
    <w:lvl w:ilvl="6">
      <w:start w:val="1"/>
      <w:numFmt w:val="none"/>
      <w:lvlText w:val=""/>
      <w:lvlJc w:val="left"/>
      <w:pPr>
        <w:tabs>
          <w:tab w:val="num" w:pos="360"/>
        </w:tabs>
      </w:pPr>
      <w:rPr>
        <w:rFonts w:cs="Times New Roman"/>
      </w:rPr>
    </w:lvl>
    <w:lvl w:ilvl="7">
      <w:start w:val="1"/>
      <w:numFmt w:val="none"/>
      <w:lvlText w:val=""/>
      <w:lvlJc w:val="left"/>
      <w:pPr>
        <w:tabs>
          <w:tab w:val="num" w:pos="360"/>
        </w:tabs>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21">
    <w:nsid w:val="5F504EA0"/>
    <w:multiLevelType w:val="hybridMultilevel"/>
    <w:tmpl w:val="228A7D6C"/>
    <w:lvl w:ilvl="0" w:tplc="04090005">
      <w:start w:val="1"/>
      <w:numFmt w:val="bullet"/>
      <w:lvlText w:val=""/>
      <w:lvlJc w:val="left"/>
      <w:pPr>
        <w:ind w:left="360" w:hanging="360"/>
      </w:pPr>
      <w:rPr>
        <w:rFonts w:ascii="Wingdings" w:hAnsi="Wingdings"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7806AD"/>
    <w:multiLevelType w:val="multilevel"/>
    <w:tmpl w:val="54C21A8E"/>
    <w:lvl w:ilvl="0">
      <w:start w:val="1"/>
      <w:numFmt w:val="upperRoman"/>
      <w:pStyle w:val="Heading1"/>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nsid w:val="7A0E4682"/>
    <w:multiLevelType w:val="hybridMultilevel"/>
    <w:tmpl w:val="E62A8F60"/>
    <w:lvl w:ilvl="0" w:tplc="B712C256">
      <w:start w:val="1"/>
      <w:numFmt w:val="decimal"/>
      <w:pStyle w:val="Paragraphedeliste1"/>
      <w:lvlText w:val="%1."/>
      <w:lvlJc w:val="left"/>
      <w:pPr>
        <w:ind w:left="1287" w:hanging="360"/>
      </w:pPr>
      <w:rPr>
        <w:i w:val="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4">
    <w:nsid w:val="7AFA1AAC"/>
    <w:multiLevelType w:val="hybridMultilevel"/>
    <w:tmpl w:val="D20EDED4"/>
    <w:lvl w:ilvl="0" w:tplc="04090005">
      <w:start w:val="1"/>
      <w:numFmt w:val="bullet"/>
      <w:lvlText w:val=""/>
      <w:lvlJc w:val="left"/>
      <w:pPr>
        <w:ind w:left="360" w:hanging="360"/>
      </w:pPr>
      <w:rPr>
        <w:rFonts w:ascii="Wingdings" w:hAnsi="Wingdings"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E414E6B"/>
    <w:multiLevelType w:val="hybridMultilevel"/>
    <w:tmpl w:val="5778EF84"/>
    <w:lvl w:ilvl="0" w:tplc="04090005">
      <w:start w:val="1"/>
      <w:numFmt w:val="bullet"/>
      <w:lvlText w:val=""/>
      <w:lvlJc w:val="left"/>
      <w:pPr>
        <w:ind w:left="360" w:hanging="360"/>
      </w:pPr>
      <w:rPr>
        <w:rFonts w:ascii="Wingdings" w:hAnsi="Wingdings"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E99090C"/>
    <w:multiLevelType w:val="hybridMultilevel"/>
    <w:tmpl w:val="260C2384"/>
    <w:lvl w:ilvl="0" w:tplc="04090005">
      <w:start w:val="1"/>
      <w:numFmt w:val="bullet"/>
      <w:lvlText w:val=""/>
      <w:lvlJc w:val="left"/>
      <w:pPr>
        <w:ind w:left="360" w:hanging="360"/>
      </w:pPr>
      <w:rPr>
        <w:rFonts w:ascii="Wingdings" w:hAnsi="Wingdings"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EED2097"/>
    <w:multiLevelType w:val="hybridMultilevel"/>
    <w:tmpl w:val="D58AACAC"/>
    <w:lvl w:ilvl="0" w:tplc="04090005">
      <w:start w:val="1"/>
      <w:numFmt w:val="bullet"/>
      <w:lvlText w:val=""/>
      <w:lvlJc w:val="left"/>
      <w:pPr>
        <w:ind w:left="360" w:hanging="360"/>
      </w:pPr>
      <w:rPr>
        <w:rFonts w:ascii="Wingdings" w:hAnsi="Wingdings"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2"/>
  </w:num>
  <w:num w:numId="3">
    <w:abstractNumId w:val="14"/>
  </w:num>
  <w:num w:numId="4">
    <w:abstractNumId w:val="12"/>
  </w:num>
  <w:num w:numId="5">
    <w:abstractNumId w:val="6"/>
  </w:num>
  <w:num w:numId="6">
    <w:abstractNumId w:val="8"/>
  </w:num>
  <w:num w:numId="7">
    <w:abstractNumId w:val="15"/>
  </w:num>
  <w:num w:numId="8">
    <w:abstractNumId w:val="1"/>
  </w:num>
  <w:num w:numId="9">
    <w:abstractNumId w:val="0"/>
  </w:num>
  <w:num w:numId="10">
    <w:abstractNumId w:val="9"/>
  </w:num>
  <w:num w:numId="11">
    <w:abstractNumId w:val="16"/>
  </w:num>
  <w:num w:numId="12">
    <w:abstractNumId w:val="13"/>
  </w:num>
  <w:num w:numId="13">
    <w:abstractNumId w:val="23"/>
  </w:num>
  <w:num w:numId="14">
    <w:abstractNumId w:val="2"/>
  </w:num>
  <w:num w:numId="15">
    <w:abstractNumId w:val="25"/>
  </w:num>
  <w:num w:numId="16">
    <w:abstractNumId w:val="10"/>
  </w:num>
  <w:num w:numId="17">
    <w:abstractNumId w:val="19"/>
  </w:num>
  <w:num w:numId="18">
    <w:abstractNumId w:val="21"/>
  </w:num>
  <w:num w:numId="19">
    <w:abstractNumId w:val="7"/>
  </w:num>
  <w:num w:numId="20">
    <w:abstractNumId w:val="4"/>
  </w:num>
  <w:num w:numId="21">
    <w:abstractNumId w:val="27"/>
  </w:num>
  <w:num w:numId="22">
    <w:abstractNumId w:val="11"/>
  </w:num>
  <w:num w:numId="23">
    <w:abstractNumId w:val="26"/>
  </w:num>
  <w:num w:numId="24">
    <w:abstractNumId w:val="24"/>
  </w:num>
  <w:num w:numId="25">
    <w:abstractNumId w:val="18"/>
  </w:num>
  <w:num w:numId="26">
    <w:abstractNumId w:val="5"/>
  </w:num>
  <w:num w:numId="27">
    <w:abstractNumId w:val="3"/>
  </w:num>
  <w:num w:numId="28">
    <w:abstractNumId w:val="17"/>
  </w:num>
  <w:num w:numId="29">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evenAndOddHeaders/>
  <w:drawingGridHorizontalSpacing w:val="90"/>
  <w:drawingGridVerticalSpacing w:val="245"/>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230"/>
    <w:rsid w:val="0001238D"/>
    <w:rsid w:val="00035FDF"/>
    <w:rsid w:val="00071EA7"/>
    <w:rsid w:val="00072CBD"/>
    <w:rsid w:val="00082CEE"/>
    <w:rsid w:val="000A307B"/>
    <w:rsid w:val="000C52A6"/>
    <w:rsid w:val="000C62D3"/>
    <w:rsid w:val="000C6A29"/>
    <w:rsid w:val="000D7201"/>
    <w:rsid w:val="000E50A4"/>
    <w:rsid w:val="000F4CF2"/>
    <w:rsid w:val="000F58C3"/>
    <w:rsid w:val="000F5ADA"/>
    <w:rsid w:val="00106141"/>
    <w:rsid w:val="00110729"/>
    <w:rsid w:val="00113EB0"/>
    <w:rsid w:val="00123CDD"/>
    <w:rsid w:val="00134D9A"/>
    <w:rsid w:val="00135BDB"/>
    <w:rsid w:val="001371AA"/>
    <w:rsid w:val="00140FC8"/>
    <w:rsid w:val="0014266D"/>
    <w:rsid w:val="00147EF4"/>
    <w:rsid w:val="00153BB3"/>
    <w:rsid w:val="0015660E"/>
    <w:rsid w:val="00156DC1"/>
    <w:rsid w:val="00160B03"/>
    <w:rsid w:val="0016120C"/>
    <w:rsid w:val="00163068"/>
    <w:rsid w:val="00171115"/>
    <w:rsid w:val="00181ED9"/>
    <w:rsid w:val="001A0A2B"/>
    <w:rsid w:val="001A0FAC"/>
    <w:rsid w:val="001A15A2"/>
    <w:rsid w:val="001A6076"/>
    <w:rsid w:val="001B1FCE"/>
    <w:rsid w:val="001B7E0B"/>
    <w:rsid w:val="001E16F6"/>
    <w:rsid w:val="001E7C29"/>
    <w:rsid w:val="001F297D"/>
    <w:rsid w:val="001F4F04"/>
    <w:rsid w:val="00203085"/>
    <w:rsid w:val="002118EF"/>
    <w:rsid w:val="00214299"/>
    <w:rsid w:val="002250DD"/>
    <w:rsid w:val="00233FB3"/>
    <w:rsid w:val="0023437D"/>
    <w:rsid w:val="00242ABB"/>
    <w:rsid w:val="00251353"/>
    <w:rsid w:val="00262B36"/>
    <w:rsid w:val="00263F3B"/>
    <w:rsid w:val="00265917"/>
    <w:rsid w:val="002660DB"/>
    <w:rsid w:val="002722D5"/>
    <w:rsid w:val="00283231"/>
    <w:rsid w:val="002861FB"/>
    <w:rsid w:val="00293EE6"/>
    <w:rsid w:val="002C0872"/>
    <w:rsid w:val="002C20BA"/>
    <w:rsid w:val="002C43B5"/>
    <w:rsid w:val="002C4704"/>
    <w:rsid w:val="002D0655"/>
    <w:rsid w:val="002D11B8"/>
    <w:rsid w:val="002E4089"/>
    <w:rsid w:val="002F0348"/>
    <w:rsid w:val="002F3006"/>
    <w:rsid w:val="002F405C"/>
    <w:rsid w:val="002F6BB7"/>
    <w:rsid w:val="00303712"/>
    <w:rsid w:val="00330CFC"/>
    <w:rsid w:val="003354C4"/>
    <w:rsid w:val="00335CAF"/>
    <w:rsid w:val="003364D1"/>
    <w:rsid w:val="003536F9"/>
    <w:rsid w:val="0035420B"/>
    <w:rsid w:val="00356141"/>
    <w:rsid w:val="00363B7B"/>
    <w:rsid w:val="0037200F"/>
    <w:rsid w:val="00373957"/>
    <w:rsid w:val="00380FA5"/>
    <w:rsid w:val="00381C50"/>
    <w:rsid w:val="00385587"/>
    <w:rsid w:val="00392D1D"/>
    <w:rsid w:val="003A3FAD"/>
    <w:rsid w:val="003A5509"/>
    <w:rsid w:val="003B2C8C"/>
    <w:rsid w:val="003B345B"/>
    <w:rsid w:val="003D3329"/>
    <w:rsid w:val="003D3B17"/>
    <w:rsid w:val="003D48AE"/>
    <w:rsid w:val="003D6AC2"/>
    <w:rsid w:val="003F3D4B"/>
    <w:rsid w:val="0040027C"/>
    <w:rsid w:val="00400868"/>
    <w:rsid w:val="00421345"/>
    <w:rsid w:val="004256CB"/>
    <w:rsid w:val="004329B7"/>
    <w:rsid w:val="00443709"/>
    <w:rsid w:val="00447D22"/>
    <w:rsid w:val="004553F6"/>
    <w:rsid w:val="00463E70"/>
    <w:rsid w:val="00480D8B"/>
    <w:rsid w:val="00486076"/>
    <w:rsid w:val="004A37E1"/>
    <w:rsid w:val="004C0C2F"/>
    <w:rsid w:val="004C11B3"/>
    <w:rsid w:val="0050115D"/>
    <w:rsid w:val="00507E64"/>
    <w:rsid w:val="00524F83"/>
    <w:rsid w:val="0054041B"/>
    <w:rsid w:val="00550B6C"/>
    <w:rsid w:val="00561BE9"/>
    <w:rsid w:val="00566585"/>
    <w:rsid w:val="00574663"/>
    <w:rsid w:val="0058704A"/>
    <w:rsid w:val="005B1FA1"/>
    <w:rsid w:val="005B3604"/>
    <w:rsid w:val="005B4776"/>
    <w:rsid w:val="005C30CF"/>
    <w:rsid w:val="005C73BB"/>
    <w:rsid w:val="005D79A5"/>
    <w:rsid w:val="005D7CDF"/>
    <w:rsid w:val="005E1E97"/>
    <w:rsid w:val="005E3DE3"/>
    <w:rsid w:val="005F093B"/>
    <w:rsid w:val="005F3DC6"/>
    <w:rsid w:val="00600CC6"/>
    <w:rsid w:val="00614982"/>
    <w:rsid w:val="00631491"/>
    <w:rsid w:val="00637CBE"/>
    <w:rsid w:val="00643231"/>
    <w:rsid w:val="00643C3F"/>
    <w:rsid w:val="00644AD3"/>
    <w:rsid w:val="006455FA"/>
    <w:rsid w:val="00646E9A"/>
    <w:rsid w:val="00655D9A"/>
    <w:rsid w:val="00660638"/>
    <w:rsid w:val="00671684"/>
    <w:rsid w:val="00671EA2"/>
    <w:rsid w:val="00681B3C"/>
    <w:rsid w:val="006827E4"/>
    <w:rsid w:val="00683230"/>
    <w:rsid w:val="006908C5"/>
    <w:rsid w:val="006C3A3C"/>
    <w:rsid w:val="006C4F33"/>
    <w:rsid w:val="006F0318"/>
    <w:rsid w:val="006F6B48"/>
    <w:rsid w:val="00712E65"/>
    <w:rsid w:val="007150DE"/>
    <w:rsid w:val="00721866"/>
    <w:rsid w:val="00734FFF"/>
    <w:rsid w:val="00735569"/>
    <w:rsid w:val="007541C7"/>
    <w:rsid w:val="00761627"/>
    <w:rsid w:val="00773CFE"/>
    <w:rsid w:val="00787657"/>
    <w:rsid w:val="007A4DE2"/>
    <w:rsid w:val="007A543D"/>
    <w:rsid w:val="007B3DD0"/>
    <w:rsid w:val="007B4195"/>
    <w:rsid w:val="007C0AD1"/>
    <w:rsid w:val="007D7B20"/>
    <w:rsid w:val="007E168C"/>
    <w:rsid w:val="00800A19"/>
    <w:rsid w:val="008042E6"/>
    <w:rsid w:val="008053FE"/>
    <w:rsid w:val="00805F04"/>
    <w:rsid w:val="00810D5A"/>
    <w:rsid w:val="00814AA2"/>
    <w:rsid w:val="0082394F"/>
    <w:rsid w:val="008271EF"/>
    <w:rsid w:val="00842ED9"/>
    <w:rsid w:val="00852FC5"/>
    <w:rsid w:val="00853047"/>
    <w:rsid w:val="00853217"/>
    <w:rsid w:val="00853C90"/>
    <w:rsid w:val="008575F2"/>
    <w:rsid w:val="00857F73"/>
    <w:rsid w:val="00862A79"/>
    <w:rsid w:val="0086755D"/>
    <w:rsid w:val="0087380A"/>
    <w:rsid w:val="008742C5"/>
    <w:rsid w:val="00877E5C"/>
    <w:rsid w:val="008B07D4"/>
    <w:rsid w:val="008C12CC"/>
    <w:rsid w:val="008D34B6"/>
    <w:rsid w:val="008F73CD"/>
    <w:rsid w:val="00916BF5"/>
    <w:rsid w:val="009215B8"/>
    <w:rsid w:val="00923554"/>
    <w:rsid w:val="009270C4"/>
    <w:rsid w:val="00932A73"/>
    <w:rsid w:val="00940F14"/>
    <w:rsid w:val="009432D0"/>
    <w:rsid w:val="00950D67"/>
    <w:rsid w:val="009527D7"/>
    <w:rsid w:val="00955512"/>
    <w:rsid w:val="00963962"/>
    <w:rsid w:val="00967121"/>
    <w:rsid w:val="00974C41"/>
    <w:rsid w:val="0099654D"/>
    <w:rsid w:val="009B3AB7"/>
    <w:rsid w:val="009C5258"/>
    <w:rsid w:val="009D28F3"/>
    <w:rsid w:val="009E0744"/>
    <w:rsid w:val="00A12DEC"/>
    <w:rsid w:val="00A22D53"/>
    <w:rsid w:val="00A453AC"/>
    <w:rsid w:val="00A474E5"/>
    <w:rsid w:val="00A52097"/>
    <w:rsid w:val="00A64565"/>
    <w:rsid w:val="00A839F4"/>
    <w:rsid w:val="00A842D4"/>
    <w:rsid w:val="00A93CA3"/>
    <w:rsid w:val="00AB6552"/>
    <w:rsid w:val="00AB67F8"/>
    <w:rsid w:val="00AB7727"/>
    <w:rsid w:val="00AC73AA"/>
    <w:rsid w:val="00AE2F3B"/>
    <w:rsid w:val="00AE76B8"/>
    <w:rsid w:val="00AF0D6F"/>
    <w:rsid w:val="00B02231"/>
    <w:rsid w:val="00B06133"/>
    <w:rsid w:val="00B129D8"/>
    <w:rsid w:val="00B227AE"/>
    <w:rsid w:val="00B41B03"/>
    <w:rsid w:val="00B41EC3"/>
    <w:rsid w:val="00B63F08"/>
    <w:rsid w:val="00B81BAC"/>
    <w:rsid w:val="00B849E0"/>
    <w:rsid w:val="00B90246"/>
    <w:rsid w:val="00B920E4"/>
    <w:rsid w:val="00B94895"/>
    <w:rsid w:val="00BA79A3"/>
    <w:rsid w:val="00BB7DCE"/>
    <w:rsid w:val="00BD25C0"/>
    <w:rsid w:val="00BE46AF"/>
    <w:rsid w:val="00BF78B3"/>
    <w:rsid w:val="00C049EE"/>
    <w:rsid w:val="00C109FD"/>
    <w:rsid w:val="00C14C2C"/>
    <w:rsid w:val="00C409C2"/>
    <w:rsid w:val="00C74E6F"/>
    <w:rsid w:val="00C8348A"/>
    <w:rsid w:val="00C83692"/>
    <w:rsid w:val="00C92F89"/>
    <w:rsid w:val="00CC39DC"/>
    <w:rsid w:val="00CD3F9B"/>
    <w:rsid w:val="00CE1FF8"/>
    <w:rsid w:val="00CE4890"/>
    <w:rsid w:val="00CE6FD2"/>
    <w:rsid w:val="00CF733C"/>
    <w:rsid w:val="00D0182E"/>
    <w:rsid w:val="00D0265B"/>
    <w:rsid w:val="00D24A57"/>
    <w:rsid w:val="00D25A3C"/>
    <w:rsid w:val="00D27E39"/>
    <w:rsid w:val="00D3755C"/>
    <w:rsid w:val="00D42584"/>
    <w:rsid w:val="00D47AC4"/>
    <w:rsid w:val="00D53526"/>
    <w:rsid w:val="00D55100"/>
    <w:rsid w:val="00D554E6"/>
    <w:rsid w:val="00D65738"/>
    <w:rsid w:val="00D70628"/>
    <w:rsid w:val="00D7683C"/>
    <w:rsid w:val="00D9218B"/>
    <w:rsid w:val="00D935A7"/>
    <w:rsid w:val="00D961FB"/>
    <w:rsid w:val="00DA7643"/>
    <w:rsid w:val="00DB029C"/>
    <w:rsid w:val="00DB1D7A"/>
    <w:rsid w:val="00DC162E"/>
    <w:rsid w:val="00DC4A39"/>
    <w:rsid w:val="00DC4D8A"/>
    <w:rsid w:val="00DD195C"/>
    <w:rsid w:val="00DD6039"/>
    <w:rsid w:val="00DE0A21"/>
    <w:rsid w:val="00DE3102"/>
    <w:rsid w:val="00DF1F00"/>
    <w:rsid w:val="00DF6495"/>
    <w:rsid w:val="00DF6796"/>
    <w:rsid w:val="00E125C6"/>
    <w:rsid w:val="00E15639"/>
    <w:rsid w:val="00E173B5"/>
    <w:rsid w:val="00E24C57"/>
    <w:rsid w:val="00E36550"/>
    <w:rsid w:val="00E44562"/>
    <w:rsid w:val="00E457C3"/>
    <w:rsid w:val="00E475F9"/>
    <w:rsid w:val="00E50974"/>
    <w:rsid w:val="00E54322"/>
    <w:rsid w:val="00E545A1"/>
    <w:rsid w:val="00E81720"/>
    <w:rsid w:val="00E86611"/>
    <w:rsid w:val="00E87338"/>
    <w:rsid w:val="00E940BF"/>
    <w:rsid w:val="00E96FAC"/>
    <w:rsid w:val="00EA643A"/>
    <w:rsid w:val="00EB1AD0"/>
    <w:rsid w:val="00EE34E3"/>
    <w:rsid w:val="00F01885"/>
    <w:rsid w:val="00F03035"/>
    <w:rsid w:val="00F14BD8"/>
    <w:rsid w:val="00F168A4"/>
    <w:rsid w:val="00F2380B"/>
    <w:rsid w:val="00F24713"/>
    <w:rsid w:val="00F40699"/>
    <w:rsid w:val="00F433D6"/>
    <w:rsid w:val="00F61D34"/>
    <w:rsid w:val="00F66C8D"/>
    <w:rsid w:val="00F71E85"/>
    <w:rsid w:val="00F76BBD"/>
    <w:rsid w:val="00F96689"/>
    <w:rsid w:val="00FC033E"/>
    <w:rsid w:val="00FD02FC"/>
    <w:rsid w:val="00FD5916"/>
    <w:rsid w:val="00FD6043"/>
    <w:rsid w:val="00FF2641"/>
    <w:rsid w:val="00FF3BAB"/>
    <w:rsid w:val="00FF662D"/>
    <w:rsid w:val="00FF78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List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Table Classic 1" w:uiPriority="0"/>
    <w:lsdException w:name="Table Classic 2" w:uiPriority="0"/>
    <w:lsdException w:name="Table Classic 3" w:uiPriority="0"/>
    <w:lsdException w:name="Table Grid 1" w:uiPriority="0"/>
    <w:lsdException w:name="Table Grid 2" w:uiPriority="0"/>
    <w:lsdException w:name="Table 3D effect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F58C3"/>
    <w:rPr>
      <w:rFonts w:ascii="Arial" w:hAnsi="Arial"/>
      <w:szCs w:val="22"/>
      <w:lang w:eastAsia="en-US"/>
    </w:rPr>
  </w:style>
  <w:style w:type="paragraph" w:styleId="Heading10">
    <w:name w:val="heading 1"/>
    <w:aliases w:val="Main Section"/>
    <w:basedOn w:val="Normal"/>
    <w:next w:val="Normal"/>
    <w:link w:val="Heading1Char"/>
    <w:uiPriority w:val="9"/>
    <w:qFormat/>
    <w:rsid w:val="00D657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55D9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0D7201"/>
    <w:pPr>
      <w:keepNext/>
      <w:widowControl w:val="0"/>
      <w:tabs>
        <w:tab w:val="left" w:pos="567"/>
      </w:tabs>
      <w:spacing w:before="120" w:after="120"/>
      <w:jc w:val="center"/>
      <w:outlineLvl w:val="2"/>
    </w:pPr>
    <w:rPr>
      <w:rFonts w:eastAsia="Times New Roman"/>
      <w:b/>
      <w:caps/>
      <w:color w:val="FF00FF"/>
      <w:szCs w:val="20"/>
    </w:rPr>
  </w:style>
  <w:style w:type="paragraph" w:styleId="Heading4">
    <w:name w:val="heading 4"/>
    <w:basedOn w:val="Normal"/>
    <w:next w:val="Normal"/>
    <w:link w:val="Heading4Char"/>
    <w:autoRedefine/>
    <w:qFormat/>
    <w:rsid w:val="000D7201"/>
    <w:pPr>
      <w:keepNext/>
      <w:widowControl w:val="0"/>
      <w:spacing w:before="120" w:after="120"/>
      <w:jc w:val="center"/>
      <w:outlineLvl w:val="3"/>
    </w:pPr>
    <w:rPr>
      <w:rFonts w:eastAsia="Times New Roman"/>
      <w:b/>
      <w:caps/>
      <w:color w:val="FF0000"/>
      <w:sz w:val="22"/>
      <w:szCs w:val="20"/>
    </w:rPr>
  </w:style>
  <w:style w:type="paragraph" w:styleId="Heading5">
    <w:name w:val="heading 5"/>
    <w:basedOn w:val="Normal"/>
    <w:next w:val="Normal"/>
    <w:link w:val="Heading5Char"/>
    <w:autoRedefine/>
    <w:qFormat/>
    <w:rsid w:val="000D7201"/>
    <w:pPr>
      <w:widowControl w:val="0"/>
      <w:tabs>
        <w:tab w:val="left" w:pos="567"/>
      </w:tabs>
      <w:spacing w:before="120" w:after="120"/>
      <w:jc w:val="center"/>
      <w:outlineLvl w:val="4"/>
    </w:pPr>
    <w:rPr>
      <w:rFonts w:eastAsia="Times New Roman"/>
      <w:b/>
      <w:caps/>
      <w:color w:val="FF0000"/>
      <w:sz w:val="22"/>
      <w:szCs w:val="20"/>
    </w:rPr>
  </w:style>
  <w:style w:type="paragraph" w:styleId="Heading6">
    <w:name w:val="heading 6"/>
    <w:basedOn w:val="Normal"/>
    <w:next w:val="Normal"/>
    <w:link w:val="Heading6Char"/>
    <w:qFormat/>
    <w:rsid w:val="000D7201"/>
    <w:pPr>
      <w:widowControl w:val="0"/>
      <w:tabs>
        <w:tab w:val="left" w:pos="567"/>
      </w:tabs>
      <w:spacing w:before="120" w:after="120"/>
      <w:jc w:val="center"/>
      <w:outlineLvl w:val="5"/>
    </w:pPr>
    <w:rPr>
      <w:rFonts w:eastAsia="Times New Roman"/>
      <w:b/>
      <w:caps/>
      <w:color w:val="0000FF"/>
      <w:sz w:val="22"/>
      <w:szCs w:val="20"/>
      <w:u w:val="single"/>
    </w:rPr>
  </w:style>
  <w:style w:type="paragraph" w:styleId="Heading7">
    <w:name w:val="heading 7"/>
    <w:basedOn w:val="Normal"/>
    <w:next w:val="Normal"/>
    <w:link w:val="Heading7Char"/>
    <w:qFormat/>
    <w:rsid w:val="000D7201"/>
    <w:pPr>
      <w:spacing w:before="120" w:after="120"/>
      <w:jc w:val="center"/>
      <w:outlineLvl w:val="6"/>
    </w:pPr>
    <w:rPr>
      <w:rFonts w:eastAsia="Times New Roman"/>
      <w:b/>
      <w:caps/>
      <w:color w:val="0000FF"/>
      <w:sz w:val="22"/>
      <w:szCs w:val="20"/>
    </w:rPr>
  </w:style>
  <w:style w:type="paragraph" w:styleId="Heading8">
    <w:name w:val="heading 8"/>
    <w:basedOn w:val="Normal"/>
    <w:next w:val="Normal"/>
    <w:link w:val="Heading8Char"/>
    <w:qFormat/>
    <w:rsid w:val="000D7201"/>
    <w:pPr>
      <w:widowControl w:val="0"/>
      <w:tabs>
        <w:tab w:val="left" w:pos="567"/>
        <w:tab w:val="left" w:pos="1843"/>
      </w:tabs>
      <w:ind w:left="1843" w:hanging="1843"/>
      <w:jc w:val="both"/>
      <w:outlineLvl w:val="7"/>
    </w:pPr>
    <w:rPr>
      <w:rFonts w:eastAsia="Times New Roman"/>
      <w:b/>
      <w:color w:val="0000FF"/>
      <w:szCs w:val="20"/>
    </w:rPr>
  </w:style>
  <w:style w:type="paragraph" w:styleId="Heading9">
    <w:name w:val="heading 9"/>
    <w:basedOn w:val="Normal"/>
    <w:next w:val="Normal"/>
    <w:link w:val="Heading9Char"/>
    <w:qFormat/>
    <w:rsid w:val="000D7201"/>
    <w:pPr>
      <w:widowControl w:val="0"/>
      <w:numPr>
        <w:ilvl w:val="8"/>
        <w:numId w:val="1"/>
      </w:numPr>
      <w:tabs>
        <w:tab w:val="left" w:pos="567"/>
      </w:tabs>
      <w:spacing w:before="240" w:after="60"/>
      <w:jc w:val="both"/>
      <w:outlineLvl w:val="8"/>
    </w:pPr>
    <w:rPr>
      <w:rFonts w:eastAsia="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unhideWhenUsed/>
    <w:rsid w:val="00FD6043"/>
    <w:rPr>
      <w:rFonts w:ascii="Tahoma" w:hAnsi="Tahoma" w:cs="Tahoma"/>
      <w:sz w:val="16"/>
      <w:szCs w:val="16"/>
    </w:rPr>
  </w:style>
  <w:style w:type="character" w:customStyle="1" w:styleId="BalloonTextChar">
    <w:name w:val="Balloon Text Char"/>
    <w:link w:val="BalloonText"/>
    <w:uiPriority w:val="99"/>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nhideWhenUsed/>
    <w:rsid w:val="00E24C57"/>
  </w:style>
  <w:style w:type="character" w:styleId="CommentReference">
    <w:name w:val="annotation reference"/>
    <w:unhideWhenUsed/>
    <w:rsid w:val="002250DD"/>
    <w:rPr>
      <w:sz w:val="18"/>
      <w:szCs w:val="18"/>
    </w:rPr>
  </w:style>
  <w:style w:type="paragraph" w:styleId="CommentText">
    <w:name w:val="annotation text"/>
    <w:basedOn w:val="Normal"/>
    <w:link w:val="CommentTextChar"/>
    <w:unhideWhenUsed/>
    <w:rsid w:val="002250DD"/>
    <w:rPr>
      <w:sz w:val="24"/>
      <w:szCs w:val="24"/>
    </w:rPr>
  </w:style>
  <w:style w:type="character" w:customStyle="1" w:styleId="CommentTextChar">
    <w:name w:val="Comment Text Char"/>
    <w:link w:val="CommentText"/>
    <w:rsid w:val="002250DD"/>
    <w:rPr>
      <w:sz w:val="24"/>
      <w:szCs w:val="24"/>
    </w:rPr>
  </w:style>
  <w:style w:type="paragraph" w:styleId="CommentSubject">
    <w:name w:val="annotation subject"/>
    <w:basedOn w:val="CommentText"/>
    <w:next w:val="CommentText"/>
    <w:link w:val="CommentSubjectChar"/>
    <w:unhideWhenUsed/>
    <w:rsid w:val="002250DD"/>
    <w:rPr>
      <w:b/>
      <w:bCs/>
      <w:sz w:val="20"/>
      <w:szCs w:val="20"/>
    </w:rPr>
  </w:style>
  <w:style w:type="character" w:customStyle="1" w:styleId="CommentSubjectChar">
    <w:name w:val="Comment Subject Char"/>
    <w:link w:val="CommentSubject"/>
    <w:rsid w:val="002250DD"/>
    <w:rPr>
      <w:b/>
      <w:bCs/>
      <w:sz w:val="20"/>
      <w:szCs w:val="20"/>
    </w:rPr>
  </w:style>
  <w:style w:type="paragraph" w:styleId="FootnoteText">
    <w:name w:val="footnote text"/>
    <w:aliases w:val="Footnote Text Char2,Footnote Text Char1 Char,Footnote Text Char3 Char Char,Footnote Text Char2 Char Char Char,Footnote Text Char1 Char1 Char Char Char,ft Char1 Char Char Char Char,Footnote Text Char1 Char Char Char Char Char,ft, Car,n"/>
    <w:basedOn w:val="Normal"/>
    <w:link w:val="FootnoteTextChar"/>
    <w:uiPriority w:val="99"/>
    <w:unhideWhenUsed/>
    <w:rsid w:val="009C5258"/>
    <w:rPr>
      <w:sz w:val="16"/>
      <w:szCs w:val="20"/>
    </w:rPr>
  </w:style>
  <w:style w:type="character" w:customStyle="1" w:styleId="FootnoteTextChar">
    <w:name w:val="Footnote Text Char"/>
    <w:aliases w:val="Footnote Text Char2 Char,Footnote Text Char1 Char Char,Footnote Text Char3 Char Char Char,Footnote Text Char2 Char Char Char Char,Footnote Text Char1 Char1 Char Char Char Char,ft Char1 Char Char Char Char Char,ft Char, Car Char,n Char"/>
    <w:link w:val="FootnoteText"/>
    <w:uiPriority w:val="99"/>
    <w:rsid w:val="009C5258"/>
    <w:rPr>
      <w:rFonts w:ascii="Arial" w:hAnsi="Arial"/>
      <w:sz w:val="16"/>
      <w:lang w:val="fr-FR" w:eastAsia="en-US"/>
    </w:rPr>
  </w:style>
  <w:style w:type="character" w:styleId="FootnoteReference">
    <w:name w:val="footnote reference"/>
    <w:aliases w:val="fr,Default Paragraph Font Char Char Char1,Default Paragraph Font Para Char Char Char Char Char1,Default Paragraph Font Char Char11 Char1,Default Paragraph Font Char Char1 Char1,Footnotes refss Car Char,stylish,BVI fnr"/>
    <w:link w:val="FootnotesrefssCar"/>
    <w:unhideWhenUsed/>
    <w:rsid w:val="00853C90"/>
    <w:rPr>
      <w:vertAlign w:val="superscript"/>
    </w:rPr>
  </w:style>
  <w:style w:type="paragraph" w:customStyle="1" w:styleId="GAR2015main">
    <w:name w:val="GAR2015 main"/>
    <w:basedOn w:val="ListParagraph"/>
    <w:link w:val="GAR2015mainChar"/>
    <w:qFormat/>
    <w:rsid w:val="00D65738"/>
    <w:pPr>
      <w:tabs>
        <w:tab w:val="left" w:pos="851"/>
      </w:tabs>
      <w:ind w:left="0"/>
      <w:contextualSpacing w:val="0"/>
      <w:jc w:val="center"/>
    </w:pPr>
    <w:rPr>
      <w:rFonts w:ascii="Ebrima" w:eastAsia="ヒラギノ角ゴ Pro W3" w:hAnsi="Ebrima" w:cstheme="minorHAnsi"/>
      <w:b/>
      <w:color w:val="000000"/>
      <w:szCs w:val="24"/>
      <w:u w:val="single"/>
      <w:lang w:eastAsia="en-GB"/>
    </w:rPr>
  </w:style>
  <w:style w:type="character" w:customStyle="1" w:styleId="GAR2015mainChar">
    <w:name w:val="GAR2015 main Char"/>
    <w:basedOn w:val="DefaultParagraphFont"/>
    <w:link w:val="GAR2015main"/>
    <w:rsid w:val="00D65738"/>
    <w:rPr>
      <w:rFonts w:ascii="Ebrima" w:eastAsia="ヒラギノ角ゴ Pro W3" w:hAnsi="Ebrima" w:cstheme="minorHAnsi"/>
      <w:b/>
      <w:color w:val="000000"/>
      <w:szCs w:val="24"/>
      <w:u w:val="single"/>
    </w:rPr>
  </w:style>
  <w:style w:type="paragraph" w:customStyle="1" w:styleId="GAR2015subsub">
    <w:name w:val="GAR2015 subsub"/>
    <w:basedOn w:val="ListParagraph"/>
    <w:next w:val="Normal"/>
    <w:link w:val="GAR2015subsubChar"/>
    <w:qFormat/>
    <w:rsid w:val="00D6573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uppressAutoHyphens/>
      <w:ind w:left="0"/>
      <w:contextualSpacing w:val="0"/>
      <w:jc w:val="center"/>
    </w:pPr>
    <w:rPr>
      <w:rFonts w:ascii="Ebrima" w:eastAsia="ヒラギノ角ゴ Pro W3" w:hAnsi="Ebrima" w:cstheme="minorHAnsi"/>
      <w:i/>
      <w:color w:val="000000"/>
      <w:spacing w:val="-3"/>
      <w:lang w:eastAsia="en-GB"/>
    </w:rPr>
  </w:style>
  <w:style w:type="character" w:customStyle="1" w:styleId="GAR2015subsubChar">
    <w:name w:val="GAR2015 subsub Char"/>
    <w:basedOn w:val="DefaultParagraphFont"/>
    <w:link w:val="GAR2015subsub"/>
    <w:rsid w:val="00D65738"/>
    <w:rPr>
      <w:rFonts w:ascii="Ebrima" w:eastAsia="ヒラギノ角ゴ Pro W3" w:hAnsi="Ebrima" w:cstheme="minorHAnsi"/>
      <w:i/>
      <w:color w:val="000000"/>
      <w:spacing w:val="-3"/>
      <w:szCs w:val="22"/>
    </w:rPr>
  </w:style>
  <w:style w:type="character" w:customStyle="1" w:styleId="Heading1Char">
    <w:name w:val="Heading 1 Char"/>
    <w:aliases w:val="Main Section Char"/>
    <w:basedOn w:val="DefaultParagraphFont"/>
    <w:link w:val="Heading10"/>
    <w:uiPriority w:val="9"/>
    <w:rsid w:val="00D65738"/>
    <w:rPr>
      <w:rFonts w:asciiTheme="majorHAnsi" w:eastAsiaTheme="majorEastAsia" w:hAnsiTheme="majorHAnsi" w:cstheme="majorBidi"/>
      <w:b/>
      <w:bCs/>
      <w:color w:val="365F91" w:themeColor="accent1" w:themeShade="BF"/>
      <w:sz w:val="28"/>
      <w:szCs w:val="28"/>
      <w:lang w:eastAsia="en-US"/>
    </w:rPr>
  </w:style>
  <w:style w:type="paragraph" w:styleId="TOCHeading">
    <w:name w:val="TOC Heading"/>
    <w:basedOn w:val="Heading10"/>
    <w:next w:val="Normal"/>
    <w:uiPriority w:val="39"/>
    <w:unhideWhenUsed/>
    <w:qFormat/>
    <w:rsid w:val="00D65738"/>
    <w:pPr>
      <w:spacing w:line="276" w:lineRule="auto"/>
      <w:jc w:val="both"/>
      <w:outlineLvl w:val="9"/>
    </w:pPr>
    <w:rPr>
      <w:lang w:val="en-US" w:eastAsia="ja-JP"/>
    </w:rPr>
  </w:style>
  <w:style w:type="paragraph" w:styleId="TOC1">
    <w:name w:val="toc 1"/>
    <w:basedOn w:val="Normal"/>
    <w:next w:val="Normal"/>
    <w:autoRedefine/>
    <w:uiPriority w:val="39"/>
    <w:qFormat/>
    <w:rsid w:val="00D65738"/>
    <w:pPr>
      <w:tabs>
        <w:tab w:val="left" w:pos="567"/>
        <w:tab w:val="right" w:pos="9034"/>
      </w:tabs>
      <w:spacing w:before="360" w:after="360"/>
      <w:jc w:val="both"/>
    </w:pPr>
    <w:rPr>
      <w:rFonts w:asciiTheme="minorHAnsi" w:eastAsia="ヒラギノ角ゴ Pro W3" w:hAnsiTheme="minorHAnsi" w:cstheme="minorHAnsi"/>
      <w:b/>
      <w:bCs/>
      <w:caps/>
      <w:noProof/>
      <w:color w:val="000000"/>
      <w:sz w:val="22"/>
      <w:u w:val="single"/>
      <w:lang w:val="fr-FR"/>
    </w:rPr>
  </w:style>
  <w:style w:type="paragraph" w:styleId="TOC2">
    <w:name w:val="toc 2"/>
    <w:basedOn w:val="Normal"/>
    <w:next w:val="Normal"/>
    <w:autoRedefine/>
    <w:uiPriority w:val="39"/>
    <w:qFormat/>
    <w:rsid w:val="00600CC6"/>
    <w:pPr>
      <w:tabs>
        <w:tab w:val="right" w:leader="dot" w:pos="9034"/>
      </w:tabs>
    </w:pPr>
    <w:rPr>
      <w:rFonts w:asciiTheme="minorHAnsi" w:eastAsia="ヒラギノ角ゴ Pro W3" w:hAnsiTheme="minorHAnsi" w:cstheme="minorHAnsi"/>
      <w:bCs/>
      <w:noProof/>
      <w:color w:val="000000"/>
      <w:sz w:val="22"/>
      <w:lang w:val="fr-FR"/>
    </w:rPr>
  </w:style>
  <w:style w:type="paragraph" w:styleId="TOC3">
    <w:name w:val="toc 3"/>
    <w:basedOn w:val="Normal"/>
    <w:next w:val="Normal"/>
    <w:autoRedefine/>
    <w:uiPriority w:val="39"/>
    <w:qFormat/>
    <w:rsid w:val="006C3A3C"/>
    <w:pPr>
      <w:tabs>
        <w:tab w:val="right" w:leader="dot" w:pos="9639"/>
      </w:tabs>
    </w:pPr>
    <w:rPr>
      <w:rFonts w:eastAsia="ヒラギノ角ゴ Pro W3" w:cs="Arial"/>
      <w:i/>
      <w:noProof/>
      <w:szCs w:val="20"/>
      <w:lang w:val="en-US"/>
    </w:rPr>
  </w:style>
  <w:style w:type="paragraph" w:styleId="ListParagraph">
    <w:name w:val="List Paragraph"/>
    <w:basedOn w:val="Normal"/>
    <w:link w:val="ListParagraphChar"/>
    <w:uiPriority w:val="34"/>
    <w:qFormat/>
    <w:rsid w:val="00D65738"/>
    <w:pPr>
      <w:ind w:left="720"/>
      <w:contextualSpacing/>
    </w:pPr>
  </w:style>
  <w:style w:type="paragraph" w:customStyle="1" w:styleId="FreeForm">
    <w:name w:val="Free Form"/>
    <w:rsid w:val="00655D9A"/>
    <w:rPr>
      <w:rFonts w:ascii="Times New Roman" w:eastAsia="ヒラギノ角ゴ Pro W3" w:hAnsi="Times New Roman"/>
      <w:color w:val="000000"/>
    </w:rPr>
  </w:style>
  <w:style w:type="paragraph" w:customStyle="1" w:styleId="TableGrid1">
    <w:name w:val="Table Grid1"/>
    <w:rsid w:val="00655D9A"/>
    <w:rPr>
      <w:rFonts w:ascii="Lucida Grande" w:eastAsia="ヒラギノ角ゴ Pro W3" w:hAnsi="Lucida Grande"/>
      <w:color w:val="000000"/>
      <w:sz w:val="22"/>
    </w:rPr>
  </w:style>
  <w:style w:type="paragraph" w:customStyle="1" w:styleId="TableGrid2">
    <w:name w:val="Table Grid2"/>
    <w:rsid w:val="00655D9A"/>
    <w:rPr>
      <w:rFonts w:ascii="Lucida Grande" w:eastAsia="ヒラギノ角ゴ Pro W3" w:hAnsi="Lucida Grande"/>
      <w:color w:val="000000"/>
      <w:sz w:val="22"/>
    </w:rPr>
  </w:style>
  <w:style w:type="paragraph" w:customStyle="1" w:styleId="GAR2015SUB">
    <w:name w:val="GAR2015SUB"/>
    <w:basedOn w:val="ListParagraph"/>
    <w:next w:val="Normal"/>
    <w:link w:val="GAR2015SUBChar"/>
    <w:autoRedefine/>
    <w:qFormat/>
    <w:rsid w:val="00F66C8D"/>
    <w:pPr>
      <w:tabs>
        <w:tab w:val="left" w:pos="851"/>
        <w:tab w:val="left" w:pos="1418"/>
        <w:tab w:val="left" w:pos="2127"/>
        <w:tab w:val="left" w:pos="2836"/>
        <w:tab w:val="left" w:pos="3545"/>
        <w:tab w:val="left" w:pos="4254"/>
        <w:tab w:val="left" w:pos="4963"/>
        <w:tab w:val="left" w:pos="5672"/>
        <w:tab w:val="left" w:pos="6381"/>
        <w:tab w:val="left" w:pos="7090"/>
        <w:tab w:val="left" w:pos="7799"/>
        <w:tab w:val="left" w:pos="8508"/>
      </w:tabs>
      <w:suppressAutoHyphens/>
      <w:ind w:left="0"/>
      <w:contextualSpacing w:val="0"/>
      <w:outlineLvl w:val="1"/>
    </w:pPr>
    <w:rPr>
      <w:rFonts w:eastAsia="ヒラギノ角ゴ Pro W3" w:cs="Arial"/>
      <w:b/>
      <w:color w:val="000000" w:themeColor="text1"/>
      <w:szCs w:val="20"/>
      <w:lang w:eastAsia="en-GB"/>
    </w:rPr>
  </w:style>
  <w:style w:type="character" w:customStyle="1" w:styleId="GAR2015SUBChar">
    <w:name w:val="GAR2015SUB Char"/>
    <w:basedOn w:val="DefaultParagraphFont"/>
    <w:link w:val="GAR2015SUB"/>
    <w:rsid w:val="00F66C8D"/>
    <w:rPr>
      <w:rFonts w:ascii="Arial" w:eastAsia="ヒラギノ角ゴ Pro W3" w:hAnsi="Arial" w:cs="Arial"/>
      <w:b/>
      <w:color w:val="000000" w:themeColor="text1"/>
    </w:rPr>
  </w:style>
  <w:style w:type="character" w:customStyle="1" w:styleId="Heading2Char">
    <w:name w:val="Heading 2 Char"/>
    <w:basedOn w:val="DefaultParagraphFont"/>
    <w:link w:val="Heading2"/>
    <w:uiPriority w:val="9"/>
    <w:rsid w:val="00655D9A"/>
    <w:rPr>
      <w:rFonts w:asciiTheme="majorHAnsi" w:eastAsiaTheme="majorEastAsia" w:hAnsiTheme="majorHAnsi" w:cstheme="majorBidi"/>
      <w:b/>
      <w:bCs/>
      <w:color w:val="4F81BD" w:themeColor="accent1"/>
      <w:sz w:val="26"/>
      <w:szCs w:val="26"/>
      <w:lang w:eastAsia="en-US"/>
    </w:rPr>
  </w:style>
  <w:style w:type="paragraph" w:styleId="NormalWeb">
    <w:name w:val="Normal (Web)"/>
    <w:aliases w:val=" webb"/>
    <w:basedOn w:val="Normal"/>
    <w:uiPriority w:val="99"/>
    <w:rsid w:val="00655D9A"/>
    <w:pPr>
      <w:spacing w:before="100" w:beforeAutospacing="1" w:after="100" w:afterAutospacing="1"/>
      <w:jc w:val="both"/>
    </w:pPr>
    <w:rPr>
      <w:rFonts w:ascii="Ebrima" w:eastAsia="Times New Roman" w:hAnsi="Ebrima"/>
      <w:szCs w:val="24"/>
    </w:rPr>
  </w:style>
  <w:style w:type="character" w:customStyle="1" w:styleId="Heading3Char">
    <w:name w:val="Heading 3 Char"/>
    <w:basedOn w:val="DefaultParagraphFont"/>
    <w:link w:val="Heading3"/>
    <w:uiPriority w:val="9"/>
    <w:rsid w:val="000D7201"/>
    <w:rPr>
      <w:rFonts w:ascii="Arial" w:eastAsia="Times New Roman" w:hAnsi="Arial"/>
      <w:b/>
      <w:caps/>
      <w:color w:val="FF00FF"/>
      <w:lang w:eastAsia="en-US"/>
    </w:rPr>
  </w:style>
  <w:style w:type="character" w:customStyle="1" w:styleId="Heading4Char">
    <w:name w:val="Heading 4 Char"/>
    <w:basedOn w:val="DefaultParagraphFont"/>
    <w:link w:val="Heading4"/>
    <w:rsid w:val="000D7201"/>
    <w:rPr>
      <w:rFonts w:ascii="Arial" w:eastAsia="Times New Roman" w:hAnsi="Arial"/>
      <w:b/>
      <w:caps/>
      <w:color w:val="FF0000"/>
      <w:sz w:val="22"/>
      <w:lang w:eastAsia="en-US"/>
    </w:rPr>
  </w:style>
  <w:style w:type="character" w:customStyle="1" w:styleId="Heading5Char">
    <w:name w:val="Heading 5 Char"/>
    <w:basedOn w:val="DefaultParagraphFont"/>
    <w:link w:val="Heading5"/>
    <w:rsid w:val="000D7201"/>
    <w:rPr>
      <w:rFonts w:ascii="Arial" w:eastAsia="Times New Roman" w:hAnsi="Arial"/>
      <w:b/>
      <w:caps/>
      <w:color w:val="FF0000"/>
      <w:sz w:val="22"/>
      <w:lang w:eastAsia="en-US"/>
    </w:rPr>
  </w:style>
  <w:style w:type="character" w:customStyle="1" w:styleId="Heading6Char">
    <w:name w:val="Heading 6 Char"/>
    <w:basedOn w:val="DefaultParagraphFont"/>
    <w:link w:val="Heading6"/>
    <w:rsid w:val="000D7201"/>
    <w:rPr>
      <w:rFonts w:ascii="Arial" w:eastAsia="Times New Roman" w:hAnsi="Arial"/>
      <w:b/>
      <w:caps/>
      <w:color w:val="0000FF"/>
      <w:sz w:val="22"/>
      <w:u w:val="single"/>
      <w:lang w:eastAsia="en-US"/>
    </w:rPr>
  </w:style>
  <w:style w:type="character" w:customStyle="1" w:styleId="Heading7Char">
    <w:name w:val="Heading 7 Char"/>
    <w:basedOn w:val="DefaultParagraphFont"/>
    <w:link w:val="Heading7"/>
    <w:rsid w:val="000D7201"/>
    <w:rPr>
      <w:rFonts w:ascii="Arial" w:eastAsia="Times New Roman" w:hAnsi="Arial"/>
      <w:b/>
      <w:caps/>
      <w:color w:val="0000FF"/>
      <w:sz w:val="22"/>
      <w:lang w:eastAsia="en-US"/>
    </w:rPr>
  </w:style>
  <w:style w:type="character" w:customStyle="1" w:styleId="Heading8Char">
    <w:name w:val="Heading 8 Char"/>
    <w:basedOn w:val="DefaultParagraphFont"/>
    <w:link w:val="Heading8"/>
    <w:rsid w:val="000D7201"/>
    <w:rPr>
      <w:rFonts w:ascii="Arial" w:eastAsia="Times New Roman" w:hAnsi="Arial"/>
      <w:b/>
      <w:color w:val="0000FF"/>
      <w:lang w:eastAsia="en-US"/>
    </w:rPr>
  </w:style>
  <w:style w:type="character" w:customStyle="1" w:styleId="Heading9Char">
    <w:name w:val="Heading 9 Char"/>
    <w:basedOn w:val="DefaultParagraphFont"/>
    <w:link w:val="Heading9"/>
    <w:rsid w:val="000D7201"/>
    <w:rPr>
      <w:rFonts w:ascii="Arial" w:eastAsia="Times New Roman" w:hAnsi="Arial"/>
      <w:b/>
      <w:i/>
      <w:sz w:val="18"/>
      <w:lang w:eastAsia="en-US"/>
    </w:rPr>
  </w:style>
  <w:style w:type="paragraph" w:customStyle="1" w:styleId="Footer1">
    <w:name w:val="Footer1"/>
    <w:rsid w:val="000D7201"/>
    <w:pPr>
      <w:tabs>
        <w:tab w:val="center" w:pos="4320"/>
        <w:tab w:val="right" w:pos="8640"/>
      </w:tabs>
    </w:pPr>
    <w:rPr>
      <w:rFonts w:ascii="Palatino" w:eastAsia="ヒラギノ角ゴ Pro W3" w:hAnsi="Palatino"/>
      <w:color w:val="000000"/>
      <w:sz w:val="24"/>
      <w:lang w:val="en-US"/>
    </w:rPr>
  </w:style>
  <w:style w:type="character" w:customStyle="1" w:styleId="Hyperlink1">
    <w:name w:val="Hyperlink1"/>
    <w:rsid w:val="000D7201"/>
    <w:rPr>
      <w:color w:val="0000FF"/>
      <w:sz w:val="20"/>
      <w:u w:val="single"/>
    </w:rPr>
  </w:style>
  <w:style w:type="character" w:customStyle="1" w:styleId="FootnoteReference1">
    <w:name w:val="Footnote Reference1"/>
    <w:rsid w:val="000D7201"/>
    <w:rPr>
      <w:color w:val="000000"/>
      <w:sz w:val="20"/>
      <w:vertAlign w:val="superscript"/>
    </w:rPr>
  </w:style>
  <w:style w:type="paragraph" w:customStyle="1" w:styleId="FootnoteText1">
    <w:name w:val="Footnote Text1"/>
    <w:rsid w:val="000D7201"/>
    <w:rPr>
      <w:rFonts w:ascii="Times New Roman" w:eastAsia="ヒラギノ角ゴ Pro W3" w:hAnsi="Times New Roman"/>
      <w:color w:val="000000"/>
      <w:lang w:val="fr-FR"/>
    </w:rPr>
  </w:style>
  <w:style w:type="character" w:customStyle="1" w:styleId="PageNumber1">
    <w:name w:val="Page Number1"/>
    <w:rsid w:val="000D7201"/>
    <w:rPr>
      <w:color w:val="000000"/>
      <w:sz w:val="20"/>
    </w:rPr>
  </w:style>
  <w:style w:type="character" w:styleId="FollowedHyperlink">
    <w:name w:val="FollowedHyperlink"/>
    <w:basedOn w:val="DefaultParagraphFont"/>
    <w:rsid w:val="000D7201"/>
    <w:rPr>
      <w:color w:val="800080" w:themeColor="followedHyperlink"/>
      <w:u w:val="single"/>
    </w:rPr>
  </w:style>
  <w:style w:type="paragraph" w:styleId="Revision">
    <w:name w:val="Revision"/>
    <w:hidden/>
    <w:uiPriority w:val="99"/>
    <w:semiHidden/>
    <w:rsid w:val="000D7201"/>
    <w:rPr>
      <w:rFonts w:ascii="Times New Roman" w:eastAsia="ヒラギノ角ゴ Pro W3" w:hAnsi="Times New Roman"/>
      <w:color w:val="000000"/>
      <w:sz w:val="24"/>
      <w:szCs w:val="24"/>
      <w:lang w:val="fr-FR" w:eastAsia="en-US"/>
    </w:rPr>
  </w:style>
  <w:style w:type="character" w:customStyle="1" w:styleId="ListParagraphChar">
    <w:name w:val="List Paragraph Char"/>
    <w:basedOn w:val="DefaultParagraphFont"/>
    <w:link w:val="ListParagraph"/>
    <w:uiPriority w:val="34"/>
    <w:rsid w:val="000D7201"/>
    <w:rPr>
      <w:rFonts w:ascii="Arial" w:hAnsi="Arial"/>
      <w:szCs w:val="22"/>
      <w:lang w:eastAsia="en-US"/>
    </w:rPr>
  </w:style>
  <w:style w:type="paragraph" w:styleId="TOC4">
    <w:name w:val="toc 4"/>
    <w:basedOn w:val="Normal"/>
    <w:next w:val="Normal"/>
    <w:autoRedefine/>
    <w:uiPriority w:val="39"/>
    <w:rsid w:val="000D7201"/>
    <w:pPr>
      <w:jc w:val="both"/>
    </w:pPr>
    <w:rPr>
      <w:rFonts w:asciiTheme="minorHAnsi" w:eastAsia="ヒラギノ角ゴ Pro W3" w:hAnsiTheme="minorHAnsi" w:cstheme="minorHAnsi"/>
      <w:color w:val="000000"/>
      <w:sz w:val="22"/>
      <w:lang w:val="fr-FR"/>
    </w:rPr>
  </w:style>
  <w:style w:type="paragraph" w:styleId="TOC5">
    <w:name w:val="toc 5"/>
    <w:basedOn w:val="Normal"/>
    <w:next w:val="Normal"/>
    <w:autoRedefine/>
    <w:uiPriority w:val="39"/>
    <w:rsid w:val="000D7201"/>
    <w:pPr>
      <w:jc w:val="both"/>
    </w:pPr>
    <w:rPr>
      <w:rFonts w:asciiTheme="minorHAnsi" w:eastAsia="ヒラギノ角ゴ Pro W3" w:hAnsiTheme="minorHAnsi" w:cstheme="minorHAnsi"/>
      <w:color w:val="000000"/>
      <w:sz w:val="22"/>
      <w:lang w:val="fr-FR"/>
    </w:rPr>
  </w:style>
  <w:style w:type="paragraph" w:styleId="TOC6">
    <w:name w:val="toc 6"/>
    <w:basedOn w:val="Normal"/>
    <w:next w:val="Normal"/>
    <w:autoRedefine/>
    <w:uiPriority w:val="39"/>
    <w:rsid w:val="000D7201"/>
    <w:pPr>
      <w:jc w:val="both"/>
    </w:pPr>
    <w:rPr>
      <w:rFonts w:asciiTheme="minorHAnsi" w:eastAsia="ヒラギノ角ゴ Pro W3" w:hAnsiTheme="minorHAnsi" w:cstheme="minorHAnsi"/>
      <w:color w:val="000000"/>
      <w:sz w:val="22"/>
      <w:lang w:val="fr-FR"/>
    </w:rPr>
  </w:style>
  <w:style w:type="paragraph" w:styleId="TOC7">
    <w:name w:val="toc 7"/>
    <w:basedOn w:val="Normal"/>
    <w:next w:val="Normal"/>
    <w:autoRedefine/>
    <w:uiPriority w:val="39"/>
    <w:rsid w:val="000D7201"/>
    <w:pPr>
      <w:jc w:val="both"/>
    </w:pPr>
    <w:rPr>
      <w:rFonts w:asciiTheme="minorHAnsi" w:eastAsia="ヒラギノ角ゴ Pro W3" w:hAnsiTheme="minorHAnsi" w:cstheme="minorHAnsi"/>
      <w:color w:val="000000"/>
      <w:sz w:val="22"/>
      <w:lang w:val="fr-FR"/>
    </w:rPr>
  </w:style>
  <w:style w:type="paragraph" w:styleId="TOC8">
    <w:name w:val="toc 8"/>
    <w:basedOn w:val="Normal"/>
    <w:next w:val="Normal"/>
    <w:autoRedefine/>
    <w:uiPriority w:val="39"/>
    <w:rsid w:val="000D7201"/>
    <w:pPr>
      <w:jc w:val="both"/>
    </w:pPr>
    <w:rPr>
      <w:rFonts w:asciiTheme="minorHAnsi" w:eastAsia="ヒラギノ角ゴ Pro W3" w:hAnsiTheme="minorHAnsi" w:cstheme="minorHAnsi"/>
      <w:color w:val="000000"/>
      <w:sz w:val="22"/>
      <w:lang w:val="fr-FR"/>
    </w:rPr>
  </w:style>
  <w:style w:type="paragraph" w:styleId="TOC9">
    <w:name w:val="toc 9"/>
    <w:basedOn w:val="Normal"/>
    <w:next w:val="Normal"/>
    <w:autoRedefine/>
    <w:uiPriority w:val="39"/>
    <w:rsid w:val="000D7201"/>
    <w:pPr>
      <w:jc w:val="both"/>
    </w:pPr>
    <w:rPr>
      <w:rFonts w:asciiTheme="minorHAnsi" w:eastAsia="ヒラギノ角ゴ Pro W3" w:hAnsiTheme="minorHAnsi" w:cstheme="minorHAnsi"/>
      <w:color w:val="000000"/>
      <w:sz w:val="22"/>
      <w:lang w:val="fr-FR"/>
    </w:rPr>
  </w:style>
  <w:style w:type="paragraph" w:styleId="EndnoteText">
    <w:name w:val="endnote text"/>
    <w:basedOn w:val="Normal"/>
    <w:link w:val="EndnoteTextChar"/>
    <w:uiPriority w:val="99"/>
    <w:rsid w:val="000D7201"/>
    <w:pPr>
      <w:widowControl w:val="0"/>
      <w:tabs>
        <w:tab w:val="left" w:pos="567"/>
      </w:tabs>
      <w:jc w:val="both"/>
    </w:pPr>
    <w:rPr>
      <w:rFonts w:ascii="Helvetica" w:eastAsia="Times New Roman" w:hAnsi="Helvetica"/>
      <w:szCs w:val="20"/>
    </w:rPr>
  </w:style>
  <w:style w:type="character" w:customStyle="1" w:styleId="EndnoteTextChar">
    <w:name w:val="Endnote Text Char"/>
    <w:basedOn w:val="DefaultParagraphFont"/>
    <w:link w:val="EndnoteText"/>
    <w:uiPriority w:val="99"/>
    <w:rsid w:val="000D7201"/>
    <w:rPr>
      <w:rFonts w:ascii="Helvetica" w:eastAsia="Times New Roman" w:hAnsi="Helvetica"/>
      <w:lang w:eastAsia="en-US"/>
    </w:rPr>
  </w:style>
  <w:style w:type="character" w:customStyle="1" w:styleId="Document8">
    <w:name w:val="Document 8"/>
    <w:basedOn w:val="DefaultParagraphFont"/>
    <w:uiPriority w:val="99"/>
    <w:rsid w:val="000D7201"/>
    <w:rPr>
      <w:rFonts w:cs="Times New Roman"/>
    </w:rPr>
  </w:style>
  <w:style w:type="character" w:customStyle="1" w:styleId="Document4">
    <w:name w:val="Document 4"/>
    <w:uiPriority w:val="99"/>
    <w:rsid w:val="000D7201"/>
    <w:rPr>
      <w:b/>
      <w:i/>
      <w:sz w:val="20"/>
    </w:rPr>
  </w:style>
  <w:style w:type="character" w:customStyle="1" w:styleId="Document6">
    <w:name w:val="Document 6"/>
    <w:basedOn w:val="DefaultParagraphFont"/>
    <w:uiPriority w:val="99"/>
    <w:rsid w:val="000D7201"/>
    <w:rPr>
      <w:rFonts w:cs="Times New Roman"/>
    </w:rPr>
  </w:style>
  <w:style w:type="character" w:customStyle="1" w:styleId="Document5">
    <w:name w:val="Document 5"/>
    <w:basedOn w:val="DefaultParagraphFont"/>
    <w:uiPriority w:val="99"/>
    <w:rsid w:val="000D7201"/>
    <w:rPr>
      <w:rFonts w:cs="Times New Roman"/>
    </w:rPr>
  </w:style>
  <w:style w:type="character" w:customStyle="1" w:styleId="Document2">
    <w:name w:val="Document 2"/>
    <w:uiPriority w:val="99"/>
    <w:rsid w:val="000D7201"/>
    <w:rPr>
      <w:rFonts w:ascii="Courier" w:hAnsi="Courier"/>
      <w:sz w:val="20"/>
      <w:lang w:val="en-US"/>
    </w:rPr>
  </w:style>
  <w:style w:type="character" w:customStyle="1" w:styleId="Document7">
    <w:name w:val="Document 7"/>
    <w:basedOn w:val="DefaultParagraphFont"/>
    <w:uiPriority w:val="99"/>
    <w:rsid w:val="000D7201"/>
    <w:rPr>
      <w:rFonts w:cs="Times New Roman"/>
    </w:rPr>
  </w:style>
  <w:style w:type="character" w:customStyle="1" w:styleId="Bibliogrphy">
    <w:name w:val="Bibliogrphy"/>
    <w:basedOn w:val="DefaultParagraphFont"/>
    <w:uiPriority w:val="99"/>
    <w:rsid w:val="000D7201"/>
    <w:rPr>
      <w:rFonts w:cs="Times New Roman"/>
    </w:rPr>
  </w:style>
  <w:style w:type="character" w:customStyle="1" w:styleId="RightPar1">
    <w:name w:val="Right Par 1"/>
    <w:basedOn w:val="DefaultParagraphFont"/>
    <w:uiPriority w:val="99"/>
    <w:rsid w:val="000D7201"/>
    <w:rPr>
      <w:rFonts w:cs="Times New Roman"/>
    </w:rPr>
  </w:style>
  <w:style w:type="character" w:customStyle="1" w:styleId="RightPar2">
    <w:name w:val="Right Par 2"/>
    <w:basedOn w:val="DefaultParagraphFont"/>
    <w:uiPriority w:val="99"/>
    <w:rsid w:val="000D7201"/>
    <w:rPr>
      <w:rFonts w:cs="Times New Roman"/>
    </w:rPr>
  </w:style>
  <w:style w:type="character" w:customStyle="1" w:styleId="Document3">
    <w:name w:val="Document 3"/>
    <w:uiPriority w:val="99"/>
    <w:rsid w:val="000D7201"/>
    <w:rPr>
      <w:rFonts w:ascii="Courier" w:hAnsi="Courier"/>
      <w:sz w:val="20"/>
      <w:lang w:val="en-US"/>
    </w:rPr>
  </w:style>
  <w:style w:type="character" w:customStyle="1" w:styleId="RightPar3">
    <w:name w:val="Right Par 3"/>
    <w:basedOn w:val="DefaultParagraphFont"/>
    <w:uiPriority w:val="99"/>
    <w:rsid w:val="000D7201"/>
    <w:rPr>
      <w:rFonts w:cs="Times New Roman"/>
    </w:rPr>
  </w:style>
  <w:style w:type="character" w:customStyle="1" w:styleId="RightPar4">
    <w:name w:val="Right Par 4"/>
    <w:basedOn w:val="DefaultParagraphFont"/>
    <w:uiPriority w:val="99"/>
    <w:rsid w:val="000D7201"/>
    <w:rPr>
      <w:rFonts w:cs="Times New Roman"/>
    </w:rPr>
  </w:style>
  <w:style w:type="character" w:customStyle="1" w:styleId="RightPar5">
    <w:name w:val="Right Par 5"/>
    <w:basedOn w:val="DefaultParagraphFont"/>
    <w:uiPriority w:val="99"/>
    <w:rsid w:val="000D7201"/>
    <w:rPr>
      <w:rFonts w:cs="Times New Roman"/>
    </w:rPr>
  </w:style>
  <w:style w:type="character" w:customStyle="1" w:styleId="RightPar6">
    <w:name w:val="Right Par 6"/>
    <w:basedOn w:val="DefaultParagraphFont"/>
    <w:uiPriority w:val="99"/>
    <w:rsid w:val="000D7201"/>
    <w:rPr>
      <w:rFonts w:cs="Times New Roman"/>
    </w:rPr>
  </w:style>
  <w:style w:type="character" w:customStyle="1" w:styleId="RightPar7">
    <w:name w:val="Right Par 7"/>
    <w:basedOn w:val="DefaultParagraphFont"/>
    <w:uiPriority w:val="99"/>
    <w:rsid w:val="000D7201"/>
    <w:rPr>
      <w:rFonts w:cs="Times New Roman"/>
    </w:rPr>
  </w:style>
  <w:style w:type="character" w:customStyle="1" w:styleId="RightPar8">
    <w:name w:val="Right Par 8"/>
    <w:basedOn w:val="DefaultParagraphFont"/>
    <w:uiPriority w:val="99"/>
    <w:rsid w:val="000D7201"/>
    <w:rPr>
      <w:rFonts w:cs="Times New Roman"/>
    </w:rPr>
  </w:style>
  <w:style w:type="paragraph" w:customStyle="1" w:styleId="Document1">
    <w:name w:val="Document 1"/>
    <w:uiPriority w:val="99"/>
    <w:rsid w:val="000D7201"/>
    <w:pPr>
      <w:keepNext/>
      <w:keepLines/>
      <w:widowControl w:val="0"/>
      <w:tabs>
        <w:tab w:val="left" w:pos="-720"/>
      </w:tabs>
      <w:suppressAutoHyphens/>
    </w:pPr>
    <w:rPr>
      <w:rFonts w:ascii="Courier" w:eastAsia="Times New Roman" w:hAnsi="Courier"/>
      <w:lang w:val="en-US" w:eastAsia="en-US"/>
    </w:rPr>
  </w:style>
  <w:style w:type="character" w:customStyle="1" w:styleId="DocInit">
    <w:name w:val="Doc Init"/>
    <w:basedOn w:val="DefaultParagraphFont"/>
    <w:uiPriority w:val="99"/>
    <w:rsid w:val="000D7201"/>
    <w:rPr>
      <w:rFonts w:cs="Times New Roman"/>
    </w:rPr>
  </w:style>
  <w:style w:type="character" w:customStyle="1" w:styleId="TechInit">
    <w:name w:val="Tech Init"/>
    <w:uiPriority w:val="99"/>
    <w:rsid w:val="000D7201"/>
    <w:rPr>
      <w:rFonts w:ascii="Courier" w:hAnsi="Courier"/>
      <w:sz w:val="20"/>
      <w:lang w:val="en-US"/>
    </w:rPr>
  </w:style>
  <w:style w:type="character" w:customStyle="1" w:styleId="Technical5">
    <w:name w:val="Technical 5"/>
    <w:basedOn w:val="DefaultParagraphFont"/>
    <w:uiPriority w:val="99"/>
    <w:rsid w:val="000D7201"/>
    <w:rPr>
      <w:rFonts w:cs="Times New Roman"/>
    </w:rPr>
  </w:style>
  <w:style w:type="character" w:customStyle="1" w:styleId="Technical6">
    <w:name w:val="Technical 6"/>
    <w:basedOn w:val="DefaultParagraphFont"/>
    <w:uiPriority w:val="99"/>
    <w:rsid w:val="000D7201"/>
    <w:rPr>
      <w:rFonts w:cs="Times New Roman"/>
    </w:rPr>
  </w:style>
  <w:style w:type="character" w:customStyle="1" w:styleId="Technical2">
    <w:name w:val="Technical 2"/>
    <w:uiPriority w:val="99"/>
    <w:rsid w:val="000D7201"/>
    <w:rPr>
      <w:rFonts w:ascii="Courier" w:hAnsi="Courier"/>
      <w:sz w:val="20"/>
      <w:lang w:val="en-US"/>
    </w:rPr>
  </w:style>
  <w:style w:type="character" w:customStyle="1" w:styleId="Technical3">
    <w:name w:val="Technical 3"/>
    <w:uiPriority w:val="99"/>
    <w:rsid w:val="000D7201"/>
    <w:rPr>
      <w:rFonts w:ascii="Courier" w:hAnsi="Courier"/>
      <w:sz w:val="20"/>
      <w:lang w:val="en-US"/>
    </w:rPr>
  </w:style>
  <w:style w:type="character" w:customStyle="1" w:styleId="Technical4">
    <w:name w:val="Technical 4"/>
    <w:basedOn w:val="DefaultParagraphFont"/>
    <w:uiPriority w:val="99"/>
    <w:rsid w:val="000D7201"/>
    <w:rPr>
      <w:rFonts w:cs="Times New Roman"/>
    </w:rPr>
  </w:style>
  <w:style w:type="character" w:customStyle="1" w:styleId="Technical1">
    <w:name w:val="Technical 1"/>
    <w:uiPriority w:val="99"/>
    <w:rsid w:val="000D7201"/>
    <w:rPr>
      <w:rFonts w:ascii="Courier" w:hAnsi="Courier"/>
      <w:sz w:val="20"/>
      <w:lang w:val="en-US"/>
    </w:rPr>
  </w:style>
  <w:style w:type="character" w:customStyle="1" w:styleId="Technical7">
    <w:name w:val="Technical 7"/>
    <w:basedOn w:val="DefaultParagraphFont"/>
    <w:uiPriority w:val="99"/>
    <w:rsid w:val="000D7201"/>
    <w:rPr>
      <w:rFonts w:cs="Times New Roman"/>
    </w:rPr>
  </w:style>
  <w:style w:type="character" w:customStyle="1" w:styleId="Technical8">
    <w:name w:val="Technical 8"/>
    <w:basedOn w:val="DefaultParagraphFont"/>
    <w:uiPriority w:val="99"/>
    <w:rsid w:val="000D7201"/>
    <w:rPr>
      <w:rFonts w:cs="Times New Roman"/>
    </w:rPr>
  </w:style>
  <w:style w:type="paragraph" w:styleId="TOAHeading">
    <w:name w:val="toa heading"/>
    <w:basedOn w:val="Normal"/>
    <w:next w:val="Normal"/>
    <w:uiPriority w:val="99"/>
    <w:rsid w:val="000D7201"/>
    <w:pPr>
      <w:widowControl w:val="0"/>
      <w:tabs>
        <w:tab w:val="left" w:pos="567"/>
        <w:tab w:val="right" w:pos="9360"/>
      </w:tabs>
      <w:suppressAutoHyphens/>
      <w:jc w:val="both"/>
    </w:pPr>
    <w:rPr>
      <w:rFonts w:ascii="Helvetica" w:eastAsia="Times New Roman" w:hAnsi="Helvetica"/>
      <w:szCs w:val="20"/>
    </w:rPr>
  </w:style>
  <w:style w:type="character" w:customStyle="1" w:styleId="EquationCaption">
    <w:name w:val="_Equation Caption"/>
    <w:uiPriority w:val="99"/>
    <w:rsid w:val="000D7201"/>
  </w:style>
  <w:style w:type="paragraph" w:styleId="BlockText">
    <w:name w:val="Block Text"/>
    <w:basedOn w:val="Normal"/>
    <w:uiPriority w:val="99"/>
    <w:rsid w:val="000D7201"/>
    <w:pPr>
      <w:widowControl w:val="0"/>
      <w:tabs>
        <w:tab w:val="left" w:pos="558"/>
        <w:tab w:val="left" w:pos="856"/>
        <w:tab w:val="left" w:pos="1124"/>
        <w:tab w:val="left" w:pos="1843"/>
        <w:tab w:val="right" w:leader="dot" w:pos="6556"/>
        <w:tab w:val="left" w:pos="8460"/>
        <w:tab w:val="right" w:leader="dot" w:pos="9345"/>
      </w:tabs>
      <w:suppressAutoHyphens/>
      <w:ind w:left="1843" w:right="558" w:hanging="1843"/>
      <w:jc w:val="both"/>
    </w:pPr>
    <w:rPr>
      <w:rFonts w:ascii="Helvetica" w:eastAsia="Times New Roman" w:hAnsi="Helvetica"/>
      <w:b/>
      <w:szCs w:val="20"/>
    </w:rPr>
  </w:style>
  <w:style w:type="paragraph" w:styleId="BodyText">
    <w:name w:val="Body Text"/>
    <w:basedOn w:val="Normal"/>
    <w:link w:val="BodyTextChar"/>
    <w:rsid w:val="000D7201"/>
    <w:pPr>
      <w:widowControl w:val="0"/>
      <w:tabs>
        <w:tab w:val="left" w:pos="-720"/>
        <w:tab w:val="left" w:pos="567"/>
      </w:tabs>
      <w:suppressAutoHyphens/>
      <w:ind w:right="1133"/>
      <w:jc w:val="both"/>
    </w:pPr>
    <w:rPr>
      <w:rFonts w:ascii="Helvetica" w:eastAsia="Times New Roman" w:hAnsi="Helvetica"/>
      <w:spacing w:val="-2"/>
      <w:szCs w:val="20"/>
    </w:rPr>
  </w:style>
  <w:style w:type="character" w:customStyle="1" w:styleId="BodyTextChar">
    <w:name w:val="Body Text Char"/>
    <w:basedOn w:val="DefaultParagraphFont"/>
    <w:link w:val="BodyText"/>
    <w:rsid w:val="000D7201"/>
    <w:rPr>
      <w:rFonts w:ascii="Helvetica" w:eastAsia="Times New Roman" w:hAnsi="Helvetica"/>
      <w:spacing w:val="-2"/>
      <w:lang w:eastAsia="en-US"/>
    </w:rPr>
  </w:style>
  <w:style w:type="paragraph" w:styleId="BodyTextIndent">
    <w:name w:val="Body Text Indent"/>
    <w:basedOn w:val="Normal"/>
    <w:link w:val="BodyTextIndentChar"/>
    <w:rsid w:val="000D7201"/>
    <w:pPr>
      <w:widowControl w:val="0"/>
      <w:tabs>
        <w:tab w:val="left" w:pos="-720"/>
        <w:tab w:val="left" w:pos="567"/>
      </w:tabs>
      <w:suppressAutoHyphens/>
      <w:ind w:left="567" w:hanging="578"/>
      <w:jc w:val="both"/>
    </w:pPr>
    <w:rPr>
      <w:rFonts w:ascii="Helvetica" w:eastAsia="Times New Roman" w:hAnsi="Helvetica"/>
      <w:spacing w:val="-2"/>
      <w:szCs w:val="20"/>
    </w:rPr>
  </w:style>
  <w:style w:type="character" w:customStyle="1" w:styleId="BodyTextIndentChar">
    <w:name w:val="Body Text Indent Char"/>
    <w:basedOn w:val="DefaultParagraphFont"/>
    <w:link w:val="BodyTextIndent"/>
    <w:rsid w:val="000D7201"/>
    <w:rPr>
      <w:rFonts w:ascii="Helvetica" w:eastAsia="Times New Roman" w:hAnsi="Helvetica"/>
      <w:spacing w:val="-2"/>
      <w:lang w:eastAsia="en-US"/>
    </w:rPr>
  </w:style>
  <w:style w:type="paragraph" w:styleId="BodyText2">
    <w:name w:val="Body Text 2"/>
    <w:basedOn w:val="Normal"/>
    <w:link w:val="BodyText2Char"/>
    <w:rsid w:val="000D7201"/>
    <w:pPr>
      <w:widowControl w:val="0"/>
      <w:tabs>
        <w:tab w:val="left" w:pos="566"/>
        <w:tab w:val="left" w:pos="1134"/>
        <w:tab w:val="right" w:leader="dot" w:pos="7655"/>
      </w:tabs>
      <w:suppressAutoHyphens/>
      <w:ind w:right="1135"/>
      <w:jc w:val="both"/>
    </w:pPr>
    <w:rPr>
      <w:rFonts w:ascii="Helvetica" w:eastAsia="Times New Roman" w:hAnsi="Helvetica"/>
      <w:spacing w:val="-2"/>
      <w:szCs w:val="20"/>
    </w:rPr>
  </w:style>
  <w:style w:type="character" w:customStyle="1" w:styleId="BodyText2Char">
    <w:name w:val="Body Text 2 Char"/>
    <w:basedOn w:val="DefaultParagraphFont"/>
    <w:link w:val="BodyText2"/>
    <w:rsid w:val="000D7201"/>
    <w:rPr>
      <w:rFonts w:ascii="Helvetica" w:eastAsia="Times New Roman" w:hAnsi="Helvetica"/>
      <w:spacing w:val="-2"/>
      <w:lang w:eastAsia="en-US"/>
    </w:rPr>
  </w:style>
  <w:style w:type="paragraph" w:styleId="BodyText3">
    <w:name w:val="Body Text 3"/>
    <w:basedOn w:val="Normal"/>
    <w:link w:val="BodyText3Char"/>
    <w:rsid w:val="000D7201"/>
    <w:pPr>
      <w:widowControl w:val="0"/>
      <w:tabs>
        <w:tab w:val="left" w:pos="-720"/>
        <w:tab w:val="left" w:pos="567"/>
      </w:tabs>
      <w:suppressAutoHyphens/>
      <w:ind w:right="1133"/>
      <w:jc w:val="both"/>
    </w:pPr>
    <w:rPr>
      <w:rFonts w:ascii="Helvetica" w:eastAsia="Times New Roman" w:hAnsi="Helvetica"/>
      <w:szCs w:val="20"/>
    </w:rPr>
  </w:style>
  <w:style w:type="character" w:customStyle="1" w:styleId="BodyText3Char">
    <w:name w:val="Body Text 3 Char"/>
    <w:basedOn w:val="DefaultParagraphFont"/>
    <w:link w:val="BodyText3"/>
    <w:rsid w:val="000D7201"/>
    <w:rPr>
      <w:rFonts w:ascii="Helvetica" w:eastAsia="Times New Roman" w:hAnsi="Helvetica"/>
      <w:lang w:eastAsia="en-US"/>
    </w:rPr>
  </w:style>
  <w:style w:type="paragraph" w:styleId="BodyTextIndent2">
    <w:name w:val="Body Text Indent 2"/>
    <w:basedOn w:val="Normal"/>
    <w:link w:val="BodyTextIndent2Char"/>
    <w:uiPriority w:val="99"/>
    <w:rsid w:val="000D7201"/>
    <w:pPr>
      <w:widowControl w:val="0"/>
      <w:tabs>
        <w:tab w:val="left" w:pos="8460"/>
        <w:tab w:val="right" w:leader="dot" w:pos="9345"/>
      </w:tabs>
      <w:suppressAutoHyphens/>
      <w:ind w:right="1147" w:firstLine="558"/>
      <w:jc w:val="both"/>
    </w:pPr>
    <w:rPr>
      <w:rFonts w:eastAsia="Times New Roman"/>
      <w:spacing w:val="-2"/>
      <w:szCs w:val="20"/>
    </w:rPr>
  </w:style>
  <w:style w:type="character" w:customStyle="1" w:styleId="BodyTextIndent2Char">
    <w:name w:val="Body Text Indent 2 Char"/>
    <w:basedOn w:val="DefaultParagraphFont"/>
    <w:link w:val="BodyTextIndent2"/>
    <w:uiPriority w:val="99"/>
    <w:rsid w:val="000D7201"/>
    <w:rPr>
      <w:rFonts w:ascii="Arial" w:eastAsia="Times New Roman" w:hAnsi="Arial"/>
      <w:spacing w:val="-2"/>
      <w:lang w:eastAsia="en-US"/>
    </w:rPr>
  </w:style>
  <w:style w:type="paragraph" w:styleId="BodyTextIndent3">
    <w:name w:val="Body Text Indent 3"/>
    <w:basedOn w:val="Normal"/>
    <w:link w:val="BodyTextIndent3Char"/>
    <w:uiPriority w:val="99"/>
    <w:rsid w:val="000D7201"/>
    <w:pPr>
      <w:widowControl w:val="0"/>
      <w:suppressAutoHyphens/>
      <w:ind w:right="1133" w:firstLine="567"/>
      <w:jc w:val="both"/>
    </w:pPr>
    <w:rPr>
      <w:rFonts w:eastAsia="Times New Roman"/>
      <w:spacing w:val="-2"/>
      <w:szCs w:val="20"/>
    </w:rPr>
  </w:style>
  <w:style w:type="character" w:customStyle="1" w:styleId="BodyTextIndent3Char">
    <w:name w:val="Body Text Indent 3 Char"/>
    <w:basedOn w:val="DefaultParagraphFont"/>
    <w:link w:val="BodyTextIndent3"/>
    <w:uiPriority w:val="99"/>
    <w:rsid w:val="000D7201"/>
    <w:rPr>
      <w:rFonts w:ascii="Arial" w:eastAsia="Times New Roman" w:hAnsi="Arial"/>
      <w:spacing w:val="-2"/>
      <w:lang w:eastAsia="en-US"/>
    </w:rPr>
  </w:style>
  <w:style w:type="paragraph" w:customStyle="1" w:styleId="Normalrappo">
    <w:name w:val="Normal rappo"/>
    <w:uiPriority w:val="99"/>
    <w:rsid w:val="000D7201"/>
    <w:pPr>
      <w:widowControl w:val="0"/>
      <w:tabs>
        <w:tab w:val="left" w:pos="-720"/>
      </w:tabs>
      <w:suppressAutoHyphens/>
      <w:jc w:val="both"/>
    </w:pPr>
    <w:rPr>
      <w:rFonts w:ascii="Univers" w:eastAsia="Times New Roman" w:hAnsi="Univers"/>
      <w:spacing w:val="-3"/>
      <w:sz w:val="24"/>
      <w:lang w:val="fr-FR" w:eastAsia="en-US"/>
    </w:rPr>
  </w:style>
  <w:style w:type="paragraph" w:customStyle="1" w:styleId="footnotetex">
    <w:name w:val="footnote tex"/>
    <w:uiPriority w:val="99"/>
    <w:rsid w:val="000D7201"/>
    <w:pPr>
      <w:widowControl w:val="0"/>
      <w:tabs>
        <w:tab w:val="left" w:pos="-720"/>
      </w:tabs>
      <w:suppressAutoHyphens/>
    </w:pPr>
    <w:rPr>
      <w:rFonts w:ascii="Times New Roman" w:eastAsia="Times New Roman" w:hAnsi="Times New Roman"/>
      <w:lang w:val="fr-FR" w:eastAsia="en-US"/>
    </w:rPr>
  </w:style>
  <w:style w:type="paragraph" w:customStyle="1" w:styleId="29">
    <w:name w:val="29"/>
    <w:uiPriority w:val="99"/>
    <w:rsid w:val="000D7201"/>
    <w:pPr>
      <w:widowControl w:val="0"/>
      <w:tabs>
        <w:tab w:val="left" w:pos="0"/>
        <w:tab w:val="left" w:pos="708"/>
      </w:tabs>
      <w:suppressAutoHyphens/>
      <w:jc w:val="both"/>
    </w:pPr>
    <w:rPr>
      <w:rFonts w:ascii="Times New Roman" w:eastAsia="Times New Roman" w:hAnsi="Times New Roman"/>
      <w:spacing w:val="-2"/>
      <w:lang w:val="fr-FR" w:eastAsia="en-US"/>
    </w:rPr>
  </w:style>
  <w:style w:type="character" w:styleId="Strong">
    <w:name w:val="Strong"/>
    <w:basedOn w:val="DefaultParagraphFont"/>
    <w:qFormat/>
    <w:rsid w:val="000D7201"/>
    <w:rPr>
      <w:rFonts w:cs="Times New Roman"/>
      <w:b/>
    </w:rPr>
  </w:style>
  <w:style w:type="paragraph" w:customStyle="1" w:styleId="normalrappo0">
    <w:name w:val="normalrappo"/>
    <w:basedOn w:val="Normal"/>
    <w:uiPriority w:val="99"/>
    <w:rsid w:val="000D7201"/>
    <w:pPr>
      <w:spacing w:before="100" w:beforeAutospacing="1" w:after="100" w:afterAutospacing="1"/>
      <w:jc w:val="both"/>
    </w:pPr>
    <w:rPr>
      <w:rFonts w:ascii="Arial Unicode MS" w:eastAsia="Arial Unicode MS" w:hAnsi="Arial Unicode MS" w:cs="Arial Unicode MS"/>
      <w:szCs w:val="24"/>
    </w:rPr>
  </w:style>
  <w:style w:type="character" w:styleId="Emphasis">
    <w:name w:val="Emphasis"/>
    <w:basedOn w:val="DefaultParagraphFont"/>
    <w:qFormat/>
    <w:rsid w:val="000D7201"/>
    <w:rPr>
      <w:rFonts w:cs="Times New Roman"/>
      <w:i/>
    </w:rPr>
  </w:style>
  <w:style w:type="paragraph" w:styleId="E-mailSignature">
    <w:name w:val="E-mail Signature"/>
    <w:basedOn w:val="Normal"/>
    <w:link w:val="E-mailSignatureChar"/>
    <w:uiPriority w:val="99"/>
    <w:rsid w:val="000D7201"/>
    <w:pPr>
      <w:jc w:val="both"/>
    </w:pPr>
    <w:rPr>
      <w:rFonts w:ascii="Ebrima" w:eastAsia="Times New Roman" w:hAnsi="Ebrima"/>
      <w:szCs w:val="24"/>
      <w:lang w:val="en-US"/>
    </w:rPr>
  </w:style>
  <w:style w:type="character" w:customStyle="1" w:styleId="E-mailSignatureChar">
    <w:name w:val="E-mail Signature Char"/>
    <w:basedOn w:val="DefaultParagraphFont"/>
    <w:link w:val="E-mailSignature"/>
    <w:uiPriority w:val="99"/>
    <w:rsid w:val="000D7201"/>
    <w:rPr>
      <w:rFonts w:ascii="Ebrima" w:eastAsia="Times New Roman" w:hAnsi="Ebrima"/>
      <w:szCs w:val="24"/>
      <w:lang w:val="en-US" w:eastAsia="en-US"/>
    </w:rPr>
  </w:style>
  <w:style w:type="paragraph" w:customStyle="1" w:styleId="DefaultParagraphFontCharCharChar">
    <w:name w:val="Default Paragraph Font Char Char Char"/>
    <w:aliases w:val="Default Paragraph Font Para Char Char Char Char Char,Default Paragraph Font Char Char11 Char,Default Paragraph Font Char Char1 Char,Default Paragraph Font Para Char Char Char Char1 Char"/>
    <w:basedOn w:val="Normal"/>
    <w:rsid w:val="000D7201"/>
    <w:pPr>
      <w:spacing w:after="160" w:line="240" w:lineRule="exact"/>
      <w:jc w:val="both"/>
    </w:pPr>
    <w:rPr>
      <w:rFonts w:eastAsia="Times New Roman" w:cs="Arial"/>
      <w:szCs w:val="20"/>
      <w:lang w:val="en-US"/>
    </w:rPr>
  </w:style>
  <w:style w:type="paragraph" w:customStyle="1" w:styleId="ZchnZchn">
    <w:name w:val="Zchn Zchn"/>
    <w:basedOn w:val="Normal"/>
    <w:uiPriority w:val="99"/>
    <w:rsid w:val="000D7201"/>
    <w:pPr>
      <w:spacing w:after="160" w:line="240" w:lineRule="exact"/>
      <w:jc w:val="both"/>
    </w:pPr>
    <w:rPr>
      <w:rFonts w:eastAsia="Times New Roman" w:cs="Arial"/>
      <w:szCs w:val="20"/>
      <w:lang w:val="en-US"/>
    </w:rPr>
  </w:style>
  <w:style w:type="paragraph" w:customStyle="1" w:styleId="Address1">
    <w:name w:val="Address 1"/>
    <w:basedOn w:val="Normal"/>
    <w:uiPriority w:val="99"/>
    <w:rsid w:val="000D7201"/>
    <w:pPr>
      <w:framePr w:w="2160" w:wrap="notBeside" w:vAnchor="page" w:hAnchor="page" w:x="8281" w:y="1153"/>
      <w:spacing w:line="160" w:lineRule="atLeast"/>
      <w:jc w:val="both"/>
    </w:pPr>
    <w:rPr>
      <w:rFonts w:eastAsia="Times New Roman" w:cs="Arial"/>
      <w:sz w:val="14"/>
      <w:szCs w:val="14"/>
      <w:lang w:val="en-US" w:eastAsia="ru-RU"/>
    </w:rPr>
  </w:style>
  <w:style w:type="paragraph" w:customStyle="1" w:styleId="CVHeading3">
    <w:name w:val="CV Heading 3"/>
    <w:basedOn w:val="Normal"/>
    <w:next w:val="Normal"/>
    <w:uiPriority w:val="99"/>
    <w:rsid w:val="000D7201"/>
    <w:pPr>
      <w:suppressAutoHyphens/>
      <w:ind w:left="113" w:right="113"/>
      <w:jc w:val="right"/>
      <w:textAlignment w:val="center"/>
    </w:pPr>
    <w:rPr>
      <w:rFonts w:ascii="Arial Narrow" w:eastAsia="Times New Roman" w:hAnsi="Arial Narrow"/>
      <w:szCs w:val="20"/>
      <w:lang w:eastAsia="ar-SA"/>
    </w:rPr>
  </w:style>
  <w:style w:type="paragraph" w:customStyle="1" w:styleId="CVNormal">
    <w:name w:val="CV Normal"/>
    <w:basedOn w:val="Normal"/>
    <w:uiPriority w:val="99"/>
    <w:rsid w:val="000D7201"/>
    <w:pPr>
      <w:suppressAutoHyphens/>
      <w:ind w:left="113" w:right="113"/>
      <w:jc w:val="both"/>
    </w:pPr>
    <w:rPr>
      <w:rFonts w:ascii="Arial Narrow" w:eastAsia="Times New Roman" w:hAnsi="Arial Narrow"/>
      <w:szCs w:val="20"/>
      <w:lang w:eastAsia="ar-SA"/>
    </w:rPr>
  </w:style>
  <w:style w:type="paragraph" w:styleId="Title">
    <w:name w:val="Title"/>
    <w:basedOn w:val="Normal"/>
    <w:link w:val="TitleChar"/>
    <w:qFormat/>
    <w:rsid w:val="000D7201"/>
    <w:pPr>
      <w:jc w:val="center"/>
    </w:pPr>
    <w:rPr>
      <w:rFonts w:ascii="Ebrima" w:eastAsia="Times New Roman" w:hAnsi="Ebrima"/>
      <w:b/>
      <w:szCs w:val="20"/>
      <w:lang w:val="fr-FR"/>
    </w:rPr>
  </w:style>
  <w:style w:type="character" w:customStyle="1" w:styleId="TitleChar">
    <w:name w:val="Title Char"/>
    <w:basedOn w:val="DefaultParagraphFont"/>
    <w:link w:val="Title"/>
    <w:rsid w:val="000D7201"/>
    <w:rPr>
      <w:rFonts w:ascii="Ebrima" w:eastAsia="Times New Roman" w:hAnsi="Ebrima"/>
      <w:b/>
      <w:lang w:val="fr-FR" w:eastAsia="en-US"/>
    </w:rPr>
  </w:style>
  <w:style w:type="paragraph" w:customStyle="1" w:styleId="msolistparagraph0">
    <w:name w:val="msolistparagraph"/>
    <w:basedOn w:val="Normal"/>
    <w:uiPriority w:val="99"/>
    <w:rsid w:val="000D7201"/>
    <w:pPr>
      <w:ind w:left="720"/>
      <w:jc w:val="both"/>
    </w:pPr>
    <w:rPr>
      <w:rFonts w:ascii="Calibri" w:eastAsia="Times New Roman" w:hAnsi="Calibri"/>
      <w:sz w:val="22"/>
      <w:lang w:val="en-US"/>
    </w:rPr>
  </w:style>
  <w:style w:type="paragraph" w:customStyle="1" w:styleId="RKnormal">
    <w:name w:val="RKnormal"/>
    <w:basedOn w:val="Normal"/>
    <w:uiPriority w:val="99"/>
    <w:rsid w:val="000D7201"/>
    <w:pPr>
      <w:tabs>
        <w:tab w:val="left" w:pos="2835"/>
      </w:tabs>
      <w:overflowPunct w:val="0"/>
      <w:autoSpaceDE w:val="0"/>
      <w:autoSpaceDN w:val="0"/>
      <w:adjustRightInd w:val="0"/>
      <w:spacing w:line="240" w:lineRule="atLeast"/>
      <w:jc w:val="both"/>
      <w:textAlignment w:val="baseline"/>
    </w:pPr>
    <w:rPr>
      <w:rFonts w:ascii="OrigGarmnd BT" w:eastAsia="Times New Roman" w:hAnsi="OrigGarmnd BT"/>
      <w:szCs w:val="20"/>
      <w:lang w:val="sv-SE"/>
    </w:rPr>
  </w:style>
  <w:style w:type="paragraph" w:customStyle="1" w:styleId="a">
    <w:name w:val="Абзац списка"/>
    <w:basedOn w:val="Normal"/>
    <w:uiPriority w:val="99"/>
    <w:rsid w:val="000D7201"/>
    <w:pPr>
      <w:spacing w:after="200" w:line="276" w:lineRule="auto"/>
      <w:ind w:left="720"/>
      <w:contextualSpacing/>
      <w:jc w:val="both"/>
    </w:pPr>
    <w:rPr>
      <w:rFonts w:ascii="Calibri" w:eastAsia="Times New Roman" w:hAnsi="Calibri"/>
      <w:sz w:val="22"/>
      <w:lang w:val="uk-UA"/>
    </w:rPr>
  </w:style>
  <w:style w:type="paragraph" w:styleId="PlainText">
    <w:name w:val="Plain Text"/>
    <w:basedOn w:val="Normal"/>
    <w:link w:val="PlainTextChar"/>
    <w:unhideWhenUsed/>
    <w:rsid w:val="000D7201"/>
    <w:pPr>
      <w:jc w:val="both"/>
    </w:pPr>
    <w:rPr>
      <w:rFonts w:ascii="Calibri" w:eastAsiaTheme="minorHAnsi" w:hAnsi="Calibri" w:cstheme="minorBidi"/>
      <w:sz w:val="22"/>
      <w:szCs w:val="21"/>
      <w:lang w:val="fr-FR"/>
    </w:rPr>
  </w:style>
  <w:style w:type="character" w:customStyle="1" w:styleId="PlainTextChar">
    <w:name w:val="Plain Text Char"/>
    <w:basedOn w:val="DefaultParagraphFont"/>
    <w:link w:val="PlainText"/>
    <w:rsid w:val="000D7201"/>
    <w:rPr>
      <w:rFonts w:eastAsiaTheme="minorHAnsi" w:cstheme="minorBidi"/>
      <w:sz w:val="22"/>
      <w:szCs w:val="21"/>
      <w:lang w:val="fr-FR" w:eastAsia="en-US"/>
    </w:rPr>
  </w:style>
  <w:style w:type="paragraph" w:customStyle="1" w:styleId="President">
    <w:name w:val="President"/>
    <w:basedOn w:val="Normal"/>
    <w:next w:val="Normal"/>
    <w:link w:val="PresidentChar"/>
    <w:qFormat/>
    <w:rsid w:val="000D7201"/>
    <w:pPr>
      <w:tabs>
        <w:tab w:val="left" w:pos="851"/>
        <w:tab w:val="left" w:pos="1418"/>
        <w:tab w:val="left" w:pos="2127"/>
        <w:tab w:val="left" w:pos="2836"/>
        <w:tab w:val="left" w:pos="3545"/>
        <w:tab w:val="left" w:pos="4254"/>
        <w:tab w:val="left" w:pos="4963"/>
        <w:tab w:val="left" w:pos="5672"/>
        <w:tab w:val="left" w:pos="6381"/>
        <w:tab w:val="left" w:pos="7090"/>
        <w:tab w:val="left" w:pos="7799"/>
        <w:tab w:val="left" w:pos="8508"/>
      </w:tabs>
      <w:jc w:val="center"/>
    </w:pPr>
    <w:rPr>
      <w:rFonts w:ascii="Ebrima" w:eastAsia="ヒラギノ角ゴ Pro W3" w:hAnsi="Ebrima" w:cstheme="minorHAnsi"/>
      <w:i/>
      <w:color w:val="000000"/>
    </w:rPr>
  </w:style>
  <w:style w:type="character" w:customStyle="1" w:styleId="PresidentChar">
    <w:name w:val="President Char"/>
    <w:basedOn w:val="DefaultParagraphFont"/>
    <w:link w:val="President"/>
    <w:rsid w:val="000D7201"/>
    <w:rPr>
      <w:rFonts w:ascii="Ebrima" w:eastAsia="ヒラギノ角ゴ Pro W3" w:hAnsi="Ebrima" w:cstheme="minorHAnsi"/>
      <w:i/>
      <w:color w:val="000000"/>
      <w:szCs w:val="22"/>
      <w:lang w:eastAsia="en-US"/>
    </w:rPr>
  </w:style>
  <w:style w:type="paragraph" w:customStyle="1" w:styleId="Default">
    <w:name w:val="Default"/>
    <w:basedOn w:val="Normal"/>
    <w:rsid w:val="000D7201"/>
    <w:pPr>
      <w:autoSpaceDE w:val="0"/>
      <w:autoSpaceDN w:val="0"/>
      <w:jc w:val="both"/>
    </w:pPr>
    <w:rPr>
      <w:rFonts w:ascii="Calibri" w:eastAsiaTheme="minorHAnsi" w:hAnsi="Calibri" w:cs="Calibri"/>
      <w:color w:val="000000"/>
      <w:szCs w:val="24"/>
      <w:lang w:val="fr-FR" w:eastAsia="fr-FR"/>
    </w:rPr>
  </w:style>
  <w:style w:type="paragraph" w:styleId="Subtitle">
    <w:name w:val="Subtitle"/>
    <w:basedOn w:val="Normal"/>
    <w:next w:val="Normal"/>
    <w:link w:val="SubtitleChar"/>
    <w:uiPriority w:val="11"/>
    <w:qFormat/>
    <w:rsid w:val="000D7201"/>
    <w:pPr>
      <w:numPr>
        <w:ilvl w:val="1"/>
      </w:numPr>
      <w:jc w:val="both"/>
    </w:pPr>
    <w:rPr>
      <w:rFonts w:asciiTheme="majorHAnsi" w:eastAsiaTheme="majorEastAsia" w:hAnsiTheme="majorHAnsi" w:cstheme="majorBidi"/>
      <w:i/>
      <w:iCs/>
      <w:color w:val="4F81BD" w:themeColor="accent1"/>
      <w:spacing w:val="15"/>
      <w:szCs w:val="24"/>
      <w:lang w:eastAsia="fr-FR"/>
    </w:rPr>
  </w:style>
  <w:style w:type="character" w:customStyle="1" w:styleId="SubtitleChar">
    <w:name w:val="Subtitle Char"/>
    <w:basedOn w:val="DefaultParagraphFont"/>
    <w:link w:val="Subtitle"/>
    <w:uiPriority w:val="11"/>
    <w:rsid w:val="000D7201"/>
    <w:rPr>
      <w:rFonts w:asciiTheme="majorHAnsi" w:eastAsiaTheme="majorEastAsia" w:hAnsiTheme="majorHAnsi" w:cstheme="majorBidi"/>
      <w:i/>
      <w:iCs/>
      <w:color w:val="4F81BD" w:themeColor="accent1"/>
      <w:spacing w:val="15"/>
      <w:szCs w:val="24"/>
      <w:lang w:eastAsia="fr-FR"/>
    </w:rPr>
  </w:style>
  <w:style w:type="character" w:styleId="SubtleEmphasis">
    <w:name w:val="Subtle Emphasis"/>
    <w:basedOn w:val="DefaultParagraphFont"/>
    <w:uiPriority w:val="19"/>
    <w:qFormat/>
    <w:rsid w:val="000D7201"/>
    <w:rPr>
      <w:i/>
      <w:iCs/>
      <w:color w:val="808080" w:themeColor="text1" w:themeTint="7F"/>
    </w:rPr>
  </w:style>
  <w:style w:type="numbering" w:customStyle="1" w:styleId="NoList1">
    <w:name w:val="No List1"/>
    <w:next w:val="NoList"/>
    <w:uiPriority w:val="99"/>
    <w:semiHidden/>
    <w:unhideWhenUsed/>
    <w:rsid w:val="000D7201"/>
  </w:style>
  <w:style w:type="table" w:customStyle="1" w:styleId="TableGrid3">
    <w:name w:val="Table Grid3"/>
    <w:basedOn w:val="TableNormal"/>
    <w:next w:val="TableGrid"/>
    <w:uiPriority w:val="99"/>
    <w:rsid w:val="000D7201"/>
    <w:pPr>
      <w:widowControl w:val="0"/>
      <w:tabs>
        <w:tab w:val="left" w:pos="567"/>
      </w:tabs>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3">
    <w:name w:val="Footnote Text Char3"/>
    <w:aliases w:val="Footnote Text Char2 Char2,Footnote Text Char1 Char Char2,Footnote Text Char3 Char Char Char2,Footnote Text Char2 Char Char Char Char2,Footnote Text Char1 Char1 Char Char Char Char2,ft Char1 Char Char Char Char Char2"/>
    <w:basedOn w:val="DefaultParagraphFont"/>
    <w:uiPriority w:val="99"/>
    <w:locked/>
    <w:rsid w:val="000D7201"/>
    <w:rPr>
      <w:rFonts w:ascii="Verdana" w:hAnsi="Verdana" w:cs="Times New Roman"/>
      <w:sz w:val="20"/>
      <w:szCs w:val="20"/>
      <w:lang w:val="en-GB" w:eastAsia="fr-FR"/>
    </w:rPr>
  </w:style>
  <w:style w:type="paragraph" w:customStyle="1" w:styleId="DefaultParagraphFontCharCharCharCharChar">
    <w:name w:val="Default Paragraph Font Char Char Char Char Char"/>
    <w:aliases w:val="Default Paragraph Font Para Char Char Char Char Char Char Char,Default Paragraph Font Char Char11 Char Char Char,Default Paragraph Font Char Char1 Char Char Char"/>
    <w:basedOn w:val="Normal"/>
    <w:rsid w:val="000D7201"/>
    <w:pPr>
      <w:spacing w:after="160" w:line="240" w:lineRule="exact"/>
    </w:pPr>
    <w:rPr>
      <w:rFonts w:eastAsia="Times New Roman" w:cs="Arial"/>
      <w:szCs w:val="20"/>
      <w:lang w:val="en-US"/>
    </w:rPr>
  </w:style>
  <w:style w:type="paragraph" w:styleId="IntenseQuote">
    <w:name w:val="Intense Quote"/>
    <w:basedOn w:val="Normal"/>
    <w:next w:val="Normal"/>
    <w:link w:val="IntenseQuoteChar"/>
    <w:uiPriority w:val="30"/>
    <w:qFormat/>
    <w:rsid w:val="000D7201"/>
    <w:pPr>
      <w:pBdr>
        <w:bottom w:val="single" w:sz="4" w:space="4" w:color="4F81BD" w:themeColor="accent1"/>
      </w:pBdr>
      <w:spacing w:before="200" w:after="280" w:line="276" w:lineRule="auto"/>
      <w:ind w:left="936" w:right="936"/>
    </w:pPr>
    <w:rPr>
      <w:rFonts w:asciiTheme="minorHAnsi" w:eastAsiaTheme="minorEastAsia" w:hAnsiTheme="minorHAnsi" w:cstheme="minorBidi"/>
      <w:b/>
      <w:bCs/>
      <w:i/>
      <w:iCs/>
      <w:color w:val="4F81BD" w:themeColor="accent1"/>
      <w:sz w:val="22"/>
      <w:lang w:val="en-US" w:eastAsia="ja-JP"/>
    </w:rPr>
  </w:style>
  <w:style w:type="character" w:customStyle="1" w:styleId="IntenseQuoteChar">
    <w:name w:val="Intense Quote Char"/>
    <w:basedOn w:val="DefaultParagraphFont"/>
    <w:link w:val="IntenseQuote"/>
    <w:uiPriority w:val="30"/>
    <w:rsid w:val="000D7201"/>
    <w:rPr>
      <w:rFonts w:asciiTheme="minorHAnsi" w:eastAsiaTheme="minorEastAsia" w:hAnsiTheme="minorHAnsi" w:cstheme="minorBidi"/>
      <w:b/>
      <w:bCs/>
      <w:i/>
      <w:iCs/>
      <w:color w:val="4F81BD" w:themeColor="accent1"/>
      <w:sz w:val="22"/>
      <w:szCs w:val="22"/>
      <w:lang w:val="en-US" w:eastAsia="ja-JP"/>
    </w:rPr>
  </w:style>
  <w:style w:type="numbering" w:customStyle="1" w:styleId="NoList2">
    <w:name w:val="No List2"/>
    <w:next w:val="NoList"/>
    <w:uiPriority w:val="99"/>
    <w:semiHidden/>
    <w:unhideWhenUsed/>
    <w:rsid w:val="000D7201"/>
  </w:style>
  <w:style w:type="table" w:customStyle="1" w:styleId="TableGrid4">
    <w:name w:val="Table Grid4"/>
    <w:basedOn w:val="TableNormal"/>
    <w:next w:val="TableGrid"/>
    <w:uiPriority w:val="99"/>
    <w:rsid w:val="000D7201"/>
    <w:pPr>
      <w:widowControl w:val="0"/>
      <w:tabs>
        <w:tab w:val="left" w:pos="567"/>
      </w:tabs>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refssCar">
    <w:name w:val="Footnotes refss Car"/>
    <w:aliases w:val="Footnotes refss Char Car,callout Char Car,Footnotes refss Car Car Char Char Char Char Car Car"/>
    <w:basedOn w:val="Normal"/>
    <w:link w:val="FootnoteReference"/>
    <w:uiPriority w:val="99"/>
    <w:rsid w:val="00852FC5"/>
    <w:pPr>
      <w:spacing w:after="160" w:line="240" w:lineRule="exact"/>
    </w:pPr>
    <w:rPr>
      <w:rFonts w:ascii="Calibri" w:hAnsi="Calibri"/>
      <w:szCs w:val="20"/>
      <w:vertAlign w:val="superscript"/>
      <w:lang w:eastAsia="en-GB"/>
    </w:rPr>
  </w:style>
  <w:style w:type="paragraph" w:customStyle="1" w:styleId="CMSpace">
    <w:name w:val="CM_Space"/>
    <w:basedOn w:val="Normal"/>
    <w:qFormat/>
    <w:rsid w:val="005E3DE3"/>
    <w:rPr>
      <w:rFonts w:eastAsia="Times New Roman"/>
      <w:szCs w:val="24"/>
      <w:lang w:eastAsia="fr-FR"/>
    </w:rPr>
  </w:style>
  <w:style w:type="paragraph" w:customStyle="1" w:styleId="FootnoteReferenceCharCarCharCharCarCharCarCharCarCharCarCharCharCarCarCharCharCharCharCharCar">
    <w:name w:val="Footnote Reference Char Car Char Char Car Char Car Char Car Char Car Char Char Car Car Char Char Char Char Char Car"/>
    <w:aliases w:val="Footnote Reference Char Car Char Char Car Char Car Char Car Char Car Char Char Car Car Char Char Car Car"/>
    <w:basedOn w:val="Normal"/>
    <w:rsid w:val="005E3DE3"/>
    <w:pPr>
      <w:spacing w:after="160" w:line="240" w:lineRule="exact"/>
    </w:pPr>
    <w:rPr>
      <w:rFonts w:ascii="Times New Roman" w:eastAsia="Times New Roman" w:hAnsi="Times New Roman"/>
      <w:szCs w:val="20"/>
      <w:vertAlign w:val="superscript"/>
      <w:lang w:val="fr-FR" w:eastAsia="fr-FR"/>
    </w:rPr>
  </w:style>
  <w:style w:type="paragraph" w:customStyle="1" w:styleId="Heading1">
    <w:name w:val="Heading1"/>
    <w:basedOn w:val="Normal"/>
    <w:link w:val="Heading1Char0"/>
    <w:qFormat/>
    <w:rsid w:val="005E3DE3"/>
    <w:pPr>
      <w:keepNext/>
      <w:widowControl w:val="0"/>
      <w:numPr>
        <w:numId w:val="2"/>
      </w:numPr>
      <w:spacing w:after="120"/>
      <w:ind w:right="284"/>
      <w:jc w:val="both"/>
      <w:outlineLvl w:val="1"/>
    </w:pPr>
    <w:rPr>
      <w:rFonts w:eastAsia="Times New Roman" w:cs="Arial"/>
      <w:b/>
      <w:bCs/>
      <w:caps/>
      <w:color w:val="17365D"/>
      <w:w w:val="105"/>
      <w:kern w:val="28"/>
      <w:sz w:val="24"/>
      <w:szCs w:val="20"/>
      <w:lang w:eastAsia="zh-CN"/>
    </w:rPr>
  </w:style>
  <w:style w:type="character" w:customStyle="1" w:styleId="Heading1Char0">
    <w:name w:val="Heading1 Char"/>
    <w:link w:val="Heading1"/>
    <w:rsid w:val="005E3DE3"/>
    <w:rPr>
      <w:rFonts w:ascii="Arial" w:eastAsia="Times New Roman" w:hAnsi="Arial" w:cs="Arial"/>
      <w:b/>
      <w:bCs/>
      <w:caps/>
      <w:color w:val="17365D"/>
      <w:w w:val="105"/>
      <w:kern w:val="28"/>
      <w:sz w:val="24"/>
      <w:lang w:eastAsia="zh-CN"/>
    </w:rPr>
  </w:style>
  <w:style w:type="paragraph" w:customStyle="1" w:styleId="LDFakeHeading2">
    <w:name w:val="LDFakeHeading2"/>
    <w:basedOn w:val="Heading1"/>
    <w:link w:val="LDFakeHeading2Char"/>
    <w:qFormat/>
    <w:rsid w:val="005E3DE3"/>
  </w:style>
  <w:style w:type="character" w:customStyle="1" w:styleId="LDFakeHeading2Char">
    <w:name w:val="LDFakeHeading2 Char"/>
    <w:link w:val="LDFakeHeading2"/>
    <w:rsid w:val="005E3DE3"/>
    <w:rPr>
      <w:rFonts w:ascii="Arial" w:eastAsia="Times New Roman" w:hAnsi="Arial" w:cs="Arial"/>
      <w:b/>
      <w:bCs/>
      <w:caps/>
      <w:color w:val="17365D"/>
      <w:w w:val="105"/>
      <w:kern w:val="28"/>
      <w:sz w:val="24"/>
      <w:lang w:eastAsia="zh-CN"/>
    </w:rPr>
  </w:style>
  <w:style w:type="table" w:styleId="TableGrid20">
    <w:name w:val="Table Grid 2"/>
    <w:basedOn w:val="TableNormal"/>
    <w:rsid w:val="005E3DE3"/>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st1">
    <w:name w:val="st1"/>
    <w:basedOn w:val="DefaultParagraphFont"/>
    <w:rsid w:val="005E3DE3"/>
  </w:style>
  <w:style w:type="paragraph" w:customStyle="1" w:styleId="COECote">
    <w:name w:val="COE_Cote"/>
    <w:basedOn w:val="Normal"/>
    <w:rsid w:val="005E3DE3"/>
    <w:pPr>
      <w:spacing w:before="240"/>
    </w:pPr>
    <w:rPr>
      <w:rFonts w:eastAsia="Times New Roman"/>
      <w:b/>
      <w:sz w:val="22"/>
      <w:lang w:val="fr-FR" w:eastAsia="fr-FR"/>
    </w:rPr>
  </w:style>
  <w:style w:type="paragraph" w:customStyle="1" w:styleId="COEEnceinte">
    <w:name w:val="COE_Enceinte"/>
    <w:basedOn w:val="COECote"/>
    <w:rsid w:val="005E3DE3"/>
    <w:rPr>
      <w:b w:val="0"/>
      <w:i/>
      <w:color w:val="808080"/>
      <w:sz w:val="28"/>
      <w:szCs w:val="28"/>
    </w:rPr>
  </w:style>
  <w:style w:type="paragraph" w:customStyle="1" w:styleId="COEHeading1">
    <w:name w:val="COE_Heading1"/>
    <w:basedOn w:val="Normal"/>
    <w:link w:val="COEHeading1Char"/>
    <w:autoRedefine/>
    <w:rsid w:val="005E3DE3"/>
    <w:rPr>
      <w:rFonts w:eastAsia="Times New Roman"/>
      <w:b/>
      <w:sz w:val="24"/>
      <w:szCs w:val="32"/>
    </w:rPr>
  </w:style>
  <w:style w:type="character" w:customStyle="1" w:styleId="COEHeading1Char">
    <w:name w:val="COE_Heading1 Char"/>
    <w:link w:val="COEHeading1"/>
    <w:rsid w:val="005E3DE3"/>
    <w:rPr>
      <w:rFonts w:ascii="Arial" w:eastAsia="Times New Roman" w:hAnsi="Arial"/>
      <w:b/>
      <w:sz w:val="24"/>
      <w:szCs w:val="32"/>
      <w:lang w:eastAsia="en-US"/>
    </w:rPr>
  </w:style>
  <w:style w:type="paragraph" w:customStyle="1" w:styleId="COEHeading2">
    <w:name w:val="COE_Heading2"/>
    <w:basedOn w:val="Normal"/>
    <w:link w:val="COEHeading2Char"/>
    <w:autoRedefine/>
    <w:rsid w:val="005E3DE3"/>
    <w:rPr>
      <w:rFonts w:ascii="Verdana" w:eastAsia="Times New Roman" w:hAnsi="Verdana"/>
      <w:b/>
      <w:szCs w:val="28"/>
    </w:rPr>
  </w:style>
  <w:style w:type="paragraph" w:customStyle="1" w:styleId="COEHeading3">
    <w:name w:val="COE_Heading3"/>
    <w:basedOn w:val="Normal"/>
    <w:autoRedefine/>
    <w:rsid w:val="005E3DE3"/>
    <w:pPr>
      <w:outlineLvl w:val="2"/>
    </w:pPr>
    <w:rPr>
      <w:rFonts w:ascii="Helvetica" w:eastAsia="Times New Roman" w:hAnsi="Helvetica"/>
      <w:i/>
      <w:szCs w:val="24"/>
      <w:lang w:eastAsia="fr-FR"/>
    </w:rPr>
  </w:style>
  <w:style w:type="paragraph" w:customStyle="1" w:styleId="COENoLignes">
    <w:name w:val="COE_NoLignes"/>
    <w:link w:val="COENoLignesChar"/>
    <w:rsid w:val="005E3DE3"/>
    <w:rPr>
      <w:rFonts w:ascii="Arial" w:eastAsia="Times New Roman" w:hAnsi="Arial"/>
      <w:lang w:val="en-US" w:eastAsia="en-US"/>
    </w:rPr>
  </w:style>
  <w:style w:type="character" w:customStyle="1" w:styleId="COENoLignesChar">
    <w:name w:val="COE_NoLignes Char"/>
    <w:link w:val="COENoLignes"/>
    <w:rsid w:val="005E3DE3"/>
    <w:rPr>
      <w:rFonts w:ascii="Arial" w:eastAsia="Times New Roman" w:hAnsi="Arial"/>
      <w:lang w:val="en-US" w:eastAsia="en-US"/>
    </w:rPr>
  </w:style>
  <w:style w:type="paragraph" w:customStyle="1" w:styleId="COETitre">
    <w:name w:val="COE_Titre"/>
    <w:basedOn w:val="Normal"/>
    <w:link w:val="COETitreChar"/>
    <w:rsid w:val="005E3DE3"/>
    <w:pPr>
      <w:spacing w:before="360" w:after="240"/>
    </w:pPr>
    <w:rPr>
      <w:rFonts w:eastAsia="Times New Roman"/>
      <w:sz w:val="36"/>
      <w:szCs w:val="36"/>
      <w:lang w:val="fr-FR" w:eastAsia="fr-FR"/>
    </w:rPr>
  </w:style>
  <w:style w:type="character" w:customStyle="1" w:styleId="COETitreChar">
    <w:name w:val="COE_Titre Char"/>
    <w:link w:val="COETitre"/>
    <w:rsid w:val="005E3DE3"/>
    <w:rPr>
      <w:rFonts w:ascii="Arial" w:eastAsia="Times New Roman" w:hAnsi="Arial"/>
      <w:sz w:val="36"/>
      <w:szCs w:val="36"/>
      <w:lang w:val="fr-FR" w:eastAsia="fr-FR"/>
    </w:rPr>
  </w:style>
  <w:style w:type="paragraph" w:customStyle="1" w:styleId="COEType">
    <w:name w:val="COE_Type"/>
    <w:basedOn w:val="Normal"/>
    <w:rsid w:val="005E3DE3"/>
    <w:pPr>
      <w:spacing w:before="240"/>
    </w:pPr>
    <w:rPr>
      <w:rFonts w:eastAsia="Times New Roman"/>
      <w:b/>
      <w:sz w:val="28"/>
      <w:szCs w:val="28"/>
      <w:lang w:val="fr-FR" w:eastAsia="fr-FR"/>
    </w:rPr>
  </w:style>
  <w:style w:type="paragraph" w:customStyle="1" w:styleId="COEWord">
    <w:name w:val="COE_Word"/>
    <w:basedOn w:val="Normal"/>
    <w:rsid w:val="005E3DE3"/>
    <w:pPr>
      <w:jc w:val="right"/>
    </w:pPr>
    <w:rPr>
      <w:rFonts w:eastAsia="Times New Roman"/>
      <w:i/>
      <w:iCs/>
      <w:szCs w:val="24"/>
      <w:lang w:val="fr-FR" w:eastAsia="fr-FR"/>
    </w:rPr>
  </w:style>
  <w:style w:type="paragraph" w:customStyle="1" w:styleId="COESource">
    <w:name w:val="COE_Source"/>
    <w:basedOn w:val="Normal"/>
    <w:link w:val="COESourceChar"/>
    <w:autoRedefine/>
    <w:rsid w:val="005E3DE3"/>
    <w:rPr>
      <w:rFonts w:eastAsia="Times New Roman"/>
      <w:sz w:val="16"/>
      <w:szCs w:val="18"/>
      <w:lang w:val="fr-FR" w:eastAsia="fr-FR"/>
    </w:rPr>
  </w:style>
  <w:style w:type="character" w:customStyle="1" w:styleId="COESourceChar">
    <w:name w:val="COE_Source Char"/>
    <w:link w:val="COESource"/>
    <w:rsid w:val="005E3DE3"/>
    <w:rPr>
      <w:rFonts w:ascii="Arial" w:eastAsia="Times New Roman" w:hAnsi="Arial"/>
      <w:sz w:val="16"/>
      <w:szCs w:val="18"/>
      <w:lang w:val="fr-FR" w:eastAsia="fr-FR"/>
    </w:rPr>
  </w:style>
  <w:style w:type="paragraph" w:customStyle="1" w:styleId="CMAuthor">
    <w:name w:val="CM_Author"/>
    <w:basedOn w:val="COEEnceinte"/>
    <w:qFormat/>
    <w:rsid w:val="005E3DE3"/>
    <w:pPr>
      <w:suppressLineNumbers/>
      <w:tabs>
        <w:tab w:val="center" w:pos="4513"/>
        <w:tab w:val="right" w:pos="9027"/>
      </w:tabs>
      <w:suppressAutoHyphens/>
      <w:spacing w:before="0"/>
    </w:pPr>
    <w:rPr>
      <w:rFonts w:ascii="Times New Roman" w:hAnsi="Times New Roman"/>
      <w:b/>
      <w:szCs w:val="24"/>
      <w:lang w:val="en-GB"/>
    </w:rPr>
  </w:style>
  <w:style w:type="paragraph" w:customStyle="1" w:styleId="CMCote">
    <w:name w:val="CM_Cote"/>
    <w:basedOn w:val="Normal"/>
    <w:qFormat/>
    <w:rsid w:val="005E3DE3"/>
    <w:pPr>
      <w:spacing w:before="120"/>
    </w:pPr>
    <w:rPr>
      <w:rFonts w:eastAsia="Times New Roman"/>
      <w:b/>
      <w:sz w:val="22"/>
      <w:lang w:eastAsia="fr-FR"/>
    </w:rPr>
  </w:style>
  <w:style w:type="paragraph" w:customStyle="1" w:styleId="CMTitle">
    <w:name w:val="CM_Title"/>
    <w:basedOn w:val="COETitre"/>
    <w:link w:val="CMTitleChar"/>
    <w:autoRedefine/>
    <w:qFormat/>
    <w:rsid w:val="005E3DE3"/>
    <w:pPr>
      <w:spacing w:before="0" w:after="0"/>
    </w:pPr>
    <w:rPr>
      <w:b/>
      <w:szCs w:val="32"/>
      <w:lang w:val="en-GB"/>
    </w:rPr>
  </w:style>
  <w:style w:type="character" w:customStyle="1" w:styleId="CMTitleChar">
    <w:name w:val="CM_Title Char"/>
    <w:link w:val="CMTitle"/>
    <w:rsid w:val="005E3DE3"/>
    <w:rPr>
      <w:rFonts w:ascii="Arial" w:eastAsia="Times New Roman" w:hAnsi="Arial"/>
      <w:b/>
      <w:sz w:val="36"/>
      <w:szCs w:val="32"/>
      <w:lang w:eastAsia="fr-FR"/>
    </w:rPr>
  </w:style>
  <w:style w:type="paragraph" w:customStyle="1" w:styleId="CMDocType">
    <w:name w:val="CM_DocType"/>
    <w:basedOn w:val="CMTitle"/>
    <w:autoRedefine/>
    <w:qFormat/>
    <w:rsid w:val="005E3DE3"/>
    <w:rPr>
      <w:rFonts w:ascii="Verdana" w:hAnsi="Verdana"/>
      <w:sz w:val="32"/>
    </w:rPr>
  </w:style>
  <w:style w:type="paragraph" w:customStyle="1" w:styleId="CMEnceinte">
    <w:name w:val="CM_Enceinte"/>
    <w:basedOn w:val="COEEnceinte"/>
    <w:qFormat/>
    <w:rsid w:val="005E3DE3"/>
    <w:pPr>
      <w:suppressLineNumbers/>
      <w:tabs>
        <w:tab w:val="center" w:pos="4513"/>
        <w:tab w:val="right" w:pos="9027"/>
      </w:tabs>
      <w:suppressAutoHyphens/>
      <w:spacing w:before="0"/>
    </w:pPr>
    <w:rPr>
      <w:rFonts w:ascii="Times New Roman" w:hAnsi="Times New Roman"/>
      <w:b/>
      <w:szCs w:val="24"/>
      <w:lang w:val="en-GB"/>
    </w:rPr>
  </w:style>
  <w:style w:type="paragraph" w:customStyle="1" w:styleId="CMhLine">
    <w:name w:val="CM_hLine"/>
    <w:basedOn w:val="CMTitle"/>
    <w:qFormat/>
    <w:rsid w:val="005E3DE3"/>
    <w:pPr>
      <w:pBdr>
        <w:bottom w:val="single" w:sz="18" w:space="1" w:color="auto"/>
      </w:pBdr>
      <w:spacing w:after="240"/>
      <w:ind w:right="5243"/>
    </w:pPr>
    <w:rPr>
      <w:sz w:val="22"/>
    </w:rPr>
  </w:style>
  <w:style w:type="paragraph" w:customStyle="1" w:styleId="CMLinkedDocs">
    <w:name w:val="CM_LinkedDocs"/>
    <w:basedOn w:val="Normal"/>
    <w:rsid w:val="005E3DE3"/>
    <w:rPr>
      <w:rFonts w:eastAsia="Times New Roman"/>
      <w:sz w:val="16"/>
      <w:szCs w:val="24"/>
      <w:lang w:eastAsia="fr-FR"/>
    </w:rPr>
  </w:style>
  <w:style w:type="paragraph" w:customStyle="1" w:styleId="CMMainSubTitle">
    <w:name w:val="CM_MainSubTitle"/>
    <w:basedOn w:val="Normal"/>
    <w:autoRedefine/>
    <w:rsid w:val="005E3DE3"/>
    <w:rPr>
      <w:rFonts w:eastAsia="Times New Roman"/>
      <w:sz w:val="32"/>
      <w:szCs w:val="24"/>
      <w:lang w:eastAsia="fr-FR"/>
    </w:rPr>
  </w:style>
  <w:style w:type="paragraph" w:customStyle="1" w:styleId="CMRevision">
    <w:name w:val="CM_Revision"/>
    <w:basedOn w:val="Normal"/>
    <w:link w:val="CMRevisionChar"/>
    <w:rsid w:val="005E3DE3"/>
    <w:rPr>
      <w:rFonts w:eastAsia="Times New Roman" w:cs="Arial"/>
      <w:color w:val="FF0000"/>
      <w:szCs w:val="20"/>
      <w:shd w:val="clear" w:color="auto" w:fill="D9D9D9"/>
    </w:rPr>
  </w:style>
  <w:style w:type="character" w:customStyle="1" w:styleId="CMRevisionChar">
    <w:name w:val="CM_Revision Char"/>
    <w:link w:val="CMRevision"/>
    <w:rsid w:val="005E3DE3"/>
    <w:rPr>
      <w:rFonts w:ascii="Arial" w:eastAsia="Times New Roman" w:hAnsi="Arial" w:cs="Arial"/>
      <w:color w:val="FF0000"/>
      <w:lang w:eastAsia="en-US"/>
    </w:rPr>
  </w:style>
  <w:style w:type="paragraph" w:customStyle="1" w:styleId="CMRevisionInside">
    <w:name w:val="CM_RevisionInside"/>
    <w:basedOn w:val="Normal"/>
    <w:link w:val="CMRevisionInsideCharChar"/>
    <w:rsid w:val="005E3DE3"/>
    <w:rPr>
      <w:rFonts w:eastAsia="Times New Roman"/>
      <w:color w:val="FF0000"/>
      <w:szCs w:val="24"/>
      <w:shd w:val="clear" w:color="auto" w:fill="D9D9D9"/>
      <w:lang w:eastAsia="fr-FR"/>
    </w:rPr>
  </w:style>
  <w:style w:type="character" w:customStyle="1" w:styleId="CMRevisionInsideCharChar">
    <w:name w:val="CM_RevisionInside Char Char"/>
    <w:link w:val="CMRevisionInside"/>
    <w:rsid w:val="005E3DE3"/>
    <w:rPr>
      <w:rFonts w:ascii="Arial" w:eastAsia="Times New Roman" w:hAnsi="Arial"/>
      <w:color w:val="FF0000"/>
      <w:szCs w:val="24"/>
      <w:lang w:eastAsia="fr-FR"/>
    </w:rPr>
  </w:style>
  <w:style w:type="paragraph" w:customStyle="1" w:styleId="CMSubTitle">
    <w:name w:val="CM_SubTitle"/>
    <w:basedOn w:val="Normal"/>
    <w:link w:val="CMSubTitleChar"/>
    <w:qFormat/>
    <w:rsid w:val="005E3DE3"/>
    <w:rPr>
      <w:rFonts w:eastAsia="Times New Roman"/>
      <w:sz w:val="22"/>
      <w:lang w:eastAsia="fr-FR"/>
    </w:rPr>
  </w:style>
  <w:style w:type="character" w:customStyle="1" w:styleId="CMSubTitleChar">
    <w:name w:val="CM_SubTitle Char"/>
    <w:link w:val="CMSubTitle"/>
    <w:rsid w:val="005E3DE3"/>
    <w:rPr>
      <w:rFonts w:ascii="Arial" w:eastAsia="Times New Roman" w:hAnsi="Arial"/>
      <w:sz w:val="22"/>
      <w:szCs w:val="22"/>
      <w:lang w:eastAsia="fr-FR"/>
    </w:rPr>
  </w:style>
  <w:style w:type="paragraph" w:customStyle="1" w:styleId="COEAbstract">
    <w:name w:val="COE_Abstract"/>
    <w:link w:val="COEAbstractChar"/>
    <w:rsid w:val="005E3DE3"/>
    <w:pPr>
      <w:spacing w:before="120" w:after="120"/>
    </w:pPr>
    <w:rPr>
      <w:rFonts w:ascii="Verdana" w:eastAsia="Times New Roman" w:hAnsi="Verdana"/>
      <w:lang w:val="fr-FR" w:eastAsia="en-US"/>
    </w:rPr>
  </w:style>
  <w:style w:type="character" w:customStyle="1" w:styleId="COEAbstractChar">
    <w:name w:val="COE_Abstract Char"/>
    <w:link w:val="COEAbstract"/>
    <w:rsid w:val="005E3DE3"/>
    <w:rPr>
      <w:rFonts w:ascii="Verdana" w:eastAsia="Times New Roman" w:hAnsi="Verdana"/>
      <w:lang w:val="fr-FR" w:eastAsia="en-US"/>
    </w:rPr>
  </w:style>
  <w:style w:type="paragraph" w:customStyle="1" w:styleId="COEBullet">
    <w:name w:val="COE_Bullet"/>
    <w:basedOn w:val="Normal"/>
    <w:rsid w:val="005E3DE3"/>
    <w:pPr>
      <w:numPr>
        <w:numId w:val="4"/>
      </w:numPr>
      <w:spacing w:after="60"/>
    </w:pPr>
    <w:rPr>
      <w:rFonts w:eastAsia="Times New Roman"/>
      <w:szCs w:val="24"/>
      <w:lang w:val="fr-FR" w:eastAsia="fr-FR"/>
    </w:rPr>
  </w:style>
  <w:style w:type="paragraph" w:customStyle="1" w:styleId="COEDate">
    <w:name w:val="COE_Date"/>
    <w:next w:val="Normal"/>
    <w:rsid w:val="005E3DE3"/>
    <w:pPr>
      <w:spacing w:before="120" w:after="120"/>
    </w:pPr>
    <w:rPr>
      <w:rFonts w:ascii="Verdana" w:eastAsia="Times New Roman" w:hAnsi="Verdana"/>
      <w:b/>
      <w:color w:val="808080"/>
      <w:szCs w:val="22"/>
      <w:lang w:val="en-US" w:eastAsia="fr-FR"/>
    </w:rPr>
  </w:style>
  <w:style w:type="paragraph" w:customStyle="1" w:styleId="COEFootnote">
    <w:name w:val="COE_Footnote"/>
    <w:basedOn w:val="Normal"/>
    <w:next w:val="Normal"/>
    <w:rsid w:val="005E3DE3"/>
    <w:pPr>
      <w:spacing w:before="60" w:after="60"/>
    </w:pPr>
    <w:rPr>
      <w:rFonts w:eastAsia="Times New Roman"/>
      <w:i/>
      <w:szCs w:val="24"/>
      <w:lang w:val="fr-FR" w:eastAsia="fr-FR"/>
    </w:rPr>
  </w:style>
  <w:style w:type="paragraph" w:customStyle="1" w:styleId="COEHeading4">
    <w:name w:val="COE_Heading4"/>
    <w:basedOn w:val="Normal"/>
    <w:next w:val="Normal"/>
    <w:rsid w:val="005E3DE3"/>
    <w:pPr>
      <w:numPr>
        <w:ilvl w:val="3"/>
        <w:numId w:val="5"/>
      </w:numPr>
    </w:pPr>
    <w:rPr>
      <w:rFonts w:eastAsia="Times New Roman"/>
      <w:szCs w:val="24"/>
      <w:lang w:val="fr-FR" w:eastAsia="fr-FR"/>
    </w:rPr>
  </w:style>
  <w:style w:type="paragraph" w:customStyle="1" w:styleId="COEIMGPROTECTED">
    <w:name w:val="COE_IMG_PROTECTED"/>
    <w:basedOn w:val="Normal"/>
    <w:rsid w:val="005E3DE3"/>
    <w:pPr>
      <w:jc w:val="center"/>
    </w:pPr>
    <w:rPr>
      <w:rFonts w:eastAsia="Times New Roman"/>
      <w:szCs w:val="24"/>
      <w:lang w:val="fr-FR" w:eastAsia="fr-FR"/>
    </w:rPr>
  </w:style>
  <w:style w:type="paragraph" w:customStyle="1" w:styleId="COEInconnu">
    <w:name w:val="COE_Inconnu"/>
    <w:basedOn w:val="COEType"/>
    <w:rsid w:val="005E3DE3"/>
    <w:pPr>
      <w:spacing w:before="120"/>
    </w:pPr>
    <w:rPr>
      <w:i/>
      <w:color w:val="99CC00"/>
      <w:sz w:val="24"/>
    </w:rPr>
  </w:style>
  <w:style w:type="paragraph" w:customStyle="1" w:styleId="COELegende">
    <w:name w:val="COE_Legende"/>
    <w:basedOn w:val="Normal"/>
    <w:rsid w:val="005E3DE3"/>
    <w:rPr>
      <w:rFonts w:eastAsia="Times New Roman"/>
      <w:i/>
      <w:color w:val="999999"/>
      <w:szCs w:val="24"/>
      <w:lang w:val="fr-FR" w:eastAsia="fr-FR"/>
    </w:rPr>
  </w:style>
  <w:style w:type="paragraph" w:customStyle="1" w:styleId="COELignes">
    <w:name w:val="COE_Lignes"/>
    <w:basedOn w:val="Normal"/>
    <w:rsid w:val="005E3DE3"/>
    <w:rPr>
      <w:rFonts w:eastAsia="Times New Roman"/>
      <w:szCs w:val="24"/>
      <w:lang w:val="en-US"/>
    </w:rPr>
  </w:style>
  <w:style w:type="paragraph" w:customStyle="1" w:styleId="COEList">
    <w:name w:val="COE_List"/>
    <w:basedOn w:val="Normal"/>
    <w:rsid w:val="005E3DE3"/>
    <w:pPr>
      <w:spacing w:after="60"/>
    </w:pPr>
    <w:rPr>
      <w:rFonts w:eastAsia="Times New Roman"/>
      <w:szCs w:val="24"/>
      <w:lang w:val="fr-FR" w:eastAsia="fr-FR"/>
    </w:rPr>
  </w:style>
  <w:style w:type="paragraph" w:customStyle="1" w:styleId="COEMedium">
    <w:name w:val="COE_Medium"/>
    <w:rsid w:val="005E3DE3"/>
    <w:pPr>
      <w:spacing w:before="120" w:after="60"/>
      <w:jc w:val="both"/>
    </w:pPr>
    <w:rPr>
      <w:rFonts w:ascii="Verdana" w:eastAsia="Times New Roman" w:hAnsi="Verdana"/>
      <w:b/>
      <w:sz w:val="24"/>
      <w:szCs w:val="24"/>
      <w:lang w:val="fr-FR" w:eastAsia="fr-FR"/>
    </w:rPr>
  </w:style>
  <w:style w:type="paragraph" w:customStyle="1" w:styleId="COESousTitre">
    <w:name w:val="COE_SousTitre"/>
    <w:next w:val="Normal"/>
    <w:link w:val="COESousTitreChar"/>
    <w:rsid w:val="005E3DE3"/>
    <w:pPr>
      <w:spacing w:before="240" w:after="120"/>
    </w:pPr>
    <w:rPr>
      <w:rFonts w:ascii="Verdana" w:eastAsia="Times New Roman" w:hAnsi="Verdana"/>
      <w:sz w:val="28"/>
      <w:szCs w:val="28"/>
      <w:lang w:val="fr-FR" w:eastAsia="fr-FR"/>
    </w:rPr>
  </w:style>
  <w:style w:type="character" w:customStyle="1" w:styleId="COESousTitreChar">
    <w:name w:val="COE_SousTitre Char"/>
    <w:link w:val="COESousTitre"/>
    <w:rsid w:val="005E3DE3"/>
    <w:rPr>
      <w:rFonts w:ascii="Verdana" w:eastAsia="Times New Roman" w:hAnsi="Verdana"/>
      <w:sz w:val="28"/>
      <w:szCs w:val="28"/>
      <w:lang w:val="fr-FR" w:eastAsia="fr-FR"/>
    </w:rPr>
  </w:style>
  <w:style w:type="paragraph" w:customStyle="1" w:styleId="Style1">
    <w:name w:val="Style1"/>
    <w:basedOn w:val="COEHeading1"/>
    <w:link w:val="Style1Char"/>
    <w:autoRedefine/>
    <w:qFormat/>
    <w:rsid w:val="005E3DE3"/>
    <w:rPr>
      <w:sz w:val="28"/>
    </w:rPr>
  </w:style>
  <w:style w:type="paragraph" w:customStyle="1" w:styleId="StyleCMAuthorGray-50">
    <w:name w:val="Style CM_Author + Gray-50%"/>
    <w:basedOn w:val="CMAuthor"/>
    <w:autoRedefine/>
    <w:rsid w:val="005E3DE3"/>
    <w:rPr>
      <w:bCs/>
      <w:iCs/>
    </w:rPr>
  </w:style>
  <w:style w:type="paragraph" w:customStyle="1" w:styleId="CMNormal">
    <w:name w:val="CM_Normal"/>
    <w:basedOn w:val="Normal"/>
    <w:rsid w:val="005E3DE3"/>
    <w:rPr>
      <w:rFonts w:eastAsia="Times New Roman" w:cs="Arial"/>
      <w:color w:val="000000"/>
      <w:szCs w:val="20"/>
      <w:lang w:eastAsia="fr-FR"/>
    </w:rPr>
  </w:style>
  <w:style w:type="paragraph" w:customStyle="1" w:styleId="CMRightAlign">
    <w:name w:val="CM_RightAlign"/>
    <w:basedOn w:val="Normal"/>
    <w:rsid w:val="005E3DE3"/>
    <w:pPr>
      <w:jc w:val="right"/>
    </w:pPr>
    <w:rPr>
      <w:rFonts w:eastAsia="Times New Roman" w:cs="Arial"/>
      <w:color w:val="000000"/>
      <w:szCs w:val="20"/>
      <w:lang w:eastAsia="fr-FR"/>
    </w:rPr>
  </w:style>
  <w:style w:type="paragraph" w:customStyle="1" w:styleId="COETitleSystem">
    <w:name w:val="COE_Title(System)"/>
    <w:basedOn w:val="Normal"/>
    <w:next w:val="Normal"/>
    <w:rsid w:val="005E3DE3"/>
    <w:rPr>
      <w:rFonts w:ascii="Verdana" w:eastAsia="Times New Roman" w:hAnsi="Verdana"/>
      <w:bCs/>
      <w:color w:val="808080"/>
      <w:sz w:val="26"/>
      <w:szCs w:val="24"/>
      <w:lang w:val="fr-FR" w:eastAsia="fr-FR"/>
    </w:rPr>
  </w:style>
  <w:style w:type="paragraph" w:customStyle="1" w:styleId="COETitleBrowser">
    <w:name w:val="COE_Title(Browser)"/>
    <w:basedOn w:val="COETitleSystem"/>
    <w:next w:val="Normal"/>
    <w:rsid w:val="005E3DE3"/>
    <w:rPr>
      <w:color w:val="C0C0C0"/>
      <w:sz w:val="16"/>
    </w:rPr>
  </w:style>
  <w:style w:type="paragraph" w:customStyle="1" w:styleId="COEWCDSearchParams">
    <w:name w:val="COE_WCD_SearchParams"/>
    <w:basedOn w:val="Normal"/>
    <w:autoRedefine/>
    <w:rsid w:val="005E3DE3"/>
    <w:rPr>
      <w:rFonts w:ascii="Verdana" w:eastAsia="Times New Roman" w:hAnsi="Verdana"/>
      <w:szCs w:val="24"/>
    </w:rPr>
  </w:style>
  <w:style w:type="paragraph" w:customStyle="1" w:styleId="Style2">
    <w:name w:val="Style2"/>
    <w:basedOn w:val="COEHeading2"/>
    <w:link w:val="Style2Char"/>
    <w:qFormat/>
    <w:rsid w:val="005E3DE3"/>
    <w:rPr>
      <w:rFonts w:ascii="Arial" w:hAnsi="Arial"/>
    </w:rPr>
  </w:style>
  <w:style w:type="character" w:styleId="LineNumber">
    <w:name w:val="line number"/>
    <w:basedOn w:val="DefaultParagraphFont"/>
    <w:rsid w:val="005E3DE3"/>
  </w:style>
  <w:style w:type="character" w:customStyle="1" w:styleId="txtterm1">
    <w:name w:val="txtterm1"/>
    <w:rsid w:val="005E3DE3"/>
    <w:rPr>
      <w:rFonts w:ascii="Times New Roman" w:hAnsi="Times New Roman" w:cs="Times New Roman" w:hint="default"/>
      <w:b/>
      <w:bCs/>
      <w:color w:val="000000"/>
      <w:sz w:val="22"/>
      <w:szCs w:val="22"/>
    </w:rPr>
  </w:style>
  <w:style w:type="paragraph" w:customStyle="1" w:styleId="cmsubtitle0">
    <w:name w:val="cm_subtitle"/>
    <w:basedOn w:val="Normal"/>
    <w:rsid w:val="005E3DE3"/>
    <w:rPr>
      <w:rFonts w:ascii="Verdana" w:eastAsia="Times New Roman" w:hAnsi="Verdana"/>
      <w:color w:val="013870"/>
      <w:szCs w:val="20"/>
      <w:lang w:val="en-US"/>
    </w:rPr>
  </w:style>
  <w:style w:type="paragraph" w:customStyle="1" w:styleId="Listeafsnit">
    <w:name w:val="Listeafsnit"/>
    <w:basedOn w:val="Normal"/>
    <w:uiPriority w:val="34"/>
    <w:qFormat/>
    <w:rsid w:val="005E3DE3"/>
    <w:pPr>
      <w:ind w:left="1304"/>
    </w:pPr>
    <w:rPr>
      <w:rFonts w:ascii="Times New Roman" w:eastAsia="Times New Roman" w:hAnsi="Times New Roman"/>
      <w:sz w:val="24"/>
      <w:szCs w:val="24"/>
      <w:lang w:val="en-US"/>
    </w:rPr>
  </w:style>
  <w:style w:type="paragraph" w:customStyle="1" w:styleId="NormalWeb1">
    <w:name w:val="Normal (Web)1"/>
    <w:rsid w:val="005E3DE3"/>
    <w:pPr>
      <w:spacing w:before="150" w:after="150"/>
    </w:pPr>
    <w:rPr>
      <w:rFonts w:ascii="Times New Roman" w:eastAsia="ヒラギノ角ゴ Pro W3" w:hAnsi="Times New Roman"/>
      <w:color w:val="000000"/>
      <w:sz w:val="24"/>
      <w:lang w:val="en-US"/>
    </w:rPr>
  </w:style>
  <w:style w:type="paragraph" w:customStyle="1" w:styleId="Car">
    <w:name w:val="Car"/>
    <w:basedOn w:val="Normal"/>
    <w:rsid w:val="005E3DE3"/>
    <w:rPr>
      <w:rFonts w:ascii="Times New Roman" w:eastAsia="Times New Roman" w:hAnsi="Times New Roman"/>
      <w:szCs w:val="24"/>
      <w:lang w:val="pl-PL" w:eastAsia="pl-PL"/>
    </w:rPr>
  </w:style>
  <w:style w:type="paragraph" w:customStyle="1" w:styleId="BalloonText1">
    <w:name w:val="Balloon Text1"/>
    <w:basedOn w:val="Normal"/>
    <w:semiHidden/>
    <w:rsid w:val="005E3DE3"/>
    <w:rPr>
      <w:rFonts w:ascii="Tahoma" w:eastAsia="Times New Roman" w:hAnsi="Tahoma" w:cs="Tahoma"/>
      <w:sz w:val="16"/>
      <w:szCs w:val="16"/>
      <w:lang w:eastAsia="fr-FR"/>
    </w:rPr>
  </w:style>
  <w:style w:type="paragraph" w:customStyle="1" w:styleId="Adressedelexpditeur">
    <w:name w:val="Adresse de l'expéditeur"/>
    <w:basedOn w:val="Normal"/>
    <w:rsid w:val="005E3DE3"/>
    <w:rPr>
      <w:rFonts w:ascii="Times New Roman" w:eastAsia="Times New Roman" w:hAnsi="Times New Roman"/>
      <w:szCs w:val="20"/>
      <w:lang w:val="fr-FR"/>
    </w:rPr>
  </w:style>
  <w:style w:type="paragraph" w:customStyle="1" w:styleId="COEParagraphn">
    <w:name w:val="COE_Paragraph_n"/>
    <w:basedOn w:val="Normal"/>
    <w:rsid w:val="005E3DE3"/>
    <w:pPr>
      <w:numPr>
        <w:numId w:val="5"/>
      </w:numPr>
      <w:spacing w:before="240" w:after="120"/>
      <w:jc w:val="both"/>
    </w:pPr>
    <w:rPr>
      <w:rFonts w:ascii="Times New Roman" w:eastAsia="Times New Roman" w:hAnsi="Times New Roman"/>
      <w:szCs w:val="24"/>
      <w:lang w:eastAsia="fr-FR"/>
    </w:rPr>
  </w:style>
  <w:style w:type="paragraph" w:customStyle="1" w:styleId="COEHeading5">
    <w:name w:val="COE_Heading5"/>
    <w:basedOn w:val="Normal"/>
    <w:next w:val="Normal"/>
    <w:rsid w:val="005E3DE3"/>
    <w:pPr>
      <w:numPr>
        <w:numId w:val="6"/>
      </w:numPr>
      <w:tabs>
        <w:tab w:val="clear" w:pos="1440"/>
        <w:tab w:val="num" w:pos="360"/>
      </w:tabs>
      <w:ind w:left="360" w:right="-750" w:hanging="360"/>
      <w:jc w:val="both"/>
    </w:pPr>
    <w:rPr>
      <w:rFonts w:ascii="Times New Roman" w:eastAsia="Times New Roman" w:hAnsi="Times New Roman"/>
      <w:szCs w:val="24"/>
      <w:lang w:val="en-US" w:eastAsia="fr-FR"/>
    </w:rPr>
  </w:style>
  <w:style w:type="paragraph" w:customStyle="1" w:styleId="CommentSubject1">
    <w:name w:val="Comment Subject1"/>
    <w:basedOn w:val="CommentText"/>
    <w:next w:val="CommentText"/>
    <w:semiHidden/>
    <w:rsid w:val="005E3DE3"/>
    <w:rPr>
      <w:rFonts w:ascii="Times" w:eastAsia="Times" w:hAnsi="Times"/>
      <w:b/>
      <w:bCs/>
      <w:sz w:val="20"/>
      <w:szCs w:val="20"/>
    </w:rPr>
  </w:style>
  <w:style w:type="paragraph" w:customStyle="1" w:styleId="Heading3-drugi">
    <w:name w:val="Heading 3 - drugi"/>
    <w:basedOn w:val="Heading3"/>
    <w:rsid w:val="005E3DE3"/>
    <w:pPr>
      <w:widowControl/>
      <w:tabs>
        <w:tab w:val="clear" w:pos="567"/>
      </w:tabs>
      <w:adjustRightInd w:val="0"/>
      <w:spacing w:before="240" w:after="60" w:line="360" w:lineRule="atLeast"/>
      <w:jc w:val="both"/>
      <w:textAlignment w:val="baseline"/>
    </w:pPr>
    <w:rPr>
      <w:rFonts w:ascii="Times New Roman" w:hAnsi="Times New Roman"/>
      <w:bCs/>
      <w:caps w:val="0"/>
      <w:color w:val="auto"/>
      <w:sz w:val="28"/>
      <w:szCs w:val="26"/>
      <w:lang w:val="en-US"/>
    </w:rPr>
  </w:style>
  <w:style w:type="paragraph" w:customStyle="1" w:styleId="CarCarChar">
    <w:name w:val="Car Car Char"/>
    <w:basedOn w:val="Normal"/>
    <w:rsid w:val="005E3DE3"/>
    <w:pPr>
      <w:spacing w:after="160" w:line="240" w:lineRule="exact"/>
    </w:pPr>
    <w:rPr>
      <w:rFonts w:eastAsia="Times New Roman" w:cs="Arial"/>
      <w:szCs w:val="20"/>
      <w:lang w:val="en-US"/>
    </w:rPr>
  </w:style>
  <w:style w:type="character" w:customStyle="1" w:styleId="mw-headline">
    <w:name w:val="mw-headline"/>
    <w:rsid w:val="005E3DE3"/>
  </w:style>
  <w:style w:type="character" w:customStyle="1" w:styleId="unicode">
    <w:name w:val="unicode"/>
    <w:rsid w:val="005E3DE3"/>
  </w:style>
  <w:style w:type="paragraph" w:customStyle="1" w:styleId="Listeavsnitt">
    <w:name w:val="Listeavsnitt"/>
    <w:basedOn w:val="Normal"/>
    <w:qFormat/>
    <w:rsid w:val="005E3DE3"/>
    <w:pPr>
      <w:ind w:left="708"/>
    </w:pPr>
    <w:rPr>
      <w:rFonts w:eastAsia="Times"/>
      <w:szCs w:val="20"/>
    </w:rPr>
  </w:style>
  <w:style w:type="paragraph" w:customStyle="1" w:styleId="Brevoverskrift">
    <w:name w:val="Brevoverskrift"/>
    <w:basedOn w:val="Normal"/>
    <w:next w:val="Normal"/>
    <w:rsid w:val="005E3DE3"/>
    <w:pPr>
      <w:spacing w:after="300"/>
    </w:pPr>
    <w:rPr>
      <w:rFonts w:ascii="DepCentury Old Style" w:eastAsia="Times New Roman" w:hAnsi="DepCentury Old Style"/>
      <w:b/>
      <w:sz w:val="28"/>
      <w:szCs w:val="20"/>
      <w:lang w:val="nb-NO"/>
    </w:rPr>
  </w:style>
  <w:style w:type="character" w:customStyle="1" w:styleId="A4">
    <w:name w:val="A4"/>
    <w:rsid w:val="005E3DE3"/>
    <w:rPr>
      <w:rFonts w:ascii="Myriad Pro" w:hAnsi="Myriad Pro" w:hint="default"/>
      <w:color w:val="000000"/>
      <w:lang w:val="en-GB"/>
    </w:rPr>
  </w:style>
  <w:style w:type="paragraph" w:customStyle="1" w:styleId="Listenabsatz1">
    <w:name w:val="Listenabsatz1"/>
    <w:basedOn w:val="Normal"/>
    <w:uiPriority w:val="34"/>
    <w:qFormat/>
    <w:rsid w:val="005E3DE3"/>
    <w:pPr>
      <w:ind w:left="708"/>
    </w:pPr>
    <w:rPr>
      <w:rFonts w:eastAsia="Times"/>
      <w:szCs w:val="20"/>
    </w:rPr>
  </w:style>
  <w:style w:type="character" w:customStyle="1" w:styleId="TextChar">
    <w:name w:val="Text Char"/>
    <w:link w:val="Text"/>
    <w:rsid w:val="005E3DE3"/>
    <w:rPr>
      <w:sz w:val="24"/>
      <w:szCs w:val="24"/>
      <w:lang w:val="cs-CZ" w:eastAsia="cs-CZ"/>
    </w:rPr>
  </w:style>
  <w:style w:type="paragraph" w:customStyle="1" w:styleId="Text">
    <w:name w:val="Text"/>
    <w:basedOn w:val="Normal"/>
    <w:link w:val="TextChar"/>
    <w:rsid w:val="005E3DE3"/>
    <w:pPr>
      <w:spacing w:before="120"/>
      <w:ind w:firstLine="851"/>
    </w:pPr>
    <w:rPr>
      <w:rFonts w:ascii="Calibri" w:hAnsi="Calibri"/>
      <w:sz w:val="24"/>
      <w:szCs w:val="24"/>
      <w:lang w:val="cs-CZ" w:eastAsia="cs-CZ"/>
    </w:rPr>
  </w:style>
  <w:style w:type="character" w:customStyle="1" w:styleId="COEHeading2Char">
    <w:name w:val="COE_Heading2 Char"/>
    <w:link w:val="COEHeading2"/>
    <w:rsid w:val="005E3DE3"/>
    <w:rPr>
      <w:rFonts w:ascii="Verdana" w:eastAsia="Times New Roman" w:hAnsi="Verdana"/>
      <w:b/>
      <w:szCs w:val="28"/>
      <w:lang w:eastAsia="en-US"/>
    </w:rPr>
  </w:style>
  <w:style w:type="paragraph" w:styleId="NoSpacing">
    <w:name w:val="No Spacing"/>
    <w:link w:val="NoSpacingChar"/>
    <w:uiPriority w:val="1"/>
    <w:qFormat/>
    <w:rsid w:val="005E3DE3"/>
    <w:rPr>
      <w:rFonts w:ascii="Arial" w:eastAsia="Times" w:hAnsi="Arial"/>
      <w:lang w:eastAsia="en-US"/>
    </w:rPr>
  </w:style>
  <w:style w:type="character" w:customStyle="1" w:styleId="underskriftChar">
    <w:name w:val="underskrift Char"/>
    <w:link w:val="underskrift"/>
    <w:locked/>
    <w:rsid w:val="005E3DE3"/>
    <w:rPr>
      <w:noProof/>
      <w:sz w:val="24"/>
      <w:lang w:eastAsia="en-US"/>
    </w:rPr>
  </w:style>
  <w:style w:type="paragraph" w:customStyle="1" w:styleId="underskrift">
    <w:name w:val="underskrift"/>
    <w:next w:val="Normal"/>
    <w:link w:val="underskriftChar"/>
    <w:rsid w:val="005E3DE3"/>
    <w:pPr>
      <w:spacing w:line="300" w:lineRule="exact"/>
      <w:ind w:left="5387"/>
    </w:pPr>
    <w:rPr>
      <w:noProof/>
      <w:sz w:val="24"/>
      <w:lang w:eastAsia="en-US"/>
    </w:rPr>
  </w:style>
  <w:style w:type="character" w:customStyle="1" w:styleId="Style1Char">
    <w:name w:val="Style1 Char"/>
    <w:link w:val="Style1"/>
    <w:locked/>
    <w:rsid w:val="005E3DE3"/>
    <w:rPr>
      <w:rFonts w:ascii="Arial" w:eastAsia="Times New Roman" w:hAnsi="Arial"/>
      <w:b/>
      <w:sz w:val="28"/>
      <w:szCs w:val="32"/>
      <w:lang w:eastAsia="en-US"/>
    </w:rPr>
  </w:style>
  <w:style w:type="character" w:customStyle="1" w:styleId="Style2Char">
    <w:name w:val="Style2 Char"/>
    <w:link w:val="Style2"/>
    <w:locked/>
    <w:rsid w:val="005E3DE3"/>
    <w:rPr>
      <w:rFonts w:ascii="Arial" w:eastAsia="Times New Roman" w:hAnsi="Arial"/>
      <w:b/>
      <w:szCs w:val="28"/>
      <w:lang w:eastAsia="en-US"/>
    </w:rPr>
  </w:style>
  <w:style w:type="paragraph" w:customStyle="1" w:styleId="StyleBefore3ptAfter3pt">
    <w:name w:val="Style Before:  3 pt After:  3 pt"/>
    <w:basedOn w:val="Normal"/>
    <w:rsid w:val="005E3DE3"/>
    <w:pPr>
      <w:numPr>
        <w:numId w:val="7"/>
      </w:numPr>
      <w:spacing w:after="120"/>
      <w:jc w:val="both"/>
    </w:pPr>
    <w:rPr>
      <w:rFonts w:ascii="Times New Roman" w:hAnsi="Times New Roman"/>
      <w:sz w:val="22"/>
      <w:szCs w:val="24"/>
    </w:rPr>
  </w:style>
  <w:style w:type="paragraph" w:customStyle="1" w:styleId="CharCharCharCharCharCharCharCharCharCharCharCharCharChar">
    <w:name w:val="Char Char Char Char Char Char Char Char Char Char Char Char Char Char"/>
    <w:basedOn w:val="Normal"/>
    <w:rsid w:val="005E3DE3"/>
    <w:pPr>
      <w:spacing w:after="160" w:line="240" w:lineRule="exact"/>
      <w:jc w:val="both"/>
    </w:pPr>
    <w:rPr>
      <w:rFonts w:eastAsia="Times New Roman" w:cs="Arial"/>
      <w:sz w:val="22"/>
      <w:szCs w:val="20"/>
      <w:lang w:val="en-US"/>
    </w:rPr>
  </w:style>
  <w:style w:type="character" w:customStyle="1" w:styleId="docheader1">
    <w:name w:val="doc_header1"/>
    <w:rsid w:val="005E3DE3"/>
    <w:rPr>
      <w:rFonts w:ascii="Times New Roman" w:hAnsi="Times New Roman" w:cs="Times New Roman" w:hint="default"/>
      <w:b/>
      <w:bCs/>
      <w:color w:val="000000"/>
      <w:sz w:val="24"/>
      <w:szCs w:val="24"/>
    </w:rPr>
  </w:style>
  <w:style w:type="paragraph" w:customStyle="1" w:styleId="Prrafodelista">
    <w:name w:val="Párrafo de lista"/>
    <w:basedOn w:val="Normal"/>
    <w:qFormat/>
    <w:rsid w:val="005E3DE3"/>
    <w:pPr>
      <w:spacing w:after="200"/>
      <w:ind w:left="720"/>
      <w:contextualSpacing/>
      <w:jc w:val="both"/>
    </w:pPr>
    <w:rPr>
      <w:rFonts w:ascii="Cambria" w:eastAsia="Cambria" w:hAnsi="Cambria"/>
      <w:sz w:val="24"/>
      <w:szCs w:val="24"/>
    </w:rPr>
  </w:style>
  <w:style w:type="paragraph" w:customStyle="1" w:styleId="Paragraphedeliste1">
    <w:name w:val="Paragraphe de liste1"/>
    <w:basedOn w:val="Normal"/>
    <w:qFormat/>
    <w:rsid w:val="005E3DE3"/>
    <w:pPr>
      <w:numPr>
        <w:numId w:val="13"/>
      </w:numPr>
      <w:suppressAutoHyphens/>
      <w:ind w:left="0" w:firstLine="0"/>
      <w:jc w:val="both"/>
    </w:pPr>
    <w:rPr>
      <w:rFonts w:eastAsia="MS Mincho"/>
      <w:sz w:val="22"/>
      <w:szCs w:val="24"/>
      <w:lang w:eastAsia="ar-SA"/>
    </w:rPr>
  </w:style>
  <w:style w:type="paragraph" w:styleId="ListNumber">
    <w:name w:val="List Number"/>
    <w:basedOn w:val="Normal"/>
    <w:rsid w:val="005E3DE3"/>
    <w:pPr>
      <w:numPr>
        <w:numId w:val="8"/>
      </w:numPr>
      <w:suppressAutoHyphens/>
      <w:spacing w:after="120"/>
      <w:jc w:val="both"/>
    </w:pPr>
    <w:rPr>
      <w:rFonts w:eastAsia="Times New Roman"/>
      <w:sz w:val="22"/>
      <w:szCs w:val="24"/>
      <w:lang w:val="en-US" w:eastAsia="ar-SA"/>
    </w:rPr>
  </w:style>
  <w:style w:type="paragraph" w:styleId="Caption">
    <w:name w:val="caption"/>
    <w:basedOn w:val="Normal"/>
    <w:next w:val="Normal"/>
    <w:qFormat/>
    <w:rsid w:val="005E3DE3"/>
    <w:pPr>
      <w:spacing w:after="120"/>
      <w:jc w:val="both"/>
    </w:pPr>
    <w:rPr>
      <w:rFonts w:eastAsia="Times New Roman"/>
      <w:b/>
      <w:bCs/>
      <w:sz w:val="22"/>
      <w:szCs w:val="20"/>
      <w:lang w:eastAsia="fr-FR"/>
    </w:rPr>
  </w:style>
  <w:style w:type="paragraph" w:customStyle="1" w:styleId="TOCHeading1">
    <w:name w:val="TOC Heading1"/>
    <w:basedOn w:val="Heading10"/>
    <w:next w:val="Normal"/>
    <w:uiPriority w:val="39"/>
    <w:unhideWhenUsed/>
    <w:qFormat/>
    <w:rsid w:val="005E3DE3"/>
    <w:pPr>
      <w:spacing w:line="276" w:lineRule="auto"/>
      <w:jc w:val="both"/>
      <w:outlineLvl w:val="9"/>
    </w:pPr>
    <w:rPr>
      <w:rFonts w:ascii="Cambria" w:eastAsia="MS Gothic" w:hAnsi="Cambria" w:cs="Times New Roman"/>
      <w:b w:val="0"/>
      <w:color w:val="365F91"/>
      <w:w w:val="105"/>
      <w:lang w:val="en-US" w:eastAsia="ja-JP"/>
    </w:rPr>
  </w:style>
  <w:style w:type="paragraph" w:customStyle="1" w:styleId="LDHeading1">
    <w:name w:val="LDHeading1"/>
    <w:basedOn w:val="Heading1"/>
    <w:link w:val="LDHeading1Char"/>
    <w:qFormat/>
    <w:rsid w:val="005E3DE3"/>
    <w:pPr>
      <w:numPr>
        <w:numId w:val="0"/>
      </w:numPr>
      <w:jc w:val="left"/>
    </w:pPr>
    <w:rPr>
      <w:smallCaps/>
    </w:rPr>
  </w:style>
  <w:style w:type="character" w:customStyle="1" w:styleId="LDHeading1Char">
    <w:name w:val="LDHeading1 Char"/>
    <w:link w:val="LDHeading1"/>
    <w:rsid w:val="005E3DE3"/>
    <w:rPr>
      <w:rFonts w:ascii="Arial" w:eastAsia="Times New Roman" w:hAnsi="Arial" w:cs="Arial"/>
      <w:b/>
      <w:bCs/>
      <w:caps/>
      <w:smallCaps/>
      <w:color w:val="17365D"/>
      <w:w w:val="105"/>
      <w:kern w:val="28"/>
      <w:sz w:val="24"/>
      <w:lang w:eastAsia="zh-CN"/>
    </w:rPr>
  </w:style>
  <w:style w:type="paragraph" w:customStyle="1" w:styleId="LDHeading3">
    <w:name w:val="LDHeading3"/>
    <w:basedOn w:val="Normal"/>
    <w:link w:val="LDHeading3Char"/>
    <w:qFormat/>
    <w:rsid w:val="005E3DE3"/>
    <w:pPr>
      <w:keepNext/>
      <w:widowControl w:val="0"/>
      <w:numPr>
        <w:numId w:val="12"/>
      </w:numPr>
      <w:tabs>
        <w:tab w:val="left" w:pos="-1134"/>
      </w:tabs>
      <w:spacing w:after="120"/>
      <w:ind w:right="284"/>
      <w:jc w:val="both"/>
      <w:outlineLvl w:val="1"/>
    </w:pPr>
    <w:rPr>
      <w:rFonts w:eastAsia="Times New Roman" w:cs="Arial"/>
      <w:b/>
      <w:color w:val="000000"/>
      <w:sz w:val="22"/>
      <w:szCs w:val="20"/>
      <w:lang w:eastAsia="fr-FR"/>
    </w:rPr>
  </w:style>
  <w:style w:type="character" w:customStyle="1" w:styleId="LDHeading3Char">
    <w:name w:val="LDHeading3 Char"/>
    <w:link w:val="LDHeading3"/>
    <w:rsid w:val="005E3DE3"/>
    <w:rPr>
      <w:rFonts w:ascii="Arial" w:eastAsia="Times New Roman" w:hAnsi="Arial" w:cs="Arial"/>
      <w:b/>
      <w:color w:val="000000"/>
      <w:sz w:val="22"/>
      <w:lang w:eastAsia="fr-FR"/>
    </w:rPr>
  </w:style>
  <w:style w:type="paragraph" w:customStyle="1" w:styleId="LDFakeHeading3">
    <w:name w:val="LDFakeHeading3"/>
    <w:basedOn w:val="LDHeading3"/>
    <w:link w:val="LDFakeHeading3Char"/>
    <w:qFormat/>
    <w:rsid w:val="005E3DE3"/>
    <w:pPr>
      <w:outlineLvl w:val="9"/>
    </w:pPr>
  </w:style>
  <w:style w:type="character" w:customStyle="1" w:styleId="LDFakeHeading3Char">
    <w:name w:val="LDFakeHeading3 Char"/>
    <w:link w:val="LDFakeHeading3"/>
    <w:rsid w:val="005E3DE3"/>
    <w:rPr>
      <w:rFonts w:ascii="Arial" w:eastAsia="Times New Roman" w:hAnsi="Arial" w:cs="Arial"/>
      <w:b/>
      <w:color w:val="000000"/>
      <w:sz w:val="22"/>
      <w:lang w:eastAsia="fr-FR"/>
    </w:rPr>
  </w:style>
  <w:style w:type="paragraph" w:styleId="List2">
    <w:name w:val="List 2"/>
    <w:basedOn w:val="Normal"/>
    <w:rsid w:val="005E3DE3"/>
    <w:pPr>
      <w:spacing w:after="120"/>
      <w:ind w:left="566" w:hanging="283"/>
      <w:contextualSpacing/>
      <w:jc w:val="both"/>
    </w:pPr>
    <w:rPr>
      <w:rFonts w:eastAsia="Times New Roman"/>
      <w:sz w:val="22"/>
      <w:szCs w:val="24"/>
      <w:lang w:eastAsia="fr-FR"/>
    </w:rPr>
  </w:style>
  <w:style w:type="numbering" w:customStyle="1" w:styleId="NoList11">
    <w:name w:val="No List11"/>
    <w:next w:val="NoList"/>
    <w:semiHidden/>
    <w:rsid w:val="005E3DE3"/>
  </w:style>
  <w:style w:type="paragraph" w:styleId="ListBullet2">
    <w:name w:val="List Bullet 2"/>
    <w:basedOn w:val="Normal"/>
    <w:rsid w:val="005E3DE3"/>
    <w:pPr>
      <w:numPr>
        <w:numId w:val="9"/>
      </w:numPr>
      <w:tabs>
        <w:tab w:val="clear" w:pos="643"/>
        <w:tab w:val="num" w:pos="720"/>
      </w:tabs>
      <w:ind w:left="720"/>
      <w:jc w:val="both"/>
    </w:pPr>
    <w:rPr>
      <w:rFonts w:ascii="Times New Roman" w:eastAsia="Times New Roman" w:hAnsi="Times New Roman"/>
      <w:sz w:val="22"/>
      <w:szCs w:val="20"/>
      <w:lang w:val="en-US"/>
    </w:rPr>
  </w:style>
  <w:style w:type="paragraph" w:customStyle="1" w:styleId="ParagraphNumberingChar">
    <w:name w:val="Paragraph Numbering Char"/>
    <w:basedOn w:val="Normal"/>
    <w:rsid w:val="005E3DE3"/>
    <w:pPr>
      <w:numPr>
        <w:numId w:val="10"/>
      </w:numPr>
      <w:spacing w:after="240"/>
      <w:jc w:val="both"/>
    </w:pPr>
    <w:rPr>
      <w:rFonts w:ascii="Times New Roman" w:eastAsia="Times New Roman" w:hAnsi="Times New Roman"/>
      <w:sz w:val="22"/>
      <w:lang w:val="en-US"/>
    </w:rPr>
  </w:style>
  <w:style w:type="paragraph" w:customStyle="1" w:styleId="PR">
    <w:name w:val="PR"/>
    <w:rsid w:val="005E3DE3"/>
    <w:pPr>
      <w:widowControl w:val="0"/>
      <w:tabs>
        <w:tab w:val="left" w:pos="0"/>
        <w:tab w:val="left" w:pos="708"/>
        <w:tab w:val="left" w:pos="991"/>
        <w:tab w:val="left" w:pos="1417"/>
      </w:tabs>
      <w:suppressAutoHyphens/>
      <w:jc w:val="both"/>
    </w:pPr>
    <w:rPr>
      <w:rFonts w:ascii="Courier" w:eastAsia="Times New Roman" w:hAnsi="Courier"/>
      <w:snapToGrid w:val="0"/>
      <w:spacing w:val="-3"/>
      <w:sz w:val="24"/>
      <w:lang w:val="fr-FR" w:eastAsia="en-US"/>
    </w:rPr>
  </w:style>
  <w:style w:type="paragraph" w:customStyle="1" w:styleId="Num-DocParagraph">
    <w:name w:val="Num-Doc Paragraph"/>
    <w:basedOn w:val="PR"/>
    <w:next w:val="BalloonText"/>
    <w:rsid w:val="005E3DE3"/>
    <w:pPr>
      <w:widowControl/>
      <w:tabs>
        <w:tab w:val="clear" w:pos="0"/>
        <w:tab w:val="clear" w:pos="708"/>
        <w:tab w:val="clear" w:pos="991"/>
        <w:tab w:val="clear" w:pos="1417"/>
        <w:tab w:val="left" w:pos="850"/>
        <w:tab w:val="left" w:pos="1191"/>
        <w:tab w:val="left" w:pos="1531"/>
      </w:tabs>
      <w:suppressAutoHyphens w:val="0"/>
      <w:spacing w:after="240"/>
    </w:pPr>
    <w:rPr>
      <w:rFonts w:ascii="Times New Roman" w:hAnsi="Times New Roman"/>
      <w:snapToGrid/>
      <w:spacing w:val="0"/>
      <w:sz w:val="22"/>
      <w:szCs w:val="22"/>
      <w:lang w:val="en-GB" w:eastAsia="zh-CN"/>
    </w:rPr>
  </w:style>
  <w:style w:type="paragraph" w:customStyle="1" w:styleId="LDbody">
    <w:name w:val="LDbody"/>
    <w:basedOn w:val="Normal"/>
    <w:link w:val="LDbodyChar"/>
    <w:qFormat/>
    <w:rsid w:val="005E3DE3"/>
    <w:pPr>
      <w:numPr>
        <w:numId w:val="11"/>
      </w:numPr>
      <w:jc w:val="both"/>
    </w:pPr>
    <w:rPr>
      <w:rFonts w:ascii="Verdana" w:eastAsia="Times New Roman" w:hAnsi="Verdana"/>
      <w:iCs/>
      <w:sz w:val="22"/>
      <w:szCs w:val="20"/>
      <w:lang w:eastAsia="fr-FR"/>
    </w:rPr>
  </w:style>
  <w:style w:type="paragraph" w:customStyle="1" w:styleId="LD3">
    <w:name w:val="LD3"/>
    <w:basedOn w:val="Heading3"/>
    <w:link w:val="LD3Char"/>
    <w:qFormat/>
    <w:rsid w:val="005E3DE3"/>
    <w:pPr>
      <w:widowControl/>
      <w:tabs>
        <w:tab w:val="clear" w:pos="567"/>
        <w:tab w:val="left" w:pos="570"/>
      </w:tabs>
      <w:spacing w:before="0" w:after="0"/>
      <w:ind w:left="570" w:hanging="570"/>
      <w:jc w:val="both"/>
    </w:pPr>
    <w:rPr>
      <w:rFonts w:ascii="Verdana" w:hAnsi="Verdana"/>
      <w:b w:val="0"/>
      <w:bCs/>
      <w:i/>
      <w:caps w:val="0"/>
      <w:color w:val="1F497D"/>
      <w:lang w:eastAsia="fr-FR"/>
    </w:rPr>
  </w:style>
  <w:style w:type="character" w:customStyle="1" w:styleId="LDbodyChar">
    <w:name w:val="LDbody Char"/>
    <w:link w:val="LDbody"/>
    <w:rsid w:val="005E3DE3"/>
    <w:rPr>
      <w:rFonts w:ascii="Verdana" w:eastAsia="Times New Roman" w:hAnsi="Verdana"/>
      <w:iCs/>
      <w:sz w:val="22"/>
      <w:lang w:eastAsia="fr-FR"/>
    </w:rPr>
  </w:style>
  <w:style w:type="character" w:customStyle="1" w:styleId="LD3Char">
    <w:name w:val="LD3 Char"/>
    <w:link w:val="LD3"/>
    <w:rsid w:val="005E3DE3"/>
    <w:rPr>
      <w:rFonts w:ascii="Verdana" w:eastAsia="Times New Roman" w:hAnsi="Verdana"/>
      <w:bCs/>
      <w:i/>
      <w:color w:val="1F497D"/>
      <w:lang w:eastAsia="fr-FR"/>
    </w:rPr>
  </w:style>
  <w:style w:type="paragraph" w:customStyle="1" w:styleId="LDFakeHeading1">
    <w:name w:val="LDFakeHeading1"/>
    <w:basedOn w:val="LDHeading1"/>
    <w:link w:val="LDFakeHeading1Char"/>
    <w:qFormat/>
    <w:rsid w:val="005E3DE3"/>
    <w:pPr>
      <w:outlineLvl w:val="9"/>
    </w:pPr>
  </w:style>
  <w:style w:type="character" w:customStyle="1" w:styleId="LDFakeHeading1Char">
    <w:name w:val="LDFakeHeading1 Char"/>
    <w:link w:val="LDFakeHeading1"/>
    <w:rsid w:val="005E3DE3"/>
    <w:rPr>
      <w:rFonts w:ascii="Arial" w:eastAsia="Times New Roman" w:hAnsi="Arial" w:cs="Arial"/>
      <w:b/>
      <w:bCs/>
      <w:caps/>
      <w:smallCaps/>
      <w:color w:val="17365D"/>
      <w:w w:val="105"/>
      <w:kern w:val="28"/>
      <w:sz w:val="24"/>
      <w:lang w:eastAsia="zh-CN"/>
    </w:rPr>
  </w:style>
  <w:style w:type="table" w:styleId="TableClassic3">
    <w:name w:val="Table Classic 3"/>
    <w:basedOn w:val="TableNormal"/>
    <w:rsid w:val="005E3DE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2">
    <w:name w:val="Table Classic 2"/>
    <w:basedOn w:val="TableNormal"/>
    <w:rsid w:val="005E3DE3"/>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5E3DE3"/>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oSpacingChar">
    <w:name w:val="No Spacing Char"/>
    <w:link w:val="NoSpacing"/>
    <w:uiPriority w:val="1"/>
    <w:rsid w:val="005E3DE3"/>
    <w:rPr>
      <w:rFonts w:ascii="Arial" w:eastAsia="Times" w:hAnsi="Arial"/>
      <w:lang w:eastAsia="en-US"/>
    </w:rPr>
  </w:style>
  <w:style w:type="character" w:customStyle="1" w:styleId="auto-style12">
    <w:name w:val="auto-style12"/>
    <w:rsid w:val="005E3DE3"/>
    <w:rPr>
      <w:caps/>
    </w:rPr>
  </w:style>
  <w:style w:type="paragraph" w:customStyle="1" w:styleId="coecote0">
    <w:name w:val="coe_cote"/>
    <w:basedOn w:val="Normal"/>
    <w:rsid w:val="005E3DE3"/>
    <w:pPr>
      <w:spacing w:before="100" w:beforeAutospacing="1" w:after="240"/>
    </w:pPr>
    <w:rPr>
      <w:rFonts w:ascii="Verdana" w:eastAsia="Times New Roman" w:hAnsi="Verdana"/>
      <w:color w:val="000000"/>
      <w:sz w:val="26"/>
      <w:szCs w:val="26"/>
      <w:lang w:eastAsia="en-GB"/>
    </w:rPr>
  </w:style>
  <w:style w:type="table" w:styleId="Table3Deffects1">
    <w:name w:val="Table 3D effects 1"/>
    <w:basedOn w:val="TableNormal"/>
    <w:rsid w:val="005E3DE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10">
    <w:name w:val="Table Grid 1"/>
    <w:basedOn w:val="TableNormal"/>
    <w:rsid w:val="005E3DE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ightList-Accent1">
    <w:name w:val="Light List Accent 1"/>
    <w:basedOn w:val="TableNormal"/>
    <w:uiPriority w:val="61"/>
    <w:rsid w:val="005E3DE3"/>
    <w:rPr>
      <w:rFonts w:ascii="Times New Roman" w:eastAsia="Times New Roman" w:hAnsi="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footnote reference" w:uiPriority="0"/>
    <w:lsdException w:name="annotation reference" w:uiPriority="0"/>
    <w:lsdException w:name="line number" w:uiPriority="0"/>
    <w:lsdException w:name="page number" w:uiPriority="0"/>
    <w:lsdException w:name="List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Table Classic 1" w:uiPriority="0"/>
    <w:lsdException w:name="Table Classic 2" w:uiPriority="0"/>
    <w:lsdException w:name="Table Classic 3" w:uiPriority="0"/>
    <w:lsdException w:name="Table Grid 1" w:uiPriority="0"/>
    <w:lsdException w:name="Table Grid 2" w:uiPriority="0"/>
    <w:lsdException w:name="Table 3D effect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F58C3"/>
    <w:rPr>
      <w:rFonts w:ascii="Arial" w:hAnsi="Arial"/>
      <w:szCs w:val="22"/>
      <w:lang w:eastAsia="en-US"/>
    </w:rPr>
  </w:style>
  <w:style w:type="paragraph" w:styleId="Heading10">
    <w:name w:val="heading 1"/>
    <w:aliases w:val="Main Section"/>
    <w:basedOn w:val="Normal"/>
    <w:next w:val="Normal"/>
    <w:link w:val="Heading1Char"/>
    <w:uiPriority w:val="9"/>
    <w:qFormat/>
    <w:rsid w:val="00D657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55D9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0D7201"/>
    <w:pPr>
      <w:keepNext/>
      <w:widowControl w:val="0"/>
      <w:tabs>
        <w:tab w:val="left" w:pos="567"/>
      </w:tabs>
      <w:spacing w:before="120" w:after="120"/>
      <w:jc w:val="center"/>
      <w:outlineLvl w:val="2"/>
    </w:pPr>
    <w:rPr>
      <w:rFonts w:eastAsia="Times New Roman"/>
      <w:b/>
      <w:caps/>
      <w:color w:val="FF00FF"/>
      <w:szCs w:val="20"/>
    </w:rPr>
  </w:style>
  <w:style w:type="paragraph" w:styleId="Heading4">
    <w:name w:val="heading 4"/>
    <w:basedOn w:val="Normal"/>
    <w:next w:val="Normal"/>
    <w:link w:val="Heading4Char"/>
    <w:autoRedefine/>
    <w:qFormat/>
    <w:rsid w:val="000D7201"/>
    <w:pPr>
      <w:keepNext/>
      <w:widowControl w:val="0"/>
      <w:spacing w:before="120" w:after="120"/>
      <w:jc w:val="center"/>
      <w:outlineLvl w:val="3"/>
    </w:pPr>
    <w:rPr>
      <w:rFonts w:eastAsia="Times New Roman"/>
      <w:b/>
      <w:caps/>
      <w:color w:val="FF0000"/>
      <w:sz w:val="22"/>
      <w:szCs w:val="20"/>
    </w:rPr>
  </w:style>
  <w:style w:type="paragraph" w:styleId="Heading5">
    <w:name w:val="heading 5"/>
    <w:basedOn w:val="Normal"/>
    <w:next w:val="Normal"/>
    <w:link w:val="Heading5Char"/>
    <w:autoRedefine/>
    <w:qFormat/>
    <w:rsid w:val="000D7201"/>
    <w:pPr>
      <w:widowControl w:val="0"/>
      <w:tabs>
        <w:tab w:val="left" w:pos="567"/>
      </w:tabs>
      <w:spacing w:before="120" w:after="120"/>
      <w:jc w:val="center"/>
      <w:outlineLvl w:val="4"/>
    </w:pPr>
    <w:rPr>
      <w:rFonts w:eastAsia="Times New Roman"/>
      <w:b/>
      <w:caps/>
      <w:color w:val="FF0000"/>
      <w:sz w:val="22"/>
      <w:szCs w:val="20"/>
    </w:rPr>
  </w:style>
  <w:style w:type="paragraph" w:styleId="Heading6">
    <w:name w:val="heading 6"/>
    <w:basedOn w:val="Normal"/>
    <w:next w:val="Normal"/>
    <w:link w:val="Heading6Char"/>
    <w:qFormat/>
    <w:rsid w:val="000D7201"/>
    <w:pPr>
      <w:widowControl w:val="0"/>
      <w:tabs>
        <w:tab w:val="left" w:pos="567"/>
      </w:tabs>
      <w:spacing w:before="120" w:after="120"/>
      <w:jc w:val="center"/>
      <w:outlineLvl w:val="5"/>
    </w:pPr>
    <w:rPr>
      <w:rFonts w:eastAsia="Times New Roman"/>
      <w:b/>
      <w:caps/>
      <w:color w:val="0000FF"/>
      <w:sz w:val="22"/>
      <w:szCs w:val="20"/>
      <w:u w:val="single"/>
    </w:rPr>
  </w:style>
  <w:style w:type="paragraph" w:styleId="Heading7">
    <w:name w:val="heading 7"/>
    <w:basedOn w:val="Normal"/>
    <w:next w:val="Normal"/>
    <w:link w:val="Heading7Char"/>
    <w:qFormat/>
    <w:rsid w:val="000D7201"/>
    <w:pPr>
      <w:spacing w:before="120" w:after="120"/>
      <w:jc w:val="center"/>
      <w:outlineLvl w:val="6"/>
    </w:pPr>
    <w:rPr>
      <w:rFonts w:eastAsia="Times New Roman"/>
      <w:b/>
      <w:caps/>
      <w:color w:val="0000FF"/>
      <w:sz w:val="22"/>
      <w:szCs w:val="20"/>
    </w:rPr>
  </w:style>
  <w:style w:type="paragraph" w:styleId="Heading8">
    <w:name w:val="heading 8"/>
    <w:basedOn w:val="Normal"/>
    <w:next w:val="Normal"/>
    <w:link w:val="Heading8Char"/>
    <w:qFormat/>
    <w:rsid w:val="000D7201"/>
    <w:pPr>
      <w:widowControl w:val="0"/>
      <w:tabs>
        <w:tab w:val="left" w:pos="567"/>
        <w:tab w:val="left" w:pos="1843"/>
      </w:tabs>
      <w:ind w:left="1843" w:hanging="1843"/>
      <w:jc w:val="both"/>
      <w:outlineLvl w:val="7"/>
    </w:pPr>
    <w:rPr>
      <w:rFonts w:eastAsia="Times New Roman"/>
      <w:b/>
      <w:color w:val="0000FF"/>
      <w:szCs w:val="20"/>
    </w:rPr>
  </w:style>
  <w:style w:type="paragraph" w:styleId="Heading9">
    <w:name w:val="heading 9"/>
    <w:basedOn w:val="Normal"/>
    <w:next w:val="Normal"/>
    <w:link w:val="Heading9Char"/>
    <w:qFormat/>
    <w:rsid w:val="000D7201"/>
    <w:pPr>
      <w:widowControl w:val="0"/>
      <w:numPr>
        <w:ilvl w:val="8"/>
        <w:numId w:val="1"/>
      </w:numPr>
      <w:tabs>
        <w:tab w:val="left" w:pos="567"/>
      </w:tabs>
      <w:spacing w:before="240" w:after="60"/>
      <w:jc w:val="both"/>
      <w:outlineLvl w:val="8"/>
    </w:pPr>
    <w:rPr>
      <w:rFonts w:eastAsia="Times New Roman"/>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491"/>
    <w:pPr>
      <w:tabs>
        <w:tab w:val="center" w:pos="4820"/>
        <w:tab w:val="right" w:pos="9639"/>
      </w:tabs>
    </w:pPr>
    <w:rPr>
      <w:sz w:val="18"/>
    </w:rPr>
  </w:style>
  <w:style w:type="character" w:customStyle="1" w:styleId="HeaderChar">
    <w:name w:val="Header Char"/>
    <w:link w:val="Header"/>
    <w:uiPriority w:val="99"/>
    <w:rsid w:val="00631491"/>
    <w:rPr>
      <w:rFonts w:ascii="Arial" w:hAnsi="Arial"/>
      <w:sz w:val="18"/>
      <w:szCs w:val="22"/>
      <w:lang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unhideWhenUsed/>
    <w:rsid w:val="00FD6043"/>
    <w:rPr>
      <w:rFonts w:ascii="Tahoma" w:hAnsi="Tahoma" w:cs="Tahoma"/>
      <w:sz w:val="16"/>
      <w:szCs w:val="16"/>
    </w:rPr>
  </w:style>
  <w:style w:type="character" w:customStyle="1" w:styleId="BalloonTextChar">
    <w:name w:val="Balloon Text Char"/>
    <w:link w:val="BalloonText"/>
    <w:uiPriority w:val="99"/>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nhideWhenUsed/>
    <w:rsid w:val="00E24C57"/>
  </w:style>
  <w:style w:type="character" w:styleId="CommentReference">
    <w:name w:val="annotation reference"/>
    <w:unhideWhenUsed/>
    <w:rsid w:val="002250DD"/>
    <w:rPr>
      <w:sz w:val="18"/>
      <w:szCs w:val="18"/>
    </w:rPr>
  </w:style>
  <w:style w:type="paragraph" w:styleId="CommentText">
    <w:name w:val="annotation text"/>
    <w:basedOn w:val="Normal"/>
    <w:link w:val="CommentTextChar"/>
    <w:unhideWhenUsed/>
    <w:rsid w:val="002250DD"/>
    <w:rPr>
      <w:sz w:val="24"/>
      <w:szCs w:val="24"/>
    </w:rPr>
  </w:style>
  <w:style w:type="character" w:customStyle="1" w:styleId="CommentTextChar">
    <w:name w:val="Comment Text Char"/>
    <w:link w:val="CommentText"/>
    <w:rsid w:val="002250DD"/>
    <w:rPr>
      <w:sz w:val="24"/>
      <w:szCs w:val="24"/>
    </w:rPr>
  </w:style>
  <w:style w:type="paragraph" w:styleId="CommentSubject">
    <w:name w:val="annotation subject"/>
    <w:basedOn w:val="CommentText"/>
    <w:next w:val="CommentText"/>
    <w:link w:val="CommentSubjectChar"/>
    <w:unhideWhenUsed/>
    <w:rsid w:val="002250DD"/>
    <w:rPr>
      <w:b/>
      <w:bCs/>
      <w:sz w:val="20"/>
      <w:szCs w:val="20"/>
    </w:rPr>
  </w:style>
  <w:style w:type="character" w:customStyle="1" w:styleId="CommentSubjectChar">
    <w:name w:val="Comment Subject Char"/>
    <w:link w:val="CommentSubject"/>
    <w:rsid w:val="002250DD"/>
    <w:rPr>
      <w:b/>
      <w:bCs/>
      <w:sz w:val="20"/>
      <w:szCs w:val="20"/>
    </w:rPr>
  </w:style>
  <w:style w:type="paragraph" w:styleId="FootnoteText">
    <w:name w:val="footnote text"/>
    <w:aliases w:val="Footnote Text Char2,Footnote Text Char1 Char,Footnote Text Char3 Char Char,Footnote Text Char2 Char Char Char,Footnote Text Char1 Char1 Char Char Char,ft Char1 Char Char Char Char,Footnote Text Char1 Char Char Char Char Char,ft, Car,n"/>
    <w:basedOn w:val="Normal"/>
    <w:link w:val="FootnoteTextChar"/>
    <w:uiPriority w:val="99"/>
    <w:unhideWhenUsed/>
    <w:rsid w:val="009C5258"/>
    <w:rPr>
      <w:sz w:val="16"/>
      <w:szCs w:val="20"/>
    </w:rPr>
  </w:style>
  <w:style w:type="character" w:customStyle="1" w:styleId="FootnoteTextChar">
    <w:name w:val="Footnote Text Char"/>
    <w:aliases w:val="Footnote Text Char2 Char,Footnote Text Char1 Char Char,Footnote Text Char3 Char Char Char,Footnote Text Char2 Char Char Char Char,Footnote Text Char1 Char1 Char Char Char Char,ft Char1 Char Char Char Char Char,ft Char, Car Char,n Char"/>
    <w:link w:val="FootnoteText"/>
    <w:uiPriority w:val="99"/>
    <w:rsid w:val="009C5258"/>
    <w:rPr>
      <w:rFonts w:ascii="Arial" w:hAnsi="Arial"/>
      <w:sz w:val="16"/>
      <w:lang w:val="fr-FR" w:eastAsia="en-US"/>
    </w:rPr>
  </w:style>
  <w:style w:type="character" w:styleId="FootnoteReference">
    <w:name w:val="footnote reference"/>
    <w:aliases w:val="fr,Default Paragraph Font Char Char Char1,Default Paragraph Font Para Char Char Char Char Char1,Default Paragraph Font Char Char11 Char1,Default Paragraph Font Char Char1 Char1,Footnotes refss Car Char,stylish,BVI fnr"/>
    <w:link w:val="FootnotesrefssCar"/>
    <w:unhideWhenUsed/>
    <w:rsid w:val="00853C90"/>
    <w:rPr>
      <w:vertAlign w:val="superscript"/>
    </w:rPr>
  </w:style>
  <w:style w:type="paragraph" w:customStyle="1" w:styleId="GAR2015main">
    <w:name w:val="GAR2015 main"/>
    <w:basedOn w:val="ListParagraph"/>
    <w:link w:val="GAR2015mainChar"/>
    <w:qFormat/>
    <w:rsid w:val="00D65738"/>
    <w:pPr>
      <w:tabs>
        <w:tab w:val="left" w:pos="851"/>
      </w:tabs>
      <w:ind w:left="0"/>
      <w:contextualSpacing w:val="0"/>
      <w:jc w:val="center"/>
    </w:pPr>
    <w:rPr>
      <w:rFonts w:ascii="Ebrima" w:eastAsia="ヒラギノ角ゴ Pro W3" w:hAnsi="Ebrima" w:cstheme="minorHAnsi"/>
      <w:b/>
      <w:color w:val="000000"/>
      <w:szCs w:val="24"/>
      <w:u w:val="single"/>
      <w:lang w:eastAsia="en-GB"/>
    </w:rPr>
  </w:style>
  <w:style w:type="character" w:customStyle="1" w:styleId="GAR2015mainChar">
    <w:name w:val="GAR2015 main Char"/>
    <w:basedOn w:val="DefaultParagraphFont"/>
    <w:link w:val="GAR2015main"/>
    <w:rsid w:val="00D65738"/>
    <w:rPr>
      <w:rFonts w:ascii="Ebrima" w:eastAsia="ヒラギノ角ゴ Pro W3" w:hAnsi="Ebrima" w:cstheme="minorHAnsi"/>
      <w:b/>
      <w:color w:val="000000"/>
      <w:szCs w:val="24"/>
      <w:u w:val="single"/>
    </w:rPr>
  </w:style>
  <w:style w:type="paragraph" w:customStyle="1" w:styleId="GAR2015subsub">
    <w:name w:val="GAR2015 subsub"/>
    <w:basedOn w:val="ListParagraph"/>
    <w:next w:val="Normal"/>
    <w:link w:val="GAR2015subsubChar"/>
    <w:qFormat/>
    <w:rsid w:val="00D6573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suppressAutoHyphens/>
      <w:ind w:left="0"/>
      <w:contextualSpacing w:val="0"/>
      <w:jc w:val="center"/>
    </w:pPr>
    <w:rPr>
      <w:rFonts w:ascii="Ebrima" w:eastAsia="ヒラギノ角ゴ Pro W3" w:hAnsi="Ebrima" w:cstheme="minorHAnsi"/>
      <w:i/>
      <w:color w:val="000000"/>
      <w:spacing w:val="-3"/>
      <w:lang w:eastAsia="en-GB"/>
    </w:rPr>
  </w:style>
  <w:style w:type="character" w:customStyle="1" w:styleId="GAR2015subsubChar">
    <w:name w:val="GAR2015 subsub Char"/>
    <w:basedOn w:val="DefaultParagraphFont"/>
    <w:link w:val="GAR2015subsub"/>
    <w:rsid w:val="00D65738"/>
    <w:rPr>
      <w:rFonts w:ascii="Ebrima" w:eastAsia="ヒラギノ角ゴ Pro W3" w:hAnsi="Ebrima" w:cstheme="minorHAnsi"/>
      <w:i/>
      <w:color w:val="000000"/>
      <w:spacing w:val="-3"/>
      <w:szCs w:val="22"/>
    </w:rPr>
  </w:style>
  <w:style w:type="character" w:customStyle="1" w:styleId="Heading1Char">
    <w:name w:val="Heading 1 Char"/>
    <w:aliases w:val="Main Section Char"/>
    <w:basedOn w:val="DefaultParagraphFont"/>
    <w:link w:val="Heading10"/>
    <w:uiPriority w:val="9"/>
    <w:rsid w:val="00D65738"/>
    <w:rPr>
      <w:rFonts w:asciiTheme="majorHAnsi" w:eastAsiaTheme="majorEastAsia" w:hAnsiTheme="majorHAnsi" w:cstheme="majorBidi"/>
      <w:b/>
      <w:bCs/>
      <w:color w:val="365F91" w:themeColor="accent1" w:themeShade="BF"/>
      <w:sz w:val="28"/>
      <w:szCs w:val="28"/>
      <w:lang w:eastAsia="en-US"/>
    </w:rPr>
  </w:style>
  <w:style w:type="paragraph" w:styleId="TOCHeading">
    <w:name w:val="TOC Heading"/>
    <w:basedOn w:val="Heading10"/>
    <w:next w:val="Normal"/>
    <w:uiPriority w:val="39"/>
    <w:unhideWhenUsed/>
    <w:qFormat/>
    <w:rsid w:val="00D65738"/>
    <w:pPr>
      <w:spacing w:line="276" w:lineRule="auto"/>
      <w:jc w:val="both"/>
      <w:outlineLvl w:val="9"/>
    </w:pPr>
    <w:rPr>
      <w:lang w:val="en-US" w:eastAsia="ja-JP"/>
    </w:rPr>
  </w:style>
  <w:style w:type="paragraph" w:styleId="TOC1">
    <w:name w:val="toc 1"/>
    <w:basedOn w:val="Normal"/>
    <w:next w:val="Normal"/>
    <w:autoRedefine/>
    <w:uiPriority w:val="39"/>
    <w:qFormat/>
    <w:rsid w:val="00D65738"/>
    <w:pPr>
      <w:tabs>
        <w:tab w:val="left" w:pos="567"/>
        <w:tab w:val="right" w:pos="9034"/>
      </w:tabs>
      <w:spacing w:before="360" w:after="360"/>
      <w:jc w:val="both"/>
    </w:pPr>
    <w:rPr>
      <w:rFonts w:asciiTheme="minorHAnsi" w:eastAsia="ヒラギノ角ゴ Pro W3" w:hAnsiTheme="minorHAnsi" w:cstheme="minorHAnsi"/>
      <w:b/>
      <w:bCs/>
      <w:caps/>
      <w:noProof/>
      <w:color w:val="000000"/>
      <w:sz w:val="22"/>
      <w:u w:val="single"/>
      <w:lang w:val="fr-FR"/>
    </w:rPr>
  </w:style>
  <w:style w:type="paragraph" w:styleId="TOC2">
    <w:name w:val="toc 2"/>
    <w:basedOn w:val="Normal"/>
    <w:next w:val="Normal"/>
    <w:autoRedefine/>
    <w:uiPriority w:val="39"/>
    <w:qFormat/>
    <w:rsid w:val="00600CC6"/>
    <w:pPr>
      <w:tabs>
        <w:tab w:val="right" w:leader="dot" w:pos="9034"/>
      </w:tabs>
    </w:pPr>
    <w:rPr>
      <w:rFonts w:asciiTheme="minorHAnsi" w:eastAsia="ヒラギノ角ゴ Pro W3" w:hAnsiTheme="minorHAnsi" w:cstheme="minorHAnsi"/>
      <w:bCs/>
      <w:noProof/>
      <w:color w:val="000000"/>
      <w:sz w:val="22"/>
      <w:lang w:val="fr-FR"/>
    </w:rPr>
  </w:style>
  <w:style w:type="paragraph" w:styleId="TOC3">
    <w:name w:val="toc 3"/>
    <w:basedOn w:val="Normal"/>
    <w:next w:val="Normal"/>
    <w:autoRedefine/>
    <w:uiPriority w:val="39"/>
    <w:qFormat/>
    <w:rsid w:val="006C3A3C"/>
    <w:pPr>
      <w:tabs>
        <w:tab w:val="right" w:leader="dot" w:pos="9639"/>
      </w:tabs>
    </w:pPr>
    <w:rPr>
      <w:rFonts w:eastAsia="ヒラギノ角ゴ Pro W3" w:cs="Arial"/>
      <w:i/>
      <w:noProof/>
      <w:szCs w:val="20"/>
      <w:lang w:val="en-US"/>
    </w:rPr>
  </w:style>
  <w:style w:type="paragraph" w:styleId="ListParagraph">
    <w:name w:val="List Paragraph"/>
    <w:basedOn w:val="Normal"/>
    <w:link w:val="ListParagraphChar"/>
    <w:uiPriority w:val="34"/>
    <w:qFormat/>
    <w:rsid w:val="00D65738"/>
    <w:pPr>
      <w:ind w:left="720"/>
      <w:contextualSpacing/>
    </w:pPr>
  </w:style>
  <w:style w:type="paragraph" w:customStyle="1" w:styleId="FreeForm">
    <w:name w:val="Free Form"/>
    <w:rsid w:val="00655D9A"/>
    <w:rPr>
      <w:rFonts w:ascii="Times New Roman" w:eastAsia="ヒラギノ角ゴ Pro W3" w:hAnsi="Times New Roman"/>
      <w:color w:val="000000"/>
    </w:rPr>
  </w:style>
  <w:style w:type="paragraph" w:customStyle="1" w:styleId="TableGrid1">
    <w:name w:val="Table Grid1"/>
    <w:rsid w:val="00655D9A"/>
    <w:rPr>
      <w:rFonts w:ascii="Lucida Grande" w:eastAsia="ヒラギノ角ゴ Pro W3" w:hAnsi="Lucida Grande"/>
      <w:color w:val="000000"/>
      <w:sz w:val="22"/>
    </w:rPr>
  </w:style>
  <w:style w:type="paragraph" w:customStyle="1" w:styleId="TableGrid2">
    <w:name w:val="Table Grid2"/>
    <w:rsid w:val="00655D9A"/>
    <w:rPr>
      <w:rFonts w:ascii="Lucida Grande" w:eastAsia="ヒラギノ角ゴ Pro W3" w:hAnsi="Lucida Grande"/>
      <w:color w:val="000000"/>
      <w:sz w:val="22"/>
    </w:rPr>
  </w:style>
  <w:style w:type="paragraph" w:customStyle="1" w:styleId="GAR2015SUB">
    <w:name w:val="GAR2015SUB"/>
    <w:basedOn w:val="ListParagraph"/>
    <w:next w:val="Normal"/>
    <w:link w:val="GAR2015SUBChar"/>
    <w:autoRedefine/>
    <w:qFormat/>
    <w:rsid w:val="00F66C8D"/>
    <w:pPr>
      <w:tabs>
        <w:tab w:val="left" w:pos="851"/>
        <w:tab w:val="left" w:pos="1418"/>
        <w:tab w:val="left" w:pos="2127"/>
        <w:tab w:val="left" w:pos="2836"/>
        <w:tab w:val="left" w:pos="3545"/>
        <w:tab w:val="left" w:pos="4254"/>
        <w:tab w:val="left" w:pos="4963"/>
        <w:tab w:val="left" w:pos="5672"/>
        <w:tab w:val="left" w:pos="6381"/>
        <w:tab w:val="left" w:pos="7090"/>
        <w:tab w:val="left" w:pos="7799"/>
        <w:tab w:val="left" w:pos="8508"/>
      </w:tabs>
      <w:suppressAutoHyphens/>
      <w:ind w:left="0"/>
      <w:contextualSpacing w:val="0"/>
      <w:outlineLvl w:val="1"/>
    </w:pPr>
    <w:rPr>
      <w:rFonts w:eastAsia="ヒラギノ角ゴ Pro W3" w:cs="Arial"/>
      <w:b/>
      <w:color w:val="000000" w:themeColor="text1"/>
      <w:szCs w:val="20"/>
      <w:lang w:eastAsia="en-GB"/>
    </w:rPr>
  </w:style>
  <w:style w:type="character" w:customStyle="1" w:styleId="GAR2015SUBChar">
    <w:name w:val="GAR2015SUB Char"/>
    <w:basedOn w:val="DefaultParagraphFont"/>
    <w:link w:val="GAR2015SUB"/>
    <w:rsid w:val="00F66C8D"/>
    <w:rPr>
      <w:rFonts w:ascii="Arial" w:eastAsia="ヒラギノ角ゴ Pro W3" w:hAnsi="Arial" w:cs="Arial"/>
      <w:b/>
      <w:color w:val="000000" w:themeColor="text1"/>
    </w:rPr>
  </w:style>
  <w:style w:type="character" w:customStyle="1" w:styleId="Heading2Char">
    <w:name w:val="Heading 2 Char"/>
    <w:basedOn w:val="DefaultParagraphFont"/>
    <w:link w:val="Heading2"/>
    <w:uiPriority w:val="9"/>
    <w:rsid w:val="00655D9A"/>
    <w:rPr>
      <w:rFonts w:asciiTheme="majorHAnsi" w:eastAsiaTheme="majorEastAsia" w:hAnsiTheme="majorHAnsi" w:cstheme="majorBidi"/>
      <w:b/>
      <w:bCs/>
      <w:color w:val="4F81BD" w:themeColor="accent1"/>
      <w:sz w:val="26"/>
      <w:szCs w:val="26"/>
      <w:lang w:eastAsia="en-US"/>
    </w:rPr>
  </w:style>
  <w:style w:type="paragraph" w:styleId="NormalWeb">
    <w:name w:val="Normal (Web)"/>
    <w:aliases w:val=" webb"/>
    <w:basedOn w:val="Normal"/>
    <w:uiPriority w:val="99"/>
    <w:rsid w:val="00655D9A"/>
    <w:pPr>
      <w:spacing w:before="100" w:beforeAutospacing="1" w:after="100" w:afterAutospacing="1"/>
      <w:jc w:val="both"/>
    </w:pPr>
    <w:rPr>
      <w:rFonts w:ascii="Ebrima" w:eastAsia="Times New Roman" w:hAnsi="Ebrima"/>
      <w:szCs w:val="24"/>
    </w:rPr>
  </w:style>
  <w:style w:type="character" w:customStyle="1" w:styleId="Heading3Char">
    <w:name w:val="Heading 3 Char"/>
    <w:basedOn w:val="DefaultParagraphFont"/>
    <w:link w:val="Heading3"/>
    <w:uiPriority w:val="9"/>
    <w:rsid w:val="000D7201"/>
    <w:rPr>
      <w:rFonts w:ascii="Arial" w:eastAsia="Times New Roman" w:hAnsi="Arial"/>
      <w:b/>
      <w:caps/>
      <w:color w:val="FF00FF"/>
      <w:lang w:eastAsia="en-US"/>
    </w:rPr>
  </w:style>
  <w:style w:type="character" w:customStyle="1" w:styleId="Heading4Char">
    <w:name w:val="Heading 4 Char"/>
    <w:basedOn w:val="DefaultParagraphFont"/>
    <w:link w:val="Heading4"/>
    <w:rsid w:val="000D7201"/>
    <w:rPr>
      <w:rFonts w:ascii="Arial" w:eastAsia="Times New Roman" w:hAnsi="Arial"/>
      <w:b/>
      <w:caps/>
      <w:color w:val="FF0000"/>
      <w:sz w:val="22"/>
      <w:lang w:eastAsia="en-US"/>
    </w:rPr>
  </w:style>
  <w:style w:type="character" w:customStyle="1" w:styleId="Heading5Char">
    <w:name w:val="Heading 5 Char"/>
    <w:basedOn w:val="DefaultParagraphFont"/>
    <w:link w:val="Heading5"/>
    <w:rsid w:val="000D7201"/>
    <w:rPr>
      <w:rFonts w:ascii="Arial" w:eastAsia="Times New Roman" w:hAnsi="Arial"/>
      <w:b/>
      <w:caps/>
      <w:color w:val="FF0000"/>
      <w:sz w:val="22"/>
      <w:lang w:eastAsia="en-US"/>
    </w:rPr>
  </w:style>
  <w:style w:type="character" w:customStyle="1" w:styleId="Heading6Char">
    <w:name w:val="Heading 6 Char"/>
    <w:basedOn w:val="DefaultParagraphFont"/>
    <w:link w:val="Heading6"/>
    <w:rsid w:val="000D7201"/>
    <w:rPr>
      <w:rFonts w:ascii="Arial" w:eastAsia="Times New Roman" w:hAnsi="Arial"/>
      <w:b/>
      <w:caps/>
      <w:color w:val="0000FF"/>
      <w:sz w:val="22"/>
      <w:u w:val="single"/>
      <w:lang w:eastAsia="en-US"/>
    </w:rPr>
  </w:style>
  <w:style w:type="character" w:customStyle="1" w:styleId="Heading7Char">
    <w:name w:val="Heading 7 Char"/>
    <w:basedOn w:val="DefaultParagraphFont"/>
    <w:link w:val="Heading7"/>
    <w:rsid w:val="000D7201"/>
    <w:rPr>
      <w:rFonts w:ascii="Arial" w:eastAsia="Times New Roman" w:hAnsi="Arial"/>
      <w:b/>
      <w:caps/>
      <w:color w:val="0000FF"/>
      <w:sz w:val="22"/>
      <w:lang w:eastAsia="en-US"/>
    </w:rPr>
  </w:style>
  <w:style w:type="character" w:customStyle="1" w:styleId="Heading8Char">
    <w:name w:val="Heading 8 Char"/>
    <w:basedOn w:val="DefaultParagraphFont"/>
    <w:link w:val="Heading8"/>
    <w:rsid w:val="000D7201"/>
    <w:rPr>
      <w:rFonts w:ascii="Arial" w:eastAsia="Times New Roman" w:hAnsi="Arial"/>
      <w:b/>
      <w:color w:val="0000FF"/>
      <w:lang w:eastAsia="en-US"/>
    </w:rPr>
  </w:style>
  <w:style w:type="character" w:customStyle="1" w:styleId="Heading9Char">
    <w:name w:val="Heading 9 Char"/>
    <w:basedOn w:val="DefaultParagraphFont"/>
    <w:link w:val="Heading9"/>
    <w:rsid w:val="000D7201"/>
    <w:rPr>
      <w:rFonts w:ascii="Arial" w:eastAsia="Times New Roman" w:hAnsi="Arial"/>
      <w:b/>
      <w:i/>
      <w:sz w:val="18"/>
      <w:lang w:eastAsia="en-US"/>
    </w:rPr>
  </w:style>
  <w:style w:type="paragraph" w:customStyle="1" w:styleId="Footer1">
    <w:name w:val="Footer1"/>
    <w:rsid w:val="000D7201"/>
    <w:pPr>
      <w:tabs>
        <w:tab w:val="center" w:pos="4320"/>
        <w:tab w:val="right" w:pos="8640"/>
      </w:tabs>
    </w:pPr>
    <w:rPr>
      <w:rFonts w:ascii="Palatino" w:eastAsia="ヒラギノ角ゴ Pro W3" w:hAnsi="Palatino"/>
      <w:color w:val="000000"/>
      <w:sz w:val="24"/>
      <w:lang w:val="en-US"/>
    </w:rPr>
  </w:style>
  <w:style w:type="character" w:customStyle="1" w:styleId="Hyperlink1">
    <w:name w:val="Hyperlink1"/>
    <w:rsid w:val="000D7201"/>
    <w:rPr>
      <w:color w:val="0000FF"/>
      <w:sz w:val="20"/>
      <w:u w:val="single"/>
    </w:rPr>
  </w:style>
  <w:style w:type="character" w:customStyle="1" w:styleId="FootnoteReference1">
    <w:name w:val="Footnote Reference1"/>
    <w:rsid w:val="000D7201"/>
    <w:rPr>
      <w:color w:val="000000"/>
      <w:sz w:val="20"/>
      <w:vertAlign w:val="superscript"/>
    </w:rPr>
  </w:style>
  <w:style w:type="paragraph" w:customStyle="1" w:styleId="FootnoteText1">
    <w:name w:val="Footnote Text1"/>
    <w:rsid w:val="000D7201"/>
    <w:rPr>
      <w:rFonts w:ascii="Times New Roman" w:eastAsia="ヒラギノ角ゴ Pro W3" w:hAnsi="Times New Roman"/>
      <w:color w:val="000000"/>
      <w:lang w:val="fr-FR"/>
    </w:rPr>
  </w:style>
  <w:style w:type="character" w:customStyle="1" w:styleId="PageNumber1">
    <w:name w:val="Page Number1"/>
    <w:rsid w:val="000D7201"/>
    <w:rPr>
      <w:color w:val="000000"/>
      <w:sz w:val="20"/>
    </w:rPr>
  </w:style>
  <w:style w:type="character" w:styleId="FollowedHyperlink">
    <w:name w:val="FollowedHyperlink"/>
    <w:basedOn w:val="DefaultParagraphFont"/>
    <w:rsid w:val="000D7201"/>
    <w:rPr>
      <w:color w:val="800080" w:themeColor="followedHyperlink"/>
      <w:u w:val="single"/>
    </w:rPr>
  </w:style>
  <w:style w:type="paragraph" w:styleId="Revision">
    <w:name w:val="Revision"/>
    <w:hidden/>
    <w:uiPriority w:val="99"/>
    <w:semiHidden/>
    <w:rsid w:val="000D7201"/>
    <w:rPr>
      <w:rFonts w:ascii="Times New Roman" w:eastAsia="ヒラギノ角ゴ Pro W3" w:hAnsi="Times New Roman"/>
      <w:color w:val="000000"/>
      <w:sz w:val="24"/>
      <w:szCs w:val="24"/>
      <w:lang w:val="fr-FR" w:eastAsia="en-US"/>
    </w:rPr>
  </w:style>
  <w:style w:type="character" w:customStyle="1" w:styleId="ListParagraphChar">
    <w:name w:val="List Paragraph Char"/>
    <w:basedOn w:val="DefaultParagraphFont"/>
    <w:link w:val="ListParagraph"/>
    <w:uiPriority w:val="34"/>
    <w:rsid w:val="000D7201"/>
    <w:rPr>
      <w:rFonts w:ascii="Arial" w:hAnsi="Arial"/>
      <w:szCs w:val="22"/>
      <w:lang w:eastAsia="en-US"/>
    </w:rPr>
  </w:style>
  <w:style w:type="paragraph" w:styleId="TOC4">
    <w:name w:val="toc 4"/>
    <w:basedOn w:val="Normal"/>
    <w:next w:val="Normal"/>
    <w:autoRedefine/>
    <w:uiPriority w:val="39"/>
    <w:rsid w:val="000D7201"/>
    <w:pPr>
      <w:jc w:val="both"/>
    </w:pPr>
    <w:rPr>
      <w:rFonts w:asciiTheme="minorHAnsi" w:eastAsia="ヒラギノ角ゴ Pro W3" w:hAnsiTheme="minorHAnsi" w:cstheme="minorHAnsi"/>
      <w:color w:val="000000"/>
      <w:sz w:val="22"/>
      <w:lang w:val="fr-FR"/>
    </w:rPr>
  </w:style>
  <w:style w:type="paragraph" w:styleId="TOC5">
    <w:name w:val="toc 5"/>
    <w:basedOn w:val="Normal"/>
    <w:next w:val="Normal"/>
    <w:autoRedefine/>
    <w:uiPriority w:val="39"/>
    <w:rsid w:val="000D7201"/>
    <w:pPr>
      <w:jc w:val="both"/>
    </w:pPr>
    <w:rPr>
      <w:rFonts w:asciiTheme="minorHAnsi" w:eastAsia="ヒラギノ角ゴ Pro W3" w:hAnsiTheme="minorHAnsi" w:cstheme="minorHAnsi"/>
      <w:color w:val="000000"/>
      <w:sz w:val="22"/>
      <w:lang w:val="fr-FR"/>
    </w:rPr>
  </w:style>
  <w:style w:type="paragraph" w:styleId="TOC6">
    <w:name w:val="toc 6"/>
    <w:basedOn w:val="Normal"/>
    <w:next w:val="Normal"/>
    <w:autoRedefine/>
    <w:uiPriority w:val="39"/>
    <w:rsid w:val="000D7201"/>
    <w:pPr>
      <w:jc w:val="both"/>
    </w:pPr>
    <w:rPr>
      <w:rFonts w:asciiTheme="minorHAnsi" w:eastAsia="ヒラギノ角ゴ Pro W3" w:hAnsiTheme="minorHAnsi" w:cstheme="minorHAnsi"/>
      <w:color w:val="000000"/>
      <w:sz w:val="22"/>
      <w:lang w:val="fr-FR"/>
    </w:rPr>
  </w:style>
  <w:style w:type="paragraph" w:styleId="TOC7">
    <w:name w:val="toc 7"/>
    <w:basedOn w:val="Normal"/>
    <w:next w:val="Normal"/>
    <w:autoRedefine/>
    <w:uiPriority w:val="39"/>
    <w:rsid w:val="000D7201"/>
    <w:pPr>
      <w:jc w:val="both"/>
    </w:pPr>
    <w:rPr>
      <w:rFonts w:asciiTheme="minorHAnsi" w:eastAsia="ヒラギノ角ゴ Pro W3" w:hAnsiTheme="minorHAnsi" w:cstheme="minorHAnsi"/>
      <w:color w:val="000000"/>
      <w:sz w:val="22"/>
      <w:lang w:val="fr-FR"/>
    </w:rPr>
  </w:style>
  <w:style w:type="paragraph" w:styleId="TOC8">
    <w:name w:val="toc 8"/>
    <w:basedOn w:val="Normal"/>
    <w:next w:val="Normal"/>
    <w:autoRedefine/>
    <w:uiPriority w:val="39"/>
    <w:rsid w:val="000D7201"/>
    <w:pPr>
      <w:jc w:val="both"/>
    </w:pPr>
    <w:rPr>
      <w:rFonts w:asciiTheme="minorHAnsi" w:eastAsia="ヒラギノ角ゴ Pro W3" w:hAnsiTheme="minorHAnsi" w:cstheme="minorHAnsi"/>
      <w:color w:val="000000"/>
      <w:sz w:val="22"/>
      <w:lang w:val="fr-FR"/>
    </w:rPr>
  </w:style>
  <w:style w:type="paragraph" w:styleId="TOC9">
    <w:name w:val="toc 9"/>
    <w:basedOn w:val="Normal"/>
    <w:next w:val="Normal"/>
    <w:autoRedefine/>
    <w:uiPriority w:val="39"/>
    <w:rsid w:val="000D7201"/>
    <w:pPr>
      <w:jc w:val="both"/>
    </w:pPr>
    <w:rPr>
      <w:rFonts w:asciiTheme="minorHAnsi" w:eastAsia="ヒラギノ角ゴ Pro W3" w:hAnsiTheme="minorHAnsi" w:cstheme="minorHAnsi"/>
      <w:color w:val="000000"/>
      <w:sz w:val="22"/>
      <w:lang w:val="fr-FR"/>
    </w:rPr>
  </w:style>
  <w:style w:type="paragraph" w:styleId="EndnoteText">
    <w:name w:val="endnote text"/>
    <w:basedOn w:val="Normal"/>
    <w:link w:val="EndnoteTextChar"/>
    <w:uiPriority w:val="99"/>
    <w:rsid w:val="000D7201"/>
    <w:pPr>
      <w:widowControl w:val="0"/>
      <w:tabs>
        <w:tab w:val="left" w:pos="567"/>
      </w:tabs>
      <w:jc w:val="both"/>
    </w:pPr>
    <w:rPr>
      <w:rFonts w:ascii="Helvetica" w:eastAsia="Times New Roman" w:hAnsi="Helvetica"/>
      <w:szCs w:val="20"/>
    </w:rPr>
  </w:style>
  <w:style w:type="character" w:customStyle="1" w:styleId="EndnoteTextChar">
    <w:name w:val="Endnote Text Char"/>
    <w:basedOn w:val="DefaultParagraphFont"/>
    <w:link w:val="EndnoteText"/>
    <w:uiPriority w:val="99"/>
    <w:rsid w:val="000D7201"/>
    <w:rPr>
      <w:rFonts w:ascii="Helvetica" w:eastAsia="Times New Roman" w:hAnsi="Helvetica"/>
      <w:lang w:eastAsia="en-US"/>
    </w:rPr>
  </w:style>
  <w:style w:type="character" w:customStyle="1" w:styleId="Document8">
    <w:name w:val="Document 8"/>
    <w:basedOn w:val="DefaultParagraphFont"/>
    <w:uiPriority w:val="99"/>
    <w:rsid w:val="000D7201"/>
    <w:rPr>
      <w:rFonts w:cs="Times New Roman"/>
    </w:rPr>
  </w:style>
  <w:style w:type="character" w:customStyle="1" w:styleId="Document4">
    <w:name w:val="Document 4"/>
    <w:uiPriority w:val="99"/>
    <w:rsid w:val="000D7201"/>
    <w:rPr>
      <w:b/>
      <w:i/>
      <w:sz w:val="20"/>
    </w:rPr>
  </w:style>
  <w:style w:type="character" w:customStyle="1" w:styleId="Document6">
    <w:name w:val="Document 6"/>
    <w:basedOn w:val="DefaultParagraphFont"/>
    <w:uiPriority w:val="99"/>
    <w:rsid w:val="000D7201"/>
    <w:rPr>
      <w:rFonts w:cs="Times New Roman"/>
    </w:rPr>
  </w:style>
  <w:style w:type="character" w:customStyle="1" w:styleId="Document5">
    <w:name w:val="Document 5"/>
    <w:basedOn w:val="DefaultParagraphFont"/>
    <w:uiPriority w:val="99"/>
    <w:rsid w:val="000D7201"/>
    <w:rPr>
      <w:rFonts w:cs="Times New Roman"/>
    </w:rPr>
  </w:style>
  <w:style w:type="character" w:customStyle="1" w:styleId="Document2">
    <w:name w:val="Document 2"/>
    <w:uiPriority w:val="99"/>
    <w:rsid w:val="000D7201"/>
    <w:rPr>
      <w:rFonts w:ascii="Courier" w:hAnsi="Courier"/>
      <w:sz w:val="20"/>
      <w:lang w:val="en-US"/>
    </w:rPr>
  </w:style>
  <w:style w:type="character" w:customStyle="1" w:styleId="Document7">
    <w:name w:val="Document 7"/>
    <w:basedOn w:val="DefaultParagraphFont"/>
    <w:uiPriority w:val="99"/>
    <w:rsid w:val="000D7201"/>
    <w:rPr>
      <w:rFonts w:cs="Times New Roman"/>
    </w:rPr>
  </w:style>
  <w:style w:type="character" w:customStyle="1" w:styleId="Bibliogrphy">
    <w:name w:val="Bibliogrphy"/>
    <w:basedOn w:val="DefaultParagraphFont"/>
    <w:uiPriority w:val="99"/>
    <w:rsid w:val="000D7201"/>
    <w:rPr>
      <w:rFonts w:cs="Times New Roman"/>
    </w:rPr>
  </w:style>
  <w:style w:type="character" w:customStyle="1" w:styleId="RightPar1">
    <w:name w:val="Right Par 1"/>
    <w:basedOn w:val="DefaultParagraphFont"/>
    <w:uiPriority w:val="99"/>
    <w:rsid w:val="000D7201"/>
    <w:rPr>
      <w:rFonts w:cs="Times New Roman"/>
    </w:rPr>
  </w:style>
  <w:style w:type="character" w:customStyle="1" w:styleId="RightPar2">
    <w:name w:val="Right Par 2"/>
    <w:basedOn w:val="DefaultParagraphFont"/>
    <w:uiPriority w:val="99"/>
    <w:rsid w:val="000D7201"/>
    <w:rPr>
      <w:rFonts w:cs="Times New Roman"/>
    </w:rPr>
  </w:style>
  <w:style w:type="character" w:customStyle="1" w:styleId="Document3">
    <w:name w:val="Document 3"/>
    <w:uiPriority w:val="99"/>
    <w:rsid w:val="000D7201"/>
    <w:rPr>
      <w:rFonts w:ascii="Courier" w:hAnsi="Courier"/>
      <w:sz w:val="20"/>
      <w:lang w:val="en-US"/>
    </w:rPr>
  </w:style>
  <w:style w:type="character" w:customStyle="1" w:styleId="RightPar3">
    <w:name w:val="Right Par 3"/>
    <w:basedOn w:val="DefaultParagraphFont"/>
    <w:uiPriority w:val="99"/>
    <w:rsid w:val="000D7201"/>
    <w:rPr>
      <w:rFonts w:cs="Times New Roman"/>
    </w:rPr>
  </w:style>
  <w:style w:type="character" w:customStyle="1" w:styleId="RightPar4">
    <w:name w:val="Right Par 4"/>
    <w:basedOn w:val="DefaultParagraphFont"/>
    <w:uiPriority w:val="99"/>
    <w:rsid w:val="000D7201"/>
    <w:rPr>
      <w:rFonts w:cs="Times New Roman"/>
    </w:rPr>
  </w:style>
  <w:style w:type="character" w:customStyle="1" w:styleId="RightPar5">
    <w:name w:val="Right Par 5"/>
    <w:basedOn w:val="DefaultParagraphFont"/>
    <w:uiPriority w:val="99"/>
    <w:rsid w:val="000D7201"/>
    <w:rPr>
      <w:rFonts w:cs="Times New Roman"/>
    </w:rPr>
  </w:style>
  <w:style w:type="character" w:customStyle="1" w:styleId="RightPar6">
    <w:name w:val="Right Par 6"/>
    <w:basedOn w:val="DefaultParagraphFont"/>
    <w:uiPriority w:val="99"/>
    <w:rsid w:val="000D7201"/>
    <w:rPr>
      <w:rFonts w:cs="Times New Roman"/>
    </w:rPr>
  </w:style>
  <w:style w:type="character" w:customStyle="1" w:styleId="RightPar7">
    <w:name w:val="Right Par 7"/>
    <w:basedOn w:val="DefaultParagraphFont"/>
    <w:uiPriority w:val="99"/>
    <w:rsid w:val="000D7201"/>
    <w:rPr>
      <w:rFonts w:cs="Times New Roman"/>
    </w:rPr>
  </w:style>
  <w:style w:type="character" w:customStyle="1" w:styleId="RightPar8">
    <w:name w:val="Right Par 8"/>
    <w:basedOn w:val="DefaultParagraphFont"/>
    <w:uiPriority w:val="99"/>
    <w:rsid w:val="000D7201"/>
    <w:rPr>
      <w:rFonts w:cs="Times New Roman"/>
    </w:rPr>
  </w:style>
  <w:style w:type="paragraph" w:customStyle="1" w:styleId="Document1">
    <w:name w:val="Document 1"/>
    <w:uiPriority w:val="99"/>
    <w:rsid w:val="000D7201"/>
    <w:pPr>
      <w:keepNext/>
      <w:keepLines/>
      <w:widowControl w:val="0"/>
      <w:tabs>
        <w:tab w:val="left" w:pos="-720"/>
      </w:tabs>
      <w:suppressAutoHyphens/>
    </w:pPr>
    <w:rPr>
      <w:rFonts w:ascii="Courier" w:eastAsia="Times New Roman" w:hAnsi="Courier"/>
      <w:lang w:val="en-US" w:eastAsia="en-US"/>
    </w:rPr>
  </w:style>
  <w:style w:type="character" w:customStyle="1" w:styleId="DocInit">
    <w:name w:val="Doc Init"/>
    <w:basedOn w:val="DefaultParagraphFont"/>
    <w:uiPriority w:val="99"/>
    <w:rsid w:val="000D7201"/>
    <w:rPr>
      <w:rFonts w:cs="Times New Roman"/>
    </w:rPr>
  </w:style>
  <w:style w:type="character" w:customStyle="1" w:styleId="TechInit">
    <w:name w:val="Tech Init"/>
    <w:uiPriority w:val="99"/>
    <w:rsid w:val="000D7201"/>
    <w:rPr>
      <w:rFonts w:ascii="Courier" w:hAnsi="Courier"/>
      <w:sz w:val="20"/>
      <w:lang w:val="en-US"/>
    </w:rPr>
  </w:style>
  <w:style w:type="character" w:customStyle="1" w:styleId="Technical5">
    <w:name w:val="Technical 5"/>
    <w:basedOn w:val="DefaultParagraphFont"/>
    <w:uiPriority w:val="99"/>
    <w:rsid w:val="000D7201"/>
    <w:rPr>
      <w:rFonts w:cs="Times New Roman"/>
    </w:rPr>
  </w:style>
  <w:style w:type="character" w:customStyle="1" w:styleId="Technical6">
    <w:name w:val="Technical 6"/>
    <w:basedOn w:val="DefaultParagraphFont"/>
    <w:uiPriority w:val="99"/>
    <w:rsid w:val="000D7201"/>
    <w:rPr>
      <w:rFonts w:cs="Times New Roman"/>
    </w:rPr>
  </w:style>
  <w:style w:type="character" w:customStyle="1" w:styleId="Technical2">
    <w:name w:val="Technical 2"/>
    <w:uiPriority w:val="99"/>
    <w:rsid w:val="000D7201"/>
    <w:rPr>
      <w:rFonts w:ascii="Courier" w:hAnsi="Courier"/>
      <w:sz w:val="20"/>
      <w:lang w:val="en-US"/>
    </w:rPr>
  </w:style>
  <w:style w:type="character" w:customStyle="1" w:styleId="Technical3">
    <w:name w:val="Technical 3"/>
    <w:uiPriority w:val="99"/>
    <w:rsid w:val="000D7201"/>
    <w:rPr>
      <w:rFonts w:ascii="Courier" w:hAnsi="Courier"/>
      <w:sz w:val="20"/>
      <w:lang w:val="en-US"/>
    </w:rPr>
  </w:style>
  <w:style w:type="character" w:customStyle="1" w:styleId="Technical4">
    <w:name w:val="Technical 4"/>
    <w:basedOn w:val="DefaultParagraphFont"/>
    <w:uiPriority w:val="99"/>
    <w:rsid w:val="000D7201"/>
    <w:rPr>
      <w:rFonts w:cs="Times New Roman"/>
    </w:rPr>
  </w:style>
  <w:style w:type="character" w:customStyle="1" w:styleId="Technical1">
    <w:name w:val="Technical 1"/>
    <w:uiPriority w:val="99"/>
    <w:rsid w:val="000D7201"/>
    <w:rPr>
      <w:rFonts w:ascii="Courier" w:hAnsi="Courier"/>
      <w:sz w:val="20"/>
      <w:lang w:val="en-US"/>
    </w:rPr>
  </w:style>
  <w:style w:type="character" w:customStyle="1" w:styleId="Technical7">
    <w:name w:val="Technical 7"/>
    <w:basedOn w:val="DefaultParagraphFont"/>
    <w:uiPriority w:val="99"/>
    <w:rsid w:val="000D7201"/>
    <w:rPr>
      <w:rFonts w:cs="Times New Roman"/>
    </w:rPr>
  </w:style>
  <w:style w:type="character" w:customStyle="1" w:styleId="Technical8">
    <w:name w:val="Technical 8"/>
    <w:basedOn w:val="DefaultParagraphFont"/>
    <w:uiPriority w:val="99"/>
    <w:rsid w:val="000D7201"/>
    <w:rPr>
      <w:rFonts w:cs="Times New Roman"/>
    </w:rPr>
  </w:style>
  <w:style w:type="paragraph" w:styleId="TOAHeading">
    <w:name w:val="toa heading"/>
    <w:basedOn w:val="Normal"/>
    <w:next w:val="Normal"/>
    <w:uiPriority w:val="99"/>
    <w:rsid w:val="000D7201"/>
    <w:pPr>
      <w:widowControl w:val="0"/>
      <w:tabs>
        <w:tab w:val="left" w:pos="567"/>
        <w:tab w:val="right" w:pos="9360"/>
      </w:tabs>
      <w:suppressAutoHyphens/>
      <w:jc w:val="both"/>
    </w:pPr>
    <w:rPr>
      <w:rFonts w:ascii="Helvetica" w:eastAsia="Times New Roman" w:hAnsi="Helvetica"/>
      <w:szCs w:val="20"/>
    </w:rPr>
  </w:style>
  <w:style w:type="character" w:customStyle="1" w:styleId="EquationCaption">
    <w:name w:val="_Equation Caption"/>
    <w:uiPriority w:val="99"/>
    <w:rsid w:val="000D7201"/>
  </w:style>
  <w:style w:type="paragraph" w:styleId="BlockText">
    <w:name w:val="Block Text"/>
    <w:basedOn w:val="Normal"/>
    <w:uiPriority w:val="99"/>
    <w:rsid w:val="000D7201"/>
    <w:pPr>
      <w:widowControl w:val="0"/>
      <w:tabs>
        <w:tab w:val="left" w:pos="558"/>
        <w:tab w:val="left" w:pos="856"/>
        <w:tab w:val="left" w:pos="1124"/>
        <w:tab w:val="left" w:pos="1843"/>
        <w:tab w:val="right" w:leader="dot" w:pos="6556"/>
        <w:tab w:val="left" w:pos="8460"/>
        <w:tab w:val="right" w:leader="dot" w:pos="9345"/>
      </w:tabs>
      <w:suppressAutoHyphens/>
      <w:ind w:left="1843" w:right="558" w:hanging="1843"/>
      <w:jc w:val="both"/>
    </w:pPr>
    <w:rPr>
      <w:rFonts w:ascii="Helvetica" w:eastAsia="Times New Roman" w:hAnsi="Helvetica"/>
      <w:b/>
      <w:szCs w:val="20"/>
    </w:rPr>
  </w:style>
  <w:style w:type="paragraph" w:styleId="BodyText">
    <w:name w:val="Body Text"/>
    <w:basedOn w:val="Normal"/>
    <w:link w:val="BodyTextChar"/>
    <w:rsid w:val="000D7201"/>
    <w:pPr>
      <w:widowControl w:val="0"/>
      <w:tabs>
        <w:tab w:val="left" w:pos="-720"/>
        <w:tab w:val="left" w:pos="567"/>
      </w:tabs>
      <w:suppressAutoHyphens/>
      <w:ind w:right="1133"/>
      <w:jc w:val="both"/>
    </w:pPr>
    <w:rPr>
      <w:rFonts w:ascii="Helvetica" w:eastAsia="Times New Roman" w:hAnsi="Helvetica"/>
      <w:spacing w:val="-2"/>
      <w:szCs w:val="20"/>
    </w:rPr>
  </w:style>
  <w:style w:type="character" w:customStyle="1" w:styleId="BodyTextChar">
    <w:name w:val="Body Text Char"/>
    <w:basedOn w:val="DefaultParagraphFont"/>
    <w:link w:val="BodyText"/>
    <w:rsid w:val="000D7201"/>
    <w:rPr>
      <w:rFonts w:ascii="Helvetica" w:eastAsia="Times New Roman" w:hAnsi="Helvetica"/>
      <w:spacing w:val="-2"/>
      <w:lang w:eastAsia="en-US"/>
    </w:rPr>
  </w:style>
  <w:style w:type="paragraph" w:styleId="BodyTextIndent">
    <w:name w:val="Body Text Indent"/>
    <w:basedOn w:val="Normal"/>
    <w:link w:val="BodyTextIndentChar"/>
    <w:rsid w:val="000D7201"/>
    <w:pPr>
      <w:widowControl w:val="0"/>
      <w:tabs>
        <w:tab w:val="left" w:pos="-720"/>
        <w:tab w:val="left" w:pos="567"/>
      </w:tabs>
      <w:suppressAutoHyphens/>
      <w:ind w:left="567" w:hanging="578"/>
      <w:jc w:val="both"/>
    </w:pPr>
    <w:rPr>
      <w:rFonts w:ascii="Helvetica" w:eastAsia="Times New Roman" w:hAnsi="Helvetica"/>
      <w:spacing w:val="-2"/>
      <w:szCs w:val="20"/>
    </w:rPr>
  </w:style>
  <w:style w:type="character" w:customStyle="1" w:styleId="BodyTextIndentChar">
    <w:name w:val="Body Text Indent Char"/>
    <w:basedOn w:val="DefaultParagraphFont"/>
    <w:link w:val="BodyTextIndent"/>
    <w:rsid w:val="000D7201"/>
    <w:rPr>
      <w:rFonts w:ascii="Helvetica" w:eastAsia="Times New Roman" w:hAnsi="Helvetica"/>
      <w:spacing w:val="-2"/>
      <w:lang w:eastAsia="en-US"/>
    </w:rPr>
  </w:style>
  <w:style w:type="paragraph" w:styleId="BodyText2">
    <w:name w:val="Body Text 2"/>
    <w:basedOn w:val="Normal"/>
    <w:link w:val="BodyText2Char"/>
    <w:rsid w:val="000D7201"/>
    <w:pPr>
      <w:widowControl w:val="0"/>
      <w:tabs>
        <w:tab w:val="left" w:pos="566"/>
        <w:tab w:val="left" w:pos="1134"/>
        <w:tab w:val="right" w:leader="dot" w:pos="7655"/>
      </w:tabs>
      <w:suppressAutoHyphens/>
      <w:ind w:right="1135"/>
      <w:jc w:val="both"/>
    </w:pPr>
    <w:rPr>
      <w:rFonts w:ascii="Helvetica" w:eastAsia="Times New Roman" w:hAnsi="Helvetica"/>
      <w:spacing w:val="-2"/>
      <w:szCs w:val="20"/>
    </w:rPr>
  </w:style>
  <w:style w:type="character" w:customStyle="1" w:styleId="BodyText2Char">
    <w:name w:val="Body Text 2 Char"/>
    <w:basedOn w:val="DefaultParagraphFont"/>
    <w:link w:val="BodyText2"/>
    <w:rsid w:val="000D7201"/>
    <w:rPr>
      <w:rFonts w:ascii="Helvetica" w:eastAsia="Times New Roman" w:hAnsi="Helvetica"/>
      <w:spacing w:val="-2"/>
      <w:lang w:eastAsia="en-US"/>
    </w:rPr>
  </w:style>
  <w:style w:type="paragraph" w:styleId="BodyText3">
    <w:name w:val="Body Text 3"/>
    <w:basedOn w:val="Normal"/>
    <w:link w:val="BodyText3Char"/>
    <w:rsid w:val="000D7201"/>
    <w:pPr>
      <w:widowControl w:val="0"/>
      <w:tabs>
        <w:tab w:val="left" w:pos="-720"/>
        <w:tab w:val="left" w:pos="567"/>
      </w:tabs>
      <w:suppressAutoHyphens/>
      <w:ind w:right="1133"/>
      <w:jc w:val="both"/>
    </w:pPr>
    <w:rPr>
      <w:rFonts w:ascii="Helvetica" w:eastAsia="Times New Roman" w:hAnsi="Helvetica"/>
      <w:szCs w:val="20"/>
    </w:rPr>
  </w:style>
  <w:style w:type="character" w:customStyle="1" w:styleId="BodyText3Char">
    <w:name w:val="Body Text 3 Char"/>
    <w:basedOn w:val="DefaultParagraphFont"/>
    <w:link w:val="BodyText3"/>
    <w:rsid w:val="000D7201"/>
    <w:rPr>
      <w:rFonts w:ascii="Helvetica" w:eastAsia="Times New Roman" w:hAnsi="Helvetica"/>
      <w:lang w:eastAsia="en-US"/>
    </w:rPr>
  </w:style>
  <w:style w:type="paragraph" w:styleId="BodyTextIndent2">
    <w:name w:val="Body Text Indent 2"/>
    <w:basedOn w:val="Normal"/>
    <w:link w:val="BodyTextIndent2Char"/>
    <w:uiPriority w:val="99"/>
    <w:rsid w:val="000D7201"/>
    <w:pPr>
      <w:widowControl w:val="0"/>
      <w:tabs>
        <w:tab w:val="left" w:pos="8460"/>
        <w:tab w:val="right" w:leader="dot" w:pos="9345"/>
      </w:tabs>
      <w:suppressAutoHyphens/>
      <w:ind w:right="1147" w:firstLine="558"/>
      <w:jc w:val="both"/>
    </w:pPr>
    <w:rPr>
      <w:rFonts w:eastAsia="Times New Roman"/>
      <w:spacing w:val="-2"/>
      <w:szCs w:val="20"/>
    </w:rPr>
  </w:style>
  <w:style w:type="character" w:customStyle="1" w:styleId="BodyTextIndent2Char">
    <w:name w:val="Body Text Indent 2 Char"/>
    <w:basedOn w:val="DefaultParagraphFont"/>
    <w:link w:val="BodyTextIndent2"/>
    <w:uiPriority w:val="99"/>
    <w:rsid w:val="000D7201"/>
    <w:rPr>
      <w:rFonts w:ascii="Arial" w:eastAsia="Times New Roman" w:hAnsi="Arial"/>
      <w:spacing w:val="-2"/>
      <w:lang w:eastAsia="en-US"/>
    </w:rPr>
  </w:style>
  <w:style w:type="paragraph" w:styleId="BodyTextIndent3">
    <w:name w:val="Body Text Indent 3"/>
    <w:basedOn w:val="Normal"/>
    <w:link w:val="BodyTextIndent3Char"/>
    <w:uiPriority w:val="99"/>
    <w:rsid w:val="000D7201"/>
    <w:pPr>
      <w:widowControl w:val="0"/>
      <w:suppressAutoHyphens/>
      <w:ind w:right="1133" w:firstLine="567"/>
      <w:jc w:val="both"/>
    </w:pPr>
    <w:rPr>
      <w:rFonts w:eastAsia="Times New Roman"/>
      <w:spacing w:val="-2"/>
      <w:szCs w:val="20"/>
    </w:rPr>
  </w:style>
  <w:style w:type="character" w:customStyle="1" w:styleId="BodyTextIndent3Char">
    <w:name w:val="Body Text Indent 3 Char"/>
    <w:basedOn w:val="DefaultParagraphFont"/>
    <w:link w:val="BodyTextIndent3"/>
    <w:uiPriority w:val="99"/>
    <w:rsid w:val="000D7201"/>
    <w:rPr>
      <w:rFonts w:ascii="Arial" w:eastAsia="Times New Roman" w:hAnsi="Arial"/>
      <w:spacing w:val="-2"/>
      <w:lang w:eastAsia="en-US"/>
    </w:rPr>
  </w:style>
  <w:style w:type="paragraph" w:customStyle="1" w:styleId="Normalrappo">
    <w:name w:val="Normal rappo"/>
    <w:uiPriority w:val="99"/>
    <w:rsid w:val="000D7201"/>
    <w:pPr>
      <w:widowControl w:val="0"/>
      <w:tabs>
        <w:tab w:val="left" w:pos="-720"/>
      </w:tabs>
      <w:suppressAutoHyphens/>
      <w:jc w:val="both"/>
    </w:pPr>
    <w:rPr>
      <w:rFonts w:ascii="Univers" w:eastAsia="Times New Roman" w:hAnsi="Univers"/>
      <w:spacing w:val="-3"/>
      <w:sz w:val="24"/>
      <w:lang w:val="fr-FR" w:eastAsia="en-US"/>
    </w:rPr>
  </w:style>
  <w:style w:type="paragraph" w:customStyle="1" w:styleId="footnotetex">
    <w:name w:val="footnote tex"/>
    <w:uiPriority w:val="99"/>
    <w:rsid w:val="000D7201"/>
    <w:pPr>
      <w:widowControl w:val="0"/>
      <w:tabs>
        <w:tab w:val="left" w:pos="-720"/>
      </w:tabs>
      <w:suppressAutoHyphens/>
    </w:pPr>
    <w:rPr>
      <w:rFonts w:ascii="Times New Roman" w:eastAsia="Times New Roman" w:hAnsi="Times New Roman"/>
      <w:lang w:val="fr-FR" w:eastAsia="en-US"/>
    </w:rPr>
  </w:style>
  <w:style w:type="paragraph" w:customStyle="1" w:styleId="29">
    <w:name w:val="29"/>
    <w:uiPriority w:val="99"/>
    <w:rsid w:val="000D7201"/>
    <w:pPr>
      <w:widowControl w:val="0"/>
      <w:tabs>
        <w:tab w:val="left" w:pos="0"/>
        <w:tab w:val="left" w:pos="708"/>
      </w:tabs>
      <w:suppressAutoHyphens/>
      <w:jc w:val="both"/>
    </w:pPr>
    <w:rPr>
      <w:rFonts w:ascii="Times New Roman" w:eastAsia="Times New Roman" w:hAnsi="Times New Roman"/>
      <w:spacing w:val="-2"/>
      <w:lang w:val="fr-FR" w:eastAsia="en-US"/>
    </w:rPr>
  </w:style>
  <w:style w:type="character" w:styleId="Strong">
    <w:name w:val="Strong"/>
    <w:basedOn w:val="DefaultParagraphFont"/>
    <w:qFormat/>
    <w:rsid w:val="000D7201"/>
    <w:rPr>
      <w:rFonts w:cs="Times New Roman"/>
      <w:b/>
    </w:rPr>
  </w:style>
  <w:style w:type="paragraph" w:customStyle="1" w:styleId="normalrappo0">
    <w:name w:val="normalrappo"/>
    <w:basedOn w:val="Normal"/>
    <w:uiPriority w:val="99"/>
    <w:rsid w:val="000D7201"/>
    <w:pPr>
      <w:spacing w:before="100" w:beforeAutospacing="1" w:after="100" w:afterAutospacing="1"/>
      <w:jc w:val="both"/>
    </w:pPr>
    <w:rPr>
      <w:rFonts w:ascii="Arial Unicode MS" w:eastAsia="Arial Unicode MS" w:hAnsi="Arial Unicode MS" w:cs="Arial Unicode MS"/>
      <w:szCs w:val="24"/>
    </w:rPr>
  </w:style>
  <w:style w:type="character" w:styleId="Emphasis">
    <w:name w:val="Emphasis"/>
    <w:basedOn w:val="DefaultParagraphFont"/>
    <w:qFormat/>
    <w:rsid w:val="000D7201"/>
    <w:rPr>
      <w:rFonts w:cs="Times New Roman"/>
      <w:i/>
    </w:rPr>
  </w:style>
  <w:style w:type="paragraph" w:styleId="E-mailSignature">
    <w:name w:val="E-mail Signature"/>
    <w:basedOn w:val="Normal"/>
    <w:link w:val="E-mailSignatureChar"/>
    <w:uiPriority w:val="99"/>
    <w:rsid w:val="000D7201"/>
    <w:pPr>
      <w:jc w:val="both"/>
    </w:pPr>
    <w:rPr>
      <w:rFonts w:ascii="Ebrima" w:eastAsia="Times New Roman" w:hAnsi="Ebrima"/>
      <w:szCs w:val="24"/>
      <w:lang w:val="en-US"/>
    </w:rPr>
  </w:style>
  <w:style w:type="character" w:customStyle="1" w:styleId="E-mailSignatureChar">
    <w:name w:val="E-mail Signature Char"/>
    <w:basedOn w:val="DefaultParagraphFont"/>
    <w:link w:val="E-mailSignature"/>
    <w:uiPriority w:val="99"/>
    <w:rsid w:val="000D7201"/>
    <w:rPr>
      <w:rFonts w:ascii="Ebrima" w:eastAsia="Times New Roman" w:hAnsi="Ebrima"/>
      <w:szCs w:val="24"/>
      <w:lang w:val="en-US" w:eastAsia="en-US"/>
    </w:rPr>
  </w:style>
  <w:style w:type="paragraph" w:customStyle="1" w:styleId="DefaultParagraphFontCharCharChar">
    <w:name w:val="Default Paragraph Font Char Char Char"/>
    <w:aliases w:val="Default Paragraph Font Para Char Char Char Char Char,Default Paragraph Font Char Char11 Char,Default Paragraph Font Char Char1 Char,Default Paragraph Font Para Char Char Char Char1 Char"/>
    <w:basedOn w:val="Normal"/>
    <w:rsid w:val="000D7201"/>
    <w:pPr>
      <w:spacing w:after="160" w:line="240" w:lineRule="exact"/>
      <w:jc w:val="both"/>
    </w:pPr>
    <w:rPr>
      <w:rFonts w:eastAsia="Times New Roman" w:cs="Arial"/>
      <w:szCs w:val="20"/>
      <w:lang w:val="en-US"/>
    </w:rPr>
  </w:style>
  <w:style w:type="paragraph" w:customStyle="1" w:styleId="ZchnZchn">
    <w:name w:val="Zchn Zchn"/>
    <w:basedOn w:val="Normal"/>
    <w:uiPriority w:val="99"/>
    <w:rsid w:val="000D7201"/>
    <w:pPr>
      <w:spacing w:after="160" w:line="240" w:lineRule="exact"/>
      <w:jc w:val="both"/>
    </w:pPr>
    <w:rPr>
      <w:rFonts w:eastAsia="Times New Roman" w:cs="Arial"/>
      <w:szCs w:val="20"/>
      <w:lang w:val="en-US"/>
    </w:rPr>
  </w:style>
  <w:style w:type="paragraph" w:customStyle="1" w:styleId="Address1">
    <w:name w:val="Address 1"/>
    <w:basedOn w:val="Normal"/>
    <w:uiPriority w:val="99"/>
    <w:rsid w:val="000D7201"/>
    <w:pPr>
      <w:framePr w:w="2160" w:wrap="notBeside" w:vAnchor="page" w:hAnchor="page" w:x="8281" w:y="1153"/>
      <w:spacing w:line="160" w:lineRule="atLeast"/>
      <w:jc w:val="both"/>
    </w:pPr>
    <w:rPr>
      <w:rFonts w:eastAsia="Times New Roman" w:cs="Arial"/>
      <w:sz w:val="14"/>
      <w:szCs w:val="14"/>
      <w:lang w:val="en-US" w:eastAsia="ru-RU"/>
    </w:rPr>
  </w:style>
  <w:style w:type="paragraph" w:customStyle="1" w:styleId="CVHeading3">
    <w:name w:val="CV Heading 3"/>
    <w:basedOn w:val="Normal"/>
    <w:next w:val="Normal"/>
    <w:uiPriority w:val="99"/>
    <w:rsid w:val="000D7201"/>
    <w:pPr>
      <w:suppressAutoHyphens/>
      <w:ind w:left="113" w:right="113"/>
      <w:jc w:val="right"/>
      <w:textAlignment w:val="center"/>
    </w:pPr>
    <w:rPr>
      <w:rFonts w:ascii="Arial Narrow" w:eastAsia="Times New Roman" w:hAnsi="Arial Narrow"/>
      <w:szCs w:val="20"/>
      <w:lang w:eastAsia="ar-SA"/>
    </w:rPr>
  </w:style>
  <w:style w:type="paragraph" w:customStyle="1" w:styleId="CVNormal">
    <w:name w:val="CV Normal"/>
    <w:basedOn w:val="Normal"/>
    <w:uiPriority w:val="99"/>
    <w:rsid w:val="000D7201"/>
    <w:pPr>
      <w:suppressAutoHyphens/>
      <w:ind w:left="113" w:right="113"/>
      <w:jc w:val="both"/>
    </w:pPr>
    <w:rPr>
      <w:rFonts w:ascii="Arial Narrow" w:eastAsia="Times New Roman" w:hAnsi="Arial Narrow"/>
      <w:szCs w:val="20"/>
      <w:lang w:eastAsia="ar-SA"/>
    </w:rPr>
  </w:style>
  <w:style w:type="paragraph" w:styleId="Title">
    <w:name w:val="Title"/>
    <w:basedOn w:val="Normal"/>
    <w:link w:val="TitleChar"/>
    <w:qFormat/>
    <w:rsid w:val="000D7201"/>
    <w:pPr>
      <w:jc w:val="center"/>
    </w:pPr>
    <w:rPr>
      <w:rFonts w:ascii="Ebrima" w:eastAsia="Times New Roman" w:hAnsi="Ebrima"/>
      <w:b/>
      <w:szCs w:val="20"/>
      <w:lang w:val="fr-FR"/>
    </w:rPr>
  </w:style>
  <w:style w:type="character" w:customStyle="1" w:styleId="TitleChar">
    <w:name w:val="Title Char"/>
    <w:basedOn w:val="DefaultParagraphFont"/>
    <w:link w:val="Title"/>
    <w:rsid w:val="000D7201"/>
    <w:rPr>
      <w:rFonts w:ascii="Ebrima" w:eastAsia="Times New Roman" w:hAnsi="Ebrima"/>
      <w:b/>
      <w:lang w:val="fr-FR" w:eastAsia="en-US"/>
    </w:rPr>
  </w:style>
  <w:style w:type="paragraph" w:customStyle="1" w:styleId="msolistparagraph0">
    <w:name w:val="msolistparagraph"/>
    <w:basedOn w:val="Normal"/>
    <w:uiPriority w:val="99"/>
    <w:rsid w:val="000D7201"/>
    <w:pPr>
      <w:ind w:left="720"/>
      <w:jc w:val="both"/>
    </w:pPr>
    <w:rPr>
      <w:rFonts w:ascii="Calibri" w:eastAsia="Times New Roman" w:hAnsi="Calibri"/>
      <w:sz w:val="22"/>
      <w:lang w:val="en-US"/>
    </w:rPr>
  </w:style>
  <w:style w:type="paragraph" w:customStyle="1" w:styleId="RKnormal">
    <w:name w:val="RKnormal"/>
    <w:basedOn w:val="Normal"/>
    <w:uiPriority w:val="99"/>
    <w:rsid w:val="000D7201"/>
    <w:pPr>
      <w:tabs>
        <w:tab w:val="left" w:pos="2835"/>
      </w:tabs>
      <w:overflowPunct w:val="0"/>
      <w:autoSpaceDE w:val="0"/>
      <w:autoSpaceDN w:val="0"/>
      <w:adjustRightInd w:val="0"/>
      <w:spacing w:line="240" w:lineRule="atLeast"/>
      <w:jc w:val="both"/>
      <w:textAlignment w:val="baseline"/>
    </w:pPr>
    <w:rPr>
      <w:rFonts w:ascii="OrigGarmnd BT" w:eastAsia="Times New Roman" w:hAnsi="OrigGarmnd BT"/>
      <w:szCs w:val="20"/>
      <w:lang w:val="sv-SE"/>
    </w:rPr>
  </w:style>
  <w:style w:type="paragraph" w:customStyle="1" w:styleId="a">
    <w:name w:val="Абзац списка"/>
    <w:basedOn w:val="Normal"/>
    <w:uiPriority w:val="99"/>
    <w:rsid w:val="000D7201"/>
    <w:pPr>
      <w:spacing w:after="200" w:line="276" w:lineRule="auto"/>
      <w:ind w:left="720"/>
      <w:contextualSpacing/>
      <w:jc w:val="both"/>
    </w:pPr>
    <w:rPr>
      <w:rFonts w:ascii="Calibri" w:eastAsia="Times New Roman" w:hAnsi="Calibri"/>
      <w:sz w:val="22"/>
      <w:lang w:val="uk-UA"/>
    </w:rPr>
  </w:style>
  <w:style w:type="paragraph" w:styleId="PlainText">
    <w:name w:val="Plain Text"/>
    <w:basedOn w:val="Normal"/>
    <w:link w:val="PlainTextChar"/>
    <w:unhideWhenUsed/>
    <w:rsid w:val="000D7201"/>
    <w:pPr>
      <w:jc w:val="both"/>
    </w:pPr>
    <w:rPr>
      <w:rFonts w:ascii="Calibri" w:eastAsiaTheme="minorHAnsi" w:hAnsi="Calibri" w:cstheme="minorBidi"/>
      <w:sz w:val="22"/>
      <w:szCs w:val="21"/>
      <w:lang w:val="fr-FR"/>
    </w:rPr>
  </w:style>
  <w:style w:type="character" w:customStyle="1" w:styleId="PlainTextChar">
    <w:name w:val="Plain Text Char"/>
    <w:basedOn w:val="DefaultParagraphFont"/>
    <w:link w:val="PlainText"/>
    <w:rsid w:val="000D7201"/>
    <w:rPr>
      <w:rFonts w:eastAsiaTheme="minorHAnsi" w:cstheme="minorBidi"/>
      <w:sz w:val="22"/>
      <w:szCs w:val="21"/>
      <w:lang w:val="fr-FR" w:eastAsia="en-US"/>
    </w:rPr>
  </w:style>
  <w:style w:type="paragraph" w:customStyle="1" w:styleId="President">
    <w:name w:val="President"/>
    <w:basedOn w:val="Normal"/>
    <w:next w:val="Normal"/>
    <w:link w:val="PresidentChar"/>
    <w:qFormat/>
    <w:rsid w:val="000D7201"/>
    <w:pPr>
      <w:tabs>
        <w:tab w:val="left" w:pos="851"/>
        <w:tab w:val="left" w:pos="1418"/>
        <w:tab w:val="left" w:pos="2127"/>
        <w:tab w:val="left" w:pos="2836"/>
        <w:tab w:val="left" w:pos="3545"/>
        <w:tab w:val="left" w:pos="4254"/>
        <w:tab w:val="left" w:pos="4963"/>
        <w:tab w:val="left" w:pos="5672"/>
        <w:tab w:val="left" w:pos="6381"/>
        <w:tab w:val="left" w:pos="7090"/>
        <w:tab w:val="left" w:pos="7799"/>
        <w:tab w:val="left" w:pos="8508"/>
      </w:tabs>
      <w:jc w:val="center"/>
    </w:pPr>
    <w:rPr>
      <w:rFonts w:ascii="Ebrima" w:eastAsia="ヒラギノ角ゴ Pro W3" w:hAnsi="Ebrima" w:cstheme="minorHAnsi"/>
      <w:i/>
      <w:color w:val="000000"/>
    </w:rPr>
  </w:style>
  <w:style w:type="character" w:customStyle="1" w:styleId="PresidentChar">
    <w:name w:val="President Char"/>
    <w:basedOn w:val="DefaultParagraphFont"/>
    <w:link w:val="President"/>
    <w:rsid w:val="000D7201"/>
    <w:rPr>
      <w:rFonts w:ascii="Ebrima" w:eastAsia="ヒラギノ角ゴ Pro W3" w:hAnsi="Ebrima" w:cstheme="minorHAnsi"/>
      <w:i/>
      <w:color w:val="000000"/>
      <w:szCs w:val="22"/>
      <w:lang w:eastAsia="en-US"/>
    </w:rPr>
  </w:style>
  <w:style w:type="paragraph" w:customStyle="1" w:styleId="Default">
    <w:name w:val="Default"/>
    <w:basedOn w:val="Normal"/>
    <w:rsid w:val="000D7201"/>
    <w:pPr>
      <w:autoSpaceDE w:val="0"/>
      <w:autoSpaceDN w:val="0"/>
      <w:jc w:val="both"/>
    </w:pPr>
    <w:rPr>
      <w:rFonts w:ascii="Calibri" w:eastAsiaTheme="minorHAnsi" w:hAnsi="Calibri" w:cs="Calibri"/>
      <w:color w:val="000000"/>
      <w:szCs w:val="24"/>
      <w:lang w:val="fr-FR" w:eastAsia="fr-FR"/>
    </w:rPr>
  </w:style>
  <w:style w:type="paragraph" w:styleId="Subtitle">
    <w:name w:val="Subtitle"/>
    <w:basedOn w:val="Normal"/>
    <w:next w:val="Normal"/>
    <w:link w:val="SubtitleChar"/>
    <w:uiPriority w:val="11"/>
    <w:qFormat/>
    <w:rsid w:val="000D7201"/>
    <w:pPr>
      <w:numPr>
        <w:ilvl w:val="1"/>
      </w:numPr>
      <w:jc w:val="both"/>
    </w:pPr>
    <w:rPr>
      <w:rFonts w:asciiTheme="majorHAnsi" w:eastAsiaTheme="majorEastAsia" w:hAnsiTheme="majorHAnsi" w:cstheme="majorBidi"/>
      <w:i/>
      <w:iCs/>
      <w:color w:val="4F81BD" w:themeColor="accent1"/>
      <w:spacing w:val="15"/>
      <w:szCs w:val="24"/>
      <w:lang w:eastAsia="fr-FR"/>
    </w:rPr>
  </w:style>
  <w:style w:type="character" w:customStyle="1" w:styleId="SubtitleChar">
    <w:name w:val="Subtitle Char"/>
    <w:basedOn w:val="DefaultParagraphFont"/>
    <w:link w:val="Subtitle"/>
    <w:uiPriority w:val="11"/>
    <w:rsid w:val="000D7201"/>
    <w:rPr>
      <w:rFonts w:asciiTheme="majorHAnsi" w:eastAsiaTheme="majorEastAsia" w:hAnsiTheme="majorHAnsi" w:cstheme="majorBidi"/>
      <w:i/>
      <w:iCs/>
      <w:color w:val="4F81BD" w:themeColor="accent1"/>
      <w:spacing w:val="15"/>
      <w:szCs w:val="24"/>
      <w:lang w:eastAsia="fr-FR"/>
    </w:rPr>
  </w:style>
  <w:style w:type="character" w:styleId="SubtleEmphasis">
    <w:name w:val="Subtle Emphasis"/>
    <w:basedOn w:val="DefaultParagraphFont"/>
    <w:uiPriority w:val="19"/>
    <w:qFormat/>
    <w:rsid w:val="000D7201"/>
    <w:rPr>
      <w:i/>
      <w:iCs/>
      <w:color w:val="808080" w:themeColor="text1" w:themeTint="7F"/>
    </w:rPr>
  </w:style>
  <w:style w:type="numbering" w:customStyle="1" w:styleId="NoList1">
    <w:name w:val="No List1"/>
    <w:next w:val="NoList"/>
    <w:uiPriority w:val="99"/>
    <w:semiHidden/>
    <w:unhideWhenUsed/>
    <w:rsid w:val="000D7201"/>
  </w:style>
  <w:style w:type="table" w:customStyle="1" w:styleId="TableGrid3">
    <w:name w:val="Table Grid3"/>
    <w:basedOn w:val="TableNormal"/>
    <w:next w:val="TableGrid"/>
    <w:uiPriority w:val="99"/>
    <w:rsid w:val="000D7201"/>
    <w:pPr>
      <w:widowControl w:val="0"/>
      <w:tabs>
        <w:tab w:val="left" w:pos="567"/>
      </w:tabs>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3">
    <w:name w:val="Footnote Text Char3"/>
    <w:aliases w:val="Footnote Text Char2 Char2,Footnote Text Char1 Char Char2,Footnote Text Char3 Char Char Char2,Footnote Text Char2 Char Char Char Char2,Footnote Text Char1 Char1 Char Char Char Char2,ft Char1 Char Char Char Char Char2"/>
    <w:basedOn w:val="DefaultParagraphFont"/>
    <w:uiPriority w:val="99"/>
    <w:locked/>
    <w:rsid w:val="000D7201"/>
    <w:rPr>
      <w:rFonts w:ascii="Verdana" w:hAnsi="Verdana" w:cs="Times New Roman"/>
      <w:sz w:val="20"/>
      <w:szCs w:val="20"/>
      <w:lang w:val="en-GB" w:eastAsia="fr-FR"/>
    </w:rPr>
  </w:style>
  <w:style w:type="paragraph" w:customStyle="1" w:styleId="DefaultParagraphFontCharCharCharCharChar">
    <w:name w:val="Default Paragraph Font Char Char Char Char Char"/>
    <w:aliases w:val="Default Paragraph Font Para Char Char Char Char Char Char Char,Default Paragraph Font Char Char11 Char Char Char,Default Paragraph Font Char Char1 Char Char Char"/>
    <w:basedOn w:val="Normal"/>
    <w:rsid w:val="000D7201"/>
    <w:pPr>
      <w:spacing w:after="160" w:line="240" w:lineRule="exact"/>
    </w:pPr>
    <w:rPr>
      <w:rFonts w:eastAsia="Times New Roman" w:cs="Arial"/>
      <w:szCs w:val="20"/>
      <w:lang w:val="en-US"/>
    </w:rPr>
  </w:style>
  <w:style w:type="paragraph" w:styleId="IntenseQuote">
    <w:name w:val="Intense Quote"/>
    <w:basedOn w:val="Normal"/>
    <w:next w:val="Normal"/>
    <w:link w:val="IntenseQuoteChar"/>
    <w:uiPriority w:val="30"/>
    <w:qFormat/>
    <w:rsid w:val="000D7201"/>
    <w:pPr>
      <w:pBdr>
        <w:bottom w:val="single" w:sz="4" w:space="4" w:color="4F81BD" w:themeColor="accent1"/>
      </w:pBdr>
      <w:spacing w:before="200" w:after="280" w:line="276" w:lineRule="auto"/>
      <w:ind w:left="936" w:right="936"/>
    </w:pPr>
    <w:rPr>
      <w:rFonts w:asciiTheme="minorHAnsi" w:eastAsiaTheme="minorEastAsia" w:hAnsiTheme="minorHAnsi" w:cstheme="minorBidi"/>
      <w:b/>
      <w:bCs/>
      <w:i/>
      <w:iCs/>
      <w:color w:val="4F81BD" w:themeColor="accent1"/>
      <w:sz w:val="22"/>
      <w:lang w:val="en-US" w:eastAsia="ja-JP"/>
    </w:rPr>
  </w:style>
  <w:style w:type="character" w:customStyle="1" w:styleId="IntenseQuoteChar">
    <w:name w:val="Intense Quote Char"/>
    <w:basedOn w:val="DefaultParagraphFont"/>
    <w:link w:val="IntenseQuote"/>
    <w:uiPriority w:val="30"/>
    <w:rsid w:val="000D7201"/>
    <w:rPr>
      <w:rFonts w:asciiTheme="minorHAnsi" w:eastAsiaTheme="minorEastAsia" w:hAnsiTheme="minorHAnsi" w:cstheme="minorBidi"/>
      <w:b/>
      <w:bCs/>
      <w:i/>
      <w:iCs/>
      <w:color w:val="4F81BD" w:themeColor="accent1"/>
      <w:sz w:val="22"/>
      <w:szCs w:val="22"/>
      <w:lang w:val="en-US" w:eastAsia="ja-JP"/>
    </w:rPr>
  </w:style>
  <w:style w:type="numbering" w:customStyle="1" w:styleId="NoList2">
    <w:name w:val="No List2"/>
    <w:next w:val="NoList"/>
    <w:uiPriority w:val="99"/>
    <w:semiHidden/>
    <w:unhideWhenUsed/>
    <w:rsid w:val="000D7201"/>
  </w:style>
  <w:style w:type="table" w:customStyle="1" w:styleId="TableGrid4">
    <w:name w:val="Table Grid4"/>
    <w:basedOn w:val="TableNormal"/>
    <w:next w:val="TableGrid"/>
    <w:uiPriority w:val="99"/>
    <w:rsid w:val="000D7201"/>
    <w:pPr>
      <w:widowControl w:val="0"/>
      <w:tabs>
        <w:tab w:val="left" w:pos="567"/>
      </w:tabs>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refssCar">
    <w:name w:val="Footnotes refss Car"/>
    <w:aliases w:val="Footnotes refss Char Car,callout Char Car,Footnotes refss Car Car Char Char Char Char Car Car"/>
    <w:basedOn w:val="Normal"/>
    <w:link w:val="FootnoteReference"/>
    <w:uiPriority w:val="99"/>
    <w:rsid w:val="00852FC5"/>
    <w:pPr>
      <w:spacing w:after="160" w:line="240" w:lineRule="exact"/>
    </w:pPr>
    <w:rPr>
      <w:rFonts w:ascii="Calibri" w:hAnsi="Calibri"/>
      <w:szCs w:val="20"/>
      <w:vertAlign w:val="superscript"/>
      <w:lang w:eastAsia="en-GB"/>
    </w:rPr>
  </w:style>
  <w:style w:type="paragraph" w:customStyle="1" w:styleId="CMSpace">
    <w:name w:val="CM_Space"/>
    <w:basedOn w:val="Normal"/>
    <w:qFormat/>
    <w:rsid w:val="005E3DE3"/>
    <w:rPr>
      <w:rFonts w:eastAsia="Times New Roman"/>
      <w:szCs w:val="24"/>
      <w:lang w:eastAsia="fr-FR"/>
    </w:rPr>
  </w:style>
  <w:style w:type="paragraph" w:customStyle="1" w:styleId="FootnoteReferenceCharCarCharCharCarCharCarCharCarCharCarCharCharCarCarCharCharCharCharCharCar">
    <w:name w:val="Footnote Reference Char Car Char Char Car Char Car Char Car Char Car Char Char Car Car Char Char Char Char Char Car"/>
    <w:aliases w:val="Footnote Reference Char Car Char Char Car Char Car Char Car Char Car Char Char Car Car Char Char Car Car"/>
    <w:basedOn w:val="Normal"/>
    <w:rsid w:val="005E3DE3"/>
    <w:pPr>
      <w:spacing w:after="160" w:line="240" w:lineRule="exact"/>
    </w:pPr>
    <w:rPr>
      <w:rFonts w:ascii="Times New Roman" w:eastAsia="Times New Roman" w:hAnsi="Times New Roman"/>
      <w:szCs w:val="20"/>
      <w:vertAlign w:val="superscript"/>
      <w:lang w:val="fr-FR" w:eastAsia="fr-FR"/>
    </w:rPr>
  </w:style>
  <w:style w:type="paragraph" w:customStyle="1" w:styleId="Heading1">
    <w:name w:val="Heading1"/>
    <w:basedOn w:val="Normal"/>
    <w:link w:val="Heading1Char0"/>
    <w:qFormat/>
    <w:rsid w:val="005E3DE3"/>
    <w:pPr>
      <w:keepNext/>
      <w:widowControl w:val="0"/>
      <w:numPr>
        <w:numId w:val="2"/>
      </w:numPr>
      <w:spacing w:after="120"/>
      <w:ind w:right="284"/>
      <w:jc w:val="both"/>
      <w:outlineLvl w:val="1"/>
    </w:pPr>
    <w:rPr>
      <w:rFonts w:eastAsia="Times New Roman" w:cs="Arial"/>
      <w:b/>
      <w:bCs/>
      <w:caps/>
      <w:color w:val="17365D"/>
      <w:w w:val="105"/>
      <w:kern w:val="28"/>
      <w:sz w:val="24"/>
      <w:szCs w:val="20"/>
      <w:lang w:eastAsia="zh-CN"/>
    </w:rPr>
  </w:style>
  <w:style w:type="character" w:customStyle="1" w:styleId="Heading1Char0">
    <w:name w:val="Heading1 Char"/>
    <w:link w:val="Heading1"/>
    <w:rsid w:val="005E3DE3"/>
    <w:rPr>
      <w:rFonts w:ascii="Arial" w:eastAsia="Times New Roman" w:hAnsi="Arial" w:cs="Arial"/>
      <w:b/>
      <w:bCs/>
      <w:caps/>
      <w:color w:val="17365D"/>
      <w:w w:val="105"/>
      <w:kern w:val="28"/>
      <w:sz w:val="24"/>
      <w:lang w:eastAsia="zh-CN"/>
    </w:rPr>
  </w:style>
  <w:style w:type="paragraph" w:customStyle="1" w:styleId="LDFakeHeading2">
    <w:name w:val="LDFakeHeading2"/>
    <w:basedOn w:val="Heading1"/>
    <w:link w:val="LDFakeHeading2Char"/>
    <w:qFormat/>
    <w:rsid w:val="005E3DE3"/>
  </w:style>
  <w:style w:type="character" w:customStyle="1" w:styleId="LDFakeHeading2Char">
    <w:name w:val="LDFakeHeading2 Char"/>
    <w:link w:val="LDFakeHeading2"/>
    <w:rsid w:val="005E3DE3"/>
    <w:rPr>
      <w:rFonts w:ascii="Arial" w:eastAsia="Times New Roman" w:hAnsi="Arial" w:cs="Arial"/>
      <w:b/>
      <w:bCs/>
      <w:caps/>
      <w:color w:val="17365D"/>
      <w:w w:val="105"/>
      <w:kern w:val="28"/>
      <w:sz w:val="24"/>
      <w:lang w:eastAsia="zh-CN"/>
    </w:rPr>
  </w:style>
  <w:style w:type="table" w:styleId="TableGrid20">
    <w:name w:val="Table Grid 2"/>
    <w:basedOn w:val="TableNormal"/>
    <w:rsid w:val="005E3DE3"/>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st1">
    <w:name w:val="st1"/>
    <w:basedOn w:val="DefaultParagraphFont"/>
    <w:rsid w:val="005E3DE3"/>
  </w:style>
  <w:style w:type="paragraph" w:customStyle="1" w:styleId="COECote">
    <w:name w:val="COE_Cote"/>
    <w:basedOn w:val="Normal"/>
    <w:rsid w:val="005E3DE3"/>
    <w:pPr>
      <w:spacing w:before="240"/>
    </w:pPr>
    <w:rPr>
      <w:rFonts w:eastAsia="Times New Roman"/>
      <w:b/>
      <w:sz w:val="22"/>
      <w:lang w:val="fr-FR" w:eastAsia="fr-FR"/>
    </w:rPr>
  </w:style>
  <w:style w:type="paragraph" w:customStyle="1" w:styleId="COEEnceinte">
    <w:name w:val="COE_Enceinte"/>
    <w:basedOn w:val="COECote"/>
    <w:rsid w:val="005E3DE3"/>
    <w:rPr>
      <w:b w:val="0"/>
      <w:i/>
      <w:color w:val="808080"/>
      <w:sz w:val="28"/>
      <w:szCs w:val="28"/>
    </w:rPr>
  </w:style>
  <w:style w:type="paragraph" w:customStyle="1" w:styleId="COEHeading1">
    <w:name w:val="COE_Heading1"/>
    <w:basedOn w:val="Normal"/>
    <w:link w:val="COEHeading1Char"/>
    <w:autoRedefine/>
    <w:rsid w:val="005E3DE3"/>
    <w:rPr>
      <w:rFonts w:eastAsia="Times New Roman"/>
      <w:b/>
      <w:sz w:val="24"/>
      <w:szCs w:val="32"/>
    </w:rPr>
  </w:style>
  <w:style w:type="character" w:customStyle="1" w:styleId="COEHeading1Char">
    <w:name w:val="COE_Heading1 Char"/>
    <w:link w:val="COEHeading1"/>
    <w:rsid w:val="005E3DE3"/>
    <w:rPr>
      <w:rFonts w:ascii="Arial" w:eastAsia="Times New Roman" w:hAnsi="Arial"/>
      <w:b/>
      <w:sz w:val="24"/>
      <w:szCs w:val="32"/>
      <w:lang w:eastAsia="en-US"/>
    </w:rPr>
  </w:style>
  <w:style w:type="paragraph" w:customStyle="1" w:styleId="COEHeading2">
    <w:name w:val="COE_Heading2"/>
    <w:basedOn w:val="Normal"/>
    <w:link w:val="COEHeading2Char"/>
    <w:autoRedefine/>
    <w:rsid w:val="005E3DE3"/>
    <w:rPr>
      <w:rFonts w:ascii="Verdana" w:eastAsia="Times New Roman" w:hAnsi="Verdana"/>
      <w:b/>
      <w:szCs w:val="28"/>
    </w:rPr>
  </w:style>
  <w:style w:type="paragraph" w:customStyle="1" w:styleId="COEHeading3">
    <w:name w:val="COE_Heading3"/>
    <w:basedOn w:val="Normal"/>
    <w:autoRedefine/>
    <w:rsid w:val="005E3DE3"/>
    <w:pPr>
      <w:outlineLvl w:val="2"/>
    </w:pPr>
    <w:rPr>
      <w:rFonts w:ascii="Helvetica" w:eastAsia="Times New Roman" w:hAnsi="Helvetica"/>
      <w:i/>
      <w:szCs w:val="24"/>
      <w:lang w:eastAsia="fr-FR"/>
    </w:rPr>
  </w:style>
  <w:style w:type="paragraph" w:customStyle="1" w:styleId="COENoLignes">
    <w:name w:val="COE_NoLignes"/>
    <w:link w:val="COENoLignesChar"/>
    <w:rsid w:val="005E3DE3"/>
    <w:rPr>
      <w:rFonts w:ascii="Arial" w:eastAsia="Times New Roman" w:hAnsi="Arial"/>
      <w:lang w:val="en-US" w:eastAsia="en-US"/>
    </w:rPr>
  </w:style>
  <w:style w:type="character" w:customStyle="1" w:styleId="COENoLignesChar">
    <w:name w:val="COE_NoLignes Char"/>
    <w:link w:val="COENoLignes"/>
    <w:rsid w:val="005E3DE3"/>
    <w:rPr>
      <w:rFonts w:ascii="Arial" w:eastAsia="Times New Roman" w:hAnsi="Arial"/>
      <w:lang w:val="en-US" w:eastAsia="en-US"/>
    </w:rPr>
  </w:style>
  <w:style w:type="paragraph" w:customStyle="1" w:styleId="COETitre">
    <w:name w:val="COE_Titre"/>
    <w:basedOn w:val="Normal"/>
    <w:link w:val="COETitreChar"/>
    <w:rsid w:val="005E3DE3"/>
    <w:pPr>
      <w:spacing w:before="360" w:after="240"/>
    </w:pPr>
    <w:rPr>
      <w:rFonts w:eastAsia="Times New Roman"/>
      <w:sz w:val="36"/>
      <w:szCs w:val="36"/>
      <w:lang w:val="fr-FR" w:eastAsia="fr-FR"/>
    </w:rPr>
  </w:style>
  <w:style w:type="character" w:customStyle="1" w:styleId="COETitreChar">
    <w:name w:val="COE_Titre Char"/>
    <w:link w:val="COETitre"/>
    <w:rsid w:val="005E3DE3"/>
    <w:rPr>
      <w:rFonts w:ascii="Arial" w:eastAsia="Times New Roman" w:hAnsi="Arial"/>
      <w:sz w:val="36"/>
      <w:szCs w:val="36"/>
      <w:lang w:val="fr-FR" w:eastAsia="fr-FR"/>
    </w:rPr>
  </w:style>
  <w:style w:type="paragraph" w:customStyle="1" w:styleId="COEType">
    <w:name w:val="COE_Type"/>
    <w:basedOn w:val="Normal"/>
    <w:rsid w:val="005E3DE3"/>
    <w:pPr>
      <w:spacing w:before="240"/>
    </w:pPr>
    <w:rPr>
      <w:rFonts w:eastAsia="Times New Roman"/>
      <w:b/>
      <w:sz w:val="28"/>
      <w:szCs w:val="28"/>
      <w:lang w:val="fr-FR" w:eastAsia="fr-FR"/>
    </w:rPr>
  </w:style>
  <w:style w:type="paragraph" w:customStyle="1" w:styleId="COEWord">
    <w:name w:val="COE_Word"/>
    <w:basedOn w:val="Normal"/>
    <w:rsid w:val="005E3DE3"/>
    <w:pPr>
      <w:jc w:val="right"/>
    </w:pPr>
    <w:rPr>
      <w:rFonts w:eastAsia="Times New Roman"/>
      <w:i/>
      <w:iCs/>
      <w:szCs w:val="24"/>
      <w:lang w:val="fr-FR" w:eastAsia="fr-FR"/>
    </w:rPr>
  </w:style>
  <w:style w:type="paragraph" w:customStyle="1" w:styleId="COESource">
    <w:name w:val="COE_Source"/>
    <w:basedOn w:val="Normal"/>
    <w:link w:val="COESourceChar"/>
    <w:autoRedefine/>
    <w:rsid w:val="005E3DE3"/>
    <w:rPr>
      <w:rFonts w:eastAsia="Times New Roman"/>
      <w:sz w:val="16"/>
      <w:szCs w:val="18"/>
      <w:lang w:val="fr-FR" w:eastAsia="fr-FR"/>
    </w:rPr>
  </w:style>
  <w:style w:type="character" w:customStyle="1" w:styleId="COESourceChar">
    <w:name w:val="COE_Source Char"/>
    <w:link w:val="COESource"/>
    <w:rsid w:val="005E3DE3"/>
    <w:rPr>
      <w:rFonts w:ascii="Arial" w:eastAsia="Times New Roman" w:hAnsi="Arial"/>
      <w:sz w:val="16"/>
      <w:szCs w:val="18"/>
      <w:lang w:val="fr-FR" w:eastAsia="fr-FR"/>
    </w:rPr>
  </w:style>
  <w:style w:type="paragraph" w:customStyle="1" w:styleId="CMAuthor">
    <w:name w:val="CM_Author"/>
    <w:basedOn w:val="COEEnceinte"/>
    <w:qFormat/>
    <w:rsid w:val="005E3DE3"/>
    <w:pPr>
      <w:suppressLineNumbers/>
      <w:tabs>
        <w:tab w:val="center" w:pos="4513"/>
        <w:tab w:val="right" w:pos="9027"/>
      </w:tabs>
      <w:suppressAutoHyphens/>
      <w:spacing w:before="0"/>
    </w:pPr>
    <w:rPr>
      <w:rFonts w:ascii="Times New Roman" w:hAnsi="Times New Roman"/>
      <w:b/>
      <w:szCs w:val="24"/>
      <w:lang w:val="en-GB"/>
    </w:rPr>
  </w:style>
  <w:style w:type="paragraph" w:customStyle="1" w:styleId="CMCote">
    <w:name w:val="CM_Cote"/>
    <w:basedOn w:val="Normal"/>
    <w:qFormat/>
    <w:rsid w:val="005E3DE3"/>
    <w:pPr>
      <w:spacing w:before="120"/>
    </w:pPr>
    <w:rPr>
      <w:rFonts w:eastAsia="Times New Roman"/>
      <w:b/>
      <w:sz w:val="22"/>
      <w:lang w:eastAsia="fr-FR"/>
    </w:rPr>
  </w:style>
  <w:style w:type="paragraph" w:customStyle="1" w:styleId="CMTitle">
    <w:name w:val="CM_Title"/>
    <w:basedOn w:val="COETitre"/>
    <w:link w:val="CMTitleChar"/>
    <w:autoRedefine/>
    <w:qFormat/>
    <w:rsid w:val="005E3DE3"/>
    <w:pPr>
      <w:spacing w:before="0" w:after="0"/>
    </w:pPr>
    <w:rPr>
      <w:b/>
      <w:szCs w:val="32"/>
      <w:lang w:val="en-GB"/>
    </w:rPr>
  </w:style>
  <w:style w:type="character" w:customStyle="1" w:styleId="CMTitleChar">
    <w:name w:val="CM_Title Char"/>
    <w:link w:val="CMTitle"/>
    <w:rsid w:val="005E3DE3"/>
    <w:rPr>
      <w:rFonts w:ascii="Arial" w:eastAsia="Times New Roman" w:hAnsi="Arial"/>
      <w:b/>
      <w:sz w:val="36"/>
      <w:szCs w:val="32"/>
      <w:lang w:eastAsia="fr-FR"/>
    </w:rPr>
  </w:style>
  <w:style w:type="paragraph" w:customStyle="1" w:styleId="CMDocType">
    <w:name w:val="CM_DocType"/>
    <w:basedOn w:val="CMTitle"/>
    <w:autoRedefine/>
    <w:qFormat/>
    <w:rsid w:val="005E3DE3"/>
    <w:rPr>
      <w:rFonts w:ascii="Verdana" w:hAnsi="Verdana"/>
      <w:sz w:val="32"/>
    </w:rPr>
  </w:style>
  <w:style w:type="paragraph" w:customStyle="1" w:styleId="CMEnceinte">
    <w:name w:val="CM_Enceinte"/>
    <w:basedOn w:val="COEEnceinte"/>
    <w:qFormat/>
    <w:rsid w:val="005E3DE3"/>
    <w:pPr>
      <w:suppressLineNumbers/>
      <w:tabs>
        <w:tab w:val="center" w:pos="4513"/>
        <w:tab w:val="right" w:pos="9027"/>
      </w:tabs>
      <w:suppressAutoHyphens/>
      <w:spacing w:before="0"/>
    </w:pPr>
    <w:rPr>
      <w:rFonts w:ascii="Times New Roman" w:hAnsi="Times New Roman"/>
      <w:b/>
      <w:szCs w:val="24"/>
      <w:lang w:val="en-GB"/>
    </w:rPr>
  </w:style>
  <w:style w:type="paragraph" w:customStyle="1" w:styleId="CMhLine">
    <w:name w:val="CM_hLine"/>
    <w:basedOn w:val="CMTitle"/>
    <w:qFormat/>
    <w:rsid w:val="005E3DE3"/>
    <w:pPr>
      <w:pBdr>
        <w:bottom w:val="single" w:sz="18" w:space="1" w:color="auto"/>
      </w:pBdr>
      <w:spacing w:after="240"/>
      <w:ind w:right="5243"/>
    </w:pPr>
    <w:rPr>
      <w:sz w:val="22"/>
    </w:rPr>
  </w:style>
  <w:style w:type="paragraph" w:customStyle="1" w:styleId="CMLinkedDocs">
    <w:name w:val="CM_LinkedDocs"/>
    <w:basedOn w:val="Normal"/>
    <w:rsid w:val="005E3DE3"/>
    <w:rPr>
      <w:rFonts w:eastAsia="Times New Roman"/>
      <w:sz w:val="16"/>
      <w:szCs w:val="24"/>
      <w:lang w:eastAsia="fr-FR"/>
    </w:rPr>
  </w:style>
  <w:style w:type="paragraph" w:customStyle="1" w:styleId="CMMainSubTitle">
    <w:name w:val="CM_MainSubTitle"/>
    <w:basedOn w:val="Normal"/>
    <w:autoRedefine/>
    <w:rsid w:val="005E3DE3"/>
    <w:rPr>
      <w:rFonts w:eastAsia="Times New Roman"/>
      <w:sz w:val="32"/>
      <w:szCs w:val="24"/>
      <w:lang w:eastAsia="fr-FR"/>
    </w:rPr>
  </w:style>
  <w:style w:type="paragraph" w:customStyle="1" w:styleId="CMRevision">
    <w:name w:val="CM_Revision"/>
    <w:basedOn w:val="Normal"/>
    <w:link w:val="CMRevisionChar"/>
    <w:rsid w:val="005E3DE3"/>
    <w:rPr>
      <w:rFonts w:eastAsia="Times New Roman" w:cs="Arial"/>
      <w:color w:val="FF0000"/>
      <w:szCs w:val="20"/>
      <w:shd w:val="clear" w:color="auto" w:fill="D9D9D9"/>
    </w:rPr>
  </w:style>
  <w:style w:type="character" w:customStyle="1" w:styleId="CMRevisionChar">
    <w:name w:val="CM_Revision Char"/>
    <w:link w:val="CMRevision"/>
    <w:rsid w:val="005E3DE3"/>
    <w:rPr>
      <w:rFonts w:ascii="Arial" w:eastAsia="Times New Roman" w:hAnsi="Arial" w:cs="Arial"/>
      <w:color w:val="FF0000"/>
      <w:lang w:eastAsia="en-US"/>
    </w:rPr>
  </w:style>
  <w:style w:type="paragraph" w:customStyle="1" w:styleId="CMRevisionInside">
    <w:name w:val="CM_RevisionInside"/>
    <w:basedOn w:val="Normal"/>
    <w:link w:val="CMRevisionInsideCharChar"/>
    <w:rsid w:val="005E3DE3"/>
    <w:rPr>
      <w:rFonts w:eastAsia="Times New Roman"/>
      <w:color w:val="FF0000"/>
      <w:szCs w:val="24"/>
      <w:shd w:val="clear" w:color="auto" w:fill="D9D9D9"/>
      <w:lang w:eastAsia="fr-FR"/>
    </w:rPr>
  </w:style>
  <w:style w:type="character" w:customStyle="1" w:styleId="CMRevisionInsideCharChar">
    <w:name w:val="CM_RevisionInside Char Char"/>
    <w:link w:val="CMRevisionInside"/>
    <w:rsid w:val="005E3DE3"/>
    <w:rPr>
      <w:rFonts w:ascii="Arial" w:eastAsia="Times New Roman" w:hAnsi="Arial"/>
      <w:color w:val="FF0000"/>
      <w:szCs w:val="24"/>
      <w:lang w:eastAsia="fr-FR"/>
    </w:rPr>
  </w:style>
  <w:style w:type="paragraph" w:customStyle="1" w:styleId="CMSubTitle">
    <w:name w:val="CM_SubTitle"/>
    <w:basedOn w:val="Normal"/>
    <w:link w:val="CMSubTitleChar"/>
    <w:qFormat/>
    <w:rsid w:val="005E3DE3"/>
    <w:rPr>
      <w:rFonts w:eastAsia="Times New Roman"/>
      <w:sz w:val="22"/>
      <w:lang w:eastAsia="fr-FR"/>
    </w:rPr>
  </w:style>
  <w:style w:type="character" w:customStyle="1" w:styleId="CMSubTitleChar">
    <w:name w:val="CM_SubTitle Char"/>
    <w:link w:val="CMSubTitle"/>
    <w:rsid w:val="005E3DE3"/>
    <w:rPr>
      <w:rFonts w:ascii="Arial" w:eastAsia="Times New Roman" w:hAnsi="Arial"/>
      <w:sz w:val="22"/>
      <w:szCs w:val="22"/>
      <w:lang w:eastAsia="fr-FR"/>
    </w:rPr>
  </w:style>
  <w:style w:type="paragraph" w:customStyle="1" w:styleId="COEAbstract">
    <w:name w:val="COE_Abstract"/>
    <w:link w:val="COEAbstractChar"/>
    <w:rsid w:val="005E3DE3"/>
    <w:pPr>
      <w:spacing w:before="120" w:after="120"/>
    </w:pPr>
    <w:rPr>
      <w:rFonts w:ascii="Verdana" w:eastAsia="Times New Roman" w:hAnsi="Verdana"/>
      <w:lang w:val="fr-FR" w:eastAsia="en-US"/>
    </w:rPr>
  </w:style>
  <w:style w:type="character" w:customStyle="1" w:styleId="COEAbstractChar">
    <w:name w:val="COE_Abstract Char"/>
    <w:link w:val="COEAbstract"/>
    <w:rsid w:val="005E3DE3"/>
    <w:rPr>
      <w:rFonts w:ascii="Verdana" w:eastAsia="Times New Roman" w:hAnsi="Verdana"/>
      <w:lang w:val="fr-FR" w:eastAsia="en-US"/>
    </w:rPr>
  </w:style>
  <w:style w:type="paragraph" w:customStyle="1" w:styleId="COEBullet">
    <w:name w:val="COE_Bullet"/>
    <w:basedOn w:val="Normal"/>
    <w:rsid w:val="005E3DE3"/>
    <w:pPr>
      <w:numPr>
        <w:numId w:val="4"/>
      </w:numPr>
      <w:spacing w:after="60"/>
    </w:pPr>
    <w:rPr>
      <w:rFonts w:eastAsia="Times New Roman"/>
      <w:szCs w:val="24"/>
      <w:lang w:val="fr-FR" w:eastAsia="fr-FR"/>
    </w:rPr>
  </w:style>
  <w:style w:type="paragraph" w:customStyle="1" w:styleId="COEDate">
    <w:name w:val="COE_Date"/>
    <w:next w:val="Normal"/>
    <w:rsid w:val="005E3DE3"/>
    <w:pPr>
      <w:spacing w:before="120" w:after="120"/>
    </w:pPr>
    <w:rPr>
      <w:rFonts w:ascii="Verdana" w:eastAsia="Times New Roman" w:hAnsi="Verdana"/>
      <w:b/>
      <w:color w:val="808080"/>
      <w:szCs w:val="22"/>
      <w:lang w:val="en-US" w:eastAsia="fr-FR"/>
    </w:rPr>
  </w:style>
  <w:style w:type="paragraph" w:customStyle="1" w:styleId="COEFootnote">
    <w:name w:val="COE_Footnote"/>
    <w:basedOn w:val="Normal"/>
    <w:next w:val="Normal"/>
    <w:rsid w:val="005E3DE3"/>
    <w:pPr>
      <w:spacing w:before="60" w:after="60"/>
    </w:pPr>
    <w:rPr>
      <w:rFonts w:eastAsia="Times New Roman"/>
      <w:i/>
      <w:szCs w:val="24"/>
      <w:lang w:val="fr-FR" w:eastAsia="fr-FR"/>
    </w:rPr>
  </w:style>
  <w:style w:type="paragraph" w:customStyle="1" w:styleId="COEHeading4">
    <w:name w:val="COE_Heading4"/>
    <w:basedOn w:val="Normal"/>
    <w:next w:val="Normal"/>
    <w:rsid w:val="005E3DE3"/>
    <w:pPr>
      <w:numPr>
        <w:ilvl w:val="3"/>
        <w:numId w:val="5"/>
      </w:numPr>
    </w:pPr>
    <w:rPr>
      <w:rFonts w:eastAsia="Times New Roman"/>
      <w:szCs w:val="24"/>
      <w:lang w:val="fr-FR" w:eastAsia="fr-FR"/>
    </w:rPr>
  </w:style>
  <w:style w:type="paragraph" w:customStyle="1" w:styleId="COEIMGPROTECTED">
    <w:name w:val="COE_IMG_PROTECTED"/>
    <w:basedOn w:val="Normal"/>
    <w:rsid w:val="005E3DE3"/>
    <w:pPr>
      <w:jc w:val="center"/>
    </w:pPr>
    <w:rPr>
      <w:rFonts w:eastAsia="Times New Roman"/>
      <w:szCs w:val="24"/>
      <w:lang w:val="fr-FR" w:eastAsia="fr-FR"/>
    </w:rPr>
  </w:style>
  <w:style w:type="paragraph" w:customStyle="1" w:styleId="COEInconnu">
    <w:name w:val="COE_Inconnu"/>
    <w:basedOn w:val="COEType"/>
    <w:rsid w:val="005E3DE3"/>
    <w:pPr>
      <w:spacing w:before="120"/>
    </w:pPr>
    <w:rPr>
      <w:i/>
      <w:color w:val="99CC00"/>
      <w:sz w:val="24"/>
    </w:rPr>
  </w:style>
  <w:style w:type="paragraph" w:customStyle="1" w:styleId="COELegende">
    <w:name w:val="COE_Legende"/>
    <w:basedOn w:val="Normal"/>
    <w:rsid w:val="005E3DE3"/>
    <w:rPr>
      <w:rFonts w:eastAsia="Times New Roman"/>
      <w:i/>
      <w:color w:val="999999"/>
      <w:szCs w:val="24"/>
      <w:lang w:val="fr-FR" w:eastAsia="fr-FR"/>
    </w:rPr>
  </w:style>
  <w:style w:type="paragraph" w:customStyle="1" w:styleId="COELignes">
    <w:name w:val="COE_Lignes"/>
    <w:basedOn w:val="Normal"/>
    <w:rsid w:val="005E3DE3"/>
    <w:rPr>
      <w:rFonts w:eastAsia="Times New Roman"/>
      <w:szCs w:val="24"/>
      <w:lang w:val="en-US"/>
    </w:rPr>
  </w:style>
  <w:style w:type="paragraph" w:customStyle="1" w:styleId="COEList">
    <w:name w:val="COE_List"/>
    <w:basedOn w:val="Normal"/>
    <w:rsid w:val="005E3DE3"/>
    <w:pPr>
      <w:spacing w:after="60"/>
    </w:pPr>
    <w:rPr>
      <w:rFonts w:eastAsia="Times New Roman"/>
      <w:szCs w:val="24"/>
      <w:lang w:val="fr-FR" w:eastAsia="fr-FR"/>
    </w:rPr>
  </w:style>
  <w:style w:type="paragraph" w:customStyle="1" w:styleId="COEMedium">
    <w:name w:val="COE_Medium"/>
    <w:rsid w:val="005E3DE3"/>
    <w:pPr>
      <w:spacing w:before="120" w:after="60"/>
      <w:jc w:val="both"/>
    </w:pPr>
    <w:rPr>
      <w:rFonts w:ascii="Verdana" w:eastAsia="Times New Roman" w:hAnsi="Verdana"/>
      <w:b/>
      <w:sz w:val="24"/>
      <w:szCs w:val="24"/>
      <w:lang w:val="fr-FR" w:eastAsia="fr-FR"/>
    </w:rPr>
  </w:style>
  <w:style w:type="paragraph" w:customStyle="1" w:styleId="COESousTitre">
    <w:name w:val="COE_SousTitre"/>
    <w:next w:val="Normal"/>
    <w:link w:val="COESousTitreChar"/>
    <w:rsid w:val="005E3DE3"/>
    <w:pPr>
      <w:spacing w:before="240" w:after="120"/>
    </w:pPr>
    <w:rPr>
      <w:rFonts w:ascii="Verdana" w:eastAsia="Times New Roman" w:hAnsi="Verdana"/>
      <w:sz w:val="28"/>
      <w:szCs w:val="28"/>
      <w:lang w:val="fr-FR" w:eastAsia="fr-FR"/>
    </w:rPr>
  </w:style>
  <w:style w:type="character" w:customStyle="1" w:styleId="COESousTitreChar">
    <w:name w:val="COE_SousTitre Char"/>
    <w:link w:val="COESousTitre"/>
    <w:rsid w:val="005E3DE3"/>
    <w:rPr>
      <w:rFonts w:ascii="Verdana" w:eastAsia="Times New Roman" w:hAnsi="Verdana"/>
      <w:sz w:val="28"/>
      <w:szCs w:val="28"/>
      <w:lang w:val="fr-FR" w:eastAsia="fr-FR"/>
    </w:rPr>
  </w:style>
  <w:style w:type="paragraph" w:customStyle="1" w:styleId="Style1">
    <w:name w:val="Style1"/>
    <w:basedOn w:val="COEHeading1"/>
    <w:link w:val="Style1Char"/>
    <w:autoRedefine/>
    <w:qFormat/>
    <w:rsid w:val="005E3DE3"/>
    <w:rPr>
      <w:sz w:val="28"/>
    </w:rPr>
  </w:style>
  <w:style w:type="paragraph" w:customStyle="1" w:styleId="StyleCMAuthorGray-50">
    <w:name w:val="Style CM_Author + Gray-50%"/>
    <w:basedOn w:val="CMAuthor"/>
    <w:autoRedefine/>
    <w:rsid w:val="005E3DE3"/>
    <w:rPr>
      <w:bCs/>
      <w:iCs/>
    </w:rPr>
  </w:style>
  <w:style w:type="paragraph" w:customStyle="1" w:styleId="CMNormal">
    <w:name w:val="CM_Normal"/>
    <w:basedOn w:val="Normal"/>
    <w:rsid w:val="005E3DE3"/>
    <w:rPr>
      <w:rFonts w:eastAsia="Times New Roman" w:cs="Arial"/>
      <w:color w:val="000000"/>
      <w:szCs w:val="20"/>
      <w:lang w:eastAsia="fr-FR"/>
    </w:rPr>
  </w:style>
  <w:style w:type="paragraph" w:customStyle="1" w:styleId="CMRightAlign">
    <w:name w:val="CM_RightAlign"/>
    <w:basedOn w:val="Normal"/>
    <w:rsid w:val="005E3DE3"/>
    <w:pPr>
      <w:jc w:val="right"/>
    </w:pPr>
    <w:rPr>
      <w:rFonts w:eastAsia="Times New Roman" w:cs="Arial"/>
      <w:color w:val="000000"/>
      <w:szCs w:val="20"/>
      <w:lang w:eastAsia="fr-FR"/>
    </w:rPr>
  </w:style>
  <w:style w:type="paragraph" w:customStyle="1" w:styleId="COETitleSystem">
    <w:name w:val="COE_Title(System)"/>
    <w:basedOn w:val="Normal"/>
    <w:next w:val="Normal"/>
    <w:rsid w:val="005E3DE3"/>
    <w:rPr>
      <w:rFonts w:ascii="Verdana" w:eastAsia="Times New Roman" w:hAnsi="Verdana"/>
      <w:bCs/>
      <w:color w:val="808080"/>
      <w:sz w:val="26"/>
      <w:szCs w:val="24"/>
      <w:lang w:val="fr-FR" w:eastAsia="fr-FR"/>
    </w:rPr>
  </w:style>
  <w:style w:type="paragraph" w:customStyle="1" w:styleId="COETitleBrowser">
    <w:name w:val="COE_Title(Browser)"/>
    <w:basedOn w:val="COETitleSystem"/>
    <w:next w:val="Normal"/>
    <w:rsid w:val="005E3DE3"/>
    <w:rPr>
      <w:color w:val="C0C0C0"/>
      <w:sz w:val="16"/>
    </w:rPr>
  </w:style>
  <w:style w:type="paragraph" w:customStyle="1" w:styleId="COEWCDSearchParams">
    <w:name w:val="COE_WCD_SearchParams"/>
    <w:basedOn w:val="Normal"/>
    <w:autoRedefine/>
    <w:rsid w:val="005E3DE3"/>
    <w:rPr>
      <w:rFonts w:ascii="Verdana" w:eastAsia="Times New Roman" w:hAnsi="Verdana"/>
      <w:szCs w:val="24"/>
    </w:rPr>
  </w:style>
  <w:style w:type="paragraph" w:customStyle="1" w:styleId="Style2">
    <w:name w:val="Style2"/>
    <w:basedOn w:val="COEHeading2"/>
    <w:link w:val="Style2Char"/>
    <w:qFormat/>
    <w:rsid w:val="005E3DE3"/>
    <w:rPr>
      <w:rFonts w:ascii="Arial" w:hAnsi="Arial"/>
    </w:rPr>
  </w:style>
  <w:style w:type="character" w:styleId="LineNumber">
    <w:name w:val="line number"/>
    <w:basedOn w:val="DefaultParagraphFont"/>
    <w:rsid w:val="005E3DE3"/>
  </w:style>
  <w:style w:type="character" w:customStyle="1" w:styleId="txtterm1">
    <w:name w:val="txtterm1"/>
    <w:rsid w:val="005E3DE3"/>
    <w:rPr>
      <w:rFonts w:ascii="Times New Roman" w:hAnsi="Times New Roman" w:cs="Times New Roman" w:hint="default"/>
      <w:b/>
      <w:bCs/>
      <w:color w:val="000000"/>
      <w:sz w:val="22"/>
      <w:szCs w:val="22"/>
    </w:rPr>
  </w:style>
  <w:style w:type="paragraph" w:customStyle="1" w:styleId="cmsubtitle0">
    <w:name w:val="cm_subtitle"/>
    <w:basedOn w:val="Normal"/>
    <w:rsid w:val="005E3DE3"/>
    <w:rPr>
      <w:rFonts w:ascii="Verdana" w:eastAsia="Times New Roman" w:hAnsi="Verdana"/>
      <w:color w:val="013870"/>
      <w:szCs w:val="20"/>
      <w:lang w:val="en-US"/>
    </w:rPr>
  </w:style>
  <w:style w:type="paragraph" w:customStyle="1" w:styleId="Listeafsnit">
    <w:name w:val="Listeafsnit"/>
    <w:basedOn w:val="Normal"/>
    <w:uiPriority w:val="34"/>
    <w:qFormat/>
    <w:rsid w:val="005E3DE3"/>
    <w:pPr>
      <w:ind w:left="1304"/>
    </w:pPr>
    <w:rPr>
      <w:rFonts w:ascii="Times New Roman" w:eastAsia="Times New Roman" w:hAnsi="Times New Roman"/>
      <w:sz w:val="24"/>
      <w:szCs w:val="24"/>
      <w:lang w:val="en-US"/>
    </w:rPr>
  </w:style>
  <w:style w:type="paragraph" w:customStyle="1" w:styleId="NormalWeb1">
    <w:name w:val="Normal (Web)1"/>
    <w:rsid w:val="005E3DE3"/>
    <w:pPr>
      <w:spacing w:before="150" w:after="150"/>
    </w:pPr>
    <w:rPr>
      <w:rFonts w:ascii="Times New Roman" w:eastAsia="ヒラギノ角ゴ Pro W3" w:hAnsi="Times New Roman"/>
      <w:color w:val="000000"/>
      <w:sz w:val="24"/>
      <w:lang w:val="en-US"/>
    </w:rPr>
  </w:style>
  <w:style w:type="paragraph" w:customStyle="1" w:styleId="Car">
    <w:name w:val="Car"/>
    <w:basedOn w:val="Normal"/>
    <w:rsid w:val="005E3DE3"/>
    <w:rPr>
      <w:rFonts w:ascii="Times New Roman" w:eastAsia="Times New Roman" w:hAnsi="Times New Roman"/>
      <w:szCs w:val="24"/>
      <w:lang w:val="pl-PL" w:eastAsia="pl-PL"/>
    </w:rPr>
  </w:style>
  <w:style w:type="paragraph" w:customStyle="1" w:styleId="BalloonText1">
    <w:name w:val="Balloon Text1"/>
    <w:basedOn w:val="Normal"/>
    <w:semiHidden/>
    <w:rsid w:val="005E3DE3"/>
    <w:rPr>
      <w:rFonts w:ascii="Tahoma" w:eastAsia="Times New Roman" w:hAnsi="Tahoma" w:cs="Tahoma"/>
      <w:sz w:val="16"/>
      <w:szCs w:val="16"/>
      <w:lang w:eastAsia="fr-FR"/>
    </w:rPr>
  </w:style>
  <w:style w:type="paragraph" w:customStyle="1" w:styleId="Adressedelexpditeur">
    <w:name w:val="Adresse de l'expéditeur"/>
    <w:basedOn w:val="Normal"/>
    <w:rsid w:val="005E3DE3"/>
    <w:rPr>
      <w:rFonts w:ascii="Times New Roman" w:eastAsia="Times New Roman" w:hAnsi="Times New Roman"/>
      <w:szCs w:val="20"/>
      <w:lang w:val="fr-FR"/>
    </w:rPr>
  </w:style>
  <w:style w:type="paragraph" w:customStyle="1" w:styleId="COEParagraphn">
    <w:name w:val="COE_Paragraph_n"/>
    <w:basedOn w:val="Normal"/>
    <w:rsid w:val="005E3DE3"/>
    <w:pPr>
      <w:numPr>
        <w:numId w:val="5"/>
      </w:numPr>
      <w:spacing w:before="240" w:after="120"/>
      <w:jc w:val="both"/>
    </w:pPr>
    <w:rPr>
      <w:rFonts w:ascii="Times New Roman" w:eastAsia="Times New Roman" w:hAnsi="Times New Roman"/>
      <w:szCs w:val="24"/>
      <w:lang w:eastAsia="fr-FR"/>
    </w:rPr>
  </w:style>
  <w:style w:type="paragraph" w:customStyle="1" w:styleId="COEHeading5">
    <w:name w:val="COE_Heading5"/>
    <w:basedOn w:val="Normal"/>
    <w:next w:val="Normal"/>
    <w:rsid w:val="005E3DE3"/>
    <w:pPr>
      <w:numPr>
        <w:numId w:val="6"/>
      </w:numPr>
      <w:tabs>
        <w:tab w:val="clear" w:pos="1440"/>
        <w:tab w:val="num" w:pos="360"/>
      </w:tabs>
      <w:ind w:left="360" w:right="-750" w:hanging="360"/>
      <w:jc w:val="both"/>
    </w:pPr>
    <w:rPr>
      <w:rFonts w:ascii="Times New Roman" w:eastAsia="Times New Roman" w:hAnsi="Times New Roman"/>
      <w:szCs w:val="24"/>
      <w:lang w:val="en-US" w:eastAsia="fr-FR"/>
    </w:rPr>
  </w:style>
  <w:style w:type="paragraph" w:customStyle="1" w:styleId="CommentSubject1">
    <w:name w:val="Comment Subject1"/>
    <w:basedOn w:val="CommentText"/>
    <w:next w:val="CommentText"/>
    <w:semiHidden/>
    <w:rsid w:val="005E3DE3"/>
    <w:rPr>
      <w:rFonts w:ascii="Times" w:eastAsia="Times" w:hAnsi="Times"/>
      <w:b/>
      <w:bCs/>
      <w:sz w:val="20"/>
      <w:szCs w:val="20"/>
    </w:rPr>
  </w:style>
  <w:style w:type="paragraph" w:customStyle="1" w:styleId="Heading3-drugi">
    <w:name w:val="Heading 3 - drugi"/>
    <w:basedOn w:val="Heading3"/>
    <w:rsid w:val="005E3DE3"/>
    <w:pPr>
      <w:widowControl/>
      <w:tabs>
        <w:tab w:val="clear" w:pos="567"/>
      </w:tabs>
      <w:adjustRightInd w:val="0"/>
      <w:spacing w:before="240" w:after="60" w:line="360" w:lineRule="atLeast"/>
      <w:jc w:val="both"/>
      <w:textAlignment w:val="baseline"/>
    </w:pPr>
    <w:rPr>
      <w:rFonts w:ascii="Times New Roman" w:hAnsi="Times New Roman"/>
      <w:bCs/>
      <w:caps w:val="0"/>
      <w:color w:val="auto"/>
      <w:sz w:val="28"/>
      <w:szCs w:val="26"/>
      <w:lang w:val="en-US"/>
    </w:rPr>
  </w:style>
  <w:style w:type="paragraph" w:customStyle="1" w:styleId="CarCarChar">
    <w:name w:val="Car Car Char"/>
    <w:basedOn w:val="Normal"/>
    <w:rsid w:val="005E3DE3"/>
    <w:pPr>
      <w:spacing w:after="160" w:line="240" w:lineRule="exact"/>
    </w:pPr>
    <w:rPr>
      <w:rFonts w:eastAsia="Times New Roman" w:cs="Arial"/>
      <w:szCs w:val="20"/>
      <w:lang w:val="en-US"/>
    </w:rPr>
  </w:style>
  <w:style w:type="character" w:customStyle="1" w:styleId="mw-headline">
    <w:name w:val="mw-headline"/>
    <w:rsid w:val="005E3DE3"/>
  </w:style>
  <w:style w:type="character" w:customStyle="1" w:styleId="unicode">
    <w:name w:val="unicode"/>
    <w:rsid w:val="005E3DE3"/>
  </w:style>
  <w:style w:type="paragraph" w:customStyle="1" w:styleId="Listeavsnitt">
    <w:name w:val="Listeavsnitt"/>
    <w:basedOn w:val="Normal"/>
    <w:qFormat/>
    <w:rsid w:val="005E3DE3"/>
    <w:pPr>
      <w:ind w:left="708"/>
    </w:pPr>
    <w:rPr>
      <w:rFonts w:eastAsia="Times"/>
      <w:szCs w:val="20"/>
    </w:rPr>
  </w:style>
  <w:style w:type="paragraph" w:customStyle="1" w:styleId="Brevoverskrift">
    <w:name w:val="Brevoverskrift"/>
    <w:basedOn w:val="Normal"/>
    <w:next w:val="Normal"/>
    <w:rsid w:val="005E3DE3"/>
    <w:pPr>
      <w:spacing w:after="300"/>
    </w:pPr>
    <w:rPr>
      <w:rFonts w:ascii="DepCentury Old Style" w:eastAsia="Times New Roman" w:hAnsi="DepCentury Old Style"/>
      <w:b/>
      <w:sz w:val="28"/>
      <w:szCs w:val="20"/>
      <w:lang w:val="nb-NO"/>
    </w:rPr>
  </w:style>
  <w:style w:type="character" w:customStyle="1" w:styleId="A4">
    <w:name w:val="A4"/>
    <w:rsid w:val="005E3DE3"/>
    <w:rPr>
      <w:rFonts w:ascii="Myriad Pro" w:hAnsi="Myriad Pro" w:hint="default"/>
      <w:color w:val="000000"/>
      <w:lang w:val="en-GB"/>
    </w:rPr>
  </w:style>
  <w:style w:type="paragraph" w:customStyle="1" w:styleId="Listenabsatz1">
    <w:name w:val="Listenabsatz1"/>
    <w:basedOn w:val="Normal"/>
    <w:uiPriority w:val="34"/>
    <w:qFormat/>
    <w:rsid w:val="005E3DE3"/>
    <w:pPr>
      <w:ind w:left="708"/>
    </w:pPr>
    <w:rPr>
      <w:rFonts w:eastAsia="Times"/>
      <w:szCs w:val="20"/>
    </w:rPr>
  </w:style>
  <w:style w:type="character" w:customStyle="1" w:styleId="TextChar">
    <w:name w:val="Text Char"/>
    <w:link w:val="Text"/>
    <w:rsid w:val="005E3DE3"/>
    <w:rPr>
      <w:sz w:val="24"/>
      <w:szCs w:val="24"/>
      <w:lang w:val="cs-CZ" w:eastAsia="cs-CZ"/>
    </w:rPr>
  </w:style>
  <w:style w:type="paragraph" w:customStyle="1" w:styleId="Text">
    <w:name w:val="Text"/>
    <w:basedOn w:val="Normal"/>
    <w:link w:val="TextChar"/>
    <w:rsid w:val="005E3DE3"/>
    <w:pPr>
      <w:spacing w:before="120"/>
      <w:ind w:firstLine="851"/>
    </w:pPr>
    <w:rPr>
      <w:rFonts w:ascii="Calibri" w:hAnsi="Calibri"/>
      <w:sz w:val="24"/>
      <w:szCs w:val="24"/>
      <w:lang w:val="cs-CZ" w:eastAsia="cs-CZ"/>
    </w:rPr>
  </w:style>
  <w:style w:type="character" w:customStyle="1" w:styleId="COEHeading2Char">
    <w:name w:val="COE_Heading2 Char"/>
    <w:link w:val="COEHeading2"/>
    <w:rsid w:val="005E3DE3"/>
    <w:rPr>
      <w:rFonts w:ascii="Verdana" w:eastAsia="Times New Roman" w:hAnsi="Verdana"/>
      <w:b/>
      <w:szCs w:val="28"/>
      <w:lang w:eastAsia="en-US"/>
    </w:rPr>
  </w:style>
  <w:style w:type="paragraph" w:styleId="NoSpacing">
    <w:name w:val="No Spacing"/>
    <w:link w:val="NoSpacingChar"/>
    <w:uiPriority w:val="1"/>
    <w:qFormat/>
    <w:rsid w:val="005E3DE3"/>
    <w:rPr>
      <w:rFonts w:ascii="Arial" w:eastAsia="Times" w:hAnsi="Arial"/>
      <w:lang w:eastAsia="en-US"/>
    </w:rPr>
  </w:style>
  <w:style w:type="character" w:customStyle="1" w:styleId="underskriftChar">
    <w:name w:val="underskrift Char"/>
    <w:link w:val="underskrift"/>
    <w:locked/>
    <w:rsid w:val="005E3DE3"/>
    <w:rPr>
      <w:noProof/>
      <w:sz w:val="24"/>
      <w:lang w:eastAsia="en-US"/>
    </w:rPr>
  </w:style>
  <w:style w:type="paragraph" w:customStyle="1" w:styleId="underskrift">
    <w:name w:val="underskrift"/>
    <w:next w:val="Normal"/>
    <w:link w:val="underskriftChar"/>
    <w:rsid w:val="005E3DE3"/>
    <w:pPr>
      <w:spacing w:line="300" w:lineRule="exact"/>
      <w:ind w:left="5387"/>
    </w:pPr>
    <w:rPr>
      <w:noProof/>
      <w:sz w:val="24"/>
      <w:lang w:eastAsia="en-US"/>
    </w:rPr>
  </w:style>
  <w:style w:type="character" w:customStyle="1" w:styleId="Style1Char">
    <w:name w:val="Style1 Char"/>
    <w:link w:val="Style1"/>
    <w:locked/>
    <w:rsid w:val="005E3DE3"/>
    <w:rPr>
      <w:rFonts w:ascii="Arial" w:eastAsia="Times New Roman" w:hAnsi="Arial"/>
      <w:b/>
      <w:sz w:val="28"/>
      <w:szCs w:val="32"/>
      <w:lang w:eastAsia="en-US"/>
    </w:rPr>
  </w:style>
  <w:style w:type="character" w:customStyle="1" w:styleId="Style2Char">
    <w:name w:val="Style2 Char"/>
    <w:link w:val="Style2"/>
    <w:locked/>
    <w:rsid w:val="005E3DE3"/>
    <w:rPr>
      <w:rFonts w:ascii="Arial" w:eastAsia="Times New Roman" w:hAnsi="Arial"/>
      <w:b/>
      <w:szCs w:val="28"/>
      <w:lang w:eastAsia="en-US"/>
    </w:rPr>
  </w:style>
  <w:style w:type="paragraph" w:customStyle="1" w:styleId="StyleBefore3ptAfter3pt">
    <w:name w:val="Style Before:  3 pt After:  3 pt"/>
    <w:basedOn w:val="Normal"/>
    <w:rsid w:val="005E3DE3"/>
    <w:pPr>
      <w:numPr>
        <w:numId w:val="7"/>
      </w:numPr>
      <w:spacing w:after="120"/>
      <w:jc w:val="both"/>
    </w:pPr>
    <w:rPr>
      <w:rFonts w:ascii="Times New Roman" w:hAnsi="Times New Roman"/>
      <w:sz w:val="22"/>
      <w:szCs w:val="24"/>
    </w:rPr>
  </w:style>
  <w:style w:type="paragraph" w:customStyle="1" w:styleId="CharCharCharCharCharCharCharCharCharCharCharCharCharChar">
    <w:name w:val="Char Char Char Char Char Char Char Char Char Char Char Char Char Char"/>
    <w:basedOn w:val="Normal"/>
    <w:rsid w:val="005E3DE3"/>
    <w:pPr>
      <w:spacing w:after="160" w:line="240" w:lineRule="exact"/>
      <w:jc w:val="both"/>
    </w:pPr>
    <w:rPr>
      <w:rFonts w:eastAsia="Times New Roman" w:cs="Arial"/>
      <w:sz w:val="22"/>
      <w:szCs w:val="20"/>
      <w:lang w:val="en-US"/>
    </w:rPr>
  </w:style>
  <w:style w:type="character" w:customStyle="1" w:styleId="docheader1">
    <w:name w:val="doc_header1"/>
    <w:rsid w:val="005E3DE3"/>
    <w:rPr>
      <w:rFonts w:ascii="Times New Roman" w:hAnsi="Times New Roman" w:cs="Times New Roman" w:hint="default"/>
      <w:b/>
      <w:bCs/>
      <w:color w:val="000000"/>
      <w:sz w:val="24"/>
      <w:szCs w:val="24"/>
    </w:rPr>
  </w:style>
  <w:style w:type="paragraph" w:customStyle="1" w:styleId="Prrafodelista">
    <w:name w:val="Párrafo de lista"/>
    <w:basedOn w:val="Normal"/>
    <w:qFormat/>
    <w:rsid w:val="005E3DE3"/>
    <w:pPr>
      <w:spacing w:after="200"/>
      <w:ind w:left="720"/>
      <w:contextualSpacing/>
      <w:jc w:val="both"/>
    </w:pPr>
    <w:rPr>
      <w:rFonts w:ascii="Cambria" w:eastAsia="Cambria" w:hAnsi="Cambria"/>
      <w:sz w:val="24"/>
      <w:szCs w:val="24"/>
    </w:rPr>
  </w:style>
  <w:style w:type="paragraph" w:customStyle="1" w:styleId="Paragraphedeliste1">
    <w:name w:val="Paragraphe de liste1"/>
    <w:basedOn w:val="Normal"/>
    <w:qFormat/>
    <w:rsid w:val="005E3DE3"/>
    <w:pPr>
      <w:numPr>
        <w:numId w:val="13"/>
      </w:numPr>
      <w:suppressAutoHyphens/>
      <w:ind w:left="0" w:firstLine="0"/>
      <w:jc w:val="both"/>
    </w:pPr>
    <w:rPr>
      <w:rFonts w:eastAsia="MS Mincho"/>
      <w:sz w:val="22"/>
      <w:szCs w:val="24"/>
      <w:lang w:eastAsia="ar-SA"/>
    </w:rPr>
  </w:style>
  <w:style w:type="paragraph" w:styleId="ListNumber">
    <w:name w:val="List Number"/>
    <w:basedOn w:val="Normal"/>
    <w:rsid w:val="005E3DE3"/>
    <w:pPr>
      <w:numPr>
        <w:numId w:val="8"/>
      </w:numPr>
      <w:suppressAutoHyphens/>
      <w:spacing w:after="120"/>
      <w:jc w:val="both"/>
    </w:pPr>
    <w:rPr>
      <w:rFonts w:eastAsia="Times New Roman"/>
      <w:sz w:val="22"/>
      <w:szCs w:val="24"/>
      <w:lang w:val="en-US" w:eastAsia="ar-SA"/>
    </w:rPr>
  </w:style>
  <w:style w:type="paragraph" w:styleId="Caption">
    <w:name w:val="caption"/>
    <w:basedOn w:val="Normal"/>
    <w:next w:val="Normal"/>
    <w:qFormat/>
    <w:rsid w:val="005E3DE3"/>
    <w:pPr>
      <w:spacing w:after="120"/>
      <w:jc w:val="both"/>
    </w:pPr>
    <w:rPr>
      <w:rFonts w:eastAsia="Times New Roman"/>
      <w:b/>
      <w:bCs/>
      <w:sz w:val="22"/>
      <w:szCs w:val="20"/>
      <w:lang w:eastAsia="fr-FR"/>
    </w:rPr>
  </w:style>
  <w:style w:type="paragraph" w:customStyle="1" w:styleId="TOCHeading1">
    <w:name w:val="TOC Heading1"/>
    <w:basedOn w:val="Heading10"/>
    <w:next w:val="Normal"/>
    <w:uiPriority w:val="39"/>
    <w:unhideWhenUsed/>
    <w:qFormat/>
    <w:rsid w:val="005E3DE3"/>
    <w:pPr>
      <w:spacing w:line="276" w:lineRule="auto"/>
      <w:jc w:val="both"/>
      <w:outlineLvl w:val="9"/>
    </w:pPr>
    <w:rPr>
      <w:rFonts w:ascii="Cambria" w:eastAsia="MS Gothic" w:hAnsi="Cambria" w:cs="Times New Roman"/>
      <w:b w:val="0"/>
      <w:color w:val="365F91"/>
      <w:w w:val="105"/>
      <w:lang w:val="en-US" w:eastAsia="ja-JP"/>
    </w:rPr>
  </w:style>
  <w:style w:type="paragraph" w:customStyle="1" w:styleId="LDHeading1">
    <w:name w:val="LDHeading1"/>
    <w:basedOn w:val="Heading1"/>
    <w:link w:val="LDHeading1Char"/>
    <w:qFormat/>
    <w:rsid w:val="005E3DE3"/>
    <w:pPr>
      <w:numPr>
        <w:numId w:val="0"/>
      </w:numPr>
      <w:jc w:val="left"/>
    </w:pPr>
    <w:rPr>
      <w:smallCaps/>
    </w:rPr>
  </w:style>
  <w:style w:type="character" w:customStyle="1" w:styleId="LDHeading1Char">
    <w:name w:val="LDHeading1 Char"/>
    <w:link w:val="LDHeading1"/>
    <w:rsid w:val="005E3DE3"/>
    <w:rPr>
      <w:rFonts w:ascii="Arial" w:eastAsia="Times New Roman" w:hAnsi="Arial" w:cs="Arial"/>
      <w:b/>
      <w:bCs/>
      <w:caps/>
      <w:smallCaps/>
      <w:color w:val="17365D"/>
      <w:w w:val="105"/>
      <w:kern w:val="28"/>
      <w:sz w:val="24"/>
      <w:lang w:eastAsia="zh-CN"/>
    </w:rPr>
  </w:style>
  <w:style w:type="paragraph" w:customStyle="1" w:styleId="LDHeading3">
    <w:name w:val="LDHeading3"/>
    <w:basedOn w:val="Normal"/>
    <w:link w:val="LDHeading3Char"/>
    <w:qFormat/>
    <w:rsid w:val="005E3DE3"/>
    <w:pPr>
      <w:keepNext/>
      <w:widowControl w:val="0"/>
      <w:numPr>
        <w:numId w:val="12"/>
      </w:numPr>
      <w:tabs>
        <w:tab w:val="left" w:pos="-1134"/>
      </w:tabs>
      <w:spacing w:after="120"/>
      <w:ind w:right="284"/>
      <w:jc w:val="both"/>
      <w:outlineLvl w:val="1"/>
    </w:pPr>
    <w:rPr>
      <w:rFonts w:eastAsia="Times New Roman" w:cs="Arial"/>
      <w:b/>
      <w:color w:val="000000"/>
      <w:sz w:val="22"/>
      <w:szCs w:val="20"/>
      <w:lang w:eastAsia="fr-FR"/>
    </w:rPr>
  </w:style>
  <w:style w:type="character" w:customStyle="1" w:styleId="LDHeading3Char">
    <w:name w:val="LDHeading3 Char"/>
    <w:link w:val="LDHeading3"/>
    <w:rsid w:val="005E3DE3"/>
    <w:rPr>
      <w:rFonts w:ascii="Arial" w:eastAsia="Times New Roman" w:hAnsi="Arial" w:cs="Arial"/>
      <w:b/>
      <w:color w:val="000000"/>
      <w:sz w:val="22"/>
      <w:lang w:eastAsia="fr-FR"/>
    </w:rPr>
  </w:style>
  <w:style w:type="paragraph" w:customStyle="1" w:styleId="LDFakeHeading3">
    <w:name w:val="LDFakeHeading3"/>
    <w:basedOn w:val="LDHeading3"/>
    <w:link w:val="LDFakeHeading3Char"/>
    <w:qFormat/>
    <w:rsid w:val="005E3DE3"/>
    <w:pPr>
      <w:outlineLvl w:val="9"/>
    </w:pPr>
  </w:style>
  <w:style w:type="character" w:customStyle="1" w:styleId="LDFakeHeading3Char">
    <w:name w:val="LDFakeHeading3 Char"/>
    <w:link w:val="LDFakeHeading3"/>
    <w:rsid w:val="005E3DE3"/>
    <w:rPr>
      <w:rFonts w:ascii="Arial" w:eastAsia="Times New Roman" w:hAnsi="Arial" w:cs="Arial"/>
      <w:b/>
      <w:color w:val="000000"/>
      <w:sz w:val="22"/>
      <w:lang w:eastAsia="fr-FR"/>
    </w:rPr>
  </w:style>
  <w:style w:type="paragraph" w:styleId="List2">
    <w:name w:val="List 2"/>
    <w:basedOn w:val="Normal"/>
    <w:rsid w:val="005E3DE3"/>
    <w:pPr>
      <w:spacing w:after="120"/>
      <w:ind w:left="566" w:hanging="283"/>
      <w:contextualSpacing/>
      <w:jc w:val="both"/>
    </w:pPr>
    <w:rPr>
      <w:rFonts w:eastAsia="Times New Roman"/>
      <w:sz w:val="22"/>
      <w:szCs w:val="24"/>
      <w:lang w:eastAsia="fr-FR"/>
    </w:rPr>
  </w:style>
  <w:style w:type="numbering" w:customStyle="1" w:styleId="NoList11">
    <w:name w:val="No List11"/>
    <w:next w:val="NoList"/>
    <w:semiHidden/>
    <w:rsid w:val="005E3DE3"/>
  </w:style>
  <w:style w:type="paragraph" w:styleId="ListBullet2">
    <w:name w:val="List Bullet 2"/>
    <w:basedOn w:val="Normal"/>
    <w:rsid w:val="005E3DE3"/>
    <w:pPr>
      <w:numPr>
        <w:numId w:val="9"/>
      </w:numPr>
      <w:tabs>
        <w:tab w:val="clear" w:pos="643"/>
        <w:tab w:val="num" w:pos="720"/>
      </w:tabs>
      <w:ind w:left="720"/>
      <w:jc w:val="both"/>
    </w:pPr>
    <w:rPr>
      <w:rFonts w:ascii="Times New Roman" w:eastAsia="Times New Roman" w:hAnsi="Times New Roman"/>
      <w:sz w:val="22"/>
      <w:szCs w:val="20"/>
      <w:lang w:val="en-US"/>
    </w:rPr>
  </w:style>
  <w:style w:type="paragraph" w:customStyle="1" w:styleId="ParagraphNumberingChar">
    <w:name w:val="Paragraph Numbering Char"/>
    <w:basedOn w:val="Normal"/>
    <w:rsid w:val="005E3DE3"/>
    <w:pPr>
      <w:numPr>
        <w:numId w:val="10"/>
      </w:numPr>
      <w:spacing w:after="240"/>
      <w:jc w:val="both"/>
    </w:pPr>
    <w:rPr>
      <w:rFonts w:ascii="Times New Roman" w:eastAsia="Times New Roman" w:hAnsi="Times New Roman"/>
      <w:sz w:val="22"/>
      <w:lang w:val="en-US"/>
    </w:rPr>
  </w:style>
  <w:style w:type="paragraph" w:customStyle="1" w:styleId="PR">
    <w:name w:val="PR"/>
    <w:rsid w:val="005E3DE3"/>
    <w:pPr>
      <w:widowControl w:val="0"/>
      <w:tabs>
        <w:tab w:val="left" w:pos="0"/>
        <w:tab w:val="left" w:pos="708"/>
        <w:tab w:val="left" w:pos="991"/>
        <w:tab w:val="left" w:pos="1417"/>
      </w:tabs>
      <w:suppressAutoHyphens/>
      <w:jc w:val="both"/>
    </w:pPr>
    <w:rPr>
      <w:rFonts w:ascii="Courier" w:eastAsia="Times New Roman" w:hAnsi="Courier"/>
      <w:snapToGrid w:val="0"/>
      <w:spacing w:val="-3"/>
      <w:sz w:val="24"/>
      <w:lang w:val="fr-FR" w:eastAsia="en-US"/>
    </w:rPr>
  </w:style>
  <w:style w:type="paragraph" w:customStyle="1" w:styleId="Num-DocParagraph">
    <w:name w:val="Num-Doc Paragraph"/>
    <w:basedOn w:val="PR"/>
    <w:next w:val="BalloonText"/>
    <w:rsid w:val="005E3DE3"/>
    <w:pPr>
      <w:widowControl/>
      <w:tabs>
        <w:tab w:val="clear" w:pos="0"/>
        <w:tab w:val="clear" w:pos="708"/>
        <w:tab w:val="clear" w:pos="991"/>
        <w:tab w:val="clear" w:pos="1417"/>
        <w:tab w:val="left" w:pos="850"/>
        <w:tab w:val="left" w:pos="1191"/>
        <w:tab w:val="left" w:pos="1531"/>
      </w:tabs>
      <w:suppressAutoHyphens w:val="0"/>
      <w:spacing w:after="240"/>
    </w:pPr>
    <w:rPr>
      <w:rFonts w:ascii="Times New Roman" w:hAnsi="Times New Roman"/>
      <w:snapToGrid/>
      <w:spacing w:val="0"/>
      <w:sz w:val="22"/>
      <w:szCs w:val="22"/>
      <w:lang w:val="en-GB" w:eastAsia="zh-CN"/>
    </w:rPr>
  </w:style>
  <w:style w:type="paragraph" w:customStyle="1" w:styleId="LDbody">
    <w:name w:val="LDbody"/>
    <w:basedOn w:val="Normal"/>
    <w:link w:val="LDbodyChar"/>
    <w:qFormat/>
    <w:rsid w:val="005E3DE3"/>
    <w:pPr>
      <w:numPr>
        <w:numId w:val="11"/>
      </w:numPr>
      <w:jc w:val="both"/>
    </w:pPr>
    <w:rPr>
      <w:rFonts w:ascii="Verdana" w:eastAsia="Times New Roman" w:hAnsi="Verdana"/>
      <w:iCs/>
      <w:sz w:val="22"/>
      <w:szCs w:val="20"/>
      <w:lang w:eastAsia="fr-FR"/>
    </w:rPr>
  </w:style>
  <w:style w:type="paragraph" w:customStyle="1" w:styleId="LD3">
    <w:name w:val="LD3"/>
    <w:basedOn w:val="Heading3"/>
    <w:link w:val="LD3Char"/>
    <w:qFormat/>
    <w:rsid w:val="005E3DE3"/>
    <w:pPr>
      <w:widowControl/>
      <w:tabs>
        <w:tab w:val="clear" w:pos="567"/>
        <w:tab w:val="left" w:pos="570"/>
      </w:tabs>
      <w:spacing w:before="0" w:after="0"/>
      <w:ind w:left="570" w:hanging="570"/>
      <w:jc w:val="both"/>
    </w:pPr>
    <w:rPr>
      <w:rFonts w:ascii="Verdana" w:hAnsi="Verdana"/>
      <w:b w:val="0"/>
      <w:bCs/>
      <w:i/>
      <w:caps w:val="0"/>
      <w:color w:val="1F497D"/>
      <w:lang w:eastAsia="fr-FR"/>
    </w:rPr>
  </w:style>
  <w:style w:type="character" w:customStyle="1" w:styleId="LDbodyChar">
    <w:name w:val="LDbody Char"/>
    <w:link w:val="LDbody"/>
    <w:rsid w:val="005E3DE3"/>
    <w:rPr>
      <w:rFonts w:ascii="Verdana" w:eastAsia="Times New Roman" w:hAnsi="Verdana"/>
      <w:iCs/>
      <w:sz w:val="22"/>
      <w:lang w:eastAsia="fr-FR"/>
    </w:rPr>
  </w:style>
  <w:style w:type="character" w:customStyle="1" w:styleId="LD3Char">
    <w:name w:val="LD3 Char"/>
    <w:link w:val="LD3"/>
    <w:rsid w:val="005E3DE3"/>
    <w:rPr>
      <w:rFonts w:ascii="Verdana" w:eastAsia="Times New Roman" w:hAnsi="Verdana"/>
      <w:bCs/>
      <w:i/>
      <w:color w:val="1F497D"/>
      <w:lang w:eastAsia="fr-FR"/>
    </w:rPr>
  </w:style>
  <w:style w:type="paragraph" w:customStyle="1" w:styleId="LDFakeHeading1">
    <w:name w:val="LDFakeHeading1"/>
    <w:basedOn w:val="LDHeading1"/>
    <w:link w:val="LDFakeHeading1Char"/>
    <w:qFormat/>
    <w:rsid w:val="005E3DE3"/>
    <w:pPr>
      <w:outlineLvl w:val="9"/>
    </w:pPr>
  </w:style>
  <w:style w:type="character" w:customStyle="1" w:styleId="LDFakeHeading1Char">
    <w:name w:val="LDFakeHeading1 Char"/>
    <w:link w:val="LDFakeHeading1"/>
    <w:rsid w:val="005E3DE3"/>
    <w:rPr>
      <w:rFonts w:ascii="Arial" w:eastAsia="Times New Roman" w:hAnsi="Arial" w:cs="Arial"/>
      <w:b/>
      <w:bCs/>
      <w:caps/>
      <w:smallCaps/>
      <w:color w:val="17365D"/>
      <w:w w:val="105"/>
      <w:kern w:val="28"/>
      <w:sz w:val="24"/>
      <w:lang w:eastAsia="zh-CN"/>
    </w:rPr>
  </w:style>
  <w:style w:type="table" w:styleId="TableClassic3">
    <w:name w:val="Table Classic 3"/>
    <w:basedOn w:val="TableNormal"/>
    <w:rsid w:val="005E3DE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2">
    <w:name w:val="Table Classic 2"/>
    <w:basedOn w:val="TableNormal"/>
    <w:rsid w:val="005E3DE3"/>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5E3DE3"/>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oSpacingChar">
    <w:name w:val="No Spacing Char"/>
    <w:link w:val="NoSpacing"/>
    <w:uiPriority w:val="1"/>
    <w:rsid w:val="005E3DE3"/>
    <w:rPr>
      <w:rFonts w:ascii="Arial" w:eastAsia="Times" w:hAnsi="Arial"/>
      <w:lang w:eastAsia="en-US"/>
    </w:rPr>
  </w:style>
  <w:style w:type="character" w:customStyle="1" w:styleId="auto-style12">
    <w:name w:val="auto-style12"/>
    <w:rsid w:val="005E3DE3"/>
    <w:rPr>
      <w:caps/>
    </w:rPr>
  </w:style>
  <w:style w:type="paragraph" w:customStyle="1" w:styleId="coecote0">
    <w:name w:val="coe_cote"/>
    <w:basedOn w:val="Normal"/>
    <w:rsid w:val="005E3DE3"/>
    <w:pPr>
      <w:spacing w:before="100" w:beforeAutospacing="1" w:after="240"/>
    </w:pPr>
    <w:rPr>
      <w:rFonts w:ascii="Verdana" w:eastAsia="Times New Roman" w:hAnsi="Verdana"/>
      <w:color w:val="000000"/>
      <w:sz w:val="26"/>
      <w:szCs w:val="26"/>
      <w:lang w:eastAsia="en-GB"/>
    </w:rPr>
  </w:style>
  <w:style w:type="table" w:styleId="Table3Deffects1">
    <w:name w:val="Table 3D effects 1"/>
    <w:basedOn w:val="TableNormal"/>
    <w:rsid w:val="005E3DE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10">
    <w:name w:val="Table Grid 1"/>
    <w:basedOn w:val="TableNormal"/>
    <w:rsid w:val="005E3DE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LightList-Accent1">
    <w:name w:val="Light List Accent 1"/>
    <w:basedOn w:val="TableNormal"/>
    <w:uiPriority w:val="61"/>
    <w:rsid w:val="005E3DE3"/>
    <w:rPr>
      <w:rFonts w:ascii="Times New Roman" w:eastAsia="Times New Roman" w:hAnsi="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www.coe.int/en/web/cop198/hom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conventions.coe.i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microsoft.com/office/2007/relationships/hdphoto" Target="media/hdphoto1.wdp"/><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header" Target="header2.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rm.coe.int/interpretative-notes-cop198-9th-meeting/168076ce79" TargetMode="External"/><Relationship Id="rId1" Type="http://schemas.openxmlformats.org/officeDocument/2006/relationships/hyperlink" Target="https://rm.coe.int/168070afba"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DCA569AD-0EC9-494F-A6BE-57798A58D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27</Pages>
  <Words>12357</Words>
  <Characters>70439</Characters>
  <Application>Microsoft Office Word</Application>
  <DocSecurity>0</DocSecurity>
  <Lines>586</Lines>
  <Paragraphs>165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82631</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KAMOLNAVIN Kamoljit</dc:creator>
  <cp:lastModifiedBy>SCHUHLER Corinne</cp:lastModifiedBy>
  <cp:revision>11</cp:revision>
  <cp:lastPrinted>2018-10-26T08:29:00Z</cp:lastPrinted>
  <dcterms:created xsi:type="dcterms:W3CDTF">2018-10-26T07:09:00Z</dcterms:created>
  <dcterms:modified xsi:type="dcterms:W3CDTF">2018-10-30T16:25:00Z</dcterms:modified>
</cp:coreProperties>
</file>