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rsidTr="00E54322">
        <w:trPr>
          <w:trHeight w:val="737"/>
        </w:trPr>
        <w:tc>
          <w:tcPr>
            <w:tcW w:w="1250" w:type="pct"/>
            <w:shd w:val="clear" w:color="auto" w:fill="auto"/>
            <w:vAlign w:val="center"/>
          </w:tcPr>
          <w:p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rsidR="002D11B8" w:rsidRPr="009C5258" w:rsidRDefault="003D6AC2" w:rsidP="00E54322">
            <w:pPr>
              <w:ind w:left="-108"/>
              <w:jc w:val="center"/>
              <w:rPr>
                <w:rFonts w:ascii="Arial Narrow" w:hAnsi="Arial Narrow" w:cs="Arial"/>
                <w:szCs w:val="20"/>
              </w:rPr>
            </w:pPr>
            <w:r w:rsidRPr="003D6AC2">
              <w:rPr>
                <w:rFonts w:ascii="Arial Narrow" w:hAnsi="Arial Narrow" w:cs="Calibri"/>
                <w:szCs w:val="20"/>
              </w:rPr>
              <w:t>CM Documents</w:t>
            </w:r>
          </w:p>
        </w:tc>
        <w:tc>
          <w:tcPr>
            <w:tcW w:w="1250" w:type="pct"/>
            <w:shd w:val="clear" w:color="auto" w:fill="auto"/>
            <w:vAlign w:val="center"/>
          </w:tcPr>
          <w:p w:rsidR="002D11B8" w:rsidRPr="00C56542" w:rsidRDefault="00C56542" w:rsidP="00CE2B68">
            <w:pPr>
              <w:ind w:left="-40"/>
              <w:jc w:val="center"/>
              <w:rPr>
                <w:rFonts w:ascii="Arial Narrow" w:hAnsi="Arial Narrow" w:cs="Arial"/>
                <w:b/>
                <w:sz w:val="24"/>
                <w:szCs w:val="24"/>
              </w:rPr>
            </w:pPr>
            <w:r w:rsidRPr="00C56542">
              <w:rPr>
                <w:rFonts w:ascii="Arial Narrow" w:hAnsi="Arial Narrow" w:cs="Calibri"/>
                <w:b/>
                <w:sz w:val="24"/>
                <w:szCs w:val="24"/>
              </w:rPr>
              <w:t>CM(2018)137</w:t>
            </w:r>
          </w:p>
        </w:tc>
        <w:tc>
          <w:tcPr>
            <w:tcW w:w="1250" w:type="pct"/>
            <w:shd w:val="clear" w:color="auto" w:fill="auto"/>
            <w:vAlign w:val="center"/>
          </w:tcPr>
          <w:p w:rsidR="002D11B8" w:rsidRPr="00F96689" w:rsidRDefault="00E77317" w:rsidP="00795EB8">
            <w:pPr>
              <w:jc w:val="right"/>
              <w:rPr>
                <w:rFonts w:ascii="Arial Narrow" w:hAnsi="Arial Narrow" w:cs="Arial"/>
                <w:sz w:val="16"/>
                <w:szCs w:val="16"/>
              </w:rPr>
            </w:pPr>
            <w:r>
              <w:rPr>
                <w:rFonts w:ascii="Arial Narrow" w:hAnsi="Arial Narrow" w:cs="Calibri"/>
                <w:sz w:val="16"/>
                <w:szCs w:val="16"/>
              </w:rPr>
              <w:t xml:space="preserve">24 </w:t>
            </w:r>
            <w:r w:rsidR="00795EB8">
              <w:rPr>
                <w:rFonts w:ascii="Arial Narrow" w:hAnsi="Arial Narrow" w:cs="Calibri"/>
                <w:sz w:val="16"/>
                <w:szCs w:val="16"/>
              </w:rPr>
              <w:t xml:space="preserve">October </w:t>
            </w:r>
            <w:r w:rsidR="002D11B8" w:rsidRPr="00F96689">
              <w:rPr>
                <w:rFonts w:ascii="Arial Narrow" w:hAnsi="Arial Narrow" w:cs="Calibri"/>
                <w:sz w:val="16"/>
                <w:szCs w:val="16"/>
              </w:rPr>
              <w:t>201</w:t>
            </w:r>
            <w:r w:rsidR="00CE2B68">
              <w:rPr>
                <w:rFonts w:ascii="Arial Narrow" w:hAnsi="Arial Narrow" w:cs="Calibri"/>
                <w:sz w:val="16"/>
                <w:szCs w:val="16"/>
              </w:rPr>
              <w:t>8</w:t>
            </w:r>
            <w:r w:rsidR="00853C90" w:rsidRPr="00B920E4">
              <w:rPr>
                <w:rStyle w:val="FootnoteReference"/>
                <w:rFonts w:ascii="Arial Narrow" w:hAnsi="Arial Narrow" w:cs="Calibri"/>
                <w:sz w:val="16"/>
                <w:szCs w:val="16"/>
              </w:rPr>
              <w:footnoteReference w:id="1"/>
            </w:r>
          </w:p>
        </w:tc>
      </w:tr>
    </w:tbl>
    <w:p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rsidTr="00E54322">
        <w:tc>
          <w:tcPr>
            <w:tcW w:w="9399" w:type="dxa"/>
            <w:shd w:val="clear" w:color="auto" w:fill="auto"/>
            <w:tcMar>
              <w:top w:w="227" w:type="dxa"/>
              <w:bottom w:w="227" w:type="dxa"/>
            </w:tcMar>
            <w:vAlign w:val="center"/>
          </w:tcPr>
          <w:p w:rsidR="00E24C57" w:rsidRPr="00A12DEC" w:rsidRDefault="003D6AC2" w:rsidP="00E54322">
            <w:pPr>
              <w:widowControl w:val="0"/>
              <w:autoSpaceDE w:val="0"/>
              <w:autoSpaceDN w:val="0"/>
              <w:adjustRightInd w:val="0"/>
              <w:rPr>
                <w:rFonts w:ascii="Arial Narrow" w:hAnsi="Arial Narrow" w:cs="Calibri"/>
                <w:b/>
                <w:bCs/>
                <w:sz w:val="32"/>
                <w:szCs w:val="32"/>
              </w:rPr>
            </w:pPr>
            <w:r w:rsidRPr="003D6AC2">
              <w:rPr>
                <w:rFonts w:ascii="Arial Narrow" w:hAnsi="Arial Narrow" w:cs="Calibri"/>
                <w:b/>
                <w:bCs/>
                <w:sz w:val="32"/>
                <w:szCs w:val="32"/>
              </w:rPr>
              <w:t>1</w:t>
            </w:r>
            <w:r w:rsidR="00AC30A2">
              <w:rPr>
                <w:rFonts w:ascii="Arial Narrow" w:hAnsi="Arial Narrow" w:cs="Calibri"/>
                <w:b/>
                <w:bCs/>
                <w:sz w:val="32"/>
                <w:szCs w:val="32"/>
              </w:rPr>
              <w:t>3</w:t>
            </w:r>
            <w:r w:rsidR="00CE2B68">
              <w:rPr>
                <w:rFonts w:ascii="Arial Narrow" w:hAnsi="Arial Narrow" w:cs="Calibri"/>
                <w:b/>
                <w:bCs/>
                <w:sz w:val="32"/>
                <w:szCs w:val="32"/>
              </w:rPr>
              <w:t>3</w:t>
            </w:r>
            <w:r w:rsidR="00A103B0">
              <w:rPr>
                <w:rFonts w:ascii="Arial Narrow" w:hAnsi="Arial Narrow" w:cs="Calibri"/>
                <w:b/>
                <w:bCs/>
                <w:sz w:val="32"/>
                <w:szCs w:val="32"/>
              </w:rPr>
              <w:t>0</w:t>
            </w:r>
            <w:r w:rsidR="00A103B0" w:rsidRPr="00A103B0">
              <w:rPr>
                <w:rFonts w:ascii="Arial Narrow" w:hAnsi="Arial Narrow" w:cs="Calibri"/>
                <w:b/>
                <w:bCs/>
                <w:sz w:val="32"/>
                <w:szCs w:val="32"/>
                <w:vertAlign w:val="superscript"/>
              </w:rPr>
              <w:t>th</w:t>
            </w:r>
            <w:r w:rsidR="00A103B0">
              <w:rPr>
                <w:rFonts w:ascii="Arial Narrow" w:hAnsi="Arial Narrow" w:cs="Calibri"/>
                <w:b/>
                <w:bCs/>
                <w:sz w:val="32"/>
                <w:szCs w:val="32"/>
              </w:rPr>
              <w:t> </w:t>
            </w:r>
            <w:r>
              <w:rPr>
                <w:rFonts w:ascii="Arial Narrow" w:hAnsi="Arial Narrow" w:cs="Calibri"/>
                <w:b/>
                <w:bCs/>
                <w:sz w:val="32"/>
                <w:szCs w:val="32"/>
              </w:rPr>
              <w:t>m</w:t>
            </w:r>
            <w:r w:rsidRPr="003D6AC2">
              <w:rPr>
                <w:rFonts w:ascii="Arial Narrow" w:hAnsi="Arial Narrow" w:cs="Calibri"/>
                <w:b/>
                <w:bCs/>
                <w:sz w:val="32"/>
                <w:szCs w:val="32"/>
              </w:rPr>
              <w:t xml:space="preserve">eeting, </w:t>
            </w:r>
            <w:r w:rsidR="00A103B0">
              <w:rPr>
                <w:rFonts w:ascii="Arial Narrow" w:hAnsi="Arial Narrow" w:cs="Calibri"/>
                <w:b/>
                <w:bCs/>
                <w:sz w:val="32"/>
                <w:szCs w:val="32"/>
              </w:rPr>
              <w:t>28 Nov</w:t>
            </w:r>
            <w:bookmarkStart w:id="0" w:name="_GoBack"/>
            <w:bookmarkEnd w:id="0"/>
            <w:r w:rsidR="00CE2B68">
              <w:rPr>
                <w:rFonts w:ascii="Arial Narrow" w:hAnsi="Arial Narrow" w:cs="Calibri"/>
                <w:b/>
                <w:bCs/>
                <w:sz w:val="32"/>
                <w:szCs w:val="32"/>
              </w:rPr>
              <w:t>ember 2018</w:t>
            </w:r>
          </w:p>
          <w:p w:rsidR="00242ABB" w:rsidRPr="003D6AC2" w:rsidRDefault="00CE2B68" w:rsidP="00E54322">
            <w:pPr>
              <w:rPr>
                <w:rFonts w:ascii="Arial Narrow" w:hAnsi="Arial Narrow" w:cs="Calibri"/>
                <w:sz w:val="22"/>
              </w:rPr>
            </w:pPr>
            <w:r w:rsidRPr="00CE2B68">
              <w:rPr>
                <w:rFonts w:ascii="Arial Narrow" w:hAnsi="Arial Narrow" w:cs="Calibri"/>
                <w:sz w:val="22"/>
              </w:rPr>
              <w:t>11 Programme, Budget and Administration</w:t>
            </w:r>
          </w:p>
          <w:p w:rsidR="0037200F" w:rsidRPr="00A12DEC" w:rsidRDefault="00CE6FD2" w:rsidP="00E54322">
            <w:pPr>
              <w:rPr>
                <w:rFonts w:ascii="Arial Narrow" w:hAnsi="Arial Narrow" w:cs="Calibri"/>
                <w:i/>
                <w:szCs w:val="20"/>
              </w:rPr>
            </w:pPr>
            <w:r w:rsidRPr="00A12DEC">
              <w:rPr>
                <w:rFonts w:ascii="Arial Narrow" w:hAnsi="Arial Narrow" w:cs="Calibri"/>
                <w:i/>
                <w:szCs w:val="20"/>
              </w:rPr>
              <w:t xml:space="preserve"> </w:t>
            </w:r>
          </w:p>
          <w:p w:rsidR="00CE2B68" w:rsidRDefault="00CE2B68" w:rsidP="00CE2B68">
            <w:pPr>
              <w:rPr>
                <w:rFonts w:ascii="Arial Narrow" w:hAnsi="Arial Narrow" w:cs="Calibri"/>
                <w:b/>
                <w:sz w:val="28"/>
                <w:szCs w:val="28"/>
              </w:rPr>
            </w:pPr>
            <w:r w:rsidRPr="00122D28">
              <w:rPr>
                <w:rFonts w:ascii="Arial Narrow" w:hAnsi="Arial Narrow" w:cs="Calibri"/>
                <w:b/>
                <w:sz w:val="28"/>
                <w:szCs w:val="28"/>
              </w:rPr>
              <w:t>1</w:t>
            </w:r>
            <w:r>
              <w:rPr>
                <w:rFonts w:ascii="Arial Narrow" w:hAnsi="Arial Narrow" w:cs="Calibri"/>
                <w:b/>
                <w:sz w:val="28"/>
                <w:szCs w:val="28"/>
              </w:rPr>
              <w:t>1</w:t>
            </w:r>
            <w:r w:rsidRPr="00122D28">
              <w:rPr>
                <w:rFonts w:ascii="Arial Narrow" w:hAnsi="Arial Narrow" w:cs="Calibri"/>
                <w:b/>
                <w:sz w:val="28"/>
                <w:szCs w:val="28"/>
              </w:rPr>
              <w:t>.</w:t>
            </w:r>
            <w:r>
              <w:rPr>
                <w:rFonts w:ascii="Arial Narrow" w:hAnsi="Arial Narrow" w:cs="Calibri"/>
                <w:b/>
                <w:sz w:val="28"/>
                <w:szCs w:val="28"/>
              </w:rPr>
              <w:t xml:space="preserve">1 </w:t>
            </w:r>
            <w:r w:rsidRPr="00625E05">
              <w:rPr>
                <w:rFonts w:ascii="Arial Narrow" w:hAnsi="Arial Narrow" w:cs="Calibri"/>
                <w:b/>
                <w:sz w:val="28"/>
                <w:szCs w:val="28"/>
              </w:rPr>
              <w:t>Co-ordinating Committee on Remuneration (CCR)</w:t>
            </w:r>
          </w:p>
          <w:p w:rsidR="00CE2B68" w:rsidRPr="00622CC2" w:rsidRDefault="00CE2B68" w:rsidP="00CE2B68">
            <w:pPr>
              <w:rPr>
                <w:rFonts w:ascii="Arial Narrow" w:hAnsi="Arial Narrow" w:cs="Calibri"/>
                <w:sz w:val="28"/>
                <w:szCs w:val="28"/>
              </w:rPr>
            </w:pPr>
            <w:r>
              <w:rPr>
                <w:rFonts w:ascii="Arial Narrow" w:hAnsi="Arial Narrow" w:cs="Calibri"/>
                <w:sz w:val="22"/>
              </w:rPr>
              <w:t xml:space="preserve">a. </w:t>
            </w:r>
            <w:r w:rsidRPr="0028367B">
              <w:rPr>
                <w:rFonts w:ascii="Arial Narrow" w:hAnsi="Arial Narrow" w:cs="Calibri"/>
                <w:sz w:val="22"/>
              </w:rPr>
              <w:t>Annual adjustment of remuneration for staff of the Co-ordinated</w:t>
            </w:r>
            <w:r w:rsidR="00775C79">
              <w:rPr>
                <w:rFonts w:ascii="Arial Narrow" w:hAnsi="Arial Narrow" w:cs="Calibri"/>
                <w:sz w:val="22"/>
              </w:rPr>
              <w:t xml:space="preserve"> Organisations at 1 January 2019</w:t>
            </w:r>
            <w:r w:rsidRPr="00AF6640">
              <w:rPr>
                <w:rFonts w:ascii="Arial Narrow" w:hAnsi="Arial Narrow" w:cs="Calibri"/>
                <w:sz w:val="22"/>
              </w:rPr>
              <w:t xml:space="preserve"> –</w:t>
            </w:r>
          </w:p>
          <w:p w:rsidR="00242ABB" w:rsidRDefault="00CE2B68" w:rsidP="00CE2B68">
            <w:pPr>
              <w:rPr>
                <w:rFonts w:ascii="Arial Narrow" w:hAnsi="Arial Narrow" w:cs="Calibri"/>
                <w:sz w:val="22"/>
              </w:rPr>
            </w:pPr>
            <w:r>
              <w:rPr>
                <w:rFonts w:ascii="Arial Narrow" w:hAnsi="Arial Narrow" w:cs="Calibri"/>
                <w:sz w:val="22"/>
              </w:rPr>
              <w:t>257</w:t>
            </w:r>
            <w:r w:rsidRPr="00625E05">
              <w:rPr>
                <w:rFonts w:ascii="Arial Narrow" w:hAnsi="Arial Narrow" w:cs="Calibri"/>
                <w:sz w:val="22"/>
                <w:vertAlign w:val="superscript"/>
              </w:rPr>
              <w:t>th</w:t>
            </w:r>
            <w:r>
              <w:rPr>
                <w:rFonts w:ascii="Arial Narrow" w:hAnsi="Arial Narrow" w:cs="Calibri"/>
                <w:sz w:val="22"/>
              </w:rPr>
              <w:t> </w:t>
            </w:r>
            <w:r w:rsidRPr="00625E05">
              <w:rPr>
                <w:rFonts w:ascii="Arial Narrow" w:hAnsi="Arial Narrow" w:cs="Calibri"/>
                <w:sz w:val="22"/>
              </w:rPr>
              <w:t>report</w:t>
            </w:r>
          </w:p>
          <w:p w:rsidR="000A307B" w:rsidRDefault="000A307B" w:rsidP="00E54322">
            <w:pPr>
              <w:rPr>
                <w:rFonts w:ascii="Arial Narrow" w:hAnsi="Arial Narrow" w:cs="Calibri"/>
                <w:sz w:val="22"/>
              </w:rPr>
            </w:pPr>
          </w:p>
          <w:p w:rsidR="00E457C3" w:rsidRPr="000A307B" w:rsidRDefault="000A307B" w:rsidP="00CE2B68">
            <w:pPr>
              <w:rPr>
                <w:rFonts w:ascii="Arial Narrow" w:hAnsi="Arial Narrow" w:cs="Calibri"/>
                <w:b/>
                <w:szCs w:val="20"/>
              </w:rPr>
            </w:pPr>
            <w:r w:rsidRPr="000A307B">
              <w:rPr>
                <w:rFonts w:ascii="Arial Narrow" w:hAnsi="Arial Narrow" w:cs="Calibri"/>
                <w:b/>
                <w:szCs w:val="20"/>
              </w:rPr>
              <w:t>Item to be considered by the GR-</w:t>
            </w:r>
            <w:r w:rsidR="00CE2B68">
              <w:rPr>
                <w:rFonts w:ascii="Arial Narrow" w:hAnsi="Arial Narrow" w:cs="Calibri"/>
                <w:b/>
                <w:szCs w:val="20"/>
              </w:rPr>
              <w:t xml:space="preserve">PBA </w:t>
            </w:r>
            <w:r w:rsidRPr="000A307B">
              <w:rPr>
                <w:rFonts w:ascii="Arial Narrow" w:hAnsi="Arial Narrow" w:cs="Calibri"/>
                <w:b/>
                <w:szCs w:val="20"/>
              </w:rPr>
              <w:t xml:space="preserve">at its meeting on </w:t>
            </w:r>
            <w:r w:rsidR="00CE2B68">
              <w:rPr>
                <w:rFonts w:ascii="Arial Narrow" w:hAnsi="Arial Narrow" w:cs="Calibri"/>
                <w:b/>
                <w:szCs w:val="20"/>
              </w:rPr>
              <w:t>22 November</w:t>
            </w:r>
            <w:r w:rsidRPr="000A307B">
              <w:rPr>
                <w:rFonts w:ascii="Arial Narrow" w:hAnsi="Arial Narrow" w:cs="Calibri"/>
                <w:b/>
                <w:szCs w:val="20"/>
              </w:rPr>
              <w:t xml:space="preserve"> 201</w:t>
            </w:r>
            <w:r w:rsidR="00CE2B68">
              <w:rPr>
                <w:rFonts w:ascii="Arial Narrow" w:hAnsi="Arial Narrow" w:cs="Calibri"/>
                <w:b/>
                <w:szCs w:val="20"/>
              </w:rPr>
              <w:t>8</w:t>
            </w:r>
          </w:p>
        </w:tc>
      </w:tr>
    </w:tbl>
    <w:p w:rsidR="00E54322" w:rsidRDefault="00E54322" w:rsidP="0037200F">
      <w:pPr>
        <w:rPr>
          <w:rFonts w:eastAsia="Times New Roman"/>
          <w:szCs w:val="24"/>
        </w:rPr>
      </w:pPr>
      <w:r>
        <w:rPr>
          <w:rFonts w:eastAsia="Times New Roman"/>
          <w:szCs w:val="24"/>
        </w:rPr>
        <w:t xml:space="preserve"> </w:t>
      </w:r>
    </w:p>
    <w:p w:rsidR="0040027C" w:rsidRDefault="0040027C" w:rsidP="0037200F">
      <w:pPr>
        <w:rPr>
          <w:rFonts w:eastAsia="Times New Roman"/>
          <w:szCs w:val="24"/>
        </w:rPr>
      </w:pPr>
    </w:p>
    <w:p w:rsidR="00CF3FC5" w:rsidRDefault="00CF3FC5">
      <w:pPr>
        <w:rPr>
          <w:rFonts w:eastAsia="Times New Roman"/>
          <w:szCs w:val="24"/>
        </w:rPr>
      </w:pPr>
      <w:r>
        <w:rPr>
          <w:rFonts w:eastAsia="Times New Roman"/>
          <w:szCs w:val="24"/>
        </w:rPr>
        <w:br w:type="page"/>
      </w:r>
    </w:p>
    <w:p w:rsidR="00CF3FC5" w:rsidRDefault="00CF3FC5" w:rsidP="00CF3FC5">
      <w:pPr>
        <w:suppressAutoHyphens/>
        <w:jc w:val="center"/>
        <w:outlineLvl w:val="0"/>
        <w:rPr>
          <w:rFonts w:cs="Arial"/>
          <w:b/>
          <w:szCs w:val="20"/>
        </w:rPr>
      </w:pPr>
      <w:r w:rsidRPr="00CF3FC5">
        <w:rPr>
          <w:rFonts w:cs="Arial"/>
          <w:b/>
          <w:szCs w:val="20"/>
        </w:rPr>
        <w:lastRenderedPageBreak/>
        <w:t>Annual adjustment of remuneration for staff of the Co-ordinated Organisations at 1 January 2019</w:t>
      </w:r>
    </w:p>
    <w:p w:rsidR="00CF3FC5" w:rsidRPr="00CF3FC5" w:rsidRDefault="00CF3FC5" w:rsidP="00CF3FC5">
      <w:pPr>
        <w:suppressAutoHyphens/>
        <w:jc w:val="center"/>
        <w:outlineLvl w:val="0"/>
        <w:rPr>
          <w:rFonts w:cs="Arial"/>
          <w:b/>
          <w:szCs w:val="20"/>
        </w:rPr>
      </w:pPr>
    </w:p>
    <w:p w:rsidR="00CF3FC5" w:rsidRPr="00CF3FC5" w:rsidRDefault="00CF3FC5" w:rsidP="00CF3FC5">
      <w:pPr>
        <w:suppressAutoHyphens/>
        <w:jc w:val="center"/>
        <w:outlineLvl w:val="0"/>
        <w:rPr>
          <w:rFonts w:cs="Arial"/>
          <w:b/>
          <w:szCs w:val="20"/>
        </w:rPr>
      </w:pPr>
      <w:r>
        <w:rPr>
          <w:rFonts w:cs="Arial"/>
          <w:b/>
          <w:szCs w:val="20"/>
        </w:rPr>
        <w:t>257</w:t>
      </w:r>
      <w:r w:rsidRPr="00CF3FC5">
        <w:rPr>
          <w:rFonts w:cs="Arial"/>
          <w:b/>
          <w:szCs w:val="20"/>
          <w:vertAlign w:val="superscript"/>
        </w:rPr>
        <w:t>th</w:t>
      </w:r>
      <w:r>
        <w:rPr>
          <w:rFonts w:cs="Arial"/>
          <w:b/>
          <w:szCs w:val="20"/>
        </w:rPr>
        <w:t> </w:t>
      </w:r>
      <w:r w:rsidRPr="00CF3FC5">
        <w:rPr>
          <w:rFonts w:cs="Arial"/>
          <w:b/>
          <w:szCs w:val="20"/>
        </w:rPr>
        <w:t>Report</w:t>
      </w:r>
      <w:r w:rsidR="009831F2">
        <w:rPr>
          <w:rFonts w:cs="Arial"/>
          <w:b/>
          <w:szCs w:val="20"/>
        </w:rPr>
        <w:t xml:space="preserve"> – Council of Europe</w:t>
      </w:r>
    </w:p>
    <w:p w:rsidR="00CF3FC5" w:rsidRDefault="00CF3FC5" w:rsidP="00CF3FC5">
      <w:pPr>
        <w:suppressAutoHyphens/>
        <w:outlineLvl w:val="0"/>
        <w:rPr>
          <w:rFonts w:cs="Arial"/>
          <w:b/>
          <w:szCs w:val="20"/>
        </w:rPr>
      </w:pPr>
    </w:p>
    <w:p w:rsidR="00CF3FC5" w:rsidRPr="00CF3FC5" w:rsidRDefault="00CF3FC5" w:rsidP="00CF3FC5">
      <w:pPr>
        <w:tabs>
          <w:tab w:val="left" w:pos="709"/>
        </w:tabs>
        <w:suppressAutoHyphens/>
        <w:outlineLvl w:val="0"/>
        <w:rPr>
          <w:rFonts w:cs="Arial"/>
          <w:b/>
          <w:szCs w:val="20"/>
        </w:rPr>
      </w:pPr>
      <w:r w:rsidRPr="00CF3FC5">
        <w:rPr>
          <w:rFonts w:cs="Arial"/>
          <w:b/>
          <w:szCs w:val="20"/>
        </w:rPr>
        <w:t>1.</w:t>
      </w:r>
      <w:r w:rsidRPr="00CF3FC5">
        <w:rPr>
          <w:rFonts w:cs="Arial"/>
          <w:b/>
          <w:szCs w:val="20"/>
        </w:rPr>
        <w:tab/>
        <w:t>Introduction</w:t>
      </w:r>
    </w:p>
    <w:p w:rsidR="00CF3FC5" w:rsidRDefault="00CF3FC5" w:rsidP="00CF3FC5">
      <w:pPr>
        <w:tabs>
          <w:tab w:val="left" w:pos="709"/>
        </w:tabs>
        <w:rPr>
          <w:rFonts w:cs="Arial"/>
          <w:szCs w:val="20"/>
        </w:rPr>
      </w:pPr>
    </w:p>
    <w:p w:rsidR="00CF3FC5" w:rsidRPr="00CF3FC5" w:rsidRDefault="00CF3FC5" w:rsidP="00CF3FC5">
      <w:pPr>
        <w:tabs>
          <w:tab w:val="left" w:pos="709"/>
        </w:tabs>
        <w:rPr>
          <w:rFonts w:cs="Arial"/>
          <w:szCs w:val="20"/>
        </w:rPr>
      </w:pPr>
      <w:r w:rsidRPr="00CF3FC5">
        <w:rPr>
          <w:rFonts w:cs="Arial"/>
          <w:szCs w:val="20"/>
        </w:rPr>
        <w:t>The Annex to the 244</w:t>
      </w:r>
      <w:r w:rsidRPr="00CF3FC5">
        <w:rPr>
          <w:rFonts w:cs="Arial"/>
          <w:szCs w:val="20"/>
          <w:vertAlign w:val="superscript"/>
        </w:rPr>
        <w:t>th</w:t>
      </w:r>
      <w:r w:rsidRPr="00CF3FC5">
        <w:rPr>
          <w:rFonts w:cs="Arial"/>
          <w:szCs w:val="20"/>
        </w:rPr>
        <w:t xml:space="preserve"> Report by the Co-ordinating Committee on Remuneration [CCR/</w:t>
      </w:r>
      <w:proofErr w:type="gramStart"/>
      <w:r w:rsidRPr="00CF3FC5">
        <w:rPr>
          <w:rFonts w:cs="Arial"/>
          <w:szCs w:val="20"/>
        </w:rPr>
        <w:t>R(</w:t>
      </w:r>
      <w:proofErr w:type="gramEnd"/>
      <w:r w:rsidRPr="00CF3FC5">
        <w:rPr>
          <w:rFonts w:cs="Arial"/>
          <w:szCs w:val="20"/>
        </w:rPr>
        <w:t>2016)7]</w:t>
      </w:r>
      <w:r w:rsidR="009831F2">
        <w:rPr>
          <w:rStyle w:val="FootnoteReference"/>
          <w:rFonts w:cs="Arial"/>
          <w:szCs w:val="20"/>
        </w:rPr>
        <w:footnoteReference w:id="2"/>
      </w:r>
      <w:r w:rsidRPr="00CF3FC5">
        <w:rPr>
          <w:rFonts w:cs="Arial"/>
          <w:szCs w:val="20"/>
        </w:rPr>
        <w:t xml:space="preserve"> sets out the provisions for the annual adjustment of remuneration of all categories of staff of the Co-ordinated Organisations at 1 January. The enclosed proposal by the Secretaries/ Directors</w:t>
      </w:r>
      <w:r w:rsidRPr="00CF3FC5">
        <w:rPr>
          <w:rFonts w:cs="Arial"/>
          <w:szCs w:val="20"/>
        </w:rPr>
        <w:noBreakHyphen/>
        <w:t>General for the adjustment, with effect at 1 January 2019 [cf. CCR/CRSG/CRP/</w:t>
      </w:r>
      <w:proofErr w:type="gramStart"/>
      <w:r w:rsidRPr="00CF3FC5">
        <w:rPr>
          <w:rFonts w:cs="Arial"/>
          <w:szCs w:val="20"/>
        </w:rPr>
        <w:t>WD(</w:t>
      </w:r>
      <w:proofErr w:type="gramEnd"/>
      <w:r w:rsidRPr="00CF3FC5">
        <w:rPr>
          <w:rFonts w:cs="Arial"/>
          <w:szCs w:val="20"/>
        </w:rPr>
        <w:t>2018)14], has been drawn up in accordance with the procedure in force and in compliance with the Addendum to the 244</w:t>
      </w:r>
      <w:r w:rsidRPr="00CF3FC5">
        <w:rPr>
          <w:rFonts w:cs="Arial"/>
          <w:szCs w:val="20"/>
          <w:vertAlign w:val="superscript"/>
        </w:rPr>
        <w:t>th</w:t>
      </w:r>
      <w:r w:rsidRPr="00CF3FC5">
        <w:rPr>
          <w:rFonts w:cs="Arial"/>
          <w:szCs w:val="20"/>
        </w:rPr>
        <w:t xml:space="preserve"> Report</w:t>
      </w:r>
      <w:r w:rsidR="009831F2">
        <w:rPr>
          <w:rStyle w:val="FootnoteReference"/>
          <w:rFonts w:cs="Arial"/>
          <w:szCs w:val="20"/>
        </w:rPr>
        <w:footnoteReference w:id="3"/>
      </w:r>
      <w:r w:rsidRPr="00CF3FC5">
        <w:rPr>
          <w:rFonts w:cs="Arial"/>
          <w:szCs w:val="20"/>
        </w:rPr>
        <w:t>.</w:t>
      </w:r>
    </w:p>
    <w:p w:rsidR="00CF3FC5" w:rsidRDefault="00CF3FC5" w:rsidP="00CF3FC5">
      <w:pPr>
        <w:tabs>
          <w:tab w:val="left" w:pos="709"/>
        </w:tabs>
        <w:suppressAutoHyphens/>
        <w:outlineLvl w:val="0"/>
        <w:rPr>
          <w:rFonts w:cs="Arial"/>
          <w:b/>
          <w:szCs w:val="20"/>
        </w:rPr>
      </w:pPr>
    </w:p>
    <w:p w:rsidR="00CF3FC5" w:rsidRPr="00CF3FC5" w:rsidRDefault="00CF3FC5" w:rsidP="00CF3FC5">
      <w:pPr>
        <w:tabs>
          <w:tab w:val="left" w:pos="709"/>
        </w:tabs>
        <w:suppressAutoHyphens/>
        <w:outlineLvl w:val="0"/>
        <w:rPr>
          <w:rFonts w:cs="Arial"/>
          <w:b/>
          <w:szCs w:val="20"/>
        </w:rPr>
      </w:pPr>
      <w:r w:rsidRPr="00CF3FC5">
        <w:rPr>
          <w:rFonts w:cs="Arial"/>
          <w:b/>
          <w:szCs w:val="20"/>
        </w:rPr>
        <w:t>2.</w:t>
      </w:r>
      <w:r w:rsidRPr="00CF3FC5">
        <w:rPr>
          <w:rFonts w:cs="Arial"/>
          <w:b/>
          <w:szCs w:val="20"/>
        </w:rPr>
        <w:tab/>
        <w:t>Results of the application of the procedure</w:t>
      </w:r>
    </w:p>
    <w:p w:rsidR="00CF3FC5" w:rsidRDefault="00CF3FC5" w:rsidP="00CF3FC5">
      <w:pPr>
        <w:tabs>
          <w:tab w:val="left" w:pos="-720"/>
          <w:tab w:val="left" w:pos="709"/>
          <w:tab w:val="left" w:pos="880"/>
          <w:tab w:val="left" w:pos="1650"/>
        </w:tabs>
        <w:rPr>
          <w:rFonts w:cs="Arial"/>
          <w:szCs w:val="20"/>
        </w:rPr>
      </w:pPr>
    </w:p>
    <w:p w:rsidR="00CF3FC5" w:rsidRPr="00CF3FC5" w:rsidRDefault="00CF3FC5" w:rsidP="00CF3FC5">
      <w:pPr>
        <w:tabs>
          <w:tab w:val="left" w:pos="-720"/>
          <w:tab w:val="left" w:pos="709"/>
          <w:tab w:val="left" w:pos="880"/>
          <w:tab w:val="left" w:pos="1650"/>
        </w:tabs>
        <w:rPr>
          <w:rFonts w:cs="Arial"/>
          <w:szCs w:val="20"/>
        </w:rPr>
      </w:pPr>
      <w:r w:rsidRPr="00CF3FC5">
        <w:rPr>
          <w:rFonts w:cs="Arial"/>
          <w:szCs w:val="20"/>
        </w:rPr>
        <w:t>2.1</w:t>
      </w:r>
      <w:r w:rsidRPr="00CF3FC5">
        <w:rPr>
          <w:rFonts w:cs="Arial"/>
          <w:szCs w:val="20"/>
        </w:rPr>
        <w:tab/>
        <w:t>The application of the procedure, as proposed by the Secretaries/Directors-General, results in the remuneration adjustment indices presented in Annex 1, applicable at 1 January 2019 to salary scales in force at 31 December 2018.</w:t>
      </w:r>
    </w:p>
    <w:p w:rsidR="00CF3FC5" w:rsidRDefault="00CF3FC5" w:rsidP="00CF3FC5">
      <w:pPr>
        <w:tabs>
          <w:tab w:val="left" w:pos="-720"/>
          <w:tab w:val="left" w:pos="709"/>
          <w:tab w:val="left" w:pos="880"/>
          <w:tab w:val="left" w:pos="1650"/>
        </w:tabs>
        <w:rPr>
          <w:rFonts w:cs="Arial"/>
          <w:szCs w:val="20"/>
        </w:rPr>
      </w:pPr>
    </w:p>
    <w:p w:rsidR="00CF3FC5" w:rsidRPr="00CF3FC5" w:rsidRDefault="00CF3FC5" w:rsidP="00CF3FC5">
      <w:pPr>
        <w:tabs>
          <w:tab w:val="left" w:pos="-720"/>
          <w:tab w:val="left" w:pos="709"/>
          <w:tab w:val="left" w:pos="880"/>
          <w:tab w:val="left" w:pos="1650"/>
        </w:tabs>
        <w:rPr>
          <w:rFonts w:cs="Arial"/>
          <w:szCs w:val="20"/>
        </w:rPr>
      </w:pPr>
      <w:r w:rsidRPr="00CF3FC5">
        <w:rPr>
          <w:rFonts w:cs="Arial"/>
          <w:szCs w:val="20"/>
        </w:rPr>
        <w:t>2.2</w:t>
      </w:r>
      <w:r w:rsidRPr="00CF3FC5">
        <w:rPr>
          <w:rFonts w:cs="Arial"/>
          <w:szCs w:val="20"/>
        </w:rPr>
        <w:tab/>
        <w:t>Those Organisations having approved the 254</w:t>
      </w:r>
      <w:r w:rsidRPr="00CF3FC5">
        <w:rPr>
          <w:rFonts w:cs="Arial"/>
          <w:szCs w:val="20"/>
          <w:vertAlign w:val="superscript"/>
        </w:rPr>
        <w:t>th</w:t>
      </w:r>
      <w:r w:rsidRPr="00CF3FC5">
        <w:rPr>
          <w:rFonts w:cs="Arial"/>
          <w:szCs w:val="20"/>
        </w:rPr>
        <w:t xml:space="preserve"> Report by the CCR [CCR/</w:t>
      </w:r>
      <w:proofErr w:type="gramStart"/>
      <w:r w:rsidRPr="00CF3FC5">
        <w:rPr>
          <w:rFonts w:cs="Arial"/>
          <w:szCs w:val="20"/>
        </w:rPr>
        <w:t>R(</w:t>
      </w:r>
      <w:proofErr w:type="gramEnd"/>
      <w:r w:rsidRPr="00CF3FC5">
        <w:rPr>
          <w:rFonts w:cs="Arial"/>
          <w:szCs w:val="20"/>
        </w:rPr>
        <w:t>2018)1]</w:t>
      </w:r>
      <w:r w:rsidR="009831F2">
        <w:rPr>
          <w:rStyle w:val="FootnoteReference"/>
          <w:rFonts w:cs="Arial"/>
          <w:szCs w:val="20"/>
        </w:rPr>
        <w:footnoteReference w:id="4"/>
      </w:r>
      <w:r w:rsidRPr="00CF3FC5">
        <w:rPr>
          <w:rFonts w:cs="Arial"/>
          <w:szCs w:val="20"/>
        </w:rPr>
        <w:t xml:space="preserve"> concerning the exceptional adjustment calculated according to Article 7 of Annex 1 to the 244</w:t>
      </w:r>
      <w:r w:rsidRPr="00CF3FC5">
        <w:rPr>
          <w:rFonts w:cs="Arial"/>
          <w:szCs w:val="20"/>
          <w:vertAlign w:val="superscript"/>
        </w:rPr>
        <w:t>th </w:t>
      </w:r>
      <w:r w:rsidRPr="00CF3FC5">
        <w:rPr>
          <w:rFonts w:cs="Arial"/>
          <w:szCs w:val="20"/>
        </w:rPr>
        <w:t>Report, applicable at 1 March 2018 in Turkey, shall take account of the deduction of the special adjustment, in order to arrive at the final annual adjustment for this country (see Annex 1a).</w:t>
      </w:r>
    </w:p>
    <w:p w:rsidR="00CF3FC5" w:rsidRDefault="00CF3FC5" w:rsidP="00CF3FC5">
      <w:pPr>
        <w:tabs>
          <w:tab w:val="left" w:pos="709"/>
        </w:tabs>
        <w:rPr>
          <w:rFonts w:cs="Arial"/>
          <w:szCs w:val="20"/>
        </w:rPr>
      </w:pPr>
    </w:p>
    <w:p w:rsidR="00CF3FC5" w:rsidRPr="00CF3FC5" w:rsidRDefault="00CF3FC5" w:rsidP="00CF3FC5">
      <w:pPr>
        <w:tabs>
          <w:tab w:val="left" w:pos="709"/>
        </w:tabs>
        <w:rPr>
          <w:rFonts w:cs="Arial"/>
          <w:szCs w:val="20"/>
        </w:rPr>
      </w:pPr>
      <w:r w:rsidRPr="00CF3FC5">
        <w:rPr>
          <w:rFonts w:cs="Arial"/>
          <w:szCs w:val="20"/>
        </w:rPr>
        <w:t>2.3</w:t>
      </w:r>
      <w:r w:rsidRPr="00CF3FC5">
        <w:rPr>
          <w:rFonts w:cs="Arial"/>
          <w:szCs w:val="20"/>
        </w:rPr>
        <w:tab/>
        <w:t>The Organisations may apply the affordability clause referred to in Article 6 of the Annex to the 244</w:t>
      </w:r>
      <w:r w:rsidRPr="00CF3FC5">
        <w:rPr>
          <w:rFonts w:cs="Arial"/>
          <w:szCs w:val="20"/>
          <w:vertAlign w:val="superscript"/>
        </w:rPr>
        <w:t>th </w:t>
      </w:r>
      <w:r w:rsidRPr="00CF3FC5">
        <w:rPr>
          <w:rFonts w:cs="Arial"/>
          <w:szCs w:val="20"/>
        </w:rPr>
        <w:t xml:space="preserve">Report, in accordance with the text approved by the </w:t>
      </w:r>
      <w:proofErr w:type="spellStart"/>
      <w:r w:rsidRPr="00CF3FC5">
        <w:rPr>
          <w:rFonts w:cs="Arial"/>
          <w:szCs w:val="20"/>
        </w:rPr>
        <w:t>ir</w:t>
      </w:r>
      <w:proofErr w:type="spellEnd"/>
      <w:r w:rsidRPr="00CF3FC5">
        <w:rPr>
          <w:rFonts w:cs="Arial"/>
          <w:szCs w:val="20"/>
        </w:rPr>
        <w:t xml:space="preserve"> Governing body.</w:t>
      </w:r>
    </w:p>
    <w:p w:rsidR="00CF3FC5" w:rsidRDefault="00CF3FC5" w:rsidP="00CF3FC5">
      <w:pPr>
        <w:tabs>
          <w:tab w:val="left" w:pos="709"/>
        </w:tabs>
        <w:suppressAutoHyphens/>
        <w:outlineLvl w:val="0"/>
        <w:rPr>
          <w:rFonts w:cs="Arial"/>
          <w:b/>
          <w:szCs w:val="20"/>
        </w:rPr>
      </w:pPr>
    </w:p>
    <w:p w:rsidR="00CF3FC5" w:rsidRPr="00CF3FC5" w:rsidRDefault="00CF3FC5" w:rsidP="00CF3FC5">
      <w:pPr>
        <w:tabs>
          <w:tab w:val="left" w:pos="709"/>
        </w:tabs>
        <w:suppressAutoHyphens/>
        <w:outlineLvl w:val="0"/>
        <w:rPr>
          <w:rFonts w:cs="Arial"/>
          <w:b/>
          <w:szCs w:val="20"/>
        </w:rPr>
      </w:pPr>
      <w:r w:rsidRPr="00CF3FC5">
        <w:rPr>
          <w:rFonts w:cs="Arial"/>
          <w:b/>
          <w:szCs w:val="20"/>
        </w:rPr>
        <w:t>3.</w:t>
      </w:r>
      <w:r w:rsidRPr="00CF3FC5">
        <w:rPr>
          <w:rFonts w:cs="Arial"/>
          <w:b/>
          <w:szCs w:val="20"/>
        </w:rPr>
        <w:tab/>
        <w:t>Conclusions</w:t>
      </w:r>
    </w:p>
    <w:p w:rsidR="00CF3FC5" w:rsidRDefault="00CF3FC5" w:rsidP="00CF3FC5">
      <w:pPr>
        <w:tabs>
          <w:tab w:val="left" w:pos="709"/>
        </w:tabs>
        <w:rPr>
          <w:rFonts w:cs="Arial"/>
          <w:szCs w:val="20"/>
        </w:rPr>
      </w:pPr>
    </w:p>
    <w:p w:rsidR="00CF3FC5" w:rsidRPr="00CF3FC5" w:rsidRDefault="00CF3FC5" w:rsidP="00CF3FC5">
      <w:pPr>
        <w:tabs>
          <w:tab w:val="left" w:pos="709"/>
        </w:tabs>
        <w:rPr>
          <w:rFonts w:cs="Arial"/>
          <w:szCs w:val="20"/>
        </w:rPr>
      </w:pPr>
      <w:r w:rsidRPr="00CF3FC5">
        <w:rPr>
          <w:rFonts w:cs="Arial"/>
          <w:szCs w:val="20"/>
        </w:rPr>
        <w:t>3.1</w:t>
      </w:r>
      <w:r w:rsidRPr="00CF3FC5">
        <w:rPr>
          <w:rFonts w:cs="Arial"/>
          <w:szCs w:val="20"/>
        </w:rPr>
        <w:tab/>
        <w:t>Position of the CRSG</w:t>
      </w:r>
    </w:p>
    <w:p w:rsidR="00CF3FC5" w:rsidRPr="00CF3FC5" w:rsidRDefault="00CF3FC5" w:rsidP="00CF3FC5">
      <w:pPr>
        <w:tabs>
          <w:tab w:val="left" w:pos="709"/>
        </w:tabs>
        <w:rPr>
          <w:rFonts w:cs="Arial"/>
          <w:szCs w:val="20"/>
        </w:rPr>
      </w:pPr>
    </w:p>
    <w:p w:rsidR="00CF3FC5" w:rsidRPr="00CF3FC5" w:rsidRDefault="00CF3FC5" w:rsidP="00CF3FC5">
      <w:pPr>
        <w:tabs>
          <w:tab w:val="left" w:pos="709"/>
        </w:tabs>
        <w:rPr>
          <w:rFonts w:cs="Arial"/>
          <w:szCs w:val="20"/>
        </w:rPr>
      </w:pPr>
      <w:r w:rsidRPr="00CF3FC5">
        <w:rPr>
          <w:rFonts w:cs="Arial"/>
          <w:szCs w:val="20"/>
        </w:rPr>
        <w:t>The CRSG welcomes the CCR recommendation that reflects the strict application of the remuneration adjustment method set out in the 244</w:t>
      </w:r>
      <w:r w:rsidRPr="00CF3FC5">
        <w:rPr>
          <w:rFonts w:cs="Arial"/>
          <w:szCs w:val="20"/>
          <w:vertAlign w:val="superscript"/>
        </w:rPr>
        <w:t>th</w:t>
      </w:r>
      <w:r w:rsidRPr="00CF3FC5">
        <w:rPr>
          <w:rFonts w:cs="Arial"/>
          <w:szCs w:val="20"/>
        </w:rPr>
        <w:t xml:space="preserve"> Report and its Addendum.</w:t>
      </w:r>
    </w:p>
    <w:p w:rsidR="00CF3FC5" w:rsidRPr="00CF3FC5" w:rsidRDefault="00CF3FC5" w:rsidP="00CF3FC5">
      <w:pPr>
        <w:tabs>
          <w:tab w:val="left" w:pos="709"/>
        </w:tabs>
        <w:rPr>
          <w:rFonts w:cs="Arial"/>
          <w:szCs w:val="20"/>
          <w:lang w:val="en-US"/>
        </w:rPr>
      </w:pPr>
    </w:p>
    <w:p w:rsidR="00CF3FC5" w:rsidRPr="00CF3FC5" w:rsidRDefault="00CF3FC5" w:rsidP="00CF3FC5">
      <w:pPr>
        <w:tabs>
          <w:tab w:val="left" w:pos="709"/>
        </w:tabs>
        <w:rPr>
          <w:rFonts w:cs="Arial"/>
          <w:szCs w:val="20"/>
        </w:rPr>
      </w:pPr>
      <w:r w:rsidRPr="00CF3FC5">
        <w:rPr>
          <w:rFonts w:cs="Arial"/>
          <w:szCs w:val="20"/>
        </w:rPr>
        <w:t>3.2</w:t>
      </w:r>
      <w:r w:rsidRPr="00CF3FC5">
        <w:rPr>
          <w:rFonts w:cs="Arial"/>
          <w:szCs w:val="20"/>
        </w:rPr>
        <w:tab/>
        <w:t>Position of the CRP</w:t>
      </w:r>
    </w:p>
    <w:p w:rsidR="00CF3FC5" w:rsidRPr="00CF3FC5" w:rsidRDefault="00CF3FC5" w:rsidP="00CF3FC5">
      <w:pPr>
        <w:tabs>
          <w:tab w:val="left" w:pos="709"/>
        </w:tabs>
        <w:rPr>
          <w:rFonts w:cs="Arial"/>
          <w:szCs w:val="20"/>
        </w:rPr>
      </w:pPr>
    </w:p>
    <w:p w:rsidR="00CF3FC5" w:rsidRPr="00CF3FC5" w:rsidRDefault="00CF3FC5" w:rsidP="00CF3FC5">
      <w:pPr>
        <w:tabs>
          <w:tab w:val="left" w:pos="709"/>
        </w:tabs>
        <w:rPr>
          <w:rFonts w:cs="Arial"/>
          <w:szCs w:val="20"/>
        </w:rPr>
      </w:pPr>
      <w:r w:rsidRPr="00CF3FC5">
        <w:rPr>
          <w:rFonts w:cs="Arial"/>
          <w:szCs w:val="20"/>
        </w:rPr>
        <w:t xml:space="preserve">The CRP takes note of the annual salary adjustment as of </w:t>
      </w:r>
      <w:r w:rsidR="000B6EE8">
        <w:rPr>
          <w:rFonts w:cs="Arial"/>
          <w:szCs w:val="20"/>
        </w:rPr>
        <w:t xml:space="preserve">1 </w:t>
      </w:r>
      <w:r w:rsidRPr="00CF3FC5">
        <w:rPr>
          <w:rFonts w:cs="Arial"/>
          <w:szCs w:val="20"/>
        </w:rPr>
        <w:t>January 2019.</w:t>
      </w:r>
    </w:p>
    <w:p w:rsidR="00CF3FC5" w:rsidRDefault="00CF3FC5" w:rsidP="00CF3FC5">
      <w:pPr>
        <w:tabs>
          <w:tab w:val="left" w:pos="709"/>
        </w:tabs>
        <w:suppressAutoHyphens/>
        <w:outlineLvl w:val="0"/>
        <w:rPr>
          <w:rFonts w:cs="Arial"/>
          <w:b/>
          <w:szCs w:val="20"/>
        </w:rPr>
      </w:pPr>
    </w:p>
    <w:p w:rsidR="00CF3FC5" w:rsidRPr="00CF3FC5" w:rsidRDefault="00CF3FC5" w:rsidP="00CF3FC5">
      <w:pPr>
        <w:tabs>
          <w:tab w:val="left" w:pos="709"/>
        </w:tabs>
        <w:suppressAutoHyphens/>
        <w:outlineLvl w:val="0"/>
        <w:rPr>
          <w:rFonts w:cs="Arial"/>
          <w:b/>
          <w:szCs w:val="20"/>
        </w:rPr>
      </w:pPr>
      <w:r w:rsidRPr="00CF3FC5">
        <w:rPr>
          <w:rFonts w:cs="Arial"/>
          <w:b/>
          <w:szCs w:val="20"/>
        </w:rPr>
        <w:t>4.</w:t>
      </w:r>
      <w:r w:rsidRPr="00CF3FC5">
        <w:rPr>
          <w:rFonts w:cs="Arial"/>
          <w:b/>
          <w:szCs w:val="20"/>
        </w:rPr>
        <w:tab/>
        <w:t>Recommendation</w:t>
      </w:r>
    </w:p>
    <w:p w:rsidR="00CF3FC5" w:rsidRDefault="00CF3FC5" w:rsidP="00CF3FC5">
      <w:pPr>
        <w:rPr>
          <w:rFonts w:cs="Arial"/>
          <w:szCs w:val="20"/>
        </w:rPr>
      </w:pPr>
    </w:p>
    <w:p w:rsidR="00CF3FC5" w:rsidRDefault="00CF3FC5" w:rsidP="00CF3FC5">
      <w:pPr>
        <w:rPr>
          <w:rFonts w:cs="Arial"/>
          <w:szCs w:val="20"/>
        </w:rPr>
      </w:pPr>
      <w:r w:rsidRPr="00CF3FC5">
        <w:rPr>
          <w:rFonts w:cs="Arial"/>
          <w:szCs w:val="20"/>
        </w:rPr>
        <w:t>The Co-ordinating Committee on Remuneration recommends that Governing Bodies:</w:t>
      </w:r>
    </w:p>
    <w:p w:rsidR="00CF3FC5" w:rsidRPr="00CF3FC5" w:rsidRDefault="00CF3FC5" w:rsidP="00CF3FC5">
      <w:pPr>
        <w:rPr>
          <w:rFonts w:cs="Arial"/>
          <w:szCs w:val="20"/>
        </w:rPr>
      </w:pPr>
    </w:p>
    <w:p w:rsidR="00CF3FC5" w:rsidRDefault="00CF3FC5" w:rsidP="00CF3FC5">
      <w:pPr>
        <w:ind w:left="1276" w:hanging="442"/>
        <w:rPr>
          <w:rFonts w:cs="Arial"/>
          <w:szCs w:val="20"/>
        </w:rPr>
      </w:pPr>
      <w:r w:rsidRPr="00CF3FC5">
        <w:rPr>
          <w:rFonts w:cs="Arial"/>
          <w:szCs w:val="20"/>
        </w:rPr>
        <w:t>(a)</w:t>
      </w:r>
      <w:r w:rsidRPr="00CF3FC5">
        <w:rPr>
          <w:rFonts w:cs="Arial"/>
          <w:szCs w:val="20"/>
        </w:rPr>
        <w:tab/>
      </w:r>
      <w:r w:rsidRPr="00CF3FC5">
        <w:rPr>
          <w:rFonts w:cs="Arial"/>
          <w:szCs w:val="20"/>
          <w:u w:val="single"/>
        </w:rPr>
        <w:t>approve</w:t>
      </w:r>
      <w:r w:rsidRPr="00CF3FC5">
        <w:rPr>
          <w:rFonts w:cs="Arial"/>
          <w:szCs w:val="20"/>
        </w:rPr>
        <w:t>, subject to the provisions of Article 6 of the 244</w:t>
      </w:r>
      <w:r w:rsidRPr="00CF3FC5">
        <w:rPr>
          <w:rFonts w:cs="Arial"/>
          <w:szCs w:val="20"/>
          <w:vertAlign w:val="superscript"/>
        </w:rPr>
        <w:t>th</w:t>
      </w:r>
      <w:r w:rsidRPr="00CF3FC5">
        <w:rPr>
          <w:rFonts w:cs="Arial"/>
          <w:szCs w:val="20"/>
        </w:rPr>
        <w:t xml:space="preserve"> Report by the CCR, as adopted by each of the Co-ordinated Organisations, the salary scales at 1 January 2019 resulting from the application of the adjustment indices set out in Annex 1 (cf. salary scales per country are found in A</w:t>
      </w:r>
      <w:r w:rsidR="009831F2">
        <w:rPr>
          <w:rFonts w:cs="Arial"/>
          <w:szCs w:val="20"/>
        </w:rPr>
        <w:t>nnex</w:t>
      </w:r>
      <w:r w:rsidRPr="00CF3FC5">
        <w:rPr>
          <w:rFonts w:cs="Arial"/>
          <w:szCs w:val="20"/>
        </w:rPr>
        <w:t xml:space="preserve"> 1 to this report);</w:t>
      </w:r>
    </w:p>
    <w:p w:rsidR="00CF3FC5" w:rsidRPr="00CF3FC5" w:rsidRDefault="00CF3FC5" w:rsidP="00CF3FC5">
      <w:pPr>
        <w:ind w:left="1276" w:hanging="442"/>
        <w:rPr>
          <w:rFonts w:cs="Arial"/>
          <w:szCs w:val="20"/>
        </w:rPr>
      </w:pPr>
    </w:p>
    <w:p w:rsidR="00CF3FC5" w:rsidRPr="00CF3FC5" w:rsidRDefault="00CF3FC5" w:rsidP="00CF3FC5">
      <w:pPr>
        <w:ind w:left="1276" w:hanging="442"/>
        <w:rPr>
          <w:rFonts w:cs="Arial"/>
          <w:szCs w:val="20"/>
        </w:rPr>
      </w:pPr>
      <w:r w:rsidRPr="00CF3FC5">
        <w:rPr>
          <w:rFonts w:cs="Arial"/>
          <w:szCs w:val="20"/>
        </w:rPr>
        <w:t>(b)</w:t>
      </w:r>
      <w:r w:rsidRPr="00CF3FC5">
        <w:rPr>
          <w:rFonts w:cs="Arial"/>
          <w:szCs w:val="20"/>
        </w:rPr>
        <w:tab/>
      </w:r>
      <w:r w:rsidRPr="00CF3FC5">
        <w:rPr>
          <w:rFonts w:cs="Arial"/>
          <w:szCs w:val="20"/>
          <w:u w:val="single"/>
        </w:rPr>
        <w:t>note</w:t>
      </w:r>
      <w:r w:rsidRPr="00CF3FC5">
        <w:rPr>
          <w:rFonts w:cs="Arial"/>
          <w:szCs w:val="20"/>
        </w:rPr>
        <w:t xml:space="preserve"> that, in pursuance of Article 36 of the 132</w:t>
      </w:r>
      <w:r w:rsidRPr="00CF3FC5">
        <w:rPr>
          <w:rFonts w:cs="Arial"/>
          <w:szCs w:val="20"/>
          <w:vertAlign w:val="superscript"/>
        </w:rPr>
        <w:t>nd</w:t>
      </w:r>
      <w:r w:rsidRPr="00CF3FC5">
        <w:rPr>
          <w:rFonts w:cs="Arial"/>
          <w:szCs w:val="20"/>
        </w:rPr>
        <w:t xml:space="preserve"> Report by the CCR, pensions paid under the Co-ordinated Scheme will be adjusted in the same proportions and at the same date as the salary of staff in relation to which they are calculated;</w:t>
      </w:r>
    </w:p>
    <w:p w:rsidR="00CF3FC5" w:rsidRPr="00CF3FC5" w:rsidRDefault="00CF3FC5" w:rsidP="00CF3FC5">
      <w:pPr>
        <w:rPr>
          <w:rFonts w:cs="Arial"/>
          <w:szCs w:val="20"/>
        </w:rPr>
      </w:pPr>
    </w:p>
    <w:p w:rsidR="00CF3FC5" w:rsidRPr="00CF3FC5" w:rsidRDefault="00CF3FC5" w:rsidP="00CF3FC5">
      <w:pPr>
        <w:ind w:left="1275" w:hanging="442"/>
        <w:rPr>
          <w:rFonts w:cs="Arial"/>
          <w:szCs w:val="20"/>
        </w:rPr>
      </w:pPr>
      <w:r w:rsidRPr="00CF3FC5">
        <w:rPr>
          <w:rFonts w:cs="Arial"/>
          <w:szCs w:val="20"/>
        </w:rPr>
        <w:t>(c)</w:t>
      </w:r>
      <w:r w:rsidRPr="00CF3FC5">
        <w:rPr>
          <w:rFonts w:cs="Arial"/>
          <w:szCs w:val="20"/>
        </w:rPr>
        <w:tab/>
      </w:r>
      <w:r w:rsidRPr="00CF3FC5">
        <w:rPr>
          <w:rFonts w:cs="Arial"/>
          <w:szCs w:val="20"/>
          <w:u w:val="single"/>
        </w:rPr>
        <w:t>note</w:t>
      </w:r>
      <w:r w:rsidRPr="00CF3FC5">
        <w:rPr>
          <w:rFonts w:cs="Arial"/>
          <w:szCs w:val="20"/>
        </w:rPr>
        <w:t xml:space="preserve"> that, in accordance with the interpretation given to paragraph 3 of the 34</w:t>
      </w:r>
      <w:r w:rsidRPr="00CF3FC5">
        <w:rPr>
          <w:rFonts w:cs="Arial"/>
          <w:szCs w:val="20"/>
          <w:vertAlign w:val="superscript"/>
        </w:rPr>
        <w:t>th</w:t>
      </w:r>
      <w:r w:rsidRPr="00CF3FC5">
        <w:rPr>
          <w:rFonts w:cs="Arial"/>
          <w:szCs w:val="20"/>
        </w:rPr>
        <w:t> Report by the CCG [</w:t>
      </w:r>
      <w:proofErr w:type="gramStart"/>
      <w:r w:rsidRPr="00CF3FC5">
        <w:rPr>
          <w:rFonts w:cs="Arial"/>
          <w:szCs w:val="20"/>
        </w:rPr>
        <w:t>C</w:t>
      </w:r>
      <w:r w:rsidR="00C56542" w:rsidRPr="00C56542">
        <w:rPr>
          <w:rFonts w:cs="Arial"/>
          <w:szCs w:val="20"/>
        </w:rPr>
        <w:t>CG(</w:t>
      </w:r>
      <w:proofErr w:type="gramEnd"/>
      <w:r w:rsidR="00C56542" w:rsidRPr="00C56542">
        <w:rPr>
          <w:rFonts w:cs="Arial"/>
          <w:szCs w:val="20"/>
        </w:rPr>
        <w:t>65)5</w:t>
      </w:r>
      <w:r w:rsidRPr="00CF3FC5">
        <w:rPr>
          <w:rFonts w:cs="Arial"/>
          <w:szCs w:val="20"/>
        </w:rPr>
        <w:t>] dated 25 October 1965, at its 77</w:t>
      </w:r>
      <w:r w:rsidRPr="00CF3FC5">
        <w:rPr>
          <w:rFonts w:cs="Arial"/>
          <w:szCs w:val="20"/>
          <w:vertAlign w:val="superscript"/>
        </w:rPr>
        <w:t>th</w:t>
      </w:r>
      <w:r w:rsidRPr="00CF3FC5">
        <w:rPr>
          <w:rFonts w:cs="Arial"/>
          <w:szCs w:val="20"/>
        </w:rPr>
        <w:t xml:space="preserve"> Session on 29 June 1966 [cf. CCG/M(66)6], the salary of auxiliary staff serving in the Co-ordinated Organisations will be adjusted in the same proportions as that of permanent staff, when applicable.</w:t>
      </w:r>
    </w:p>
    <w:p w:rsidR="00CF3FC5" w:rsidRDefault="00CF3FC5" w:rsidP="00CF3FC5">
      <w:pPr>
        <w:tabs>
          <w:tab w:val="center" w:pos="7655"/>
        </w:tabs>
        <w:rPr>
          <w:rFonts w:cs="Arial"/>
          <w:szCs w:val="20"/>
        </w:rPr>
      </w:pPr>
    </w:p>
    <w:p w:rsidR="00CF3FC5" w:rsidRPr="00CF3FC5" w:rsidRDefault="00CF3FC5" w:rsidP="00CF3FC5">
      <w:pPr>
        <w:tabs>
          <w:tab w:val="center" w:pos="7655"/>
        </w:tabs>
        <w:rPr>
          <w:rFonts w:cs="Arial"/>
          <w:szCs w:val="20"/>
        </w:rPr>
      </w:pPr>
      <w:proofErr w:type="spellStart"/>
      <w:r w:rsidRPr="00CF3FC5">
        <w:rPr>
          <w:rFonts w:cs="Arial"/>
          <w:szCs w:val="20"/>
        </w:rPr>
        <w:t>Syd</w:t>
      </w:r>
      <w:proofErr w:type="spellEnd"/>
      <w:r w:rsidRPr="00CF3FC5">
        <w:rPr>
          <w:rFonts w:cs="Arial"/>
          <w:szCs w:val="20"/>
        </w:rPr>
        <w:t xml:space="preserve"> </w:t>
      </w:r>
      <w:proofErr w:type="spellStart"/>
      <w:r w:rsidRPr="00CF3FC5">
        <w:rPr>
          <w:rFonts w:cs="Arial"/>
          <w:szCs w:val="20"/>
        </w:rPr>
        <w:t>Maddicott</w:t>
      </w:r>
      <w:proofErr w:type="spellEnd"/>
      <w:r w:rsidRPr="00CF3FC5">
        <w:rPr>
          <w:rFonts w:cs="Arial"/>
          <w:szCs w:val="20"/>
        </w:rPr>
        <w:t xml:space="preserve"> </w:t>
      </w:r>
    </w:p>
    <w:p w:rsidR="00CF3FC5" w:rsidRPr="00CF3FC5" w:rsidRDefault="00CF3FC5" w:rsidP="00CF3FC5">
      <w:pPr>
        <w:rPr>
          <w:rFonts w:cs="Arial"/>
          <w:szCs w:val="20"/>
        </w:rPr>
      </w:pPr>
      <w:r w:rsidRPr="00CF3FC5">
        <w:rPr>
          <w:rFonts w:cs="Arial"/>
          <w:noProof/>
          <w:szCs w:val="20"/>
          <w:lang w:val="fr-FR" w:eastAsia="fr-FR"/>
        </w:rPr>
        <w:drawing>
          <wp:inline distT="0" distB="0" distL="0" distR="0" wp14:anchorId="2C679A09" wp14:editId="1D8D1C32">
            <wp:extent cx="1820173" cy="593816"/>
            <wp:effectExtent l="0" t="0" r="0" b="0"/>
            <wp:docPr id="8" name="Picture 8" descr="8DAE2359"/>
            <wp:cNvGraphicFramePr/>
            <a:graphic xmlns:a="http://schemas.openxmlformats.org/drawingml/2006/main">
              <a:graphicData uri="http://schemas.openxmlformats.org/drawingml/2006/picture">
                <pic:pic xmlns:pic="http://schemas.openxmlformats.org/drawingml/2006/picture">
                  <pic:nvPicPr>
                    <pic:cNvPr id="2" name="Picture 2" descr="8DAE2359"/>
                    <pic:cNvPicPr/>
                  </pic:nvPicPr>
                  <pic:blipFill>
                    <a:blip r:embed="rId8" cstate="print">
                      <a:extLst>
                        <a:ext uri="{28A0092B-C50C-407E-A947-70E740481C1C}">
                          <a14:useLocalDpi xmlns:a14="http://schemas.microsoft.com/office/drawing/2010/main" val="0"/>
                        </a:ext>
                      </a:extLst>
                    </a:blip>
                    <a:srcRect l="25000" t="25061" r="31250" b="63145"/>
                    <a:stretch>
                      <a:fillRect/>
                    </a:stretch>
                  </pic:blipFill>
                  <pic:spPr bwMode="auto">
                    <a:xfrm>
                      <a:off x="0" y="0"/>
                      <a:ext cx="1817201" cy="592846"/>
                    </a:xfrm>
                    <a:prstGeom prst="rect">
                      <a:avLst/>
                    </a:prstGeom>
                    <a:noFill/>
                    <a:ln>
                      <a:noFill/>
                    </a:ln>
                  </pic:spPr>
                </pic:pic>
              </a:graphicData>
            </a:graphic>
          </wp:inline>
        </w:drawing>
      </w:r>
    </w:p>
    <w:p w:rsidR="00CF3FC5" w:rsidRPr="00CF3FC5" w:rsidRDefault="00CF3FC5" w:rsidP="00CF3FC5">
      <w:pPr>
        <w:rPr>
          <w:rFonts w:cs="Arial"/>
          <w:spacing w:val="-2"/>
          <w:szCs w:val="20"/>
        </w:rPr>
      </w:pPr>
      <w:r w:rsidRPr="00CF3FC5">
        <w:rPr>
          <w:rFonts w:cs="Arial"/>
          <w:szCs w:val="20"/>
        </w:rPr>
        <w:t>Chairman</w:t>
      </w:r>
    </w:p>
    <w:p w:rsidR="00CF3FC5" w:rsidRDefault="00CF3FC5">
      <w:pPr>
        <w:rPr>
          <w:rFonts w:eastAsia="Times New Roman"/>
          <w:szCs w:val="24"/>
        </w:rPr>
      </w:pPr>
      <w:r>
        <w:rPr>
          <w:rFonts w:eastAsia="Times New Roman"/>
          <w:szCs w:val="24"/>
        </w:rPr>
        <w:br w:type="page"/>
      </w:r>
    </w:p>
    <w:p w:rsidR="00CF3FC5" w:rsidRPr="0095400D" w:rsidRDefault="00CF3FC5" w:rsidP="0095400D">
      <w:pPr>
        <w:jc w:val="center"/>
        <w:rPr>
          <w:rFonts w:cs="Arial"/>
          <w:spacing w:val="-2"/>
        </w:rPr>
      </w:pPr>
      <w:r w:rsidRPr="0095400D">
        <w:rPr>
          <w:rFonts w:cs="Arial"/>
          <w:b/>
          <w:spacing w:val="-2"/>
        </w:rPr>
        <w:lastRenderedPageBreak/>
        <w:t xml:space="preserve">ANNEXES </w:t>
      </w:r>
    </w:p>
    <w:p w:rsidR="00CF3FC5" w:rsidRPr="0095400D" w:rsidRDefault="00CF3FC5" w:rsidP="0095400D">
      <w:pPr>
        <w:tabs>
          <w:tab w:val="left" w:pos="880"/>
          <w:tab w:val="left" w:pos="1320"/>
          <w:tab w:val="left" w:pos="1650"/>
          <w:tab w:val="center" w:pos="4513"/>
        </w:tabs>
        <w:suppressAutoHyphens/>
        <w:rPr>
          <w:rFonts w:cs="Arial"/>
          <w:b/>
          <w:spacing w:val="-2"/>
        </w:rPr>
      </w:pPr>
    </w:p>
    <w:p w:rsidR="00CF3FC5" w:rsidRDefault="00CF3FC5" w:rsidP="0095400D">
      <w:pPr>
        <w:tabs>
          <w:tab w:val="left" w:pos="880"/>
          <w:tab w:val="left" w:pos="1320"/>
          <w:tab w:val="left" w:pos="1650"/>
        </w:tabs>
        <w:suppressAutoHyphens/>
        <w:ind w:right="255"/>
        <w:jc w:val="right"/>
        <w:outlineLvl w:val="0"/>
        <w:rPr>
          <w:rFonts w:cs="Arial"/>
          <w:b/>
          <w:spacing w:val="-2"/>
        </w:rPr>
      </w:pPr>
      <w:r w:rsidRPr="0095400D">
        <w:rPr>
          <w:rFonts w:cs="Arial"/>
          <w:b/>
          <w:spacing w:val="-2"/>
        </w:rPr>
        <w:t>Pages</w:t>
      </w:r>
    </w:p>
    <w:p w:rsidR="0095400D" w:rsidRDefault="0095400D" w:rsidP="0095400D">
      <w:pPr>
        <w:tabs>
          <w:tab w:val="left" w:pos="880"/>
          <w:tab w:val="left" w:pos="1320"/>
          <w:tab w:val="left" w:pos="1650"/>
        </w:tabs>
        <w:suppressAutoHyphens/>
        <w:ind w:right="255"/>
        <w:jc w:val="right"/>
        <w:outlineLvl w:val="0"/>
        <w:rPr>
          <w:rFonts w:cs="Arial"/>
          <w:b/>
          <w:spacing w:val="-2"/>
        </w:rPr>
      </w:pPr>
    </w:p>
    <w:p w:rsidR="0095400D" w:rsidRPr="0095400D" w:rsidRDefault="0095400D" w:rsidP="0095400D">
      <w:pPr>
        <w:tabs>
          <w:tab w:val="left" w:pos="880"/>
          <w:tab w:val="left" w:pos="1320"/>
          <w:tab w:val="left" w:pos="1650"/>
        </w:tabs>
        <w:suppressAutoHyphens/>
        <w:ind w:right="255"/>
        <w:jc w:val="right"/>
        <w:outlineLvl w:val="0"/>
        <w:rPr>
          <w:rFonts w:cs="Arial"/>
          <w:spacing w:val="-2"/>
        </w:rPr>
      </w:pPr>
    </w:p>
    <w:p w:rsidR="00CF3FC5" w:rsidRPr="0095400D" w:rsidRDefault="00CF3FC5" w:rsidP="00795EB8">
      <w:pPr>
        <w:tabs>
          <w:tab w:val="left" w:pos="-1440"/>
          <w:tab w:val="left" w:pos="-720"/>
          <w:tab w:val="right" w:leader="dot" w:pos="8789"/>
          <w:tab w:val="center" w:pos="9072"/>
        </w:tabs>
        <w:suppressAutoHyphens/>
        <w:ind w:left="993" w:hanging="993"/>
        <w:rPr>
          <w:rFonts w:cs="Arial"/>
          <w:spacing w:val="-2"/>
        </w:rPr>
      </w:pPr>
      <w:r w:rsidRPr="0095400D">
        <w:rPr>
          <w:rFonts w:cs="Arial"/>
          <w:b/>
          <w:spacing w:val="-2"/>
        </w:rPr>
        <w:t>Annex 1</w:t>
      </w:r>
      <w:r w:rsidRPr="0095400D">
        <w:rPr>
          <w:rFonts w:cs="Arial"/>
          <w:spacing w:val="-2"/>
        </w:rPr>
        <w:tab/>
        <w:t>CO salary adjustment indices per du</w:t>
      </w:r>
      <w:r w:rsidR="009831F2">
        <w:rPr>
          <w:rFonts w:cs="Arial"/>
          <w:spacing w:val="-2"/>
        </w:rPr>
        <w:t xml:space="preserve">ty country at 1 January 2019 </w:t>
      </w:r>
      <w:r w:rsidR="009831F2">
        <w:rPr>
          <w:rFonts w:cs="Arial"/>
          <w:spacing w:val="-2"/>
        </w:rPr>
        <w:tab/>
      </w:r>
      <w:r w:rsidR="009831F2">
        <w:rPr>
          <w:rFonts w:cs="Arial"/>
          <w:spacing w:val="-2"/>
        </w:rPr>
        <w:tab/>
        <w:t>4</w:t>
      </w:r>
    </w:p>
    <w:p w:rsidR="0095400D" w:rsidRDefault="0095400D" w:rsidP="00795EB8">
      <w:pPr>
        <w:tabs>
          <w:tab w:val="left" w:pos="-1440"/>
          <w:tab w:val="left" w:pos="-720"/>
          <w:tab w:val="right" w:leader="dot" w:pos="8789"/>
          <w:tab w:val="center" w:pos="9072"/>
        </w:tabs>
        <w:suppressAutoHyphens/>
        <w:ind w:left="993" w:right="1389" w:hanging="993"/>
        <w:rPr>
          <w:rFonts w:cs="Arial"/>
          <w:b/>
          <w:spacing w:val="-2"/>
        </w:rPr>
      </w:pPr>
    </w:p>
    <w:p w:rsidR="00CF3FC5" w:rsidRPr="0095400D" w:rsidRDefault="00CF3FC5" w:rsidP="00795EB8">
      <w:pPr>
        <w:tabs>
          <w:tab w:val="left" w:pos="-1440"/>
          <w:tab w:val="left" w:pos="-720"/>
          <w:tab w:val="right" w:leader="dot" w:pos="8789"/>
          <w:tab w:val="center" w:pos="9072"/>
        </w:tabs>
        <w:suppressAutoHyphens/>
        <w:ind w:left="993" w:right="1389" w:hanging="993"/>
        <w:rPr>
          <w:rFonts w:cs="Arial"/>
          <w:spacing w:val="-2"/>
        </w:rPr>
      </w:pPr>
      <w:r w:rsidRPr="0095400D">
        <w:rPr>
          <w:rFonts w:cs="Arial"/>
          <w:b/>
          <w:spacing w:val="-2"/>
        </w:rPr>
        <w:t>Annex 1a</w:t>
      </w:r>
      <w:r w:rsidRPr="0095400D">
        <w:rPr>
          <w:rFonts w:cs="Arial"/>
          <w:b/>
          <w:spacing w:val="-2"/>
        </w:rPr>
        <w:tab/>
      </w:r>
      <w:r w:rsidRPr="0095400D">
        <w:rPr>
          <w:rFonts w:cs="Arial"/>
          <w:spacing w:val="-2"/>
        </w:rPr>
        <w:t>Effect of the deduction of special adjustments to the annual adjustm</w:t>
      </w:r>
      <w:r w:rsidR="009831F2">
        <w:rPr>
          <w:rFonts w:cs="Arial"/>
          <w:spacing w:val="-2"/>
        </w:rPr>
        <w:t>ent indices at 1 January 2019</w:t>
      </w:r>
      <w:r w:rsidR="009831F2">
        <w:rPr>
          <w:rFonts w:cs="Arial"/>
          <w:spacing w:val="-2"/>
        </w:rPr>
        <w:tab/>
      </w:r>
      <w:r w:rsidR="009831F2">
        <w:rPr>
          <w:rFonts w:cs="Arial"/>
          <w:spacing w:val="-2"/>
        </w:rPr>
        <w:tab/>
        <w:t>5</w:t>
      </w:r>
    </w:p>
    <w:p w:rsidR="0095400D" w:rsidRDefault="0095400D" w:rsidP="00795EB8">
      <w:pPr>
        <w:tabs>
          <w:tab w:val="left" w:pos="-1440"/>
          <w:tab w:val="left" w:pos="-720"/>
          <w:tab w:val="right" w:leader="dot" w:pos="8789"/>
          <w:tab w:val="center" w:pos="9072"/>
        </w:tabs>
        <w:suppressAutoHyphens/>
        <w:ind w:left="993" w:hanging="993"/>
        <w:rPr>
          <w:rFonts w:cs="Arial"/>
          <w:b/>
          <w:spacing w:val="-2"/>
        </w:rPr>
      </w:pPr>
    </w:p>
    <w:p w:rsidR="00CF3FC5" w:rsidRPr="0095400D" w:rsidRDefault="00CF3FC5" w:rsidP="00795EB8">
      <w:pPr>
        <w:tabs>
          <w:tab w:val="left" w:pos="-1440"/>
          <w:tab w:val="left" w:pos="-720"/>
          <w:tab w:val="right" w:leader="dot" w:pos="8789"/>
          <w:tab w:val="center" w:pos="9072"/>
        </w:tabs>
        <w:suppressAutoHyphens/>
        <w:ind w:left="993" w:hanging="993"/>
        <w:rPr>
          <w:rFonts w:cs="Arial"/>
          <w:spacing w:val="-2"/>
        </w:rPr>
      </w:pPr>
      <w:r w:rsidRPr="0095400D">
        <w:rPr>
          <w:rFonts w:cs="Arial"/>
          <w:b/>
          <w:spacing w:val="-2"/>
        </w:rPr>
        <w:t>Annex 2</w:t>
      </w:r>
      <w:r w:rsidRPr="0095400D">
        <w:rPr>
          <w:rFonts w:cs="Arial"/>
          <w:b/>
          <w:spacing w:val="-2"/>
        </w:rPr>
        <w:tab/>
      </w:r>
      <w:r w:rsidRPr="0095400D">
        <w:rPr>
          <w:rFonts w:cs="Arial"/>
          <w:spacing w:val="-2"/>
        </w:rPr>
        <w:t>Reference index</w:t>
      </w:r>
      <w:r w:rsidRPr="0095400D">
        <w:rPr>
          <w:rFonts w:cs="Arial"/>
          <w:b/>
          <w:spacing w:val="-2"/>
        </w:rPr>
        <w:t xml:space="preserve"> </w:t>
      </w:r>
      <w:r w:rsidR="009831F2">
        <w:rPr>
          <w:rFonts w:cs="Arial"/>
          <w:spacing w:val="-2"/>
        </w:rPr>
        <w:t>at 1 July 2018</w:t>
      </w:r>
      <w:r w:rsidR="009831F2">
        <w:rPr>
          <w:rFonts w:cs="Arial"/>
          <w:spacing w:val="-2"/>
        </w:rPr>
        <w:tab/>
      </w:r>
      <w:r w:rsidR="009831F2">
        <w:rPr>
          <w:rFonts w:cs="Arial"/>
          <w:spacing w:val="-2"/>
        </w:rPr>
        <w:tab/>
        <w:t>6</w:t>
      </w:r>
    </w:p>
    <w:p w:rsidR="0095400D" w:rsidRDefault="0095400D" w:rsidP="00795EB8">
      <w:pPr>
        <w:tabs>
          <w:tab w:val="left" w:pos="-1440"/>
          <w:tab w:val="left" w:pos="-720"/>
          <w:tab w:val="right" w:leader="dot" w:pos="8789"/>
          <w:tab w:val="center" w:pos="9072"/>
        </w:tabs>
        <w:suppressAutoHyphens/>
        <w:ind w:left="993" w:hanging="993"/>
        <w:rPr>
          <w:rFonts w:cs="Arial"/>
          <w:b/>
          <w:spacing w:val="-2"/>
        </w:rPr>
      </w:pPr>
    </w:p>
    <w:p w:rsidR="00CF3FC5" w:rsidRPr="0095400D" w:rsidRDefault="00CF3FC5" w:rsidP="00795EB8">
      <w:pPr>
        <w:tabs>
          <w:tab w:val="left" w:pos="-1440"/>
          <w:tab w:val="left" w:pos="-720"/>
          <w:tab w:val="right" w:leader="dot" w:pos="8789"/>
          <w:tab w:val="center" w:pos="9072"/>
        </w:tabs>
        <w:suppressAutoHyphens/>
        <w:ind w:left="993" w:hanging="993"/>
        <w:rPr>
          <w:rFonts w:cs="Arial"/>
          <w:spacing w:val="-2"/>
        </w:rPr>
      </w:pPr>
      <w:r w:rsidRPr="0095400D">
        <w:rPr>
          <w:rFonts w:cs="Arial"/>
          <w:b/>
          <w:spacing w:val="-2"/>
        </w:rPr>
        <w:t>Annex 2a</w:t>
      </w:r>
      <w:r w:rsidRPr="0095400D">
        <w:rPr>
          <w:rFonts w:cs="Arial"/>
          <w:b/>
          <w:spacing w:val="-2"/>
        </w:rPr>
        <w:tab/>
      </w:r>
      <w:r w:rsidRPr="0095400D">
        <w:rPr>
          <w:rFonts w:cs="Arial"/>
          <w:spacing w:val="-2"/>
        </w:rPr>
        <w:t>Trend of net NCS remuneration in real terms for the period</w:t>
      </w:r>
    </w:p>
    <w:p w:rsidR="00CF3FC5" w:rsidRPr="0095400D" w:rsidRDefault="009831F2" w:rsidP="00795EB8">
      <w:pPr>
        <w:tabs>
          <w:tab w:val="left" w:pos="-1440"/>
          <w:tab w:val="left" w:pos="-720"/>
          <w:tab w:val="right" w:leader="dot" w:pos="8789"/>
          <w:tab w:val="center" w:pos="9072"/>
        </w:tabs>
        <w:suppressAutoHyphens/>
        <w:ind w:left="992" w:hanging="992"/>
        <w:rPr>
          <w:rFonts w:cs="Arial"/>
          <w:spacing w:val="-2"/>
        </w:rPr>
      </w:pPr>
      <w:r>
        <w:rPr>
          <w:rFonts w:cs="Arial"/>
          <w:spacing w:val="-2"/>
        </w:rPr>
        <w:tab/>
        <w:t xml:space="preserve">1 July 2017 to 1 July 2018 </w:t>
      </w:r>
      <w:r>
        <w:rPr>
          <w:rFonts w:cs="Arial"/>
          <w:spacing w:val="-2"/>
        </w:rPr>
        <w:tab/>
      </w:r>
      <w:r>
        <w:rPr>
          <w:rFonts w:cs="Arial"/>
          <w:spacing w:val="-2"/>
        </w:rPr>
        <w:tab/>
        <w:t>7</w:t>
      </w:r>
    </w:p>
    <w:p w:rsidR="0095400D" w:rsidRDefault="0095400D" w:rsidP="00795EB8">
      <w:pPr>
        <w:tabs>
          <w:tab w:val="left" w:pos="-1440"/>
          <w:tab w:val="left" w:pos="-720"/>
          <w:tab w:val="right" w:leader="dot" w:pos="8789"/>
          <w:tab w:val="center" w:pos="9072"/>
        </w:tabs>
        <w:suppressAutoHyphens/>
        <w:ind w:left="993" w:hanging="993"/>
        <w:rPr>
          <w:rFonts w:cs="Arial"/>
          <w:b/>
          <w:spacing w:val="-2"/>
        </w:rPr>
      </w:pPr>
    </w:p>
    <w:p w:rsidR="00CF3FC5" w:rsidRPr="0095400D" w:rsidRDefault="00CF3FC5" w:rsidP="00795EB8">
      <w:pPr>
        <w:tabs>
          <w:tab w:val="left" w:pos="-1440"/>
          <w:tab w:val="left" w:pos="-720"/>
          <w:tab w:val="right" w:leader="dot" w:pos="8789"/>
          <w:tab w:val="center" w:pos="9072"/>
        </w:tabs>
        <w:suppressAutoHyphens/>
        <w:ind w:left="993" w:hanging="993"/>
        <w:rPr>
          <w:rFonts w:cs="Arial"/>
          <w:b/>
          <w:spacing w:val="-2"/>
        </w:rPr>
      </w:pPr>
      <w:r w:rsidRPr="0095400D">
        <w:rPr>
          <w:rFonts w:cs="Arial"/>
          <w:b/>
          <w:spacing w:val="-2"/>
        </w:rPr>
        <w:t>Annex 3</w:t>
      </w:r>
      <w:r w:rsidRPr="0095400D">
        <w:rPr>
          <w:rFonts w:cs="Arial"/>
          <w:b/>
          <w:spacing w:val="-2"/>
        </w:rPr>
        <w:tab/>
      </w:r>
      <w:r w:rsidRPr="0095400D">
        <w:rPr>
          <w:rFonts w:cs="Arial"/>
          <w:spacing w:val="-2"/>
        </w:rPr>
        <w:t>Purchasing po</w:t>
      </w:r>
      <w:r w:rsidR="009831F2">
        <w:rPr>
          <w:rFonts w:cs="Arial"/>
          <w:spacing w:val="-2"/>
        </w:rPr>
        <w:t xml:space="preserve">wer parities at 1 July 2018  </w:t>
      </w:r>
      <w:r w:rsidR="009831F2">
        <w:rPr>
          <w:rFonts w:cs="Arial"/>
          <w:spacing w:val="-2"/>
        </w:rPr>
        <w:tab/>
      </w:r>
      <w:r w:rsidR="009831F2">
        <w:rPr>
          <w:rFonts w:cs="Arial"/>
          <w:spacing w:val="-2"/>
        </w:rPr>
        <w:tab/>
        <w:t>8</w:t>
      </w:r>
    </w:p>
    <w:p w:rsidR="0095400D" w:rsidRDefault="0095400D" w:rsidP="00795EB8">
      <w:pPr>
        <w:tabs>
          <w:tab w:val="left" w:pos="-1440"/>
          <w:tab w:val="left" w:pos="-720"/>
          <w:tab w:val="right" w:leader="dot" w:pos="8789"/>
          <w:tab w:val="center" w:pos="9072"/>
        </w:tabs>
        <w:suppressAutoHyphens/>
        <w:ind w:left="993" w:hanging="993"/>
        <w:rPr>
          <w:rFonts w:cs="Arial"/>
          <w:b/>
          <w:spacing w:val="-2"/>
        </w:rPr>
      </w:pPr>
    </w:p>
    <w:p w:rsidR="00CF3FC5" w:rsidRPr="0095400D" w:rsidRDefault="00CF3FC5" w:rsidP="00795EB8">
      <w:pPr>
        <w:tabs>
          <w:tab w:val="left" w:pos="-1440"/>
          <w:tab w:val="left" w:pos="-720"/>
          <w:tab w:val="right" w:leader="dot" w:pos="8789"/>
          <w:tab w:val="center" w:pos="9072"/>
        </w:tabs>
        <w:suppressAutoHyphens/>
        <w:ind w:left="993" w:hanging="993"/>
        <w:rPr>
          <w:rFonts w:cs="Arial"/>
          <w:spacing w:val="-2"/>
        </w:rPr>
      </w:pPr>
      <w:r w:rsidRPr="0095400D">
        <w:rPr>
          <w:rFonts w:cs="Arial"/>
          <w:b/>
          <w:spacing w:val="-2"/>
        </w:rPr>
        <w:t>Annex 4</w:t>
      </w:r>
      <w:r w:rsidRPr="0095400D">
        <w:rPr>
          <w:rFonts w:cs="Arial"/>
          <w:spacing w:val="-2"/>
        </w:rPr>
        <w:tab/>
        <w:t>Salary scale</w:t>
      </w:r>
      <w:r w:rsidR="009831F2">
        <w:rPr>
          <w:rFonts w:cs="Arial"/>
          <w:spacing w:val="-2"/>
        </w:rPr>
        <w:t>s proposed at 1 January 2019</w:t>
      </w:r>
      <w:r w:rsidR="009831F2">
        <w:rPr>
          <w:rFonts w:cs="Arial"/>
          <w:spacing w:val="-2"/>
        </w:rPr>
        <w:tab/>
      </w:r>
      <w:r w:rsidR="009831F2">
        <w:rPr>
          <w:rFonts w:cs="Arial"/>
          <w:spacing w:val="-2"/>
        </w:rPr>
        <w:tab/>
        <w:t>9</w:t>
      </w:r>
    </w:p>
    <w:p w:rsidR="00CF3FC5" w:rsidRPr="0095400D" w:rsidRDefault="00CF3FC5" w:rsidP="0095400D">
      <w:pPr>
        <w:tabs>
          <w:tab w:val="left" w:pos="1532"/>
        </w:tabs>
        <w:suppressAutoHyphens/>
        <w:rPr>
          <w:rFonts w:cs="Arial"/>
          <w:spacing w:val="-2"/>
        </w:rPr>
      </w:pPr>
    </w:p>
    <w:p w:rsidR="00CF3FC5" w:rsidRPr="0095400D" w:rsidRDefault="00CF3FC5" w:rsidP="0095400D">
      <w:pPr>
        <w:suppressAutoHyphens/>
        <w:rPr>
          <w:rFonts w:cs="Arial"/>
          <w:spacing w:val="-2"/>
        </w:rPr>
      </w:pPr>
    </w:p>
    <w:p w:rsidR="00CF3FC5" w:rsidRPr="0095400D" w:rsidRDefault="00CF3FC5" w:rsidP="0095400D">
      <w:pPr>
        <w:rPr>
          <w:rFonts w:cs="Arial"/>
        </w:rPr>
      </w:pPr>
    </w:p>
    <w:p w:rsidR="00CF3FC5" w:rsidRPr="002E0857" w:rsidRDefault="00CF3FC5" w:rsidP="00CF3FC5">
      <w:pPr>
        <w:rPr>
          <w:rFonts w:asciiTheme="minorHAnsi" w:hAnsiTheme="minorHAnsi"/>
        </w:rPr>
      </w:pPr>
      <w:r w:rsidRPr="002E0857">
        <w:rPr>
          <w:rFonts w:asciiTheme="minorHAnsi" w:hAnsiTheme="minorHAnsi"/>
        </w:rPr>
        <w:br w:type="page"/>
      </w:r>
    </w:p>
    <w:p w:rsidR="00795EB8" w:rsidRDefault="00795EB8" w:rsidP="00CF3FC5">
      <w:pPr>
        <w:suppressAutoHyphens/>
        <w:jc w:val="center"/>
        <w:rPr>
          <w:rFonts w:cs="Arial"/>
          <w:b/>
          <w:spacing w:val="-2"/>
          <w:szCs w:val="20"/>
        </w:rPr>
      </w:pPr>
    </w:p>
    <w:p w:rsidR="00CF3FC5" w:rsidRPr="0095400D" w:rsidRDefault="00CF3FC5" w:rsidP="00B8059D">
      <w:pPr>
        <w:suppressAutoHyphens/>
        <w:jc w:val="center"/>
        <w:rPr>
          <w:rFonts w:cs="Arial"/>
          <w:b/>
          <w:spacing w:val="-2"/>
          <w:szCs w:val="20"/>
        </w:rPr>
      </w:pPr>
      <w:r w:rsidRPr="0095400D">
        <w:rPr>
          <w:rFonts w:cs="Arial"/>
          <w:b/>
          <w:spacing w:val="-2"/>
          <w:szCs w:val="20"/>
        </w:rPr>
        <w:t>ANNEX 1</w:t>
      </w:r>
    </w:p>
    <w:p w:rsidR="00CF3FC5" w:rsidRPr="0095400D" w:rsidRDefault="00CF3FC5" w:rsidP="00B8059D">
      <w:pPr>
        <w:suppressAutoHyphens/>
        <w:jc w:val="center"/>
        <w:rPr>
          <w:rFonts w:cs="Arial"/>
          <w:spacing w:val="-2"/>
          <w:szCs w:val="20"/>
        </w:rPr>
      </w:pPr>
    </w:p>
    <w:p w:rsidR="00CF3FC5" w:rsidRDefault="00CF3FC5" w:rsidP="00B8059D">
      <w:pPr>
        <w:suppressAutoHyphens/>
        <w:jc w:val="center"/>
        <w:rPr>
          <w:rFonts w:cs="Arial"/>
          <w:b/>
          <w:spacing w:val="-2"/>
          <w:szCs w:val="20"/>
        </w:rPr>
      </w:pPr>
      <w:r w:rsidRPr="0095400D">
        <w:rPr>
          <w:rFonts w:cs="Arial"/>
          <w:b/>
          <w:spacing w:val="-2"/>
          <w:szCs w:val="20"/>
        </w:rPr>
        <w:t>CO-ORDINATED ORGANISATIONS</w:t>
      </w:r>
    </w:p>
    <w:p w:rsidR="00B8059D" w:rsidRPr="0095400D" w:rsidRDefault="00B8059D" w:rsidP="00B8059D">
      <w:pPr>
        <w:suppressAutoHyphens/>
        <w:jc w:val="center"/>
        <w:rPr>
          <w:rFonts w:cs="Arial"/>
          <w:b/>
          <w:spacing w:val="-2"/>
          <w:szCs w:val="20"/>
        </w:rPr>
      </w:pPr>
    </w:p>
    <w:p w:rsidR="00CF3FC5" w:rsidRPr="0095400D" w:rsidRDefault="00CF3FC5" w:rsidP="00B8059D">
      <w:pPr>
        <w:suppressAutoHyphens/>
        <w:jc w:val="center"/>
        <w:rPr>
          <w:rFonts w:cs="Arial"/>
          <w:b/>
          <w:spacing w:val="-2"/>
          <w:szCs w:val="20"/>
        </w:rPr>
      </w:pPr>
      <w:r w:rsidRPr="0095400D">
        <w:rPr>
          <w:rFonts w:cs="Arial"/>
          <w:b/>
          <w:spacing w:val="-2"/>
          <w:szCs w:val="20"/>
        </w:rPr>
        <w:t>SALARY ADJUSTMENT INDICES PER DUTY COUNTRY AT 1 JANUARY 2019</w:t>
      </w:r>
    </w:p>
    <w:p w:rsidR="00CF3FC5" w:rsidRDefault="0095400D" w:rsidP="00B8059D">
      <w:pPr>
        <w:ind w:left="-425"/>
        <w:rPr>
          <w:rFonts w:cs="Arial"/>
          <w:szCs w:val="20"/>
        </w:rPr>
      </w:pPr>
      <w:r w:rsidRPr="0095400D">
        <w:rPr>
          <w:rFonts w:cs="Arial"/>
          <w:noProof/>
          <w:szCs w:val="20"/>
          <w:lang w:val="fr-FR" w:eastAsia="fr-FR"/>
        </w:rPr>
        <w:drawing>
          <wp:anchor distT="0" distB="0" distL="114300" distR="114300" simplePos="0" relativeHeight="251675648" behindDoc="0" locked="0" layoutInCell="1" allowOverlap="1" wp14:anchorId="483D1DA7" wp14:editId="6BA770EC">
            <wp:simplePos x="0" y="0"/>
            <wp:positionH relativeFrom="margin">
              <wp:posOffset>124460</wp:posOffset>
            </wp:positionH>
            <wp:positionV relativeFrom="margin">
              <wp:posOffset>1203960</wp:posOffset>
            </wp:positionV>
            <wp:extent cx="6123940" cy="65157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3940" cy="6515735"/>
                    </a:xfrm>
                    <a:prstGeom prst="rect">
                      <a:avLst/>
                    </a:prstGeom>
                    <a:noFill/>
                    <a:ln>
                      <a:noFill/>
                    </a:ln>
                  </pic:spPr>
                </pic:pic>
              </a:graphicData>
            </a:graphic>
          </wp:anchor>
        </w:drawing>
      </w:r>
    </w:p>
    <w:p w:rsidR="0095400D" w:rsidRPr="0095400D" w:rsidRDefault="0095400D" w:rsidP="0095400D">
      <w:pPr>
        <w:tabs>
          <w:tab w:val="left" w:pos="2127"/>
          <w:tab w:val="right" w:pos="9781"/>
        </w:tabs>
        <w:spacing w:before="120"/>
        <w:ind w:left="1985" w:hanging="709"/>
        <w:rPr>
          <w:rFonts w:cs="Arial"/>
          <w:sz w:val="16"/>
          <w:szCs w:val="16"/>
        </w:rPr>
      </w:pPr>
      <w:r w:rsidRPr="0095400D">
        <w:rPr>
          <w:rFonts w:cs="Arial"/>
          <w:b/>
          <w:sz w:val="16"/>
          <w:szCs w:val="16"/>
        </w:rPr>
        <w:t>NOTES:</w:t>
      </w:r>
      <w:r w:rsidRPr="0095400D">
        <w:rPr>
          <w:rFonts w:cs="Arial"/>
          <w:sz w:val="16"/>
          <w:szCs w:val="16"/>
        </w:rPr>
        <w:tab/>
      </w:r>
      <w:r w:rsidRPr="0095400D">
        <w:rPr>
          <w:rFonts w:cs="Arial"/>
          <w:sz w:val="16"/>
          <w:szCs w:val="16"/>
          <w:vertAlign w:val="superscript"/>
        </w:rPr>
        <w:t>1</w:t>
      </w:r>
      <w:r w:rsidRPr="0095400D">
        <w:rPr>
          <w:rFonts w:cs="Arial"/>
          <w:sz w:val="16"/>
          <w:szCs w:val="16"/>
        </w:rPr>
        <w:tab/>
        <w:t>Belgium index also applies to Luxembourg in accordance with the 244</w:t>
      </w:r>
      <w:r w:rsidRPr="0095400D">
        <w:rPr>
          <w:rFonts w:cs="Arial"/>
          <w:sz w:val="16"/>
          <w:szCs w:val="16"/>
          <w:vertAlign w:val="superscript"/>
        </w:rPr>
        <w:t>th</w:t>
      </w:r>
      <w:r w:rsidRPr="0095400D">
        <w:rPr>
          <w:rFonts w:cs="Arial"/>
          <w:sz w:val="16"/>
          <w:szCs w:val="16"/>
        </w:rPr>
        <w:t xml:space="preserve"> Report.</w:t>
      </w:r>
    </w:p>
    <w:p w:rsidR="0095400D" w:rsidRPr="0095400D" w:rsidRDefault="0095400D" w:rsidP="0095400D">
      <w:pPr>
        <w:tabs>
          <w:tab w:val="left" w:pos="2127"/>
          <w:tab w:val="right" w:pos="9781"/>
        </w:tabs>
        <w:spacing w:before="60"/>
        <w:ind w:left="1985" w:hanging="709"/>
        <w:rPr>
          <w:rFonts w:cs="Arial"/>
          <w:sz w:val="16"/>
          <w:szCs w:val="16"/>
        </w:rPr>
      </w:pPr>
      <w:r w:rsidRPr="0095400D">
        <w:rPr>
          <w:rFonts w:cs="Arial"/>
          <w:sz w:val="16"/>
          <w:szCs w:val="16"/>
        </w:rPr>
        <w:tab/>
      </w:r>
      <w:r w:rsidRPr="0095400D">
        <w:rPr>
          <w:rFonts w:cs="Arial"/>
          <w:sz w:val="16"/>
          <w:szCs w:val="16"/>
          <w:vertAlign w:val="superscript"/>
        </w:rPr>
        <w:t>2</w:t>
      </w:r>
      <w:r w:rsidRPr="0095400D">
        <w:rPr>
          <w:rFonts w:cs="Arial"/>
          <w:sz w:val="16"/>
          <w:szCs w:val="16"/>
        </w:rPr>
        <w:tab/>
        <w:t xml:space="preserve">Country concerned by a special adjustment to be deducted (see Annex 1a). </w:t>
      </w:r>
    </w:p>
    <w:p w:rsidR="0095400D" w:rsidRDefault="0095400D" w:rsidP="00CF3FC5">
      <w:pPr>
        <w:rPr>
          <w:rFonts w:asciiTheme="minorHAnsi" w:hAnsiTheme="minorHAnsi"/>
        </w:rPr>
      </w:pPr>
    </w:p>
    <w:p w:rsidR="00CF3FC5" w:rsidRDefault="00CF3FC5" w:rsidP="00CF3FC5">
      <w:pPr>
        <w:rPr>
          <w:rFonts w:asciiTheme="minorHAnsi" w:hAnsiTheme="minorHAnsi"/>
        </w:rPr>
      </w:pPr>
      <w:r>
        <w:rPr>
          <w:rFonts w:asciiTheme="minorHAnsi" w:hAnsiTheme="minorHAnsi"/>
        </w:rPr>
        <w:br w:type="page"/>
      </w:r>
    </w:p>
    <w:p w:rsidR="00CF3FC5" w:rsidRPr="0095400D" w:rsidRDefault="00CF3FC5" w:rsidP="00CF3FC5">
      <w:pPr>
        <w:suppressAutoHyphens/>
        <w:jc w:val="center"/>
        <w:rPr>
          <w:rFonts w:cs="Arial"/>
          <w:b/>
          <w:spacing w:val="-2"/>
        </w:rPr>
      </w:pPr>
    </w:p>
    <w:p w:rsidR="00CF3FC5" w:rsidRPr="0095400D" w:rsidRDefault="00CF3FC5" w:rsidP="00CF3FC5">
      <w:pPr>
        <w:suppressAutoHyphens/>
        <w:jc w:val="center"/>
        <w:rPr>
          <w:rFonts w:cs="Arial"/>
          <w:b/>
          <w:spacing w:val="-2"/>
        </w:rPr>
      </w:pPr>
      <w:r w:rsidRPr="0095400D">
        <w:rPr>
          <w:rFonts w:cs="Arial"/>
          <w:b/>
          <w:spacing w:val="-2"/>
        </w:rPr>
        <w:t>ANNEX 1a</w:t>
      </w:r>
    </w:p>
    <w:p w:rsidR="00CF3FC5" w:rsidRPr="0095400D" w:rsidRDefault="00CF3FC5" w:rsidP="00CF3FC5">
      <w:pPr>
        <w:suppressAutoHyphens/>
        <w:jc w:val="center"/>
        <w:rPr>
          <w:rFonts w:cs="Arial"/>
          <w:b/>
          <w:spacing w:val="-2"/>
        </w:rPr>
      </w:pPr>
    </w:p>
    <w:p w:rsidR="00CF3FC5" w:rsidRPr="0095400D" w:rsidRDefault="00CF3FC5" w:rsidP="00CF3FC5">
      <w:pPr>
        <w:suppressAutoHyphens/>
        <w:jc w:val="center"/>
        <w:rPr>
          <w:rFonts w:cs="Arial"/>
          <w:b/>
          <w:spacing w:val="-2"/>
        </w:rPr>
      </w:pPr>
      <w:r w:rsidRPr="0095400D">
        <w:rPr>
          <w:rFonts w:cs="Arial"/>
          <w:b/>
          <w:spacing w:val="-2"/>
        </w:rPr>
        <w:t>EFFECT OF THE DEDUCTION OF SPECIAL ADJUSTMENTS</w:t>
      </w:r>
    </w:p>
    <w:p w:rsidR="00CF3FC5" w:rsidRPr="0095400D" w:rsidRDefault="00CF3FC5" w:rsidP="00CF3FC5">
      <w:pPr>
        <w:suppressAutoHyphens/>
        <w:jc w:val="center"/>
        <w:rPr>
          <w:rFonts w:cs="Arial"/>
          <w:b/>
          <w:spacing w:val="-2"/>
        </w:rPr>
      </w:pPr>
      <w:r w:rsidRPr="0095400D">
        <w:rPr>
          <w:rFonts w:cs="Arial"/>
          <w:b/>
          <w:spacing w:val="-2"/>
        </w:rPr>
        <w:t>TO THE ANNUAL ADJUSTMENT INDICES AT 1 JANUARY 2019</w:t>
      </w:r>
      <w:r w:rsidRPr="0095400D">
        <w:rPr>
          <w:rFonts w:cs="Arial"/>
          <w:b/>
          <w:spacing w:val="-2"/>
          <w:vertAlign w:val="superscript"/>
        </w:rPr>
        <w:t>1</w:t>
      </w:r>
    </w:p>
    <w:p w:rsidR="00CF3FC5" w:rsidRPr="0095400D" w:rsidRDefault="00CF3FC5" w:rsidP="00CF3FC5">
      <w:pPr>
        <w:suppressAutoHyphens/>
        <w:jc w:val="center"/>
        <w:rPr>
          <w:rFonts w:cs="Arial"/>
          <w:b/>
          <w:spacing w:val="-2"/>
        </w:rPr>
      </w:pPr>
    </w:p>
    <w:p w:rsidR="00CF3FC5" w:rsidRPr="0095400D" w:rsidRDefault="00CF3FC5" w:rsidP="00CF3FC5">
      <w:pPr>
        <w:suppressAutoHyphens/>
        <w:spacing w:after="120"/>
        <w:jc w:val="center"/>
        <w:rPr>
          <w:rFonts w:cs="Arial"/>
          <w:i/>
          <w:spacing w:val="-2"/>
        </w:rPr>
      </w:pPr>
      <w:r w:rsidRPr="0095400D">
        <w:rPr>
          <w:rFonts w:cs="Arial"/>
          <w:i/>
          <w:spacing w:val="-2"/>
        </w:rPr>
        <w:t>(Articles 5 and 7 of the Annex to the 244</w:t>
      </w:r>
      <w:r w:rsidRPr="0095400D">
        <w:rPr>
          <w:rFonts w:cs="Arial"/>
          <w:i/>
          <w:spacing w:val="-2"/>
          <w:vertAlign w:val="superscript"/>
        </w:rPr>
        <w:t>th</w:t>
      </w:r>
      <w:r w:rsidRPr="0095400D">
        <w:rPr>
          <w:rFonts w:cs="Arial"/>
          <w:i/>
          <w:spacing w:val="-2"/>
        </w:rPr>
        <w:t xml:space="preserve"> CCR Report)</w:t>
      </w:r>
    </w:p>
    <w:p w:rsidR="00CF3FC5" w:rsidRPr="007F5351" w:rsidRDefault="00CF3FC5" w:rsidP="00CF3FC5">
      <w:pPr>
        <w:rPr>
          <w:rFonts w:asciiTheme="minorHAnsi" w:hAnsiTheme="minorHAnsi" w:cs="Arial"/>
          <w:spacing w:val="-2"/>
        </w:rPr>
      </w:pPr>
    </w:p>
    <w:p w:rsidR="00CF3FC5" w:rsidRDefault="00CF3FC5" w:rsidP="00CF3FC5">
      <w:pPr>
        <w:rPr>
          <w:rFonts w:asciiTheme="minorHAnsi" w:hAnsiTheme="minorHAnsi" w:cs="Arial"/>
          <w:spacing w:val="-2"/>
        </w:rPr>
      </w:pPr>
      <w:r w:rsidRPr="00315A1E">
        <w:rPr>
          <w:noProof/>
          <w:lang w:val="fr-FR" w:eastAsia="fr-FR"/>
        </w:rPr>
        <w:drawing>
          <wp:inline distT="0" distB="0" distL="0" distR="0" wp14:anchorId="75CF05DA" wp14:editId="22206CAA">
            <wp:extent cx="6012815" cy="17845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2815" cy="1784545"/>
                    </a:xfrm>
                    <a:prstGeom prst="rect">
                      <a:avLst/>
                    </a:prstGeom>
                    <a:noFill/>
                    <a:ln>
                      <a:noFill/>
                    </a:ln>
                  </pic:spPr>
                </pic:pic>
              </a:graphicData>
            </a:graphic>
          </wp:inline>
        </w:drawing>
      </w:r>
    </w:p>
    <w:p w:rsidR="00CF3FC5" w:rsidRPr="0095400D" w:rsidRDefault="00CF3FC5" w:rsidP="00CF3FC5">
      <w:pPr>
        <w:rPr>
          <w:rFonts w:cs="Arial"/>
          <w:spacing w:val="-2"/>
          <w:sz w:val="16"/>
          <w:szCs w:val="16"/>
        </w:rPr>
      </w:pPr>
    </w:p>
    <w:p w:rsidR="00CF3FC5" w:rsidRPr="0095400D" w:rsidRDefault="00CF3FC5" w:rsidP="00CF3FC5">
      <w:pPr>
        <w:spacing w:before="120"/>
        <w:ind w:left="1134"/>
        <w:rPr>
          <w:rFonts w:cs="Arial"/>
          <w:spacing w:val="-2"/>
          <w:sz w:val="16"/>
          <w:szCs w:val="16"/>
        </w:rPr>
      </w:pPr>
      <w:r w:rsidRPr="0095400D">
        <w:rPr>
          <w:rFonts w:cs="Arial"/>
          <w:spacing w:val="-2"/>
          <w:sz w:val="16"/>
          <w:szCs w:val="16"/>
          <w:vertAlign w:val="superscript"/>
        </w:rPr>
        <w:t>1</w:t>
      </w:r>
      <w:r w:rsidRPr="0095400D">
        <w:rPr>
          <w:rFonts w:cs="Arial"/>
          <w:spacing w:val="-2"/>
          <w:sz w:val="16"/>
          <w:szCs w:val="16"/>
        </w:rPr>
        <w:t xml:space="preserve"> Applicable in the Organisations which have approved the exceptional adjustment recommended by the CCR</w:t>
      </w:r>
    </w:p>
    <w:p w:rsidR="00CF3FC5" w:rsidRPr="0095400D" w:rsidRDefault="00CF3FC5" w:rsidP="00CF3FC5">
      <w:pPr>
        <w:rPr>
          <w:rFonts w:cs="Arial"/>
          <w:sz w:val="16"/>
          <w:szCs w:val="16"/>
        </w:rPr>
      </w:pPr>
    </w:p>
    <w:p w:rsidR="00CF3FC5" w:rsidRPr="0095400D" w:rsidRDefault="00CF3FC5" w:rsidP="00CF3FC5">
      <w:pPr>
        <w:rPr>
          <w:rFonts w:cs="Arial"/>
          <w:sz w:val="16"/>
          <w:szCs w:val="16"/>
        </w:rPr>
      </w:pPr>
    </w:p>
    <w:p w:rsidR="00CF3FC5" w:rsidRDefault="00CF3FC5" w:rsidP="00CF3FC5">
      <w:pPr>
        <w:rPr>
          <w:rFonts w:asciiTheme="minorHAnsi" w:hAnsiTheme="minorHAnsi"/>
        </w:rPr>
      </w:pPr>
    </w:p>
    <w:p w:rsidR="00CF3FC5" w:rsidRDefault="00CF3FC5" w:rsidP="00CF3FC5">
      <w:pPr>
        <w:rPr>
          <w:rFonts w:asciiTheme="minorHAnsi" w:hAnsiTheme="minorHAnsi"/>
        </w:rPr>
      </w:pPr>
      <w:r>
        <w:rPr>
          <w:rFonts w:asciiTheme="minorHAnsi" w:hAnsiTheme="minorHAnsi"/>
        </w:rPr>
        <w:br w:type="page"/>
      </w:r>
    </w:p>
    <w:p w:rsidR="00CF3FC5" w:rsidRPr="0095400D" w:rsidRDefault="00CF3FC5" w:rsidP="00CF3FC5">
      <w:pPr>
        <w:suppressAutoHyphens/>
        <w:jc w:val="center"/>
        <w:rPr>
          <w:rFonts w:cs="Arial"/>
          <w:b/>
          <w:spacing w:val="-2"/>
        </w:rPr>
      </w:pPr>
    </w:p>
    <w:p w:rsidR="00CF3FC5" w:rsidRPr="0095400D" w:rsidRDefault="00CF3FC5" w:rsidP="00CF3FC5">
      <w:pPr>
        <w:suppressAutoHyphens/>
        <w:jc w:val="center"/>
        <w:rPr>
          <w:rFonts w:cs="Arial"/>
          <w:b/>
          <w:spacing w:val="-2"/>
        </w:rPr>
      </w:pPr>
      <w:r w:rsidRPr="0095400D">
        <w:rPr>
          <w:rFonts w:cs="Arial"/>
          <w:b/>
          <w:spacing w:val="-2"/>
        </w:rPr>
        <w:t>ANNEX 2</w:t>
      </w:r>
    </w:p>
    <w:p w:rsidR="00CF3FC5" w:rsidRPr="0095400D" w:rsidRDefault="00CF3FC5" w:rsidP="00CF3FC5">
      <w:pPr>
        <w:suppressAutoHyphens/>
        <w:jc w:val="center"/>
        <w:rPr>
          <w:rFonts w:cs="Arial"/>
          <w:b/>
          <w:spacing w:val="-2"/>
        </w:rPr>
      </w:pPr>
    </w:p>
    <w:p w:rsidR="00CF3FC5" w:rsidRPr="0095400D" w:rsidRDefault="00CF3FC5" w:rsidP="00CF3FC5">
      <w:pPr>
        <w:suppressAutoHyphens/>
        <w:spacing w:after="120"/>
        <w:jc w:val="center"/>
        <w:rPr>
          <w:rFonts w:cs="Arial"/>
          <w:b/>
          <w:spacing w:val="-2"/>
        </w:rPr>
      </w:pPr>
      <w:r w:rsidRPr="0095400D">
        <w:rPr>
          <w:rFonts w:cs="Arial"/>
          <w:b/>
          <w:spacing w:val="-2"/>
        </w:rPr>
        <w:t>REFERENCE INDEX AT 1 JULY 2018</w:t>
      </w:r>
    </w:p>
    <w:p w:rsidR="00CF3FC5" w:rsidRPr="007F5351" w:rsidRDefault="00CF3FC5" w:rsidP="00CF3FC5">
      <w:pPr>
        <w:suppressAutoHyphens/>
        <w:jc w:val="center"/>
        <w:rPr>
          <w:rFonts w:asciiTheme="minorHAnsi" w:hAnsiTheme="minorHAnsi" w:cs="Arial"/>
          <w:b/>
          <w:spacing w:val="-2"/>
        </w:rPr>
      </w:pPr>
    </w:p>
    <w:p w:rsidR="00CF3FC5" w:rsidRDefault="00CF3FC5" w:rsidP="00CF3FC5">
      <w:pPr>
        <w:rPr>
          <w:rFonts w:asciiTheme="minorHAnsi" w:hAnsiTheme="minorHAnsi"/>
        </w:rPr>
      </w:pPr>
      <w:r w:rsidRPr="004C4E3C">
        <w:rPr>
          <w:noProof/>
          <w:lang w:val="fr-FR" w:eastAsia="fr-FR"/>
        </w:rPr>
        <w:drawing>
          <wp:inline distT="0" distB="0" distL="0" distR="0" wp14:anchorId="50F581F6" wp14:editId="758789CA">
            <wp:extent cx="5904000" cy="5583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4000" cy="5583600"/>
                    </a:xfrm>
                    <a:prstGeom prst="rect">
                      <a:avLst/>
                    </a:prstGeom>
                    <a:noFill/>
                    <a:ln>
                      <a:noFill/>
                    </a:ln>
                  </pic:spPr>
                </pic:pic>
              </a:graphicData>
            </a:graphic>
          </wp:inline>
        </w:drawing>
      </w:r>
    </w:p>
    <w:p w:rsidR="00CF3FC5" w:rsidRDefault="00CF3FC5" w:rsidP="00CF3FC5">
      <w:pPr>
        <w:rPr>
          <w:rFonts w:asciiTheme="minorHAnsi" w:hAnsiTheme="minorHAnsi"/>
        </w:rPr>
      </w:pPr>
    </w:p>
    <w:p w:rsidR="00CF3FC5" w:rsidRPr="007F5351" w:rsidRDefault="00CF3FC5" w:rsidP="00CF3FC5">
      <w:pPr>
        <w:rPr>
          <w:rFonts w:asciiTheme="minorHAnsi" w:hAnsiTheme="minorHAnsi"/>
        </w:rPr>
      </w:pPr>
    </w:p>
    <w:p w:rsidR="00CF3FC5" w:rsidRPr="0095400D" w:rsidRDefault="00CF3FC5" w:rsidP="00CF3FC5">
      <w:pPr>
        <w:spacing w:after="60"/>
        <w:ind w:left="284"/>
        <w:rPr>
          <w:rFonts w:cs="Arial"/>
          <w:b/>
          <w:sz w:val="16"/>
          <w:szCs w:val="16"/>
        </w:rPr>
      </w:pPr>
      <w:r w:rsidRPr="0095400D">
        <w:rPr>
          <w:rFonts w:cs="Arial"/>
          <w:b/>
          <w:sz w:val="16"/>
          <w:szCs w:val="16"/>
        </w:rPr>
        <w:t>NOTES:</w:t>
      </w:r>
    </w:p>
    <w:p w:rsidR="00CF3FC5" w:rsidRPr="0095400D" w:rsidRDefault="00CF3FC5" w:rsidP="00CF3FC5">
      <w:pPr>
        <w:spacing w:after="60"/>
        <w:ind w:left="426" w:hanging="142"/>
        <w:rPr>
          <w:rFonts w:cs="Arial"/>
          <w:sz w:val="16"/>
          <w:szCs w:val="16"/>
        </w:rPr>
      </w:pPr>
      <w:r w:rsidRPr="0095400D">
        <w:rPr>
          <w:rFonts w:cs="Arial"/>
          <w:sz w:val="16"/>
          <w:szCs w:val="16"/>
          <w:vertAlign w:val="superscript"/>
        </w:rPr>
        <w:t xml:space="preserve">1 </w:t>
      </w:r>
      <w:r w:rsidRPr="0095400D">
        <w:rPr>
          <w:rFonts w:cs="Arial"/>
          <w:sz w:val="16"/>
          <w:szCs w:val="16"/>
        </w:rPr>
        <w:t>Marital status: single staff</w:t>
      </w:r>
      <w:r w:rsidR="009831F2">
        <w:rPr>
          <w:rFonts w:cs="Arial"/>
          <w:sz w:val="16"/>
          <w:szCs w:val="16"/>
        </w:rPr>
        <w:t>.</w:t>
      </w:r>
    </w:p>
    <w:p w:rsidR="00CF3FC5" w:rsidRPr="0095400D" w:rsidRDefault="00CF3FC5" w:rsidP="00CF3FC5">
      <w:pPr>
        <w:spacing w:after="60"/>
        <w:ind w:left="426" w:hanging="142"/>
        <w:rPr>
          <w:rFonts w:cs="Arial"/>
          <w:sz w:val="16"/>
          <w:szCs w:val="16"/>
        </w:rPr>
      </w:pPr>
      <w:r w:rsidRPr="0095400D">
        <w:rPr>
          <w:rFonts w:cs="Arial"/>
          <w:sz w:val="16"/>
          <w:szCs w:val="16"/>
          <w:vertAlign w:val="superscript"/>
        </w:rPr>
        <w:t>2</w:t>
      </w:r>
      <w:r w:rsidRPr="0095400D">
        <w:rPr>
          <w:rFonts w:cs="Arial"/>
          <w:sz w:val="16"/>
          <w:szCs w:val="16"/>
        </w:rPr>
        <w:t xml:space="preserve"> The reference index is calculated as the moving average covering two reference periods, with a weight of two-thirds for the reference period and a weight of one-third for the preceding reference period, as defined in Article 4.1.3 of the Annex to the 244</w:t>
      </w:r>
      <w:r w:rsidRPr="0095400D">
        <w:rPr>
          <w:rFonts w:cs="Arial"/>
          <w:sz w:val="16"/>
          <w:szCs w:val="16"/>
          <w:vertAlign w:val="superscript"/>
        </w:rPr>
        <w:t>th</w:t>
      </w:r>
      <w:r w:rsidR="00B8059D">
        <w:rPr>
          <w:rFonts w:cs="Arial"/>
          <w:sz w:val="16"/>
          <w:szCs w:val="16"/>
        </w:rPr>
        <w:t> </w:t>
      </w:r>
      <w:r w:rsidRPr="0095400D">
        <w:rPr>
          <w:rFonts w:cs="Arial"/>
          <w:sz w:val="16"/>
          <w:szCs w:val="16"/>
        </w:rPr>
        <w:t xml:space="preserve">Report. </w:t>
      </w:r>
    </w:p>
    <w:p w:rsidR="00CF3FC5" w:rsidRPr="0095400D" w:rsidRDefault="00CF3FC5" w:rsidP="00CF3FC5">
      <w:pPr>
        <w:spacing w:after="60"/>
        <w:ind w:left="426" w:hanging="142"/>
        <w:rPr>
          <w:rFonts w:cs="Arial"/>
          <w:sz w:val="16"/>
          <w:szCs w:val="16"/>
        </w:rPr>
      </w:pPr>
      <w:r w:rsidRPr="0095400D">
        <w:rPr>
          <w:rFonts w:cs="Arial"/>
          <w:sz w:val="16"/>
          <w:szCs w:val="16"/>
          <w:vertAlign w:val="superscript"/>
        </w:rPr>
        <w:t xml:space="preserve">3 </w:t>
      </w:r>
      <w:r w:rsidRPr="0095400D">
        <w:rPr>
          <w:rFonts w:cs="Arial"/>
          <w:sz w:val="16"/>
          <w:szCs w:val="16"/>
          <w:vertAlign w:val="superscript"/>
        </w:rPr>
        <w:tab/>
      </w:r>
      <w:r w:rsidRPr="0095400D">
        <w:rPr>
          <w:rFonts w:cs="Arial"/>
          <w:sz w:val="16"/>
          <w:szCs w:val="16"/>
        </w:rPr>
        <w:t>The assessment of the non-double-counting clause (see Appendix 6 of Annex to the 244</w:t>
      </w:r>
      <w:r w:rsidRPr="0095400D">
        <w:rPr>
          <w:rFonts w:cs="Arial"/>
          <w:sz w:val="16"/>
          <w:szCs w:val="16"/>
          <w:vertAlign w:val="superscript"/>
        </w:rPr>
        <w:t>th</w:t>
      </w:r>
      <w:r w:rsidRPr="0095400D">
        <w:rPr>
          <w:rFonts w:cs="Arial"/>
          <w:sz w:val="16"/>
          <w:szCs w:val="16"/>
        </w:rPr>
        <w:t> Report) shows a negative impact resulting from changes in social contributions in NCS remuneration (-0.35%) and a positive impact for the CO (+0.02%). As there is no common denominator, no correction has to be made to the reference index under this clause for this year.</w:t>
      </w:r>
    </w:p>
    <w:p w:rsidR="00CF3FC5" w:rsidRPr="0095400D" w:rsidRDefault="00CF3FC5" w:rsidP="00CF3FC5">
      <w:pPr>
        <w:suppressAutoHyphens/>
        <w:ind w:left="426" w:hanging="142"/>
        <w:rPr>
          <w:rFonts w:cs="Arial"/>
          <w:sz w:val="16"/>
          <w:szCs w:val="16"/>
        </w:rPr>
      </w:pPr>
      <w:r w:rsidRPr="0095400D">
        <w:rPr>
          <w:rFonts w:cs="Arial"/>
          <w:sz w:val="16"/>
          <w:szCs w:val="16"/>
          <w:vertAlign w:val="superscript"/>
        </w:rPr>
        <w:tab/>
      </w:r>
      <w:r w:rsidRPr="0095400D">
        <w:rPr>
          <w:rFonts w:cs="Arial"/>
          <w:sz w:val="16"/>
          <w:szCs w:val="16"/>
        </w:rPr>
        <w:t>The overall final reference index is rounded to one decimal point.</w:t>
      </w:r>
      <w:r w:rsidRPr="0095400D">
        <w:rPr>
          <w:rFonts w:cs="Arial"/>
          <w:sz w:val="16"/>
          <w:szCs w:val="16"/>
        </w:rPr>
        <w:tab/>
      </w:r>
    </w:p>
    <w:p w:rsidR="00CF3FC5" w:rsidRDefault="00CF3FC5" w:rsidP="00CF3FC5">
      <w:pPr>
        <w:suppressAutoHyphens/>
        <w:rPr>
          <w:rFonts w:asciiTheme="minorHAnsi" w:hAnsiTheme="minorHAnsi"/>
          <w:sz w:val="19"/>
          <w:szCs w:val="19"/>
        </w:rPr>
      </w:pPr>
    </w:p>
    <w:p w:rsidR="00CF3FC5" w:rsidRDefault="00CF3FC5" w:rsidP="00CF3FC5">
      <w:pPr>
        <w:suppressAutoHyphens/>
        <w:rPr>
          <w:rFonts w:asciiTheme="minorHAnsi" w:hAnsiTheme="minorHAnsi"/>
          <w:sz w:val="19"/>
          <w:szCs w:val="19"/>
        </w:rPr>
      </w:pPr>
    </w:p>
    <w:p w:rsidR="00CF3FC5" w:rsidRDefault="00CF3FC5" w:rsidP="00CF3FC5">
      <w:pPr>
        <w:rPr>
          <w:rFonts w:asciiTheme="minorHAnsi" w:hAnsiTheme="minorHAnsi"/>
          <w:sz w:val="19"/>
          <w:szCs w:val="19"/>
        </w:rPr>
      </w:pPr>
      <w:r>
        <w:rPr>
          <w:rFonts w:asciiTheme="minorHAnsi" w:hAnsiTheme="minorHAnsi"/>
          <w:sz w:val="19"/>
          <w:szCs w:val="19"/>
        </w:rPr>
        <w:br w:type="page"/>
      </w:r>
    </w:p>
    <w:p w:rsidR="00CF3FC5" w:rsidRPr="0095400D" w:rsidRDefault="00CF3FC5" w:rsidP="0095400D">
      <w:pPr>
        <w:suppressAutoHyphens/>
        <w:jc w:val="center"/>
        <w:rPr>
          <w:rFonts w:cs="Arial"/>
          <w:b/>
          <w:spacing w:val="-2"/>
        </w:rPr>
      </w:pPr>
    </w:p>
    <w:p w:rsidR="00CF3FC5" w:rsidRPr="0095400D" w:rsidRDefault="00CF3FC5" w:rsidP="0095400D">
      <w:pPr>
        <w:suppressAutoHyphens/>
        <w:jc w:val="center"/>
        <w:rPr>
          <w:rFonts w:cs="Arial"/>
          <w:b/>
          <w:spacing w:val="-2"/>
        </w:rPr>
      </w:pPr>
      <w:r w:rsidRPr="0095400D">
        <w:rPr>
          <w:rFonts w:cs="Arial"/>
          <w:b/>
          <w:spacing w:val="-2"/>
        </w:rPr>
        <w:t>ANNEX 2a</w:t>
      </w:r>
    </w:p>
    <w:p w:rsidR="00CF3FC5" w:rsidRPr="0095400D" w:rsidRDefault="00CF3FC5" w:rsidP="0095400D">
      <w:pPr>
        <w:suppressAutoHyphens/>
        <w:jc w:val="center"/>
        <w:rPr>
          <w:rFonts w:cs="Arial"/>
          <w:b/>
          <w:spacing w:val="-2"/>
        </w:rPr>
      </w:pPr>
    </w:p>
    <w:p w:rsidR="00CF3FC5" w:rsidRPr="0095400D" w:rsidRDefault="00CF3FC5" w:rsidP="0095400D">
      <w:pPr>
        <w:suppressAutoHyphens/>
        <w:jc w:val="center"/>
        <w:rPr>
          <w:rFonts w:cs="Arial"/>
          <w:b/>
          <w:spacing w:val="-2"/>
        </w:rPr>
      </w:pPr>
      <w:r w:rsidRPr="0095400D">
        <w:rPr>
          <w:rFonts w:cs="Arial"/>
          <w:b/>
          <w:spacing w:val="-2"/>
        </w:rPr>
        <w:t>TREND OF NET NATIONAL CIVIL SERVICE REMUNERATION IN REAL TERMS</w:t>
      </w:r>
    </w:p>
    <w:p w:rsidR="00CF3FC5" w:rsidRDefault="00CF3FC5" w:rsidP="0095400D">
      <w:pPr>
        <w:suppressAutoHyphens/>
        <w:jc w:val="center"/>
        <w:rPr>
          <w:rFonts w:cs="Arial"/>
          <w:b/>
          <w:spacing w:val="-2"/>
        </w:rPr>
      </w:pPr>
      <w:r w:rsidRPr="0095400D">
        <w:rPr>
          <w:rFonts w:cs="Arial"/>
          <w:b/>
          <w:spacing w:val="-2"/>
        </w:rPr>
        <w:t>FOR THE PERIOD 1 JULY 2017 TO 1 JULY 2018</w:t>
      </w:r>
    </w:p>
    <w:p w:rsidR="0095400D" w:rsidRPr="0095400D" w:rsidRDefault="0095400D" w:rsidP="0095400D">
      <w:pPr>
        <w:suppressAutoHyphens/>
        <w:jc w:val="center"/>
        <w:rPr>
          <w:rFonts w:cs="Arial"/>
          <w:b/>
          <w:spacing w:val="-2"/>
        </w:rPr>
      </w:pPr>
    </w:p>
    <w:p w:rsidR="00CF3FC5" w:rsidRPr="0095400D" w:rsidRDefault="00CF3FC5" w:rsidP="0095400D">
      <w:pPr>
        <w:suppressAutoHyphens/>
        <w:jc w:val="center"/>
        <w:rPr>
          <w:rFonts w:cs="Arial"/>
          <w:spacing w:val="-2"/>
        </w:rPr>
      </w:pPr>
      <w:r w:rsidRPr="0095400D">
        <w:rPr>
          <w:rFonts w:cs="Arial"/>
          <w:spacing w:val="-2"/>
        </w:rPr>
        <w:t>(</w:t>
      </w:r>
      <w:proofErr w:type="gramStart"/>
      <w:r w:rsidRPr="0095400D">
        <w:rPr>
          <w:rFonts w:cs="Arial"/>
          <w:spacing w:val="-2"/>
        </w:rPr>
        <w:t>i.e</w:t>
      </w:r>
      <w:proofErr w:type="gramEnd"/>
      <w:r w:rsidRPr="0095400D">
        <w:rPr>
          <w:rFonts w:cs="Arial"/>
          <w:spacing w:val="-2"/>
        </w:rPr>
        <w:t>. evolution of disposable income of NCS staff once the respective national inflation is removed)</w:t>
      </w:r>
    </w:p>
    <w:p w:rsidR="00CF3FC5" w:rsidRPr="0095400D" w:rsidRDefault="00CF3FC5" w:rsidP="0095400D">
      <w:pPr>
        <w:suppressAutoHyphens/>
        <w:jc w:val="center"/>
        <w:rPr>
          <w:rFonts w:cs="Arial"/>
          <w:spacing w:val="-2"/>
        </w:rPr>
      </w:pPr>
    </w:p>
    <w:p w:rsidR="00CF3FC5" w:rsidRPr="0095400D" w:rsidRDefault="00CF3FC5" w:rsidP="0095400D">
      <w:pPr>
        <w:suppressAutoHyphens/>
        <w:jc w:val="center"/>
        <w:rPr>
          <w:rFonts w:cs="Arial"/>
          <w:spacing w:val="-2"/>
        </w:rPr>
      </w:pPr>
    </w:p>
    <w:p w:rsidR="00CF3FC5" w:rsidRDefault="00CF3FC5" w:rsidP="00CF3FC5">
      <w:pPr>
        <w:suppressAutoHyphens/>
        <w:jc w:val="center"/>
        <w:rPr>
          <w:rFonts w:asciiTheme="minorHAnsi" w:hAnsiTheme="minorHAnsi" w:cs="Arial"/>
          <w:spacing w:val="-2"/>
        </w:rPr>
      </w:pPr>
      <w:r w:rsidRPr="00F363BA">
        <w:rPr>
          <w:noProof/>
          <w:lang w:val="fr-FR" w:eastAsia="fr-FR"/>
        </w:rPr>
        <w:drawing>
          <wp:inline distT="0" distB="0" distL="0" distR="0" wp14:anchorId="6BBDF8E6" wp14:editId="72028CC2">
            <wp:extent cx="5791456" cy="332509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3553" cy="3332036"/>
                    </a:xfrm>
                    <a:prstGeom prst="rect">
                      <a:avLst/>
                    </a:prstGeom>
                    <a:noFill/>
                    <a:ln>
                      <a:noFill/>
                    </a:ln>
                  </pic:spPr>
                </pic:pic>
              </a:graphicData>
            </a:graphic>
          </wp:inline>
        </w:drawing>
      </w:r>
    </w:p>
    <w:p w:rsidR="00CF3FC5" w:rsidRDefault="00CF3FC5" w:rsidP="00CF3FC5">
      <w:pPr>
        <w:suppressAutoHyphens/>
        <w:rPr>
          <w:rFonts w:asciiTheme="minorHAnsi" w:hAnsiTheme="minorHAnsi" w:cs="Arial"/>
          <w:spacing w:val="-2"/>
        </w:rPr>
      </w:pPr>
    </w:p>
    <w:p w:rsidR="00CF3FC5" w:rsidRDefault="00CF3FC5" w:rsidP="00CF3FC5">
      <w:pPr>
        <w:suppressAutoHyphens/>
        <w:rPr>
          <w:rFonts w:asciiTheme="minorHAnsi" w:hAnsiTheme="minorHAnsi" w:cs="Arial"/>
          <w:spacing w:val="-2"/>
        </w:rPr>
      </w:pPr>
    </w:p>
    <w:p w:rsidR="00CF3FC5" w:rsidRPr="0095400D" w:rsidRDefault="00CF3FC5" w:rsidP="00CF3FC5">
      <w:pPr>
        <w:tabs>
          <w:tab w:val="left" w:pos="709"/>
        </w:tabs>
        <w:spacing w:after="60"/>
        <w:ind w:left="426"/>
        <w:rPr>
          <w:rFonts w:cs="Arial"/>
          <w:b/>
          <w:sz w:val="16"/>
          <w:szCs w:val="16"/>
        </w:rPr>
      </w:pPr>
      <w:r w:rsidRPr="0095400D">
        <w:rPr>
          <w:rFonts w:cs="Arial"/>
          <w:b/>
          <w:sz w:val="16"/>
          <w:szCs w:val="16"/>
        </w:rPr>
        <w:t>NOTES:</w:t>
      </w:r>
    </w:p>
    <w:p w:rsidR="00CF3FC5" w:rsidRPr="0095400D" w:rsidRDefault="00CF3FC5" w:rsidP="00CF3FC5">
      <w:pPr>
        <w:tabs>
          <w:tab w:val="left" w:pos="709"/>
        </w:tabs>
        <w:spacing w:line="276" w:lineRule="auto"/>
        <w:ind w:left="567" w:right="680" w:hanging="142"/>
        <w:rPr>
          <w:rFonts w:cs="Arial"/>
          <w:sz w:val="16"/>
          <w:szCs w:val="16"/>
        </w:rPr>
      </w:pPr>
      <w:r w:rsidRPr="0095400D">
        <w:rPr>
          <w:rFonts w:cs="Arial"/>
          <w:sz w:val="16"/>
          <w:szCs w:val="16"/>
          <w:vertAlign w:val="superscript"/>
        </w:rPr>
        <w:t>1</w:t>
      </w:r>
      <w:r w:rsidRPr="0095400D">
        <w:rPr>
          <w:rFonts w:cs="Arial"/>
          <w:sz w:val="16"/>
          <w:szCs w:val="16"/>
        </w:rPr>
        <w:t xml:space="preserve"> </w:t>
      </w:r>
      <w:r w:rsidRPr="0095400D">
        <w:rPr>
          <w:rFonts w:cs="Arial"/>
          <w:sz w:val="16"/>
          <w:szCs w:val="16"/>
        </w:rPr>
        <w:tab/>
        <w:t>For Spain, the reference period means the calendar period 31 December to 31 December of the year preceding the end of the reference period in the other reference countries, as set out in the Annex to the 244</w:t>
      </w:r>
      <w:r w:rsidRPr="0095400D">
        <w:rPr>
          <w:rFonts w:cs="Arial"/>
          <w:sz w:val="16"/>
          <w:szCs w:val="16"/>
          <w:vertAlign w:val="superscript"/>
        </w:rPr>
        <w:t>th</w:t>
      </w:r>
      <w:r w:rsidRPr="0095400D">
        <w:rPr>
          <w:rFonts w:cs="Arial"/>
          <w:sz w:val="16"/>
          <w:szCs w:val="16"/>
        </w:rPr>
        <w:t xml:space="preserve"> Report [CCR/R(2016)7]. </w:t>
      </w:r>
    </w:p>
    <w:p w:rsidR="00CF3FC5" w:rsidRPr="0095400D" w:rsidRDefault="00CF3FC5" w:rsidP="00CF3FC5">
      <w:pPr>
        <w:tabs>
          <w:tab w:val="left" w:pos="709"/>
        </w:tabs>
        <w:spacing w:line="276" w:lineRule="auto"/>
        <w:ind w:left="567" w:right="680" w:hanging="142"/>
        <w:rPr>
          <w:rFonts w:cs="Arial"/>
          <w:sz w:val="16"/>
          <w:szCs w:val="16"/>
        </w:rPr>
      </w:pPr>
      <w:r w:rsidRPr="0095400D">
        <w:rPr>
          <w:rFonts w:cs="Arial"/>
          <w:sz w:val="16"/>
          <w:szCs w:val="16"/>
          <w:vertAlign w:val="superscript"/>
        </w:rPr>
        <w:t xml:space="preserve">2 </w:t>
      </w:r>
      <w:r w:rsidRPr="0095400D">
        <w:rPr>
          <w:rFonts w:cs="Arial"/>
          <w:sz w:val="16"/>
          <w:szCs w:val="16"/>
        </w:rPr>
        <w:tab/>
        <w:t>Marital status: single staff.</w:t>
      </w:r>
      <w:r w:rsidRPr="0095400D">
        <w:rPr>
          <w:rFonts w:cs="Arial"/>
          <w:sz w:val="16"/>
          <w:szCs w:val="16"/>
        </w:rPr>
        <w:tab/>
      </w:r>
    </w:p>
    <w:p w:rsidR="00CF3FC5" w:rsidRDefault="00CF3FC5" w:rsidP="00CF3FC5">
      <w:pPr>
        <w:suppressAutoHyphens/>
        <w:rPr>
          <w:rFonts w:asciiTheme="minorHAnsi" w:hAnsiTheme="minorHAnsi" w:cs="Arial"/>
          <w:spacing w:val="-2"/>
        </w:rPr>
      </w:pPr>
    </w:p>
    <w:p w:rsidR="00CF3FC5" w:rsidRDefault="00CF3FC5" w:rsidP="00CF3FC5">
      <w:pPr>
        <w:suppressAutoHyphens/>
        <w:rPr>
          <w:rFonts w:asciiTheme="minorHAnsi" w:hAnsiTheme="minorHAnsi" w:cs="Arial"/>
          <w:spacing w:val="-2"/>
        </w:rPr>
      </w:pPr>
    </w:p>
    <w:p w:rsidR="00CF3FC5" w:rsidRDefault="00CF3FC5" w:rsidP="00CF3FC5">
      <w:pPr>
        <w:rPr>
          <w:rFonts w:asciiTheme="minorHAnsi" w:hAnsiTheme="minorHAnsi" w:cs="Arial"/>
          <w:spacing w:val="-2"/>
        </w:rPr>
      </w:pPr>
      <w:r>
        <w:rPr>
          <w:rFonts w:asciiTheme="minorHAnsi" w:hAnsiTheme="minorHAnsi" w:cs="Arial"/>
          <w:spacing w:val="-2"/>
        </w:rPr>
        <w:br w:type="page"/>
      </w:r>
    </w:p>
    <w:p w:rsidR="00CF3FC5" w:rsidRPr="0095400D" w:rsidRDefault="00CF3FC5" w:rsidP="00CF3FC5">
      <w:pPr>
        <w:suppressAutoHyphens/>
        <w:jc w:val="center"/>
        <w:rPr>
          <w:rFonts w:cs="Arial"/>
          <w:b/>
          <w:spacing w:val="-2"/>
        </w:rPr>
      </w:pPr>
    </w:p>
    <w:p w:rsidR="00CF3FC5" w:rsidRPr="0095400D" w:rsidRDefault="00CF3FC5" w:rsidP="00CF3FC5">
      <w:pPr>
        <w:suppressAutoHyphens/>
        <w:jc w:val="center"/>
        <w:rPr>
          <w:rFonts w:cs="Arial"/>
          <w:b/>
          <w:spacing w:val="-2"/>
        </w:rPr>
      </w:pPr>
      <w:r w:rsidRPr="0095400D">
        <w:rPr>
          <w:rFonts w:cs="Arial"/>
          <w:b/>
          <w:spacing w:val="-2"/>
        </w:rPr>
        <w:t>ANNEX 3</w:t>
      </w:r>
    </w:p>
    <w:p w:rsidR="00CF3FC5" w:rsidRPr="0095400D" w:rsidRDefault="00CF3FC5" w:rsidP="00CF3FC5">
      <w:pPr>
        <w:suppressAutoHyphens/>
        <w:jc w:val="center"/>
        <w:rPr>
          <w:rFonts w:cs="Arial"/>
          <w:b/>
          <w:spacing w:val="-2"/>
        </w:rPr>
      </w:pPr>
    </w:p>
    <w:p w:rsidR="00CF3FC5" w:rsidRPr="0095400D" w:rsidRDefault="00CF3FC5" w:rsidP="00CF3FC5">
      <w:pPr>
        <w:suppressAutoHyphens/>
        <w:jc w:val="center"/>
        <w:rPr>
          <w:rFonts w:cs="Arial"/>
          <w:b/>
          <w:spacing w:val="-2"/>
        </w:rPr>
      </w:pPr>
      <w:r w:rsidRPr="0095400D">
        <w:rPr>
          <w:rFonts w:cs="Arial"/>
          <w:b/>
          <w:spacing w:val="-2"/>
        </w:rPr>
        <w:t>PURCHASING POWER PARITIES</w:t>
      </w:r>
    </w:p>
    <w:p w:rsidR="00CF3FC5" w:rsidRPr="0095400D" w:rsidRDefault="00CF3FC5" w:rsidP="00CF3FC5">
      <w:pPr>
        <w:suppressAutoHyphens/>
        <w:jc w:val="center"/>
        <w:rPr>
          <w:rFonts w:cs="Arial"/>
          <w:spacing w:val="-2"/>
        </w:rPr>
      </w:pPr>
      <w:r w:rsidRPr="0095400D">
        <w:rPr>
          <w:rFonts w:cs="Arial"/>
          <w:b/>
          <w:spacing w:val="-2"/>
        </w:rPr>
        <w:t>1 JULY 2018</w:t>
      </w:r>
    </w:p>
    <w:p w:rsidR="00CF3FC5" w:rsidRPr="00795EB8" w:rsidRDefault="00CF3FC5" w:rsidP="00CF3FC5">
      <w:pPr>
        <w:suppressAutoHyphens/>
        <w:jc w:val="center"/>
        <w:rPr>
          <w:rFonts w:cs="Arial"/>
          <w:spacing w:val="-2"/>
        </w:rPr>
      </w:pPr>
    </w:p>
    <w:p w:rsidR="00CF3FC5" w:rsidRDefault="00CF3FC5" w:rsidP="00CF3FC5">
      <w:pPr>
        <w:suppressAutoHyphens/>
        <w:jc w:val="center"/>
        <w:rPr>
          <w:rFonts w:asciiTheme="minorHAnsi" w:hAnsiTheme="minorHAnsi" w:cs="Arial"/>
          <w:spacing w:val="-2"/>
        </w:rPr>
      </w:pPr>
      <w:r w:rsidRPr="00860BE1">
        <w:rPr>
          <w:noProof/>
          <w:lang w:val="fr-FR" w:eastAsia="fr-FR"/>
        </w:rPr>
        <w:drawing>
          <wp:inline distT="0" distB="0" distL="0" distR="0" wp14:anchorId="66DEDC65" wp14:editId="0EB9FA84">
            <wp:extent cx="4816800" cy="653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6800" cy="6534000"/>
                    </a:xfrm>
                    <a:prstGeom prst="rect">
                      <a:avLst/>
                    </a:prstGeom>
                    <a:noFill/>
                    <a:ln>
                      <a:noFill/>
                    </a:ln>
                  </pic:spPr>
                </pic:pic>
              </a:graphicData>
            </a:graphic>
          </wp:inline>
        </w:drawing>
      </w:r>
    </w:p>
    <w:p w:rsidR="00CF3FC5" w:rsidRDefault="00CF3FC5" w:rsidP="00795EB8">
      <w:pPr>
        <w:suppressAutoHyphens/>
        <w:jc w:val="center"/>
        <w:rPr>
          <w:rFonts w:asciiTheme="minorHAnsi" w:hAnsiTheme="minorHAnsi" w:cs="Arial"/>
          <w:spacing w:val="-2"/>
        </w:rPr>
      </w:pPr>
    </w:p>
    <w:p w:rsidR="00CF3FC5" w:rsidRPr="00795EB8" w:rsidRDefault="00CF3FC5" w:rsidP="00795EB8">
      <w:pPr>
        <w:suppressAutoHyphens/>
        <w:rPr>
          <w:rFonts w:asciiTheme="minorHAnsi" w:hAnsiTheme="minorHAnsi" w:cs="Arial"/>
          <w:spacing w:val="-2"/>
          <w:sz w:val="16"/>
          <w:szCs w:val="16"/>
        </w:rPr>
      </w:pPr>
    </w:p>
    <w:p w:rsidR="00CF3FC5" w:rsidRPr="00795EB8" w:rsidRDefault="00CF3FC5" w:rsidP="00795EB8">
      <w:pPr>
        <w:tabs>
          <w:tab w:val="left" w:pos="3261"/>
        </w:tabs>
        <w:suppressAutoHyphens/>
        <w:ind w:left="3402" w:hanging="851"/>
        <w:rPr>
          <w:rFonts w:cs="Arial"/>
          <w:spacing w:val="-2"/>
          <w:sz w:val="16"/>
          <w:szCs w:val="16"/>
        </w:rPr>
      </w:pPr>
      <w:r w:rsidRPr="00795EB8">
        <w:rPr>
          <w:rFonts w:cs="Arial"/>
          <w:b/>
          <w:spacing w:val="-2"/>
          <w:sz w:val="16"/>
          <w:szCs w:val="16"/>
        </w:rPr>
        <w:t>NOTES:</w:t>
      </w:r>
      <w:r w:rsidRPr="00795EB8">
        <w:rPr>
          <w:rFonts w:cs="Arial"/>
          <w:spacing w:val="-2"/>
          <w:sz w:val="16"/>
          <w:szCs w:val="16"/>
        </w:rPr>
        <w:t xml:space="preserve">  </w:t>
      </w:r>
      <w:r w:rsidRPr="00795EB8">
        <w:rPr>
          <w:rFonts w:cs="Arial"/>
          <w:spacing w:val="-2"/>
          <w:sz w:val="16"/>
          <w:szCs w:val="16"/>
        </w:rPr>
        <w:tab/>
      </w:r>
      <w:proofErr w:type="gramStart"/>
      <w:r w:rsidRPr="00795EB8">
        <w:rPr>
          <w:rFonts w:cs="Arial"/>
          <w:spacing w:val="-2"/>
          <w:sz w:val="16"/>
          <w:szCs w:val="16"/>
          <w:vertAlign w:val="superscript"/>
        </w:rPr>
        <w:t>1</w:t>
      </w:r>
      <w:r w:rsidRPr="00795EB8">
        <w:rPr>
          <w:rFonts w:cs="Arial"/>
          <w:spacing w:val="-2"/>
          <w:sz w:val="16"/>
          <w:szCs w:val="16"/>
        </w:rPr>
        <w:t xml:space="preserve"> </w:t>
      </w:r>
      <w:r w:rsidRPr="00795EB8">
        <w:rPr>
          <w:rFonts w:cs="Arial"/>
          <w:spacing w:val="-2"/>
          <w:sz w:val="16"/>
          <w:szCs w:val="16"/>
        </w:rPr>
        <w:tab/>
        <w:t>Exchange rates</w:t>
      </w:r>
      <w:proofErr w:type="gramEnd"/>
      <w:r w:rsidRPr="00795EB8">
        <w:rPr>
          <w:rFonts w:cs="Arial"/>
          <w:spacing w:val="-2"/>
          <w:sz w:val="16"/>
          <w:szCs w:val="16"/>
        </w:rPr>
        <w:t xml:space="preserve"> from local currencies to Euros</w:t>
      </w:r>
      <w:r w:rsidRPr="00795EB8">
        <w:rPr>
          <w:rFonts w:cs="Arial"/>
          <w:spacing w:val="-2"/>
          <w:sz w:val="16"/>
          <w:szCs w:val="16"/>
        </w:rPr>
        <w:tab/>
      </w:r>
    </w:p>
    <w:p w:rsidR="00CF3FC5" w:rsidRPr="00795EB8" w:rsidRDefault="00CF3FC5" w:rsidP="00795EB8">
      <w:pPr>
        <w:tabs>
          <w:tab w:val="left" w:pos="3261"/>
        </w:tabs>
        <w:suppressAutoHyphens/>
        <w:ind w:left="3402" w:hanging="851"/>
        <w:rPr>
          <w:rFonts w:cs="Arial"/>
          <w:spacing w:val="-2"/>
          <w:sz w:val="16"/>
          <w:szCs w:val="16"/>
        </w:rPr>
      </w:pPr>
      <w:r w:rsidRPr="00795EB8">
        <w:rPr>
          <w:rFonts w:cs="Arial"/>
          <w:spacing w:val="-2"/>
          <w:sz w:val="16"/>
          <w:szCs w:val="16"/>
          <w:vertAlign w:val="superscript"/>
        </w:rPr>
        <w:tab/>
        <w:t>2</w:t>
      </w:r>
      <w:r w:rsidRPr="00795EB8">
        <w:rPr>
          <w:rFonts w:cs="Arial"/>
          <w:spacing w:val="-2"/>
          <w:sz w:val="16"/>
          <w:szCs w:val="16"/>
        </w:rPr>
        <w:t xml:space="preserve"> </w:t>
      </w:r>
      <w:r w:rsidRPr="00795EB8">
        <w:rPr>
          <w:rFonts w:cs="Arial"/>
          <w:spacing w:val="-2"/>
          <w:sz w:val="16"/>
          <w:szCs w:val="16"/>
        </w:rPr>
        <w:tab/>
        <w:t>Geographic index = PPP ÷ Exchange rate x 100</w:t>
      </w:r>
    </w:p>
    <w:p w:rsidR="00CF3FC5" w:rsidRPr="00795EB8" w:rsidRDefault="00CF3FC5" w:rsidP="00795EB8">
      <w:pPr>
        <w:tabs>
          <w:tab w:val="left" w:pos="3261"/>
        </w:tabs>
        <w:suppressAutoHyphens/>
        <w:ind w:left="3402" w:hanging="851"/>
        <w:rPr>
          <w:rFonts w:cs="Arial"/>
          <w:spacing w:val="-2"/>
          <w:sz w:val="16"/>
          <w:szCs w:val="16"/>
        </w:rPr>
      </w:pPr>
    </w:p>
    <w:p w:rsidR="00CF3FC5" w:rsidRPr="00795EB8" w:rsidRDefault="00CF3FC5" w:rsidP="00795EB8">
      <w:pPr>
        <w:rPr>
          <w:rFonts w:asciiTheme="minorHAnsi" w:hAnsiTheme="minorHAnsi" w:cs="Arial"/>
          <w:spacing w:val="-2"/>
          <w:sz w:val="16"/>
          <w:szCs w:val="16"/>
        </w:rPr>
      </w:pPr>
      <w:r w:rsidRPr="00795EB8">
        <w:rPr>
          <w:rFonts w:asciiTheme="minorHAnsi" w:hAnsiTheme="minorHAnsi" w:cs="Arial"/>
          <w:spacing w:val="-2"/>
          <w:sz w:val="16"/>
          <w:szCs w:val="16"/>
        </w:rPr>
        <w:br w:type="page"/>
      </w:r>
    </w:p>
    <w:p w:rsidR="00CF3FC5" w:rsidRPr="00795EB8" w:rsidRDefault="00CF3FC5" w:rsidP="00795EB8">
      <w:pPr>
        <w:jc w:val="center"/>
        <w:rPr>
          <w:rFonts w:cs="Arial"/>
          <w:b/>
          <w:u w:val="single"/>
        </w:rPr>
      </w:pPr>
    </w:p>
    <w:p w:rsidR="00CF3FC5" w:rsidRPr="009831F2" w:rsidRDefault="00CF3FC5" w:rsidP="00795EB8">
      <w:pPr>
        <w:jc w:val="center"/>
        <w:rPr>
          <w:rFonts w:cs="Arial"/>
          <w:b/>
        </w:rPr>
      </w:pPr>
      <w:r w:rsidRPr="009831F2">
        <w:rPr>
          <w:rFonts w:cs="Arial"/>
          <w:b/>
        </w:rPr>
        <w:t>ANNEX 4</w:t>
      </w:r>
    </w:p>
    <w:p w:rsidR="00CF3FC5" w:rsidRPr="00795EB8" w:rsidRDefault="00CF3FC5" w:rsidP="00795EB8">
      <w:pPr>
        <w:jc w:val="center"/>
        <w:rPr>
          <w:rFonts w:cs="Arial"/>
          <w:b/>
        </w:rPr>
      </w:pPr>
    </w:p>
    <w:p w:rsidR="00CF3FC5" w:rsidRPr="00795EB8" w:rsidRDefault="00CF3FC5" w:rsidP="00795EB8">
      <w:pPr>
        <w:tabs>
          <w:tab w:val="left" w:pos="1430"/>
          <w:tab w:val="left" w:pos="7371"/>
        </w:tabs>
        <w:jc w:val="center"/>
        <w:rPr>
          <w:rFonts w:cs="Arial"/>
          <w:b/>
        </w:rPr>
      </w:pPr>
      <w:r w:rsidRPr="00795EB8">
        <w:rPr>
          <w:rFonts w:cs="Arial"/>
          <w:b/>
        </w:rPr>
        <w:t>SALARY SCALES PROPOSED AT 1 JANUARY 2019</w:t>
      </w:r>
    </w:p>
    <w:p w:rsidR="00CF3FC5" w:rsidRPr="00795EB8" w:rsidRDefault="00CF3FC5" w:rsidP="00795EB8">
      <w:pPr>
        <w:tabs>
          <w:tab w:val="left" w:pos="1430"/>
          <w:tab w:val="left" w:pos="7371"/>
        </w:tabs>
        <w:jc w:val="center"/>
        <w:rPr>
          <w:rFonts w:cs="Arial"/>
          <w:b/>
        </w:rPr>
      </w:pPr>
    </w:p>
    <w:p w:rsidR="00CF3FC5" w:rsidRPr="00795EB8" w:rsidRDefault="00CF3FC5" w:rsidP="00795EB8">
      <w:pPr>
        <w:tabs>
          <w:tab w:val="left" w:pos="1430"/>
          <w:tab w:val="left" w:pos="7371"/>
        </w:tabs>
        <w:rPr>
          <w:rFonts w:cs="Arial"/>
        </w:rPr>
      </w:pPr>
    </w:p>
    <w:p w:rsidR="00CF3FC5" w:rsidRPr="00795EB8" w:rsidRDefault="009831F2" w:rsidP="00795EB8">
      <w:pPr>
        <w:tabs>
          <w:tab w:val="left" w:pos="1134"/>
          <w:tab w:val="right" w:leader="dot" w:pos="7938"/>
        </w:tabs>
        <w:ind w:left="1134"/>
        <w:rPr>
          <w:rFonts w:cs="Arial"/>
          <w:lang w:val="it-IT"/>
        </w:rPr>
      </w:pPr>
      <w:r>
        <w:rPr>
          <w:rFonts w:cs="Arial"/>
          <w:lang w:val="it-IT"/>
        </w:rPr>
        <w:t xml:space="preserve">Australia </w:t>
      </w:r>
      <w:r>
        <w:rPr>
          <w:rFonts w:cs="Arial"/>
          <w:lang w:val="it-IT"/>
        </w:rPr>
        <w:tab/>
        <w:t xml:space="preserve"> 10</w:t>
      </w:r>
    </w:p>
    <w:p w:rsidR="00CF3FC5" w:rsidRPr="00795EB8" w:rsidRDefault="00CF3FC5" w:rsidP="00795EB8">
      <w:pPr>
        <w:tabs>
          <w:tab w:val="left" w:pos="1134"/>
          <w:tab w:val="right" w:leader="dot" w:pos="7938"/>
          <w:tab w:val="right" w:leader="dot" w:pos="9350"/>
        </w:tabs>
        <w:ind w:left="1134"/>
        <w:rPr>
          <w:rFonts w:cs="Arial"/>
          <w:lang w:val="it-IT"/>
        </w:rPr>
      </w:pPr>
      <w:r w:rsidRPr="00795EB8">
        <w:rPr>
          <w:rFonts w:cs="Arial"/>
          <w:lang w:val="it-IT"/>
        </w:rPr>
        <w:t xml:space="preserve">Austria </w:t>
      </w:r>
    </w:p>
    <w:p w:rsidR="00795EB8" w:rsidRDefault="00795EB8" w:rsidP="00795EB8">
      <w:pPr>
        <w:tabs>
          <w:tab w:val="left" w:pos="1134"/>
          <w:tab w:val="right" w:leader="dot" w:pos="7938"/>
        </w:tabs>
        <w:ind w:left="1134"/>
        <w:rPr>
          <w:rFonts w:cs="Arial"/>
          <w:lang w:val="it-IT"/>
        </w:rPr>
      </w:pPr>
    </w:p>
    <w:p w:rsidR="00CF3FC5" w:rsidRPr="00795EB8" w:rsidRDefault="009831F2" w:rsidP="00795EB8">
      <w:pPr>
        <w:tabs>
          <w:tab w:val="left" w:pos="1134"/>
          <w:tab w:val="right" w:leader="dot" w:pos="7938"/>
        </w:tabs>
        <w:ind w:left="1134"/>
        <w:rPr>
          <w:rFonts w:cs="Arial"/>
          <w:lang w:val="it-IT"/>
        </w:rPr>
      </w:pPr>
      <w:r>
        <w:rPr>
          <w:rFonts w:cs="Arial"/>
          <w:lang w:val="it-IT"/>
        </w:rPr>
        <w:t xml:space="preserve">Belgium </w:t>
      </w:r>
      <w:r>
        <w:rPr>
          <w:rFonts w:cs="Arial"/>
          <w:lang w:val="it-IT"/>
        </w:rPr>
        <w:tab/>
        <w:t xml:space="preserve"> 11</w:t>
      </w:r>
    </w:p>
    <w:p w:rsidR="00CF3FC5" w:rsidRPr="00795EB8" w:rsidRDefault="00CF3FC5" w:rsidP="00795EB8">
      <w:pPr>
        <w:tabs>
          <w:tab w:val="left" w:pos="1134"/>
          <w:tab w:val="right" w:leader="dot" w:pos="7938"/>
          <w:tab w:val="right" w:leader="dot" w:pos="9350"/>
        </w:tabs>
        <w:ind w:left="1134"/>
        <w:rPr>
          <w:rFonts w:cs="Arial"/>
          <w:lang w:val="it-IT"/>
        </w:rPr>
      </w:pPr>
      <w:r w:rsidRPr="00795EB8">
        <w:rPr>
          <w:rFonts w:cs="Arial"/>
          <w:lang w:val="it-IT"/>
        </w:rPr>
        <w:t>Canada</w:t>
      </w:r>
    </w:p>
    <w:p w:rsidR="00795EB8" w:rsidRPr="00C56542" w:rsidRDefault="00795EB8" w:rsidP="00795EB8">
      <w:pPr>
        <w:tabs>
          <w:tab w:val="left" w:pos="1134"/>
          <w:tab w:val="right" w:leader="dot" w:pos="7938"/>
          <w:tab w:val="right" w:leader="dot" w:pos="9350"/>
        </w:tabs>
        <w:ind w:left="1134"/>
        <w:rPr>
          <w:rFonts w:cs="Arial"/>
          <w:lang w:val="es-ES"/>
        </w:rPr>
      </w:pPr>
    </w:p>
    <w:p w:rsidR="00CF3FC5" w:rsidRPr="00C56542" w:rsidRDefault="009831F2" w:rsidP="00795EB8">
      <w:pPr>
        <w:tabs>
          <w:tab w:val="left" w:pos="1134"/>
          <w:tab w:val="right" w:leader="dot" w:pos="7938"/>
          <w:tab w:val="right" w:leader="dot" w:pos="9350"/>
        </w:tabs>
        <w:ind w:left="1134"/>
        <w:rPr>
          <w:rFonts w:cs="Arial"/>
          <w:lang w:val="es-ES"/>
        </w:rPr>
      </w:pPr>
      <w:r w:rsidRPr="00C56542">
        <w:rPr>
          <w:rFonts w:cs="Arial"/>
          <w:lang w:val="es-ES"/>
        </w:rPr>
        <w:t xml:space="preserve">Denmark  </w:t>
      </w:r>
      <w:r w:rsidRPr="00C56542">
        <w:rPr>
          <w:rFonts w:cs="Arial"/>
          <w:lang w:val="es-ES"/>
        </w:rPr>
        <w:tab/>
        <w:t xml:space="preserve"> 12</w:t>
      </w:r>
    </w:p>
    <w:p w:rsidR="00CF3FC5" w:rsidRPr="00795EB8" w:rsidRDefault="00CF3FC5" w:rsidP="00795EB8">
      <w:pPr>
        <w:tabs>
          <w:tab w:val="left" w:pos="1134"/>
          <w:tab w:val="right" w:leader="dot" w:pos="7938"/>
          <w:tab w:val="right" w:leader="dot" w:pos="9350"/>
        </w:tabs>
        <w:ind w:left="1134"/>
        <w:rPr>
          <w:rFonts w:cs="Arial"/>
        </w:rPr>
      </w:pPr>
      <w:r w:rsidRPr="00795EB8">
        <w:rPr>
          <w:rFonts w:cs="Arial"/>
        </w:rPr>
        <w:t>Finland</w:t>
      </w:r>
    </w:p>
    <w:p w:rsidR="00795EB8" w:rsidRDefault="00795EB8" w:rsidP="00795EB8">
      <w:pPr>
        <w:tabs>
          <w:tab w:val="left" w:pos="1134"/>
          <w:tab w:val="right" w:leader="dot" w:pos="7938"/>
          <w:tab w:val="right" w:leader="dot" w:pos="9350"/>
        </w:tabs>
        <w:ind w:left="1134"/>
        <w:rPr>
          <w:rFonts w:cs="Arial"/>
        </w:rPr>
      </w:pPr>
    </w:p>
    <w:p w:rsidR="00CF3FC5" w:rsidRPr="00795EB8" w:rsidRDefault="009831F2" w:rsidP="00795EB8">
      <w:pPr>
        <w:tabs>
          <w:tab w:val="left" w:pos="1134"/>
          <w:tab w:val="right" w:leader="dot" w:pos="7938"/>
          <w:tab w:val="right" w:leader="dot" w:pos="9350"/>
        </w:tabs>
        <w:ind w:left="1134"/>
        <w:rPr>
          <w:rFonts w:cs="Arial"/>
        </w:rPr>
      </w:pPr>
      <w:r>
        <w:rPr>
          <w:rFonts w:cs="Arial"/>
        </w:rPr>
        <w:t xml:space="preserve">France </w:t>
      </w:r>
      <w:r>
        <w:rPr>
          <w:rFonts w:cs="Arial"/>
        </w:rPr>
        <w:tab/>
        <w:t xml:space="preserve"> 13</w:t>
      </w:r>
    </w:p>
    <w:p w:rsidR="00CF3FC5" w:rsidRPr="00795EB8" w:rsidRDefault="00CF3FC5" w:rsidP="00795EB8">
      <w:pPr>
        <w:tabs>
          <w:tab w:val="left" w:pos="1134"/>
          <w:tab w:val="right" w:leader="dot" w:pos="7938"/>
        </w:tabs>
        <w:ind w:left="1134"/>
        <w:rPr>
          <w:rFonts w:cs="Arial"/>
        </w:rPr>
      </w:pPr>
      <w:r w:rsidRPr="00795EB8">
        <w:rPr>
          <w:rFonts w:cs="Arial"/>
        </w:rPr>
        <w:t>Germany</w:t>
      </w:r>
    </w:p>
    <w:p w:rsidR="00795EB8" w:rsidRDefault="00795EB8" w:rsidP="00795EB8">
      <w:pPr>
        <w:tabs>
          <w:tab w:val="left" w:pos="1134"/>
          <w:tab w:val="right" w:leader="dot" w:pos="7938"/>
        </w:tabs>
        <w:ind w:left="1134"/>
        <w:rPr>
          <w:rFonts w:cs="Arial"/>
        </w:rPr>
      </w:pPr>
    </w:p>
    <w:p w:rsidR="00CF3FC5" w:rsidRPr="00795EB8" w:rsidRDefault="009831F2" w:rsidP="00795EB8">
      <w:pPr>
        <w:tabs>
          <w:tab w:val="left" w:pos="1134"/>
          <w:tab w:val="right" w:leader="dot" w:pos="7938"/>
        </w:tabs>
        <w:ind w:left="1134"/>
        <w:rPr>
          <w:rFonts w:cs="Arial"/>
        </w:rPr>
      </w:pPr>
      <w:r>
        <w:rPr>
          <w:rFonts w:cs="Arial"/>
        </w:rPr>
        <w:t xml:space="preserve">Greece </w:t>
      </w:r>
      <w:r>
        <w:rPr>
          <w:rFonts w:cs="Arial"/>
        </w:rPr>
        <w:tab/>
        <w:t xml:space="preserve"> 14</w:t>
      </w:r>
    </w:p>
    <w:p w:rsidR="00CF3FC5" w:rsidRPr="00795EB8" w:rsidRDefault="00CF3FC5" w:rsidP="00795EB8">
      <w:pPr>
        <w:tabs>
          <w:tab w:val="left" w:pos="1134"/>
          <w:tab w:val="right" w:leader="dot" w:pos="7938"/>
        </w:tabs>
        <w:ind w:left="1134"/>
        <w:rPr>
          <w:rFonts w:cs="Arial"/>
        </w:rPr>
      </w:pPr>
      <w:r w:rsidRPr="00795EB8">
        <w:rPr>
          <w:rFonts w:cs="Arial"/>
        </w:rPr>
        <w:t>Hungary</w:t>
      </w:r>
    </w:p>
    <w:p w:rsidR="00795EB8" w:rsidRDefault="00795EB8" w:rsidP="00795EB8">
      <w:pPr>
        <w:tabs>
          <w:tab w:val="left" w:pos="1134"/>
          <w:tab w:val="right" w:leader="dot" w:pos="7938"/>
        </w:tabs>
        <w:ind w:left="1134"/>
        <w:rPr>
          <w:rFonts w:cs="Arial"/>
        </w:rPr>
      </w:pPr>
    </w:p>
    <w:p w:rsidR="00CF3FC5" w:rsidRPr="00795EB8" w:rsidRDefault="009831F2" w:rsidP="00795EB8">
      <w:pPr>
        <w:tabs>
          <w:tab w:val="left" w:pos="1134"/>
          <w:tab w:val="right" w:leader="dot" w:pos="7938"/>
        </w:tabs>
        <w:ind w:left="1134"/>
        <w:rPr>
          <w:rFonts w:cs="Arial"/>
        </w:rPr>
      </w:pPr>
      <w:r>
        <w:rPr>
          <w:rFonts w:cs="Arial"/>
        </w:rPr>
        <w:t xml:space="preserve">Iceland </w:t>
      </w:r>
      <w:r>
        <w:rPr>
          <w:rFonts w:cs="Arial"/>
        </w:rPr>
        <w:tab/>
        <w:t xml:space="preserve"> 15</w:t>
      </w:r>
    </w:p>
    <w:p w:rsidR="00CF3FC5" w:rsidRPr="00795EB8" w:rsidRDefault="00CF3FC5" w:rsidP="00795EB8">
      <w:pPr>
        <w:tabs>
          <w:tab w:val="left" w:pos="1134"/>
          <w:tab w:val="right" w:leader="dot" w:pos="7938"/>
          <w:tab w:val="right" w:leader="dot" w:pos="9350"/>
        </w:tabs>
        <w:ind w:left="1134"/>
        <w:rPr>
          <w:rFonts w:cs="Arial"/>
        </w:rPr>
      </w:pPr>
      <w:r w:rsidRPr="00795EB8">
        <w:rPr>
          <w:rFonts w:cs="Arial"/>
        </w:rPr>
        <w:t>Ireland</w:t>
      </w:r>
    </w:p>
    <w:p w:rsidR="00795EB8" w:rsidRDefault="00795EB8" w:rsidP="00795EB8">
      <w:pPr>
        <w:tabs>
          <w:tab w:val="left" w:pos="1134"/>
          <w:tab w:val="right" w:leader="dot" w:pos="7938"/>
          <w:tab w:val="right" w:leader="dot" w:pos="9350"/>
        </w:tabs>
        <w:ind w:left="1134"/>
        <w:rPr>
          <w:rFonts w:cs="Arial"/>
        </w:rPr>
      </w:pPr>
    </w:p>
    <w:p w:rsidR="00CF3FC5" w:rsidRPr="00795EB8" w:rsidRDefault="009831F2" w:rsidP="00795EB8">
      <w:pPr>
        <w:tabs>
          <w:tab w:val="left" w:pos="1134"/>
          <w:tab w:val="right" w:leader="dot" w:pos="7938"/>
          <w:tab w:val="right" w:leader="dot" w:pos="9350"/>
        </w:tabs>
        <w:ind w:left="1134"/>
        <w:rPr>
          <w:rFonts w:cs="Arial"/>
        </w:rPr>
      </w:pPr>
      <w:r>
        <w:rPr>
          <w:rFonts w:cs="Arial"/>
        </w:rPr>
        <w:t xml:space="preserve">Italy </w:t>
      </w:r>
      <w:r>
        <w:rPr>
          <w:rFonts w:cs="Arial"/>
        </w:rPr>
        <w:tab/>
        <w:t xml:space="preserve"> 16</w:t>
      </w:r>
    </w:p>
    <w:p w:rsidR="00CF3FC5" w:rsidRPr="00795EB8" w:rsidRDefault="00CF3FC5" w:rsidP="00795EB8">
      <w:pPr>
        <w:tabs>
          <w:tab w:val="left" w:pos="1134"/>
          <w:tab w:val="right" w:leader="dot" w:pos="7938"/>
          <w:tab w:val="right" w:leader="dot" w:pos="9350"/>
        </w:tabs>
        <w:ind w:left="1134"/>
        <w:rPr>
          <w:rFonts w:cs="Arial"/>
        </w:rPr>
      </w:pPr>
      <w:r w:rsidRPr="00795EB8">
        <w:rPr>
          <w:rFonts w:cs="Arial"/>
        </w:rPr>
        <w:t>Japan</w:t>
      </w:r>
    </w:p>
    <w:p w:rsidR="00795EB8" w:rsidRDefault="00795EB8" w:rsidP="00795EB8">
      <w:pPr>
        <w:tabs>
          <w:tab w:val="left" w:pos="1134"/>
          <w:tab w:val="right" w:leader="dot" w:pos="7938"/>
          <w:tab w:val="right" w:leader="dot" w:pos="9350"/>
        </w:tabs>
        <w:ind w:left="1134"/>
        <w:rPr>
          <w:rFonts w:cs="Arial"/>
        </w:rPr>
      </w:pPr>
    </w:p>
    <w:p w:rsidR="00CF3FC5" w:rsidRPr="00795EB8" w:rsidRDefault="00CF3FC5" w:rsidP="00795EB8">
      <w:pPr>
        <w:tabs>
          <w:tab w:val="left" w:pos="1134"/>
          <w:tab w:val="right" w:leader="dot" w:pos="7938"/>
          <w:tab w:val="right" w:leader="dot" w:pos="9350"/>
        </w:tabs>
        <w:ind w:left="1134"/>
        <w:rPr>
          <w:rFonts w:cs="Arial"/>
        </w:rPr>
      </w:pPr>
      <w:r w:rsidRPr="00795EB8">
        <w:rPr>
          <w:rFonts w:cs="Arial"/>
        </w:rPr>
        <w:t xml:space="preserve">Korea  </w:t>
      </w:r>
      <w:r w:rsidRPr="00795EB8">
        <w:rPr>
          <w:rFonts w:cs="Arial"/>
        </w:rPr>
        <w:tab/>
        <w:t xml:space="preserve"> 1</w:t>
      </w:r>
      <w:r w:rsidR="009831F2">
        <w:rPr>
          <w:rFonts w:cs="Arial"/>
        </w:rPr>
        <w:t>7</w:t>
      </w:r>
    </w:p>
    <w:p w:rsidR="00CF3FC5" w:rsidRPr="00795EB8" w:rsidRDefault="00CF3FC5" w:rsidP="00795EB8">
      <w:pPr>
        <w:tabs>
          <w:tab w:val="left" w:pos="1134"/>
          <w:tab w:val="right" w:leader="dot" w:pos="7938"/>
          <w:tab w:val="right" w:leader="dot" w:pos="9350"/>
        </w:tabs>
        <w:ind w:left="1134"/>
        <w:rPr>
          <w:rFonts w:cs="Arial"/>
        </w:rPr>
      </w:pPr>
      <w:r w:rsidRPr="00795EB8">
        <w:rPr>
          <w:rFonts w:cs="Arial"/>
        </w:rPr>
        <w:t>Luxembourg</w:t>
      </w:r>
    </w:p>
    <w:p w:rsidR="00795EB8" w:rsidRDefault="00795EB8" w:rsidP="00795EB8">
      <w:pPr>
        <w:tabs>
          <w:tab w:val="left" w:pos="1134"/>
          <w:tab w:val="right" w:leader="dot" w:pos="7938"/>
          <w:tab w:val="right" w:leader="dot" w:pos="9350"/>
        </w:tabs>
        <w:ind w:left="1134"/>
        <w:rPr>
          <w:rFonts w:cs="Arial"/>
        </w:rPr>
      </w:pPr>
    </w:p>
    <w:p w:rsidR="00CF3FC5" w:rsidRPr="00795EB8" w:rsidRDefault="009831F2" w:rsidP="00795EB8">
      <w:pPr>
        <w:tabs>
          <w:tab w:val="left" w:pos="1134"/>
          <w:tab w:val="right" w:leader="dot" w:pos="7938"/>
          <w:tab w:val="right" w:leader="dot" w:pos="9350"/>
        </w:tabs>
        <w:ind w:left="1134"/>
        <w:rPr>
          <w:rFonts w:cs="Arial"/>
        </w:rPr>
      </w:pPr>
      <w:r>
        <w:rPr>
          <w:rFonts w:cs="Arial"/>
        </w:rPr>
        <w:t xml:space="preserve">Mexico </w:t>
      </w:r>
      <w:r>
        <w:rPr>
          <w:rFonts w:cs="Arial"/>
        </w:rPr>
        <w:tab/>
        <w:t xml:space="preserve"> 18</w:t>
      </w:r>
    </w:p>
    <w:p w:rsidR="00CF3FC5" w:rsidRPr="00795EB8" w:rsidRDefault="00CF3FC5" w:rsidP="00795EB8">
      <w:pPr>
        <w:tabs>
          <w:tab w:val="left" w:pos="1134"/>
          <w:tab w:val="right" w:leader="dot" w:pos="7938"/>
          <w:tab w:val="right" w:leader="dot" w:pos="9350"/>
        </w:tabs>
        <w:ind w:left="1134"/>
        <w:rPr>
          <w:rFonts w:cs="Arial"/>
        </w:rPr>
      </w:pPr>
      <w:r w:rsidRPr="00795EB8">
        <w:rPr>
          <w:rFonts w:cs="Arial"/>
        </w:rPr>
        <w:t>Netherlands</w:t>
      </w:r>
    </w:p>
    <w:p w:rsidR="00795EB8" w:rsidRDefault="00795EB8" w:rsidP="00795EB8">
      <w:pPr>
        <w:tabs>
          <w:tab w:val="left" w:pos="1134"/>
          <w:tab w:val="right" w:leader="dot" w:pos="7938"/>
          <w:tab w:val="right" w:leader="dot" w:pos="9350"/>
        </w:tabs>
        <w:ind w:left="1134"/>
        <w:rPr>
          <w:rFonts w:cs="Arial"/>
        </w:rPr>
      </w:pPr>
    </w:p>
    <w:p w:rsidR="00CF3FC5" w:rsidRPr="00795EB8" w:rsidRDefault="00CF3FC5" w:rsidP="00795EB8">
      <w:pPr>
        <w:tabs>
          <w:tab w:val="left" w:pos="1134"/>
          <w:tab w:val="right" w:leader="dot" w:pos="7938"/>
          <w:tab w:val="right" w:leader="dot" w:pos="9350"/>
        </w:tabs>
        <w:ind w:left="1134"/>
        <w:rPr>
          <w:rFonts w:cs="Arial"/>
        </w:rPr>
      </w:pPr>
      <w:r w:rsidRPr="00795EB8">
        <w:rPr>
          <w:rFonts w:cs="Arial"/>
        </w:rPr>
        <w:t xml:space="preserve">New Zealand </w:t>
      </w:r>
      <w:r w:rsidRPr="00795EB8">
        <w:rPr>
          <w:rFonts w:cs="Arial"/>
        </w:rPr>
        <w:tab/>
        <w:t xml:space="preserve"> </w:t>
      </w:r>
      <w:r w:rsidR="009831F2">
        <w:rPr>
          <w:rFonts w:cs="Arial"/>
        </w:rPr>
        <w:t>19</w:t>
      </w:r>
    </w:p>
    <w:p w:rsidR="00CF3FC5" w:rsidRPr="00795EB8" w:rsidRDefault="00CF3FC5" w:rsidP="00795EB8">
      <w:pPr>
        <w:tabs>
          <w:tab w:val="left" w:pos="1134"/>
          <w:tab w:val="right" w:leader="dot" w:pos="7938"/>
          <w:tab w:val="right" w:leader="dot" w:pos="9350"/>
        </w:tabs>
        <w:ind w:left="1134"/>
        <w:rPr>
          <w:rFonts w:cs="Arial"/>
        </w:rPr>
      </w:pPr>
      <w:r w:rsidRPr="00795EB8">
        <w:rPr>
          <w:rFonts w:cs="Arial"/>
        </w:rPr>
        <w:t>Norway</w:t>
      </w:r>
    </w:p>
    <w:p w:rsidR="00795EB8" w:rsidRDefault="00795EB8" w:rsidP="00795EB8">
      <w:pPr>
        <w:tabs>
          <w:tab w:val="left" w:pos="1134"/>
          <w:tab w:val="right" w:leader="dot" w:pos="7938"/>
          <w:tab w:val="right" w:leader="dot" w:pos="9350"/>
        </w:tabs>
        <w:ind w:left="1134"/>
        <w:rPr>
          <w:rFonts w:cs="Arial"/>
        </w:rPr>
      </w:pPr>
    </w:p>
    <w:p w:rsidR="00CF3FC5" w:rsidRPr="00795EB8" w:rsidRDefault="00CF3FC5" w:rsidP="00795EB8">
      <w:pPr>
        <w:tabs>
          <w:tab w:val="left" w:pos="1134"/>
          <w:tab w:val="right" w:leader="dot" w:pos="7938"/>
          <w:tab w:val="right" w:leader="dot" w:pos="9350"/>
        </w:tabs>
        <w:ind w:left="1134"/>
        <w:rPr>
          <w:rFonts w:cs="Arial"/>
        </w:rPr>
      </w:pPr>
      <w:r w:rsidRPr="00795EB8">
        <w:rPr>
          <w:rFonts w:cs="Arial"/>
        </w:rPr>
        <w:t xml:space="preserve">Poland </w:t>
      </w:r>
      <w:r w:rsidRPr="00795EB8">
        <w:rPr>
          <w:rFonts w:cs="Arial"/>
        </w:rPr>
        <w:tab/>
        <w:t xml:space="preserve"> 2</w:t>
      </w:r>
      <w:r w:rsidR="009831F2">
        <w:rPr>
          <w:rFonts w:cs="Arial"/>
        </w:rPr>
        <w:t>0</w:t>
      </w:r>
    </w:p>
    <w:p w:rsidR="00CF3FC5" w:rsidRPr="00795EB8" w:rsidRDefault="00CF3FC5" w:rsidP="00795EB8">
      <w:pPr>
        <w:tabs>
          <w:tab w:val="left" w:pos="1134"/>
          <w:tab w:val="right" w:leader="dot" w:pos="7938"/>
          <w:tab w:val="right" w:leader="dot" w:pos="9350"/>
        </w:tabs>
        <w:ind w:left="1134"/>
        <w:rPr>
          <w:rFonts w:cs="Arial"/>
        </w:rPr>
      </w:pPr>
      <w:r w:rsidRPr="00795EB8">
        <w:rPr>
          <w:rFonts w:cs="Arial"/>
        </w:rPr>
        <w:t>Portugal</w:t>
      </w:r>
    </w:p>
    <w:p w:rsidR="00795EB8" w:rsidRDefault="00795EB8" w:rsidP="00795EB8">
      <w:pPr>
        <w:tabs>
          <w:tab w:val="left" w:pos="1134"/>
          <w:tab w:val="right" w:leader="dot" w:pos="7938"/>
          <w:tab w:val="right" w:leader="dot" w:pos="9350"/>
        </w:tabs>
        <w:ind w:left="1134"/>
        <w:rPr>
          <w:rFonts w:cs="Arial"/>
        </w:rPr>
      </w:pPr>
    </w:p>
    <w:p w:rsidR="00CF3FC5" w:rsidRPr="00795EB8" w:rsidRDefault="00CF3FC5" w:rsidP="00795EB8">
      <w:pPr>
        <w:tabs>
          <w:tab w:val="left" w:pos="1134"/>
          <w:tab w:val="right" w:leader="dot" w:pos="7938"/>
          <w:tab w:val="right" w:leader="dot" w:pos="9350"/>
        </w:tabs>
        <w:ind w:left="1134"/>
        <w:rPr>
          <w:rFonts w:cs="Arial"/>
        </w:rPr>
      </w:pPr>
      <w:r w:rsidRPr="00795EB8">
        <w:rPr>
          <w:rFonts w:cs="Arial"/>
        </w:rPr>
        <w:t xml:space="preserve">Spain </w:t>
      </w:r>
      <w:r w:rsidRPr="00795EB8">
        <w:rPr>
          <w:rFonts w:cs="Arial"/>
        </w:rPr>
        <w:tab/>
        <w:t xml:space="preserve"> 2</w:t>
      </w:r>
      <w:r w:rsidR="009831F2">
        <w:rPr>
          <w:rFonts w:cs="Arial"/>
        </w:rPr>
        <w:t>1</w:t>
      </w:r>
    </w:p>
    <w:p w:rsidR="00CF3FC5" w:rsidRPr="00795EB8" w:rsidRDefault="00CF3FC5" w:rsidP="00795EB8">
      <w:pPr>
        <w:tabs>
          <w:tab w:val="left" w:pos="1134"/>
          <w:tab w:val="right" w:leader="dot" w:pos="7938"/>
          <w:tab w:val="right" w:leader="dot" w:pos="9350"/>
        </w:tabs>
        <w:ind w:left="1134"/>
        <w:rPr>
          <w:rFonts w:cs="Arial"/>
        </w:rPr>
      </w:pPr>
      <w:r w:rsidRPr="00795EB8">
        <w:rPr>
          <w:rFonts w:cs="Arial"/>
        </w:rPr>
        <w:t>Sweden</w:t>
      </w:r>
    </w:p>
    <w:p w:rsidR="00795EB8" w:rsidRDefault="00795EB8" w:rsidP="00795EB8">
      <w:pPr>
        <w:tabs>
          <w:tab w:val="left" w:pos="1134"/>
          <w:tab w:val="right" w:leader="dot" w:pos="7938"/>
          <w:tab w:val="right" w:leader="dot" w:pos="9350"/>
        </w:tabs>
        <w:ind w:left="1134"/>
        <w:rPr>
          <w:rFonts w:cs="Arial"/>
        </w:rPr>
      </w:pPr>
    </w:p>
    <w:p w:rsidR="00CF3FC5" w:rsidRPr="00795EB8" w:rsidRDefault="00CF3FC5" w:rsidP="00795EB8">
      <w:pPr>
        <w:tabs>
          <w:tab w:val="left" w:pos="1134"/>
          <w:tab w:val="right" w:leader="dot" w:pos="7938"/>
          <w:tab w:val="right" w:leader="dot" w:pos="9350"/>
        </w:tabs>
        <w:ind w:left="1134"/>
        <w:rPr>
          <w:rFonts w:cs="Arial"/>
        </w:rPr>
      </w:pPr>
      <w:r w:rsidRPr="00795EB8">
        <w:rPr>
          <w:rFonts w:cs="Arial"/>
        </w:rPr>
        <w:t xml:space="preserve">Switzerland </w:t>
      </w:r>
      <w:r w:rsidRPr="00795EB8">
        <w:rPr>
          <w:rFonts w:cs="Arial"/>
        </w:rPr>
        <w:tab/>
        <w:t xml:space="preserve"> 2</w:t>
      </w:r>
      <w:r w:rsidR="009831F2">
        <w:rPr>
          <w:rFonts w:cs="Arial"/>
        </w:rPr>
        <w:t>2</w:t>
      </w:r>
    </w:p>
    <w:p w:rsidR="00CF3FC5" w:rsidRPr="00795EB8" w:rsidRDefault="00CF3FC5" w:rsidP="00795EB8">
      <w:pPr>
        <w:tabs>
          <w:tab w:val="left" w:pos="1134"/>
          <w:tab w:val="right" w:leader="dot" w:pos="7938"/>
          <w:tab w:val="right" w:leader="dot" w:pos="9350"/>
        </w:tabs>
        <w:ind w:left="1134"/>
        <w:rPr>
          <w:rFonts w:cs="Arial"/>
        </w:rPr>
      </w:pPr>
      <w:r w:rsidRPr="00795EB8">
        <w:rPr>
          <w:rFonts w:cs="Arial"/>
        </w:rPr>
        <w:t xml:space="preserve">Turkey </w:t>
      </w:r>
    </w:p>
    <w:p w:rsidR="00795EB8" w:rsidRDefault="00795EB8" w:rsidP="00795EB8">
      <w:pPr>
        <w:tabs>
          <w:tab w:val="left" w:pos="1134"/>
          <w:tab w:val="right" w:leader="dot" w:pos="7938"/>
          <w:tab w:val="right" w:leader="dot" w:pos="9350"/>
        </w:tabs>
        <w:ind w:left="1134"/>
        <w:rPr>
          <w:rFonts w:cs="Arial"/>
        </w:rPr>
      </w:pPr>
    </w:p>
    <w:p w:rsidR="00CF3FC5" w:rsidRPr="00795EB8" w:rsidRDefault="009831F2" w:rsidP="00795EB8">
      <w:pPr>
        <w:tabs>
          <w:tab w:val="left" w:pos="1134"/>
          <w:tab w:val="right" w:leader="dot" w:pos="7938"/>
          <w:tab w:val="right" w:leader="dot" w:pos="9350"/>
        </w:tabs>
        <w:ind w:left="1134"/>
        <w:rPr>
          <w:rFonts w:cs="Arial"/>
          <w:spacing w:val="-2"/>
        </w:rPr>
      </w:pPr>
      <w:r>
        <w:rPr>
          <w:rFonts w:cs="Arial"/>
        </w:rPr>
        <w:t xml:space="preserve">United Kingdom </w:t>
      </w:r>
      <w:r>
        <w:rPr>
          <w:rFonts w:cs="Arial"/>
        </w:rPr>
        <w:tab/>
        <w:t xml:space="preserve"> 23</w:t>
      </w:r>
    </w:p>
    <w:p w:rsidR="00CF3FC5" w:rsidRPr="00795EB8" w:rsidRDefault="00CF3FC5" w:rsidP="00795EB8">
      <w:pPr>
        <w:tabs>
          <w:tab w:val="left" w:pos="1134"/>
          <w:tab w:val="right" w:leader="dot" w:pos="7938"/>
          <w:tab w:val="right" w:leader="dot" w:pos="9350"/>
        </w:tabs>
        <w:ind w:left="1134"/>
        <w:rPr>
          <w:rFonts w:cs="Arial"/>
        </w:rPr>
      </w:pPr>
      <w:r w:rsidRPr="00795EB8">
        <w:rPr>
          <w:rFonts w:cs="Arial"/>
        </w:rPr>
        <w:t>United States</w:t>
      </w:r>
    </w:p>
    <w:p w:rsidR="00795EB8" w:rsidRDefault="00795EB8" w:rsidP="00795EB8">
      <w:pPr>
        <w:tabs>
          <w:tab w:val="left" w:pos="1134"/>
          <w:tab w:val="right" w:leader="dot" w:pos="7938"/>
          <w:tab w:val="right" w:leader="dot" w:pos="9350"/>
        </w:tabs>
        <w:ind w:left="1134"/>
        <w:rPr>
          <w:rFonts w:cs="Arial"/>
        </w:rPr>
      </w:pPr>
    </w:p>
    <w:p w:rsidR="00CF3FC5" w:rsidRPr="00795EB8" w:rsidRDefault="00CF3FC5" w:rsidP="00795EB8">
      <w:pPr>
        <w:tabs>
          <w:tab w:val="left" w:pos="1134"/>
          <w:tab w:val="right" w:leader="dot" w:pos="7938"/>
          <w:tab w:val="right" w:leader="dot" w:pos="9350"/>
        </w:tabs>
        <w:ind w:left="1134"/>
        <w:rPr>
          <w:rFonts w:cs="Arial"/>
          <w:spacing w:val="-2"/>
        </w:rPr>
      </w:pPr>
      <w:r w:rsidRPr="00795EB8">
        <w:rPr>
          <w:rFonts w:cs="Arial"/>
        </w:rPr>
        <w:t>Sing</w:t>
      </w:r>
      <w:r w:rsidR="009831F2">
        <w:rPr>
          <w:rFonts w:cs="Arial"/>
        </w:rPr>
        <w:t xml:space="preserve">le salary spine for Belgium </w:t>
      </w:r>
      <w:r w:rsidR="009831F2">
        <w:rPr>
          <w:rFonts w:cs="Arial"/>
        </w:rPr>
        <w:tab/>
        <w:t xml:space="preserve"> 24</w:t>
      </w:r>
    </w:p>
    <w:p w:rsidR="00CF3FC5" w:rsidRDefault="00CF3FC5" w:rsidP="00795EB8">
      <w:pPr>
        <w:rPr>
          <w:rFonts w:asciiTheme="minorHAnsi" w:hAnsiTheme="minorHAnsi" w:cs="Arial"/>
          <w:b/>
          <w:caps/>
          <w:szCs w:val="24"/>
          <w:lang w:val="de-CH"/>
        </w:rPr>
      </w:pPr>
      <w:r>
        <w:rPr>
          <w:rFonts w:asciiTheme="minorHAnsi" w:hAnsiTheme="minorHAnsi" w:cs="Arial"/>
          <w:b/>
          <w:caps/>
          <w:szCs w:val="24"/>
          <w:lang w:val="de-CH"/>
        </w:rPr>
        <w:br w:type="page"/>
      </w:r>
    </w:p>
    <w:p w:rsidR="00CF3FC5" w:rsidRPr="00B8059D" w:rsidRDefault="00CF3FC5" w:rsidP="00CF3FC5">
      <w:pPr>
        <w:tabs>
          <w:tab w:val="right" w:pos="9781"/>
        </w:tabs>
        <w:jc w:val="center"/>
        <w:rPr>
          <w:rFonts w:ascii="Calibri" w:hAnsi="Calibri" w:cs="Arial"/>
          <w:b/>
          <w:sz w:val="2"/>
          <w:szCs w:val="2"/>
        </w:rPr>
      </w:pPr>
    </w:p>
    <w:p w:rsidR="00CF3FC5" w:rsidRDefault="00CF3FC5" w:rsidP="00CF3FC5">
      <w:r>
        <w:br w:type="page"/>
      </w:r>
      <w:r w:rsidRPr="00810D01">
        <w:rPr>
          <w:noProof/>
          <w:lang w:val="fr-FR" w:eastAsia="fr-FR"/>
        </w:rPr>
        <w:drawing>
          <wp:anchor distT="0" distB="0" distL="114300" distR="114300" simplePos="0" relativeHeight="251660288" behindDoc="0" locked="0" layoutInCell="1" allowOverlap="1" wp14:anchorId="0FCC5C0B" wp14:editId="2DF3CD6A">
            <wp:simplePos x="830580" y="723900"/>
            <wp:positionH relativeFrom="margin">
              <wp:align>center</wp:align>
            </wp:positionH>
            <wp:positionV relativeFrom="margin">
              <wp:align>center</wp:align>
            </wp:positionV>
            <wp:extent cx="6238580" cy="874800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38580" cy="8748000"/>
                    </a:xfrm>
                    <a:prstGeom prst="rect">
                      <a:avLst/>
                    </a:prstGeom>
                    <a:noFill/>
                    <a:ln>
                      <a:noFill/>
                    </a:ln>
                  </pic:spPr>
                </pic:pic>
              </a:graphicData>
            </a:graphic>
          </wp:anchor>
        </w:drawing>
      </w:r>
    </w:p>
    <w:p w:rsidR="00CF3FC5" w:rsidRDefault="00B8059D" w:rsidP="00CF3FC5">
      <w:r w:rsidRPr="00810D01">
        <w:rPr>
          <w:noProof/>
          <w:lang w:val="fr-FR" w:eastAsia="fr-FR"/>
        </w:rPr>
        <w:lastRenderedPageBreak/>
        <w:drawing>
          <wp:anchor distT="0" distB="0" distL="114300" distR="114300" simplePos="0" relativeHeight="251661312" behindDoc="0" locked="0" layoutInCell="1" allowOverlap="1" wp14:anchorId="02FB7B3C" wp14:editId="04B35796">
            <wp:simplePos x="0" y="0"/>
            <wp:positionH relativeFrom="margin">
              <wp:posOffset>9525</wp:posOffset>
            </wp:positionH>
            <wp:positionV relativeFrom="margin">
              <wp:posOffset>273050</wp:posOffset>
            </wp:positionV>
            <wp:extent cx="6238240" cy="874776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38240" cy="8747760"/>
                    </a:xfrm>
                    <a:prstGeom prst="rect">
                      <a:avLst/>
                    </a:prstGeom>
                    <a:noFill/>
                    <a:ln>
                      <a:noFill/>
                    </a:ln>
                  </pic:spPr>
                </pic:pic>
              </a:graphicData>
            </a:graphic>
          </wp:anchor>
        </w:drawing>
      </w:r>
      <w:r w:rsidR="00CF3FC5">
        <w:br w:type="page"/>
      </w:r>
    </w:p>
    <w:p w:rsidR="00CF3FC5" w:rsidRDefault="00B8059D" w:rsidP="00CF3FC5">
      <w:r w:rsidRPr="00810D01">
        <w:rPr>
          <w:noProof/>
          <w:lang w:val="fr-FR" w:eastAsia="fr-FR"/>
        </w:rPr>
        <w:lastRenderedPageBreak/>
        <w:drawing>
          <wp:anchor distT="0" distB="0" distL="114300" distR="114300" simplePos="0" relativeHeight="251662336" behindDoc="0" locked="0" layoutInCell="1" allowOverlap="1" wp14:anchorId="1CE21507" wp14:editId="284D806A">
            <wp:simplePos x="0" y="0"/>
            <wp:positionH relativeFrom="margin">
              <wp:posOffset>106045</wp:posOffset>
            </wp:positionH>
            <wp:positionV relativeFrom="margin">
              <wp:posOffset>156210</wp:posOffset>
            </wp:positionV>
            <wp:extent cx="6238240" cy="874776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38240" cy="8747760"/>
                    </a:xfrm>
                    <a:prstGeom prst="rect">
                      <a:avLst/>
                    </a:prstGeom>
                    <a:noFill/>
                    <a:ln>
                      <a:noFill/>
                    </a:ln>
                  </pic:spPr>
                </pic:pic>
              </a:graphicData>
            </a:graphic>
          </wp:anchor>
        </w:drawing>
      </w:r>
      <w:r w:rsidR="00CF3FC5">
        <w:br w:type="page"/>
      </w:r>
    </w:p>
    <w:p w:rsidR="00CF3FC5" w:rsidRDefault="00CF3FC5" w:rsidP="00CF3FC5">
      <w:r>
        <w:lastRenderedPageBreak/>
        <w:br w:type="page"/>
      </w:r>
      <w:r w:rsidRPr="00810D01">
        <w:rPr>
          <w:noProof/>
          <w:lang w:val="fr-FR" w:eastAsia="fr-FR"/>
        </w:rPr>
        <w:drawing>
          <wp:anchor distT="0" distB="0" distL="114300" distR="114300" simplePos="0" relativeHeight="251663360" behindDoc="0" locked="0" layoutInCell="1" allowOverlap="1" wp14:anchorId="2CEBC003" wp14:editId="6B31F014">
            <wp:simplePos x="830580" y="723900"/>
            <wp:positionH relativeFrom="margin">
              <wp:align>center</wp:align>
            </wp:positionH>
            <wp:positionV relativeFrom="margin">
              <wp:align>center</wp:align>
            </wp:positionV>
            <wp:extent cx="6238583" cy="874800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38583" cy="8748000"/>
                    </a:xfrm>
                    <a:prstGeom prst="rect">
                      <a:avLst/>
                    </a:prstGeom>
                    <a:noFill/>
                    <a:ln>
                      <a:noFill/>
                    </a:ln>
                  </pic:spPr>
                </pic:pic>
              </a:graphicData>
            </a:graphic>
          </wp:anchor>
        </w:drawing>
      </w:r>
    </w:p>
    <w:p w:rsidR="00CF3FC5" w:rsidRDefault="00B8059D" w:rsidP="00CF3FC5">
      <w:r w:rsidRPr="00810D01">
        <w:rPr>
          <w:noProof/>
          <w:lang w:val="fr-FR" w:eastAsia="fr-FR"/>
        </w:rPr>
        <w:lastRenderedPageBreak/>
        <w:drawing>
          <wp:anchor distT="0" distB="0" distL="114300" distR="114300" simplePos="0" relativeHeight="251664384" behindDoc="0" locked="0" layoutInCell="1" allowOverlap="1" wp14:anchorId="148A5AE4" wp14:editId="1ACD8B10">
            <wp:simplePos x="0" y="0"/>
            <wp:positionH relativeFrom="margin">
              <wp:posOffset>31750</wp:posOffset>
            </wp:positionH>
            <wp:positionV relativeFrom="margin">
              <wp:posOffset>177800</wp:posOffset>
            </wp:positionV>
            <wp:extent cx="6238240" cy="874776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38240" cy="8747760"/>
                    </a:xfrm>
                    <a:prstGeom prst="rect">
                      <a:avLst/>
                    </a:prstGeom>
                    <a:noFill/>
                    <a:ln>
                      <a:noFill/>
                    </a:ln>
                  </pic:spPr>
                </pic:pic>
              </a:graphicData>
            </a:graphic>
          </wp:anchor>
        </w:drawing>
      </w:r>
      <w:r w:rsidR="00CF3FC5">
        <w:br w:type="page"/>
      </w:r>
    </w:p>
    <w:p w:rsidR="00CF3FC5" w:rsidRDefault="00B8059D" w:rsidP="00CF3FC5">
      <w:r w:rsidRPr="00810D01">
        <w:rPr>
          <w:noProof/>
          <w:lang w:val="fr-FR" w:eastAsia="fr-FR"/>
        </w:rPr>
        <w:lastRenderedPageBreak/>
        <w:drawing>
          <wp:anchor distT="0" distB="0" distL="114300" distR="114300" simplePos="0" relativeHeight="251665408" behindDoc="0" locked="0" layoutInCell="1" allowOverlap="1" wp14:anchorId="33332E66" wp14:editId="4D87DC6A">
            <wp:simplePos x="0" y="0"/>
            <wp:positionH relativeFrom="margin">
              <wp:posOffset>20320</wp:posOffset>
            </wp:positionH>
            <wp:positionV relativeFrom="margin">
              <wp:posOffset>241300</wp:posOffset>
            </wp:positionV>
            <wp:extent cx="6238240" cy="874776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38240" cy="8747760"/>
                    </a:xfrm>
                    <a:prstGeom prst="rect">
                      <a:avLst/>
                    </a:prstGeom>
                    <a:noFill/>
                    <a:ln>
                      <a:noFill/>
                    </a:ln>
                  </pic:spPr>
                </pic:pic>
              </a:graphicData>
            </a:graphic>
          </wp:anchor>
        </w:drawing>
      </w:r>
      <w:r w:rsidR="00CF3FC5">
        <w:br w:type="page"/>
      </w:r>
    </w:p>
    <w:p w:rsidR="00CF3FC5" w:rsidRDefault="00B8059D" w:rsidP="00CF3FC5">
      <w:r w:rsidRPr="00810D01">
        <w:rPr>
          <w:noProof/>
          <w:lang w:val="fr-FR" w:eastAsia="fr-FR"/>
        </w:rPr>
        <w:lastRenderedPageBreak/>
        <w:drawing>
          <wp:anchor distT="0" distB="0" distL="114300" distR="114300" simplePos="0" relativeHeight="251666432" behindDoc="0" locked="0" layoutInCell="1" allowOverlap="1" wp14:anchorId="6592693B" wp14:editId="3CDBD7C6">
            <wp:simplePos x="0" y="0"/>
            <wp:positionH relativeFrom="margin">
              <wp:posOffset>84455</wp:posOffset>
            </wp:positionH>
            <wp:positionV relativeFrom="margin">
              <wp:posOffset>198755</wp:posOffset>
            </wp:positionV>
            <wp:extent cx="6238240" cy="874776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38240" cy="8747760"/>
                    </a:xfrm>
                    <a:prstGeom prst="rect">
                      <a:avLst/>
                    </a:prstGeom>
                    <a:noFill/>
                    <a:ln>
                      <a:noFill/>
                    </a:ln>
                  </pic:spPr>
                </pic:pic>
              </a:graphicData>
            </a:graphic>
          </wp:anchor>
        </w:drawing>
      </w:r>
      <w:r w:rsidR="00CF3FC5">
        <w:br w:type="page"/>
      </w:r>
    </w:p>
    <w:p w:rsidR="00CF3FC5" w:rsidRDefault="00B8059D" w:rsidP="00CF3FC5">
      <w:r w:rsidRPr="00810D01">
        <w:rPr>
          <w:noProof/>
          <w:lang w:val="fr-FR" w:eastAsia="fr-FR"/>
        </w:rPr>
        <w:lastRenderedPageBreak/>
        <w:drawing>
          <wp:anchor distT="0" distB="0" distL="114300" distR="114300" simplePos="0" relativeHeight="251667456" behindDoc="0" locked="0" layoutInCell="1" allowOverlap="1" wp14:anchorId="7F20082B" wp14:editId="0AE64BE4">
            <wp:simplePos x="0" y="0"/>
            <wp:positionH relativeFrom="margin">
              <wp:posOffset>41275</wp:posOffset>
            </wp:positionH>
            <wp:positionV relativeFrom="margin">
              <wp:posOffset>156210</wp:posOffset>
            </wp:positionV>
            <wp:extent cx="6238240" cy="874776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38240" cy="8747760"/>
                    </a:xfrm>
                    <a:prstGeom prst="rect">
                      <a:avLst/>
                    </a:prstGeom>
                    <a:noFill/>
                    <a:ln>
                      <a:noFill/>
                    </a:ln>
                  </pic:spPr>
                </pic:pic>
              </a:graphicData>
            </a:graphic>
          </wp:anchor>
        </w:drawing>
      </w:r>
      <w:r w:rsidR="00CF3FC5">
        <w:br w:type="page"/>
      </w:r>
    </w:p>
    <w:p w:rsidR="00CF3FC5" w:rsidRDefault="00B8059D" w:rsidP="00CF3FC5">
      <w:r w:rsidRPr="00810D01">
        <w:rPr>
          <w:noProof/>
          <w:lang w:val="fr-FR" w:eastAsia="fr-FR"/>
        </w:rPr>
        <w:lastRenderedPageBreak/>
        <w:drawing>
          <wp:anchor distT="0" distB="0" distL="114300" distR="114300" simplePos="0" relativeHeight="251668480" behindDoc="0" locked="0" layoutInCell="1" allowOverlap="1" wp14:anchorId="32783303" wp14:editId="4849D68D">
            <wp:simplePos x="0" y="0"/>
            <wp:positionH relativeFrom="margin">
              <wp:posOffset>31750</wp:posOffset>
            </wp:positionH>
            <wp:positionV relativeFrom="margin">
              <wp:posOffset>177800</wp:posOffset>
            </wp:positionV>
            <wp:extent cx="6238240" cy="8747760"/>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38240" cy="8747760"/>
                    </a:xfrm>
                    <a:prstGeom prst="rect">
                      <a:avLst/>
                    </a:prstGeom>
                    <a:noFill/>
                    <a:ln>
                      <a:noFill/>
                    </a:ln>
                  </pic:spPr>
                </pic:pic>
              </a:graphicData>
            </a:graphic>
          </wp:anchor>
        </w:drawing>
      </w:r>
      <w:r w:rsidR="00CF3FC5">
        <w:br w:type="page"/>
      </w:r>
    </w:p>
    <w:p w:rsidR="00CF3FC5" w:rsidRDefault="00B8059D" w:rsidP="00CF3FC5">
      <w:r w:rsidRPr="00810D01">
        <w:rPr>
          <w:noProof/>
          <w:lang w:val="fr-FR" w:eastAsia="fr-FR"/>
        </w:rPr>
        <w:lastRenderedPageBreak/>
        <w:drawing>
          <wp:anchor distT="0" distB="0" distL="114300" distR="114300" simplePos="0" relativeHeight="251669504" behindDoc="0" locked="0" layoutInCell="1" allowOverlap="1" wp14:anchorId="4FB08E75" wp14:editId="4355F8A5">
            <wp:simplePos x="0" y="0"/>
            <wp:positionH relativeFrom="margin">
              <wp:posOffset>41275</wp:posOffset>
            </wp:positionH>
            <wp:positionV relativeFrom="margin">
              <wp:posOffset>177800</wp:posOffset>
            </wp:positionV>
            <wp:extent cx="6238240" cy="874776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38240" cy="8747760"/>
                    </a:xfrm>
                    <a:prstGeom prst="rect">
                      <a:avLst/>
                    </a:prstGeom>
                    <a:noFill/>
                    <a:ln>
                      <a:noFill/>
                    </a:ln>
                  </pic:spPr>
                </pic:pic>
              </a:graphicData>
            </a:graphic>
          </wp:anchor>
        </w:drawing>
      </w:r>
      <w:r w:rsidR="00CF3FC5">
        <w:br w:type="page"/>
      </w:r>
    </w:p>
    <w:p w:rsidR="00CF3FC5" w:rsidRDefault="00B8059D" w:rsidP="00CF3FC5">
      <w:r w:rsidRPr="00810D01">
        <w:rPr>
          <w:noProof/>
          <w:lang w:val="fr-FR" w:eastAsia="fr-FR"/>
        </w:rPr>
        <w:lastRenderedPageBreak/>
        <w:drawing>
          <wp:anchor distT="0" distB="0" distL="114300" distR="114300" simplePos="0" relativeHeight="251670528" behindDoc="0" locked="0" layoutInCell="1" allowOverlap="1" wp14:anchorId="6D770556" wp14:editId="0A14A743">
            <wp:simplePos x="0" y="0"/>
            <wp:positionH relativeFrom="margin">
              <wp:posOffset>84455</wp:posOffset>
            </wp:positionH>
            <wp:positionV relativeFrom="margin">
              <wp:posOffset>252095</wp:posOffset>
            </wp:positionV>
            <wp:extent cx="6238240" cy="8747760"/>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38240" cy="8747760"/>
                    </a:xfrm>
                    <a:prstGeom prst="rect">
                      <a:avLst/>
                    </a:prstGeom>
                    <a:noFill/>
                    <a:ln>
                      <a:noFill/>
                    </a:ln>
                  </pic:spPr>
                </pic:pic>
              </a:graphicData>
            </a:graphic>
          </wp:anchor>
        </w:drawing>
      </w:r>
      <w:r w:rsidR="00CF3FC5">
        <w:br w:type="page"/>
      </w:r>
    </w:p>
    <w:p w:rsidR="00CF3FC5" w:rsidRDefault="00B8059D" w:rsidP="00CF3FC5">
      <w:r w:rsidRPr="00810D01">
        <w:rPr>
          <w:noProof/>
          <w:lang w:val="fr-FR" w:eastAsia="fr-FR"/>
        </w:rPr>
        <w:lastRenderedPageBreak/>
        <w:drawing>
          <wp:anchor distT="0" distB="0" distL="114300" distR="114300" simplePos="0" relativeHeight="251671552" behindDoc="0" locked="0" layoutInCell="1" allowOverlap="1" wp14:anchorId="64B9AEFE" wp14:editId="427B3372">
            <wp:simplePos x="0" y="0"/>
            <wp:positionH relativeFrom="margin">
              <wp:posOffset>116205</wp:posOffset>
            </wp:positionH>
            <wp:positionV relativeFrom="margin">
              <wp:posOffset>220345</wp:posOffset>
            </wp:positionV>
            <wp:extent cx="6238240" cy="8747760"/>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38240" cy="8747760"/>
                    </a:xfrm>
                    <a:prstGeom prst="rect">
                      <a:avLst/>
                    </a:prstGeom>
                    <a:noFill/>
                    <a:ln>
                      <a:noFill/>
                    </a:ln>
                  </pic:spPr>
                </pic:pic>
              </a:graphicData>
            </a:graphic>
          </wp:anchor>
        </w:drawing>
      </w:r>
      <w:r w:rsidR="00CF3FC5">
        <w:br w:type="page"/>
      </w:r>
    </w:p>
    <w:p w:rsidR="00CF3FC5" w:rsidRDefault="00CF3FC5" w:rsidP="00CF3FC5"/>
    <w:p w:rsidR="00CF3FC5" w:rsidRDefault="00B8059D" w:rsidP="00CF3FC5">
      <w:r w:rsidRPr="00307FE1">
        <w:rPr>
          <w:noProof/>
          <w:lang w:val="fr-FR" w:eastAsia="fr-FR"/>
        </w:rPr>
        <w:drawing>
          <wp:anchor distT="0" distB="0" distL="114300" distR="114300" simplePos="0" relativeHeight="251673600" behindDoc="0" locked="0" layoutInCell="1" allowOverlap="1" wp14:anchorId="7C5972B0" wp14:editId="0E91CFD6">
            <wp:simplePos x="0" y="0"/>
            <wp:positionH relativeFrom="margin">
              <wp:posOffset>116840</wp:posOffset>
            </wp:positionH>
            <wp:positionV relativeFrom="margin">
              <wp:posOffset>209550</wp:posOffset>
            </wp:positionV>
            <wp:extent cx="6238240" cy="8747760"/>
            <wp:effectExtent l="0" t="0" r="0" b="0"/>
            <wp:wrapSquare wrapText="bothSides"/>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38240" cy="8747760"/>
                    </a:xfrm>
                    <a:prstGeom prst="rect">
                      <a:avLst/>
                    </a:prstGeom>
                    <a:noFill/>
                    <a:ln>
                      <a:noFill/>
                    </a:ln>
                  </pic:spPr>
                </pic:pic>
              </a:graphicData>
            </a:graphic>
          </wp:anchor>
        </w:drawing>
      </w:r>
      <w:r w:rsidR="00CF3FC5">
        <w:br w:type="page"/>
      </w:r>
    </w:p>
    <w:p w:rsidR="00CF3FC5" w:rsidRDefault="00CF3FC5" w:rsidP="00CF3FC5"/>
    <w:p w:rsidR="00CF3FC5" w:rsidRDefault="00B8059D" w:rsidP="00CF3FC5">
      <w:pPr>
        <w:rPr>
          <w:rFonts w:asciiTheme="minorHAnsi" w:hAnsiTheme="minorHAnsi" w:cs="Arial"/>
          <w:b/>
          <w:spacing w:val="-2"/>
        </w:rPr>
      </w:pPr>
      <w:r w:rsidRPr="00810D01">
        <w:rPr>
          <w:noProof/>
          <w:lang w:val="fr-FR" w:eastAsia="fr-FR"/>
        </w:rPr>
        <w:drawing>
          <wp:anchor distT="0" distB="0" distL="114300" distR="114300" simplePos="0" relativeHeight="251672576" behindDoc="0" locked="0" layoutInCell="1" allowOverlap="1" wp14:anchorId="7DCB84EF" wp14:editId="03B7AF60">
            <wp:simplePos x="0" y="0"/>
            <wp:positionH relativeFrom="margin">
              <wp:posOffset>31115</wp:posOffset>
            </wp:positionH>
            <wp:positionV relativeFrom="margin">
              <wp:posOffset>177800</wp:posOffset>
            </wp:positionV>
            <wp:extent cx="6238240" cy="8747760"/>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38240" cy="8747760"/>
                    </a:xfrm>
                    <a:prstGeom prst="rect">
                      <a:avLst/>
                    </a:prstGeom>
                    <a:noFill/>
                    <a:ln>
                      <a:noFill/>
                    </a:ln>
                  </pic:spPr>
                </pic:pic>
              </a:graphicData>
            </a:graphic>
          </wp:anchor>
        </w:drawing>
      </w:r>
      <w:r w:rsidR="00CF3FC5">
        <w:rPr>
          <w:rFonts w:asciiTheme="minorHAnsi" w:hAnsiTheme="minorHAnsi" w:cs="Arial"/>
          <w:b/>
          <w:spacing w:val="-2"/>
        </w:rPr>
        <w:br w:type="page"/>
      </w:r>
    </w:p>
    <w:p w:rsidR="00CF3FC5" w:rsidRPr="00B8059D" w:rsidRDefault="00CF3FC5" w:rsidP="00CF3FC5">
      <w:pPr>
        <w:tabs>
          <w:tab w:val="left" w:pos="3119"/>
        </w:tabs>
        <w:suppressAutoHyphens/>
        <w:rPr>
          <w:rFonts w:cs="Arial"/>
          <w:b/>
          <w:spacing w:val="-2"/>
        </w:rPr>
      </w:pPr>
      <w:r w:rsidRPr="00B8059D">
        <w:rPr>
          <w:rFonts w:cs="Arial"/>
          <w:b/>
          <w:spacing w:val="-2"/>
        </w:rPr>
        <w:lastRenderedPageBreak/>
        <w:t>SINGLE SALARY SPINE FOR BELGIUM</w:t>
      </w:r>
    </w:p>
    <w:p w:rsidR="00CF3FC5" w:rsidRPr="00B8059D" w:rsidRDefault="00CF3FC5" w:rsidP="00CF3FC5">
      <w:pPr>
        <w:tabs>
          <w:tab w:val="left" w:pos="3119"/>
        </w:tabs>
        <w:suppressAutoHyphens/>
        <w:rPr>
          <w:rFonts w:cs="Arial"/>
          <w:spacing w:val="-2"/>
        </w:rPr>
      </w:pPr>
    </w:p>
    <w:p w:rsidR="00CF3FC5" w:rsidRPr="00B8059D" w:rsidRDefault="00CF3FC5" w:rsidP="00CF3FC5">
      <w:pPr>
        <w:tabs>
          <w:tab w:val="left" w:pos="3119"/>
        </w:tabs>
        <w:suppressAutoHyphens/>
        <w:rPr>
          <w:rFonts w:cs="Arial"/>
          <w:spacing w:val="-2"/>
        </w:rPr>
      </w:pPr>
      <w:r w:rsidRPr="00B8059D">
        <w:rPr>
          <w:rFonts w:cs="Arial"/>
          <w:spacing w:val="-2"/>
        </w:rPr>
        <w:t>The salary scale presented below is of relevance to those organisations implementing the single salary spine which will represent an identical pay structure in all countries based on the Belgian salary scale, adjusted by purchasing power parities so as to ensure equivalent purchasing power in each duty country.</w:t>
      </w:r>
    </w:p>
    <w:p w:rsidR="00CF3FC5" w:rsidRPr="00B8059D" w:rsidRDefault="00CF3FC5" w:rsidP="00CF3FC5">
      <w:pPr>
        <w:tabs>
          <w:tab w:val="left" w:pos="3119"/>
        </w:tabs>
        <w:suppressAutoHyphens/>
        <w:rPr>
          <w:rFonts w:cs="Arial"/>
          <w:spacing w:val="-2"/>
        </w:rPr>
      </w:pPr>
    </w:p>
    <w:p w:rsidR="00CF3FC5" w:rsidRPr="00B8059D" w:rsidRDefault="00CF3FC5" w:rsidP="00CF3FC5">
      <w:pPr>
        <w:tabs>
          <w:tab w:val="left" w:pos="3119"/>
        </w:tabs>
        <w:suppressAutoHyphens/>
        <w:rPr>
          <w:rFonts w:cs="Arial"/>
          <w:spacing w:val="-2"/>
        </w:rPr>
      </w:pPr>
    </w:p>
    <w:p w:rsidR="00CF3FC5" w:rsidRPr="005473B3" w:rsidRDefault="00CF3FC5" w:rsidP="00CF3FC5">
      <w:pPr>
        <w:tabs>
          <w:tab w:val="left" w:pos="3119"/>
        </w:tabs>
        <w:suppressAutoHyphens/>
        <w:rPr>
          <w:rFonts w:asciiTheme="minorHAnsi" w:hAnsiTheme="minorHAnsi" w:cs="Arial"/>
          <w:spacing w:val="-2"/>
        </w:rPr>
      </w:pPr>
      <w:r w:rsidRPr="00CE36E3">
        <w:rPr>
          <w:noProof/>
          <w:lang w:val="fr-FR" w:eastAsia="fr-FR"/>
        </w:rPr>
        <w:drawing>
          <wp:inline distT="0" distB="0" distL="0" distR="0" wp14:anchorId="1310CD38" wp14:editId="069D8C54">
            <wp:extent cx="5904865" cy="2713805"/>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04865" cy="2713805"/>
                    </a:xfrm>
                    <a:prstGeom prst="rect">
                      <a:avLst/>
                    </a:prstGeom>
                    <a:noFill/>
                    <a:ln>
                      <a:noFill/>
                    </a:ln>
                  </pic:spPr>
                </pic:pic>
              </a:graphicData>
            </a:graphic>
          </wp:inline>
        </w:drawing>
      </w:r>
    </w:p>
    <w:p w:rsidR="00CF3FC5" w:rsidRDefault="00CF3FC5" w:rsidP="00CF3FC5">
      <w:pPr>
        <w:pStyle w:val="Para"/>
        <w:spacing w:before="0" w:after="0"/>
        <w:jc w:val="center"/>
      </w:pPr>
    </w:p>
    <w:p w:rsidR="00CF3FC5" w:rsidRDefault="00CF3FC5" w:rsidP="00CF3FC5">
      <w:pPr>
        <w:pStyle w:val="Para"/>
        <w:spacing w:before="0" w:after="0"/>
        <w:jc w:val="center"/>
      </w:pPr>
    </w:p>
    <w:p w:rsidR="00CF3FC5" w:rsidRDefault="00CF3FC5" w:rsidP="0037200F">
      <w:pPr>
        <w:rPr>
          <w:rFonts w:eastAsia="Times New Roman"/>
          <w:szCs w:val="24"/>
        </w:rPr>
      </w:pPr>
    </w:p>
    <w:p w:rsidR="00CF3FC5" w:rsidRDefault="00CF3FC5" w:rsidP="0037200F">
      <w:pPr>
        <w:rPr>
          <w:rFonts w:eastAsia="Times New Roman"/>
          <w:szCs w:val="24"/>
        </w:rPr>
      </w:pPr>
    </w:p>
    <w:p w:rsidR="00CF3FC5" w:rsidRPr="00A12DEC" w:rsidRDefault="00CF3FC5" w:rsidP="0037200F">
      <w:pPr>
        <w:rPr>
          <w:rFonts w:eastAsia="Times New Roman"/>
          <w:szCs w:val="24"/>
        </w:rPr>
      </w:pPr>
    </w:p>
    <w:sectPr w:rsidR="00CF3FC5" w:rsidRPr="00A12DEC" w:rsidSect="00A37E36">
      <w:headerReference w:type="even" r:id="rId29"/>
      <w:headerReference w:type="default" r:id="rId30"/>
      <w:footerReference w:type="default" r:id="rId31"/>
      <w:headerReference w:type="first" r:id="rId32"/>
      <w:footerReference w:type="first" r:id="rId33"/>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BD2" w:rsidRDefault="00732BD2" w:rsidP="00FD6043">
      <w:r>
        <w:separator/>
      </w:r>
    </w:p>
  </w:endnote>
  <w:endnote w:type="continuationSeparator" w:id="0">
    <w:p w:rsidR="00732BD2" w:rsidRDefault="00732BD2"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auto"/>
    <w:pitch w:val="variable"/>
    <w:sig w:usb0="00000001" w:usb1="50006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6B8" w:rsidRPr="00113EB0" w:rsidRDefault="001E7C29" w:rsidP="00E15639">
    <w:pPr>
      <w:pStyle w:val="Footer"/>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BD2" w:rsidRDefault="00732BD2" w:rsidP="00FD6043">
      <w:r>
        <w:separator/>
      </w:r>
    </w:p>
  </w:footnote>
  <w:footnote w:type="continuationSeparator" w:id="0">
    <w:p w:rsidR="00732BD2" w:rsidRDefault="00732BD2" w:rsidP="00FD6043">
      <w:r>
        <w:continuationSeparator/>
      </w:r>
    </w:p>
  </w:footnote>
  <w:footnote w:id="1">
    <w:p w:rsidR="003D6AC2" w:rsidRPr="00795EB8" w:rsidRDefault="00853C90" w:rsidP="003D6AC2">
      <w:pPr>
        <w:pStyle w:val="FootnoteText"/>
        <w:rPr>
          <w:szCs w:val="16"/>
        </w:rPr>
      </w:pPr>
      <w:r w:rsidRPr="00795EB8">
        <w:rPr>
          <w:rStyle w:val="FootnoteReference"/>
        </w:rPr>
        <w:footnoteRef/>
      </w:r>
      <w:r w:rsidRPr="00795EB8">
        <w:t xml:space="preserve"> </w:t>
      </w:r>
      <w:r w:rsidR="003D6AC2" w:rsidRPr="00795EB8">
        <w:rPr>
          <w:szCs w:val="16"/>
        </w:rPr>
        <w:t>This document has been classified restricted until examination by the Committee of Ministers.</w:t>
      </w:r>
    </w:p>
  </w:footnote>
  <w:footnote w:id="2">
    <w:p w:rsidR="009831F2" w:rsidRPr="009831F2" w:rsidRDefault="009831F2">
      <w:pPr>
        <w:pStyle w:val="FootnoteText"/>
        <w:rPr>
          <w:lang w:val="fr-FR"/>
        </w:rPr>
      </w:pPr>
      <w:r>
        <w:rPr>
          <w:rStyle w:val="FootnoteReference"/>
        </w:rPr>
        <w:footnoteRef/>
      </w:r>
      <w:r w:rsidRPr="00E77317">
        <w:rPr>
          <w:lang w:val="fr-FR"/>
        </w:rPr>
        <w:t xml:space="preserve"> </w:t>
      </w:r>
      <w:r>
        <w:rPr>
          <w:lang w:val="fr-FR"/>
        </w:rPr>
        <w:t xml:space="preserve">Cf. document </w:t>
      </w:r>
      <w:bookmarkStart w:id="1" w:name="_ML_000000000002_VALID"/>
      <w:r w:rsidR="00C56542" w:rsidRPr="00C56542">
        <w:rPr>
          <w:lang w:val="fr-FR"/>
        </w:rPr>
        <w:fldChar w:fldCharType="begin"/>
      </w:r>
      <w:r w:rsidR="00C56542" w:rsidRPr="00C56542">
        <w:rPr>
          <w:lang w:val="fr-FR"/>
        </w:rPr>
        <w:instrText xml:space="preserve"> HYPERLINK "https://search.coe.int/cm/Pages/result_details.aspx?Reference=CM(2016)128" \o "Co-ordinating Committee on Remuneration (CCR) - Remuneration adjustment method for staff of the Co-ordinated Organisations - 244th CCR report [1268 meeting]" </w:instrText>
      </w:r>
      <w:r w:rsidR="00C56542" w:rsidRPr="00C56542">
        <w:rPr>
          <w:lang w:val="fr-FR"/>
        </w:rPr>
        <w:fldChar w:fldCharType="separate"/>
      </w:r>
      <w:bookmarkEnd w:id="1"/>
      <w:r w:rsidR="00C56542" w:rsidRPr="00C56542">
        <w:rPr>
          <w:rStyle w:val="Hyperlink"/>
          <w:lang w:val="fr-FR"/>
        </w:rPr>
        <w:t>CM(2016)128</w:t>
      </w:r>
      <w:r w:rsidR="00C56542" w:rsidRPr="00C56542">
        <w:rPr>
          <w:lang w:val="fr-FR"/>
        </w:rPr>
        <w:fldChar w:fldCharType="end"/>
      </w:r>
      <w:r>
        <w:rPr>
          <w:lang w:val="fr-FR"/>
        </w:rPr>
        <w:t>.</w:t>
      </w:r>
    </w:p>
  </w:footnote>
  <w:footnote w:id="3">
    <w:p w:rsidR="009831F2" w:rsidRPr="009831F2" w:rsidRDefault="009831F2">
      <w:pPr>
        <w:pStyle w:val="FootnoteText"/>
        <w:rPr>
          <w:lang w:val="fr-FR"/>
        </w:rPr>
      </w:pPr>
      <w:r>
        <w:rPr>
          <w:rStyle w:val="FootnoteReference"/>
        </w:rPr>
        <w:footnoteRef/>
      </w:r>
      <w:r w:rsidRPr="00E77317">
        <w:rPr>
          <w:lang w:val="fr-FR"/>
        </w:rPr>
        <w:t xml:space="preserve"> </w:t>
      </w:r>
      <w:r>
        <w:rPr>
          <w:lang w:val="fr-FR"/>
        </w:rPr>
        <w:t xml:space="preserve">Cf. document </w:t>
      </w:r>
      <w:bookmarkStart w:id="2" w:name="_ML_000000000003_VALID"/>
      <w:r w:rsidR="00C56542" w:rsidRPr="00C56542">
        <w:rPr>
          <w:lang w:val="fr-FR"/>
        </w:rPr>
        <w:fldChar w:fldCharType="begin"/>
      </w:r>
      <w:r w:rsidR="00C56542" w:rsidRPr="00C56542">
        <w:rPr>
          <w:lang w:val="fr-FR"/>
        </w:rPr>
        <w:instrText xml:space="preserve"> HYPERLINK "https://search.coe.int/cm/Pages/result_details.aspx?Reference=CM(2017)120" \o "Co-ordinating Committee on Remuneration (CCR) - Remuneration adjustment method for staff of the Co-ordinated Organisations – Addendum to the 244th CCR report [1300 meeting]" </w:instrText>
      </w:r>
      <w:r w:rsidR="00C56542" w:rsidRPr="00C56542">
        <w:rPr>
          <w:lang w:val="fr-FR"/>
        </w:rPr>
        <w:fldChar w:fldCharType="separate"/>
      </w:r>
      <w:bookmarkEnd w:id="2"/>
      <w:r w:rsidR="00C56542" w:rsidRPr="00C56542">
        <w:rPr>
          <w:rStyle w:val="Hyperlink"/>
          <w:lang w:val="fr-FR"/>
        </w:rPr>
        <w:t>CM(2017)120</w:t>
      </w:r>
      <w:r w:rsidR="00C56542" w:rsidRPr="00C56542">
        <w:rPr>
          <w:lang w:val="fr-FR"/>
        </w:rPr>
        <w:fldChar w:fldCharType="end"/>
      </w:r>
      <w:r>
        <w:rPr>
          <w:lang w:val="fr-FR"/>
        </w:rPr>
        <w:t>.</w:t>
      </w:r>
    </w:p>
  </w:footnote>
  <w:footnote w:id="4">
    <w:p w:rsidR="009831F2" w:rsidRPr="009831F2" w:rsidRDefault="009831F2">
      <w:pPr>
        <w:pStyle w:val="FootnoteText"/>
        <w:rPr>
          <w:lang w:val="en-US"/>
        </w:rPr>
      </w:pPr>
      <w:r>
        <w:rPr>
          <w:rStyle w:val="FootnoteReference"/>
        </w:rPr>
        <w:footnoteRef/>
      </w:r>
      <w:r>
        <w:t xml:space="preserve"> </w:t>
      </w:r>
      <w:r w:rsidRPr="009831F2">
        <w:rPr>
          <w:lang w:val="en-US"/>
        </w:rPr>
        <w:t xml:space="preserve">Cf. document </w:t>
      </w:r>
      <w:bookmarkStart w:id="3" w:name="_ML_000000000004_VALID"/>
      <w:r w:rsidR="00C56542" w:rsidRPr="00C56542">
        <w:rPr>
          <w:lang w:val="en-US"/>
        </w:rPr>
        <w:fldChar w:fldCharType="begin"/>
      </w:r>
      <w:r w:rsidR="00C56542" w:rsidRPr="00C56542">
        <w:rPr>
          <w:lang w:val="en-US"/>
        </w:rPr>
        <w:instrText xml:space="preserve"> HYPERLINK "https://search.coe.int/cm/Pages/result_details.aspx?Reference=CM(2018)93" \o "Co-ordinating Committee on Remuneration (CCR) - a. Special adjustment of remuneration at 1 March 2018 for Turkey – 254th Report [1321 meeting] / Comité de coordination sur les rémunérations (CCR) - a. Ajustement exceptionnel des rémunérations au 1er mars 2018 pour la Turquie – 254e Rapport [1321e réunion]" </w:instrText>
      </w:r>
      <w:r w:rsidR="00C56542" w:rsidRPr="00C56542">
        <w:rPr>
          <w:lang w:val="en-US"/>
        </w:rPr>
        <w:fldChar w:fldCharType="separate"/>
      </w:r>
      <w:bookmarkEnd w:id="3"/>
      <w:proofErr w:type="gramStart"/>
      <w:r w:rsidR="00C56542" w:rsidRPr="00C56542">
        <w:rPr>
          <w:rStyle w:val="Hyperlink"/>
          <w:lang w:val="en-US"/>
        </w:rPr>
        <w:t>CM(</w:t>
      </w:r>
      <w:proofErr w:type="gramEnd"/>
      <w:r w:rsidR="00C56542" w:rsidRPr="00C56542">
        <w:rPr>
          <w:rStyle w:val="Hyperlink"/>
          <w:lang w:val="en-US"/>
        </w:rPr>
        <w:t>2018)93</w:t>
      </w:r>
      <w:r w:rsidR="00C56542" w:rsidRPr="00C56542">
        <w:rPr>
          <w:lang w:val="en-US"/>
        </w:rPr>
        <w:fldChar w:fldCharType="end"/>
      </w:r>
      <w:r w:rsidRPr="009831F2">
        <w:rPr>
          <w:lang w:val="en-US"/>
        </w:rPr>
        <w:t xml:space="preserve">, as adopted </w:t>
      </w:r>
      <w:r>
        <w:rPr>
          <w:lang w:val="en-US"/>
        </w:rPr>
        <w:t>by the Deputies at their 1321</w:t>
      </w:r>
      <w:r w:rsidRPr="009831F2">
        <w:rPr>
          <w:vertAlign w:val="superscript"/>
          <w:lang w:val="en-US"/>
        </w:rPr>
        <w:t>st</w:t>
      </w:r>
      <w:r>
        <w:rPr>
          <w:lang w:val="en-US"/>
        </w:rPr>
        <w:t> </w:t>
      </w:r>
      <w:r w:rsidRPr="009831F2">
        <w:rPr>
          <w:lang w:val="en-US"/>
        </w:rPr>
        <w:t>meeting on 4 July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57" w:rsidRPr="00E54322" w:rsidRDefault="002660DB" w:rsidP="00E54322">
    <w:pPr>
      <w:pStyle w:val="Header"/>
    </w:pPr>
    <w:proofErr w:type="gramStart"/>
    <w:r w:rsidRPr="00E54322">
      <w:t>CM(</w:t>
    </w:r>
    <w:proofErr w:type="gramEnd"/>
    <w:r w:rsidRPr="00E54322">
      <w:t>201</w:t>
    </w:r>
    <w:r w:rsidR="0095400D">
      <w:t>8</w:t>
    </w:r>
    <w:r w:rsidRPr="00E54322">
      <w:t>)</w:t>
    </w:r>
    <w:r w:rsidR="0095400D">
      <w:t>137</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A103B0">
      <w:rPr>
        <w:noProof/>
      </w:rPr>
      <w:t>24</w:t>
    </w:r>
    <w:r w:rsidR="00E15639" w:rsidRPr="00E54322">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57" w:rsidRPr="00E54322" w:rsidRDefault="00E15639" w:rsidP="00E54322">
    <w:pPr>
      <w:pStyle w:val="Header"/>
    </w:pPr>
    <w:r w:rsidRPr="00E54322">
      <w:tab/>
    </w:r>
    <w:r w:rsidRPr="00E54322">
      <w:fldChar w:fldCharType="begin"/>
    </w:r>
    <w:r w:rsidRPr="00E54322">
      <w:instrText xml:space="preserve"> PAGE  \* Arabic  \* MERGEFORMAT </w:instrText>
    </w:r>
    <w:r w:rsidRPr="00E54322">
      <w:fldChar w:fldCharType="separate"/>
    </w:r>
    <w:r w:rsidR="00A103B0">
      <w:rPr>
        <w:noProof/>
      </w:rPr>
      <w:t>23</w:t>
    </w:r>
    <w:r w:rsidRPr="00E54322">
      <w:fldChar w:fldCharType="end"/>
    </w:r>
    <w:r w:rsidR="00E475F9" w:rsidRPr="00E54322">
      <w:tab/>
    </w:r>
    <w:proofErr w:type="gramStart"/>
    <w:r w:rsidR="002660DB" w:rsidRPr="00E54322">
      <w:t>CM(</w:t>
    </w:r>
    <w:proofErr w:type="gramEnd"/>
    <w:r w:rsidR="002660DB" w:rsidRPr="00E54322">
      <w:t>201</w:t>
    </w:r>
    <w:r w:rsidR="0095400D">
      <w:t>8</w:t>
    </w:r>
    <w:r w:rsidR="002660DB" w:rsidRPr="00E54322">
      <w:t>)</w:t>
    </w:r>
    <w:r w:rsidR="0095400D">
      <w:t>137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BDB" w:rsidRDefault="00877E5C" w:rsidP="00123CDD">
    <w:pPr>
      <w:pStyle w:val="Header"/>
      <w:spacing w:after="2280"/>
    </w:pPr>
    <w:r>
      <w:rPr>
        <w:noProof/>
        <w:lang w:val="fr-FR" w:eastAsia="fr-FR"/>
      </w:rPr>
      <w:drawing>
        <wp:anchor distT="0" distB="0" distL="114300" distR="114300" simplePos="0" relativeHeight="251657728" behindDoc="1" locked="0" layoutInCell="0" allowOverlap="0" wp14:anchorId="40842262" wp14:editId="2827E29E">
          <wp:simplePos x="0" y="0"/>
          <wp:positionH relativeFrom="page">
            <wp:posOffset>309880</wp:posOffset>
          </wp:positionH>
          <wp:positionV relativeFrom="page">
            <wp:posOffset>17780</wp:posOffset>
          </wp:positionV>
          <wp:extent cx="7581900" cy="10724515"/>
          <wp:effectExtent l="0" t="0" r="0" b="635"/>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724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BD2"/>
    <w:rsid w:val="0001238D"/>
    <w:rsid w:val="00031BED"/>
    <w:rsid w:val="00035FDF"/>
    <w:rsid w:val="00071EA7"/>
    <w:rsid w:val="00072CBD"/>
    <w:rsid w:val="00082CEE"/>
    <w:rsid w:val="000A307B"/>
    <w:rsid w:val="000B6EE8"/>
    <w:rsid w:val="000C52A6"/>
    <w:rsid w:val="000E50A4"/>
    <w:rsid w:val="000F4CF2"/>
    <w:rsid w:val="000F58C3"/>
    <w:rsid w:val="000F5ADA"/>
    <w:rsid w:val="00106141"/>
    <w:rsid w:val="00110729"/>
    <w:rsid w:val="00113EB0"/>
    <w:rsid w:val="00123CDD"/>
    <w:rsid w:val="00134D9A"/>
    <w:rsid w:val="00135BDB"/>
    <w:rsid w:val="00140FC8"/>
    <w:rsid w:val="0014266D"/>
    <w:rsid w:val="00147EF4"/>
    <w:rsid w:val="00153BB3"/>
    <w:rsid w:val="00156DC1"/>
    <w:rsid w:val="00160B03"/>
    <w:rsid w:val="00171115"/>
    <w:rsid w:val="00181ED9"/>
    <w:rsid w:val="001A6076"/>
    <w:rsid w:val="001B7E0B"/>
    <w:rsid w:val="001E7C29"/>
    <w:rsid w:val="001F297D"/>
    <w:rsid w:val="001F4F04"/>
    <w:rsid w:val="00214299"/>
    <w:rsid w:val="002250DD"/>
    <w:rsid w:val="0023437D"/>
    <w:rsid w:val="00242ABB"/>
    <w:rsid w:val="00251353"/>
    <w:rsid w:val="00262B36"/>
    <w:rsid w:val="00265917"/>
    <w:rsid w:val="002660DB"/>
    <w:rsid w:val="002861FB"/>
    <w:rsid w:val="00293EE6"/>
    <w:rsid w:val="002C0872"/>
    <w:rsid w:val="002C20BA"/>
    <w:rsid w:val="002C43B5"/>
    <w:rsid w:val="002C4704"/>
    <w:rsid w:val="002D0655"/>
    <w:rsid w:val="002D11B8"/>
    <w:rsid w:val="002E4089"/>
    <w:rsid w:val="002F3006"/>
    <w:rsid w:val="002F405C"/>
    <w:rsid w:val="002F6BB7"/>
    <w:rsid w:val="00303712"/>
    <w:rsid w:val="003354C4"/>
    <w:rsid w:val="00335CAF"/>
    <w:rsid w:val="003364D1"/>
    <w:rsid w:val="0037200F"/>
    <w:rsid w:val="00373957"/>
    <w:rsid w:val="00381C50"/>
    <w:rsid w:val="00385587"/>
    <w:rsid w:val="00392D1D"/>
    <w:rsid w:val="003A5509"/>
    <w:rsid w:val="003B2C8C"/>
    <w:rsid w:val="003B345B"/>
    <w:rsid w:val="003D3B17"/>
    <w:rsid w:val="003D48AE"/>
    <w:rsid w:val="003D6AC2"/>
    <w:rsid w:val="003F3D4B"/>
    <w:rsid w:val="0040027C"/>
    <w:rsid w:val="00400868"/>
    <w:rsid w:val="004256CB"/>
    <w:rsid w:val="004329B7"/>
    <w:rsid w:val="00443709"/>
    <w:rsid w:val="00447D22"/>
    <w:rsid w:val="004553F6"/>
    <w:rsid w:val="00480D8B"/>
    <w:rsid w:val="004A37E1"/>
    <w:rsid w:val="004C0C2F"/>
    <w:rsid w:val="004C11B3"/>
    <w:rsid w:val="0050115D"/>
    <w:rsid w:val="0054041B"/>
    <w:rsid w:val="00550B6C"/>
    <w:rsid w:val="00574663"/>
    <w:rsid w:val="005B1FA1"/>
    <w:rsid w:val="005B3604"/>
    <w:rsid w:val="005C73BB"/>
    <w:rsid w:val="005D7CDF"/>
    <w:rsid w:val="005F093B"/>
    <w:rsid w:val="005F3DC6"/>
    <w:rsid w:val="00614982"/>
    <w:rsid w:val="00631491"/>
    <w:rsid w:val="00643231"/>
    <w:rsid w:val="00643C3F"/>
    <w:rsid w:val="00644AD3"/>
    <w:rsid w:val="006455FA"/>
    <w:rsid w:val="00660638"/>
    <w:rsid w:val="00671684"/>
    <w:rsid w:val="00671EA2"/>
    <w:rsid w:val="006827E4"/>
    <w:rsid w:val="006908C5"/>
    <w:rsid w:val="006F0318"/>
    <w:rsid w:val="006F6B48"/>
    <w:rsid w:val="00712E65"/>
    <w:rsid w:val="007150DE"/>
    <w:rsid w:val="00721866"/>
    <w:rsid w:val="00732BD2"/>
    <w:rsid w:val="00735569"/>
    <w:rsid w:val="007541C7"/>
    <w:rsid w:val="00761627"/>
    <w:rsid w:val="00773CFE"/>
    <w:rsid w:val="00775C79"/>
    <w:rsid w:val="00795EB8"/>
    <w:rsid w:val="007A543D"/>
    <w:rsid w:val="007B3DD0"/>
    <w:rsid w:val="007C0AD1"/>
    <w:rsid w:val="007D7B20"/>
    <w:rsid w:val="007E168C"/>
    <w:rsid w:val="00800A19"/>
    <w:rsid w:val="008042E6"/>
    <w:rsid w:val="00805F04"/>
    <w:rsid w:val="00810D5A"/>
    <w:rsid w:val="00814AA2"/>
    <w:rsid w:val="0082394F"/>
    <w:rsid w:val="00853C90"/>
    <w:rsid w:val="008575F2"/>
    <w:rsid w:val="00857F73"/>
    <w:rsid w:val="0087380A"/>
    <w:rsid w:val="00877E5C"/>
    <w:rsid w:val="008B07D4"/>
    <w:rsid w:val="008C12CC"/>
    <w:rsid w:val="00916BF5"/>
    <w:rsid w:val="009215B8"/>
    <w:rsid w:val="00923554"/>
    <w:rsid w:val="009270C4"/>
    <w:rsid w:val="0094008F"/>
    <w:rsid w:val="00940F14"/>
    <w:rsid w:val="009432D0"/>
    <w:rsid w:val="00950D67"/>
    <w:rsid w:val="009527D7"/>
    <w:rsid w:val="0095400D"/>
    <w:rsid w:val="00955512"/>
    <w:rsid w:val="00963962"/>
    <w:rsid w:val="00971F1F"/>
    <w:rsid w:val="00974C41"/>
    <w:rsid w:val="009831F2"/>
    <w:rsid w:val="009B3AB7"/>
    <w:rsid w:val="009C5258"/>
    <w:rsid w:val="009D28F3"/>
    <w:rsid w:val="00A103B0"/>
    <w:rsid w:val="00A12DEC"/>
    <w:rsid w:val="00A22D53"/>
    <w:rsid w:val="00A37E36"/>
    <w:rsid w:val="00A474E5"/>
    <w:rsid w:val="00A842D4"/>
    <w:rsid w:val="00A93CA3"/>
    <w:rsid w:val="00AB6552"/>
    <w:rsid w:val="00AB67F8"/>
    <w:rsid w:val="00AB7727"/>
    <w:rsid w:val="00AC30A2"/>
    <w:rsid w:val="00AC73AA"/>
    <w:rsid w:val="00AE76B8"/>
    <w:rsid w:val="00B06133"/>
    <w:rsid w:val="00B129D8"/>
    <w:rsid w:val="00B227AE"/>
    <w:rsid w:val="00B41B03"/>
    <w:rsid w:val="00B41EC3"/>
    <w:rsid w:val="00B63F08"/>
    <w:rsid w:val="00B8059D"/>
    <w:rsid w:val="00B81BAC"/>
    <w:rsid w:val="00B849E0"/>
    <w:rsid w:val="00B90246"/>
    <w:rsid w:val="00B920E4"/>
    <w:rsid w:val="00BA79A3"/>
    <w:rsid w:val="00BB7DCE"/>
    <w:rsid w:val="00BD25C0"/>
    <w:rsid w:val="00BF78B3"/>
    <w:rsid w:val="00C049EE"/>
    <w:rsid w:val="00C109FD"/>
    <w:rsid w:val="00C14C2C"/>
    <w:rsid w:val="00C409C2"/>
    <w:rsid w:val="00C56542"/>
    <w:rsid w:val="00C74E6F"/>
    <w:rsid w:val="00C8348A"/>
    <w:rsid w:val="00C92F89"/>
    <w:rsid w:val="00CC39DC"/>
    <w:rsid w:val="00CE1FF8"/>
    <w:rsid w:val="00CE2B68"/>
    <w:rsid w:val="00CE4890"/>
    <w:rsid w:val="00CE6FD2"/>
    <w:rsid w:val="00CF3FC5"/>
    <w:rsid w:val="00D0182E"/>
    <w:rsid w:val="00D0265B"/>
    <w:rsid w:val="00D24A57"/>
    <w:rsid w:val="00D53526"/>
    <w:rsid w:val="00D554E6"/>
    <w:rsid w:val="00D70628"/>
    <w:rsid w:val="00DA7643"/>
    <w:rsid w:val="00DB029C"/>
    <w:rsid w:val="00DC162E"/>
    <w:rsid w:val="00DC4A39"/>
    <w:rsid w:val="00DE0A21"/>
    <w:rsid w:val="00DF6796"/>
    <w:rsid w:val="00E125C6"/>
    <w:rsid w:val="00E15639"/>
    <w:rsid w:val="00E173B5"/>
    <w:rsid w:val="00E24C57"/>
    <w:rsid w:val="00E457C3"/>
    <w:rsid w:val="00E475F9"/>
    <w:rsid w:val="00E50974"/>
    <w:rsid w:val="00E54322"/>
    <w:rsid w:val="00E77317"/>
    <w:rsid w:val="00E86611"/>
    <w:rsid w:val="00E940BF"/>
    <w:rsid w:val="00EA643A"/>
    <w:rsid w:val="00EE34E3"/>
    <w:rsid w:val="00F01885"/>
    <w:rsid w:val="00F168A4"/>
    <w:rsid w:val="00F2380B"/>
    <w:rsid w:val="00F24713"/>
    <w:rsid w:val="00F40699"/>
    <w:rsid w:val="00F433D6"/>
    <w:rsid w:val="00F61D34"/>
    <w:rsid w:val="00F76BBD"/>
    <w:rsid w:val="00F96689"/>
    <w:rsid w:val="00FD604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unhideWhenUsed/>
    <w:rsid w:val="009C5258"/>
    <w:rPr>
      <w:sz w:val="16"/>
      <w:szCs w:val="20"/>
    </w:rPr>
  </w:style>
  <w:style w:type="character" w:customStyle="1" w:styleId="FootnoteTextChar">
    <w:name w:val="Footnote Text Char"/>
    <w:link w:val="FootnoteText"/>
    <w:uiPriority w:val="99"/>
    <w:rsid w:val="009C5258"/>
    <w:rPr>
      <w:rFonts w:ascii="Arial" w:hAnsi="Arial"/>
      <w:sz w:val="16"/>
      <w:lang w:val="fr-FR" w:eastAsia="en-US"/>
    </w:rPr>
  </w:style>
  <w:style w:type="character" w:styleId="FootnoteReference">
    <w:name w:val="footnote reference"/>
    <w:uiPriority w:val="99"/>
    <w:semiHidden/>
    <w:unhideWhenUsed/>
    <w:rsid w:val="00853C90"/>
    <w:rPr>
      <w:vertAlign w:val="superscript"/>
    </w:rPr>
  </w:style>
  <w:style w:type="paragraph" w:customStyle="1" w:styleId="Para">
    <w:name w:val="Para"/>
    <w:basedOn w:val="Normal"/>
    <w:link w:val="ParaChar"/>
    <w:uiPriority w:val="3"/>
    <w:qFormat/>
    <w:rsid w:val="00CF3FC5"/>
    <w:pPr>
      <w:spacing w:before="120" w:after="120"/>
      <w:ind w:left="680" w:right="680"/>
      <w:jc w:val="both"/>
    </w:pPr>
    <w:rPr>
      <w:rFonts w:ascii="Times New Roman" w:eastAsia="SimSun" w:hAnsi="Times New Roman"/>
      <w:sz w:val="22"/>
      <w:szCs w:val="20"/>
    </w:rPr>
  </w:style>
  <w:style w:type="character" w:customStyle="1" w:styleId="ParaChar">
    <w:name w:val="Para Char"/>
    <w:basedOn w:val="DefaultParagraphFont"/>
    <w:link w:val="Para"/>
    <w:uiPriority w:val="3"/>
    <w:rsid w:val="00CF3FC5"/>
    <w:rPr>
      <w:rFonts w:ascii="Times New Roman" w:eastAsia="SimSun" w:hAnsi="Times New Roman"/>
      <w:sz w:val="22"/>
      <w:lang w:eastAsia="en-US"/>
    </w:rPr>
  </w:style>
  <w:style w:type="paragraph" w:styleId="ListParagraph">
    <w:name w:val="List Paragraph"/>
    <w:basedOn w:val="Normal"/>
    <w:uiPriority w:val="34"/>
    <w:qFormat/>
    <w:rsid w:val="00CF3F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unhideWhenUsed/>
    <w:rsid w:val="009C5258"/>
    <w:rPr>
      <w:sz w:val="16"/>
      <w:szCs w:val="20"/>
    </w:rPr>
  </w:style>
  <w:style w:type="character" w:customStyle="1" w:styleId="FootnoteTextChar">
    <w:name w:val="Footnote Text Char"/>
    <w:link w:val="FootnoteText"/>
    <w:uiPriority w:val="99"/>
    <w:rsid w:val="009C5258"/>
    <w:rPr>
      <w:rFonts w:ascii="Arial" w:hAnsi="Arial"/>
      <w:sz w:val="16"/>
      <w:lang w:val="fr-FR" w:eastAsia="en-US"/>
    </w:rPr>
  </w:style>
  <w:style w:type="character" w:styleId="FootnoteReference">
    <w:name w:val="footnote reference"/>
    <w:uiPriority w:val="99"/>
    <w:semiHidden/>
    <w:unhideWhenUsed/>
    <w:rsid w:val="00853C90"/>
    <w:rPr>
      <w:vertAlign w:val="superscript"/>
    </w:rPr>
  </w:style>
  <w:style w:type="paragraph" w:customStyle="1" w:styleId="Para">
    <w:name w:val="Para"/>
    <w:basedOn w:val="Normal"/>
    <w:link w:val="ParaChar"/>
    <w:uiPriority w:val="3"/>
    <w:qFormat/>
    <w:rsid w:val="00CF3FC5"/>
    <w:pPr>
      <w:spacing w:before="120" w:after="120"/>
      <w:ind w:left="680" w:right="680"/>
      <w:jc w:val="both"/>
    </w:pPr>
    <w:rPr>
      <w:rFonts w:ascii="Times New Roman" w:eastAsia="SimSun" w:hAnsi="Times New Roman"/>
      <w:sz w:val="22"/>
      <w:szCs w:val="20"/>
    </w:rPr>
  </w:style>
  <w:style w:type="character" w:customStyle="1" w:styleId="ParaChar">
    <w:name w:val="Para Char"/>
    <w:basedOn w:val="DefaultParagraphFont"/>
    <w:link w:val="Para"/>
    <w:uiPriority w:val="3"/>
    <w:rsid w:val="00CF3FC5"/>
    <w:rPr>
      <w:rFonts w:ascii="Times New Roman" w:eastAsia="SimSun" w:hAnsi="Times New Roman"/>
      <w:sz w:val="22"/>
      <w:lang w:eastAsia="en-US"/>
    </w:rPr>
  </w:style>
  <w:style w:type="paragraph" w:styleId="ListParagraph">
    <w:name w:val="List Paragraph"/>
    <w:basedOn w:val="Normal"/>
    <w:uiPriority w:val="34"/>
    <w:qFormat/>
    <w:rsid w:val="00CF3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microsoft.com/office/2007/relationships/stylesWithEffects" Target="stylesWithEffects.xml"/><Relationship Id="rId21" Type="http://schemas.openxmlformats.org/officeDocument/2006/relationships/image" Target="media/image14.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header" Target="header2.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BCEF282-4F6E-4853-B3D9-D5C82B352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24</Pages>
  <Words>998</Words>
  <Characters>5494</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6480</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KAMOLNAVIN Kamoljit</dc:creator>
  <cp:lastModifiedBy>KAMOLNAVIN Kamoljit</cp:lastModifiedBy>
  <cp:revision>12</cp:revision>
  <cp:lastPrinted>2018-10-23T08:08:00Z</cp:lastPrinted>
  <dcterms:created xsi:type="dcterms:W3CDTF">2018-10-22T06:25:00Z</dcterms:created>
  <dcterms:modified xsi:type="dcterms:W3CDTF">2018-10-31T10:39:00Z</dcterms:modified>
</cp:coreProperties>
</file>