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rsidTr="00491E67">
        <w:trPr>
          <w:trHeight w:val="737"/>
        </w:trPr>
        <w:tc>
          <w:tcPr>
            <w:tcW w:w="1250" w:type="pct"/>
            <w:shd w:val="clear" w:color="auto" w:fill="auto"/>
            <w:vAlign w:val="center"/>
          </w:tcPr>
          <w:p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rsidR="002D11B8" w:rsidRPr="009C5258" w:rsidRDefault="005D1278" w:rsidP="00491E67">
            <w:pPr>
              <w:ind w:left="-108"/>
              <w:jc w:val="center"/>
              <w:rPr>
                <w:rFonts w:ascii="Arial Narrow" w:hAnsi="Arial Narrow" w:cs="Arial"/>
                <w:szCs w:val="20"/>
              </w:rPr>
            </w:pPr>
            <w:r w:rsidRPr="005D1278">
              <w:rPr>
                <w:rFonts w:ascii="Arial Narrow" w:hAnsi="Arial Narrow" w:cs="Calibri"/>
                <w:szCs w:val="20"/>
              </w:rPr>
              <w:t>Notes sur l'ordre du jour</w:t>
            </w:r>
          </w:p>
        </w:tc>
        <w:tc>
          <w:tcPr>
            <w:tcW w:w="1250" w:type="pct"/>
            <w:shd w:val="clear" w:color="auto" w:fill="auto"/>
            <w:vAlign w:val="center"/>
          </w:tcPr>
          <w:p w:rsidR="002D11B8" w:rsidRPr="00577F30" w:rsidRDefault="00577F30" w:rsidP="000A082F">
            <w:pPr>
              <w:ind w:left="-40"/>
              <w:jc w:val="center"/>
              <w:rPr>
                <w:rFonts w:ascii="Arial Narrow" w:hAnsi="Arial Narrow" w:cs="Arial"/>
                <w:b/>
                <w:sz w:val="24"/>
                <w:szCs w:val="24"/>
              </w:rPr>
            </w:pPr>
            <w:r w:rsidRPr="00577F30">
              <w:rPr>
                <w:rFonts w:ascii="Arial Narrow" w:hAnsi="Arial Narrow" w:cs="Calibri"/>
                <w:b/>
                <w:sz w:val="24"/>
                <w:szCs w:val="24"/>
              </w:rPr>
              <w:t>CM/Notes/1288/H46-36</w:t>
            </w:r>
          </w:p>
        </w:tc>
        <w:tc>
          <w:tcPr>
            <w:tcW w:w="1250" w:type="pct"/>
            <w:shd w:val="clear" w:color="auto" w:fill="auto"/>
            <w:vAlign w:val="center"/>
          </w:tcPr>
          <w:p w:rsidR="002D11B8" w:rsidRPr="00F96689" w:rsidRDefault="00A43748" w:rsidP="007E0F73">
            <w:pPr>
              <w:jc w:val="right"/>
              <w:rPr>
                <w:rFonts w:ascii="Arial Narrow" w:hAnsi="Arial Narrow" w:cs="Arial"/>
                <w:sz w:val="16"/>
                <w:szCs w:val="16"/>
              </w:rPr>
            </w:pPr>
            <w:r>
              <w:rPr>
                <w:rFonts w:ascii="Arial Narrow" w:hAnsi="Arial Narrow" w:cs="Calibri"/>
                <w:sz w:val="16"/>
                <w:szCs w:val="16"/>
              </w:rPr>
              <w:t xml:space="preserve">7 </w:t>
            </w:r>
            <w:r w:rsidR="007E0F73">
              <w:rPr>
                <w:rFonts w:ascii="Arial Narrow" w:hAnsi="Arial Narrow" w:cs="Calibri"/>
                <w:sz w:val="16"/>
                <w:szCs w:val="16"/>
              </w:rPr>
              <w:t>juin</w:t>
            </w:r>
            <w:r w:rsidR="00B7223C">
              <w:rPr>
                <w:rFonts w:ascii="Arial Narrow" w:hAnsi="Arial Narrow" w:cs="Calibri"/>
                <w:sz w:val="16"/>
                <w:szCs w:val="16"/>
              </w:rPr>
              <w:t xml:space="preserve"> </w:t>
            </w:r>
            <w:r w:rsidR="002D11B8" w:rsidRPr="00F96689">
              <w:rPr>
                <w:rFonts w:ascii="Arial Narrow" w:hAnsi="Arial Narrow" w:cs="Calibri"/>
                <w:sz w:val="16"/>
                <w:szCs w:val="16"/>
              </w:rPr>
              <w:t>201</w:t>
            </w:r>
            <w:r w:rsidR="00B7223C">
              <w:rPr>
                <w:rFonts w:ascii="Arial Narrow" w:hAnsi="Arial Narrow" w:cs="Calibri"/>
                <w:sz w:val="16"/>
                <w:szCs w:val="16"/>
              </w:rPr>
              <w:t>7</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0A082F" w:rsidTr="00491E67">
        <w:tc>
          <w:tcPr>
            <w:tcW w:w="9399" w:type="dxa"/>
            <w:shd w:val="clear" w:color="auto" w:fill="auto"/>
            <w:tcMar>
              <w:top w:w="227" w:type="dxa"/>
              <w:bottom w:w="227" w:type="dxa"/>
            </w:tcMar>
            <w:vAlign w:val="center"/>
          </w:tcPr>
          <w:p w:rsidR="00E24C57" w:rsidRPr="000A082F" w:rsidRDefault="003D6AC2" w:rsidP="00491E67">
            <w:pPr>
              <w:widowControl w:val="0"/>
              <w:autoSpaceDE w:val="0"/>
              <w:autoSpaceDN w:val="0"/>
              <w:adjustRightInd w:val="0"/>
              <w:rPr>
                <w:rFonts w:ascii="Arial Narrow" w:hAnsi="Arial Narrow" w:cs="Calibri"/>
                <w:b/>
                <w:bCs/>
                <w:sz w:val="32"/>
                <w:szCs w:val="32"/>
              </w:rPr>
            </w:pPr>
            <w:r w:rsidRPr="000A082F">
              <w:rPr>
                <w:rFonts w:ascii="Arial Narrow" w:hAnsi="Arial Narrow" w:cs="Calibri"/>
                <w:b/>
                <w:bCs/>
                <w:sz w:val="32"/>
                <w:szCs w:val="32"/>
              </w:rPr>
              <w:t>12</w:t>
            </w:r>
            <w:r w:rsidR="00B7223C" w:rsidRPr="000A082F">
              <w:rPr>
                <w:rFonts w:ascii="Arial Narrow" w:hAnsi="Arial Narrow" w:cs="Calibri"/>
                <w:b/>
                <w:bCs/>
                <w:sz w:val="32"/>
                <w:szCs w:val="32"/>
              </w:rPr>
              <w:t>8</w:t>
            </w:r>
            <w:r w:rsidR="000A082F" w:rsidRPr="000A082F">
              <w:rPr>
                <w:rFonts w:ascii="Arial Narrow" w:hAnsi="Arial Narrow" w:cs="Calibri"/>
                <w:b/>
                <w:bCs/>
                <w:sz w:val="32"/>
                <w:szCs w:val="32"/>
              </w:rPr>
              <w:t>8</w:t>
            </w:r>
            <w:r w:rsidR="004D1C0F" w:rsidRPr="000A082F">
              <w:rPr>
                <w:rFonts w:ascii="Arial Narrow" w:hAnsi="Arial Narrow" w:cs="Calibri"/>
                <w:b/>
                <w:bCs/>
                <w:sz w:val="32"/>
                <w:szCs w:val="32"/>
                <w:vertAlign w:val="superscript"/>
              </w:rPr>
              <w:t>e</w:t>
            </w:r>
            <w:r w:rsidR="004D1C0F" w:rsidRPr="000A082F">
              <w:rPr>
                <w:rFonts w:ascii="Arial Narrow" w:hAnsi="Arial Narrow" w:cs="Calibri"/>
                <w:b/>
                <w:bCs/>
                <w:sz w:val="32"/>
                <w:szCs w:val="32"/>
              </w:rPr>
              <w:t xml:space="preserve"> réunion</w:t>
            </w:r>
            <w:r w:rsidRPr="000A082F">
              <w:rPr>
                <w:rFonts w:ascii="Arial Narrow" w:hAnsi="Arial Narrow" w:cs="Calibri"/>
                <w:b/>
                <w:bCs/>
                <w:sz w:val="32"/>
                <w:szCs w:val="32"/>
              </w:rPr>
              <w:t xml:space="preserve">, </w:t>
            </w:r>
            <w:r w:rsidR="007E0F73">
              <w:rPr>
                <w:rFonts w:ascii="Arial Narrow" w:hAnsi="Arial Narrow" w:cs="Calibri"/>
                <w:b/>
                <w:bCs/>
                <w:sz w:val="32"/>
                <w:szCs w:val="32"/>
              </w:rPr>
              <w:t>6-7</w:t>
            </w:r>
            <w:r w:rsidR="00B7223C" w:rsidRPr="000A082F">
              <w:rPr>
                <w:rFonts w:ascii="Arial Narrow" w:hAnsi="Arial Narrow" w:cs="Calibri"/>
                <w:b/>
                <w:bCs/>
                <w:sz w:val="32"/>
                <w:szCs w:val="32"/>
              </w:rPr>
              <w:t xml:space="preserve"> </w:t>
            </w:r>
            <w:r w:rsidR="000A082F" w:rsidRPr="000A082F">
              <w:rPr>
                <w:rFonts w:ascii="Arial Narrow" w:hAnsi="Arial Narrow" w:cs="Calibri"/>
                <w:b/>
                <w:bCs/>
                <w:sz w:val="32"/>
                <w:szCs w:val="32"/>
              </w:rPr>
              <w:t>juin</w:t>
            </w:r>
            <w:r w:rsidRPr="000A082F">
              <w:rPr>
                <w:rFonts w:ascii="Arial Narrow" w:hAnsi="Arial Narrow" w:cs="Calibri"/>
                <w:b/>
                <w:bCs/>
                <w:sz w:val="32"/>
                <w:szCs w:val="32"/>
              </w:rPr>
              <w:t xml:space="preserve"> 201</w:t>
            </w:r>
            <w:r w:rsidR="00B7223C" w:rsidRPr="000A082F">
              <w:rPr>
                <w:rFonts w:ascii="Arial Narrow" w:hAnsi="Arial Narrow" w:cs="Calibri"/>
                <w:b/>
                <w:bCs/>
                <w:sz w:val="32"/>
                <w:szCs w:val="32"/>
              </w:rPr>
              <w:t>7</w:t>
            </w:r>
            <w:r w:rsidR="0039556E" w:rsidRPr="000A082F">
              <w:rPr>
                <w:rFonts w:ascii="Arial Narrow" w:hAnsi="Arial Narrow" w:cs="Calibri"/>
                <w:b/>
                <w:bCs/>
                <w:sz w:val="32"/>
                <w:szCs w:val="32"/>
              </w:rPr>
              <w:t xml:space="preserve"> (DH)</w:t>
            </w:r>
          </w:p>
          <w:p w:rsidR="00242ABB" w:rsidRPr="000A082F" w:rsidRDefault="00B7223C" w:rsidP="00491E67">
            <w:pPr>
              <w:rPr>
                <w:rFonts w:ascii="Arial Narrow" w:hAnsi="Arial Narrow" w:cs="Calibri"/>
                <w:sz w:val="22"/>
              </w:rPr>
            </w:pPr>
            <w:r w:rsidRPr="000A082F">
              <w:rPr>
                <w:rFonts w:ascii="Arial Narrow" w:hAnsi="Arial Narrow" w:cs="Calibri"/>
                <w:sz w:val="22"/>
              </w:rPr>
              <w:t>Droits de l’homme</w:t>
            </w:r>
          </w:p>
          <w:p w:rsidR="0037200F" w:rsidRPr="000A082F" w:rsidRDefault="00CE6FD2" w:rsidP="00491E67">
            <w:pPr>
              <w:rPr>
                <w:rFonts w:ascii="Arial Narrow" w:hAnsi="Arial Narrow" w:cs="Calibri"/>
                <w:i/>
                <w:szCs w:val="20"/>
              </w:rPr>
            </w:pPr>
            <w:r w:rsidRPr="000A082F">
              <w:rPr>
                <w:rFonts w:ascii="Arial Narrow" w:hAnsi="Arial Narrow" w:cs="Calibri"/>
                <w:i/>
                <w:szCs w:val="20"/>
              </w:rPr>
              <w:t xml:space="preserve"> </w:t>
            </w:r>
          </w:p>
          <w:p w:rsidR="003D6AC2" w:rsidRPr="000A082F" w:rsidRDefault="00B7223C" w:rsidP="00491E67">
            <w:pPr>
              <w:rPr>
                <w:rFonts w:ascii="Arial Narrow" w:hAnsi="Arial Narrow" w:cs="Calibri"/>
                <w:b/>
                <w:sz w:val="28"/>
                <w:szCs w:val="28"/>
              </w:rPr>
            </w:pPr>
            <w:r w:rsidRPr="000A082F">
              <w:rPr>
                <w:rFonts w:ascii="Arial Narrow" w:hAnsi="Arial Narrow" w:cs="Calibri"/>
                <w:b/>
                <w:sz w:val="28"/>
                <w:szCs w:val="28"/>
              </w:rPr>
              <w:t>H46-</w:t>
            </w:r>
            <w:r w:rsidR="00E12AC3">
              <w:rPr>
                <w:rFonts w:ascii="Arial Narrow" w:hAnsi="Arial Narrow" w:cs="Calibri"/>
                <w:b/>
                <w:sz w:val="28"/>
                <w:szCs w:val="28"/>
              </w:rPr>
              <w:t>36</w:t>
            </w:r>
            <w:r w:rsidRPr="000A082F">
              <w:rPr>
                <w:rFonts w:ascii="Arial Narrow" w:hAnsi="Arial Narrow" w:cs="Calibri"/>
                <w:b/>
                <w:sz w:val="28"/>
                <w:szCs w:val="28"/>
              </w:rPr>
              <w:t xml:space="preserve"> </w:t>
            </w:r>
            <w:proofErr w:type="spellStart"/>
            <w:r w:rsidR="00E12AC3">
              <w:rPr>
                <w:rFonts w:ascii="Arial Narrow" w:hAnsi="Arial Narrow" w:cs="Calibri"/>
                <w:b/>
                <w:sz w:val="28"/>
                <w:szCs w:val="28"/>
              </w:rPr>
              <w:t>Veniamin</w:t>
            </w:r>
            <w:proofErr w:type="spellEnd"/>
            <w:r w:rsidR="00E12AC3">
              <w:rPr>
                <w:rFonts w:ascii="Arial Narrow" w:hAnsi="Arial Narrow" w:cs="Calibri"/>
                <w:b/>
                <w:sz w:val="28"/>
                <w:szCs w:val="28"/>
              </w:rPr>
              <w:t xml:space="preserve"> </w:t>
            </w:r>
            <w:proofErr w:type="spellStart"/>
            <w:r w:rsidR="00E12AC3">
              <w:rPr>
                <w:rFonts w:ascii="Arial Narrow" w:hAnsi="Arial Narrow" w:cs="Calibri"/>
                <w:b/>
                <w:sz w:val="28"/>
                <w:szCs w:val="28"/>
              </w:rPr>
              <w:t>Tymoshenko</w:t>
            </w:r>
            <w:proofErr w:type="spellEnd"/>
            <w:r w:rsidR="00E12AC3">
              <w:rPr>
                <w:rFonts w:ascii="Arial Narrow" w:hAnsi="Arial Narrow" w:cs="Calibri"/>
                <w:b/>
                <w:sz w:val="28"/>
                <w:szCs w:val="28"/>
              </w:rPr>
              <w:t xml:space="preserve"> et autres </w:t>
            </w:r>
            <w:r w:rsidRPr="000A082F">
              <w:rPr>
                <w:rFonts w:ascii="Arial Narrow" w:hAnsi="Arial Narrow" w:cs="Calibri"/>
                <w:b/>
                <w:sz w:val="28"/>
                <w:szCs w:val="28"/>
              </w:rPr>
              <w:t xml:space="preserve">c. </w:t>
            </w:r>
            <w:r w:rsidR="00E12AC3">
              <w:rPr>
                <w:rFonts w:ascii="Arial Narrow" w:hAnsi="Arial Narrow" w:cs="Calibri"/>
                <w:b/>
                <w:sz w:val="28"/>
                <w:szCs w:val="28"/>
              </w:rPr>
              <w:t xml:space="preserve">Ukraine </w:t>
            </w:r>
            <w:r w:rsidRPr="000A082F">
              <w:rPr>
                <w:rFonts w:ascii="Arial Narrow" w:hAnsi="Arial Narrow" w:cs="Calibri"/>
                <w:b/>
                <w:sz w:val="28"/>
                <w:szCs w:val="28"/>
              </w:rPr>
              <w:t>(Requête n°</w:t>
            </w:r>
            <w:r w:rsidR="00E12AC3">
              <w:rPr>
                <w:rFonts w:ascii="Arial Narrow" w:hAnsi="Arial Narrow" w:cs="Calibri"/>
                <w:b/>
                <w:sz w:val="28"/>
                <w:szCs w:val="28"/>
              </w:rPr>
              <w:t xml:space="preserve"> 48408/12</w:t>
            </w:r>
            <w:r w:rsidRPr="000A082F">
              <w:rPr>
                <w:rFonts w:ascii="Arial Narrow" w:hAnsi="Arial Narrow" w:cs="Calibri"/>
                <w:b/>
                <w:sz w:val="28"/>
                <w:szCs w:val="28"/>
              </w:rPr>
              <w:t>)</w:t>
            </w:r>
          </w:p>
          <w:p w:rsidR="00242ABB" w:rsidRPr="000A082F" w:rsidRDefault="00B7223C" w:rsidP="00491E67">
            <w:pPr>
              <w:rPr>
                <w:rFonts w:ascii="Arial Narrow" w:hAnsi="Arial Narrow" w:cs="Calibri"/>
                <w:sz w:val="22"/>
              </w:rPr>
            </w:pPr>
            <w:r w:rsidRPr="000A082F">
              <w:rPr>
                <w:rFonts w:ascii="Arial Narrow" w:hAnsi="Arial Narrow" w:cs="Calibri"/>
                <w:sz w:val="22"/>
              </w:rPr>
              <w:t>Surveillance de l’exécution des arrêts de la Cour européenne</w:t>
            </w:r>
          </w:p>
          <w:p w:rsidR="000A307B" w:rsidRPr="000A082F" w:rsidRDefault="000A307B" w:rsidP="00491E67">
            <w:pPr>
              <w:rPr>
                <w:rFonts w:ascii="Arial Narrow" w:hAnsi="Arial Narrow" w:cs="Calibri"/>
                <w:szCs w:val="20"/>
              </w:rPr>
            </w:pPr>
          </w:p>
          <w:p w:rsidR="005D1278" w:rsidRPr="000A082F" w:rsidRDefault="005D1278" w:rsidP="005D1278">
            <w:pPr>
              <w:rPr>
                <w:rFonts w:ascii="Arial Narrow" w:hAnsi="Arial Narrow" w:cs="Calibri"/>
                <w:sz w:val="18"/>
                <w:szCs w:val="18"/>
              </w:rPr>
            </w:pPr>
            <w:r w:rsidRPr="000A082F">
              <w:rPr>
                <w:rFonts w:ascii="Arial Narrow" w:hAnsi="Arial Narrow" w:cs="Calibri"/>
                <w:sz w:val="18"/>
                <w:szCs w:val="18"/>
              </w:rPr>
              <w:t>Document de référence</w:t>
            </w:r>
          </w:p>
          <w:bookmarkStart w:id="0" w:name="_ML_000000000001_VALID"/>
          <w:p w:rsidR="000A307B" w:rsidRPr="00577F30" w:rsidRDefault="00577F30" w:rsidP="00B7223C">
            <w:pPr>
              <w:rPr>
                <w:rFonts w:ascii="Arial Narrow" w:hAnsi="Arial Narrow" w:cs="Calibri"/>
                <w:b/>
                <w:szCs w:val="20"/>
              </w:rPr>
            </w:pPr>
            <w:r w:rsidRPr="00577F30">
              <w:rPr>
                <w:rFonts w:ascii="Arial Narrow" w:hAnsi="Arial Narrow"/>
                <w:sz w:val="18"/>
                <w:szCs w:val="18"/>
              </w:rPr>
              <w:fldChar w:fldCharType="begin"/>
            </w:r>
            <w:r w:rsidRPr="00577F30">
              <w:rPr>
                <w:rFonts w:ascii="Arial Narrow" w:hAnsi="Arial Narrow"/>
                <w:sz w:val="18"/>
                <w:szCs w:val="18"/>
              </w:rPr>
              <w:instrText xml:space="preserve"> HYPERLINK "https://search.coe.int/cm/Pages/result_details.aspx?Reference=DH-DD(2017)355" \o "1288th meeting (June 2017) (DH) - Action plan (15/03/2017) - Communication from Ukraine concerning the case of VENIAMIN TYMOSHENKO AND OTHERS v. Ukraine (Application No. 48408/12) [Anglais uniquement]" </w:instrText>
            </w:r>
            <w:r w:rsidRPr="00577F30">
              <w:rPr>
                <w:rFonts w:ascii="Arial Narrow" w:hAnsi="Arial Narrow"/>
                <w:sz w:val="18"/>
                <w:szCs w:val="18"/>
              </w:rPr>
              <w:fldChar w:fldCharType="separate"/>
            </w:r>
            <w:bookmarkEnd w:id="0"/>
            <w:r w:rsidRPr="00577F30">
              <w:rPr>
                <w:rStyle w:val="Hyperlink"/>
                <w:rFonts w:ascii="Arial Narrow" w:hAnsi="Arial Narrow"/>
                <w:sz w:val="18"/>
                <w:szCs w:val="18"/>
              </w:rPr>
              <w:t>DH-DD(2017)355</w:t>
            </w:r>
            <w:r w:rsidRPr="00577F30">
              <w:rPr>
                <w:rFonts w:ascii="Arial Narrow" w:hAnsi="Arial Narrow"/>
                <w:sz w:val="18"/>
                <w:szCs w:val="18"/>
              </w:rPr>
              <w:fldChar w:fldCharType="end"/>
            </w:r>
          </w:p>
        </w:tc>
      </w:tr>
    </w:tbl>
    <w:p w:rsidR="00491E67" w:rsidRPr="000A082F" w:rsidRDefault="00491E67" w:rsidP="0037200F">
      <w:pPr>
        <w:rPr>
          <w:rFonts w:eastAsia="Times New Roman"/>
          <w:szCs w:val="24"/>
        </w:rPr>
      </w:pPr>
      <w:r w:rsidRPr="000A082F">
        <w:rPr>
          <w:rFonts w:eastAsia="Times New Roman"/>
          <w:szCs w:val="24"/>
        </w:rPr>
        <w:t xml:space="preserve"> </w:t>
      </w:r>
    </w:p>
    <w:p w:rsidR="00F84886" w:rsidRDefault="00491E67" w:rsidP="00F84886">
      <w:pPr>
        <w:rPr>
          <w:rFonts w:eastAsia="Times New Roman"/>
          <w:szCs w:val="24"/>
        </w:rPr>
      </w:pPr>
      <w:r w:rsidRPr="000A082F">
        <w:rPr>
          <w:rFonts w:eastAsia="Times New Roman"/>
          <w:szCs w:val="24"/>
        </w:rPr>
        <w:t xml:space="preserve"> </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9"/>
        <w:gridCol w:w="3538"/>
        <w:gridCol w:w="1264"/>
        <w:gridCol w:w="1300"/>
        <w:gridCol w:w="2448"/>
      </w:tblGrid>
      <w:tr w:rsidR="00C20688" w:rsidRPr="000A082F" w:rsidTr="005D0C85">
        <w:tc>
          <w:tcPr>
            <w:tcW w:w="1199" w:type="dxa"/>
            <w:tcBorders>
              <w:top w:val="single" w:sz="4" w:space="0" w:color="auto"/>
              <w:left w:val="single" w:sz="4" w:space="0" w:color="auto"/>
              <w:bottom w:val="single" w:sz="4" w:space="0" w:color="auto"/>
              <w:right w:val="single" w:sz="4" w:space="0" w:color="auto"/>
            </w:tcBorders>
          </w:tcPr>
          <w:p w:rsidR="00C20688" w:rsidRPr="000A082F" w:rsidRDefault="00C20688" w:rsidP="005D0C85">
            <w:pPr>
              <w:rPr>
                <w:rFonts w:cs="Arial"/>
                <w:b/>
                <w:bCs/>
                <w:sz w:val="18"/>
                <w:szCs w:val="18"/>
              </w:rPr>
            </w:pPr>
            <w:r w:rsidRPr="000A082F">
              <w:rPr>
                <w:rFonts w:cs="Arial"/>
                <w:b/>
                <w:bCs/>
                <w:sz w:val="18"/>
                <w:szCs w:val="18"/>
              </w:rPr>
              <w:t>Requête</w:t>
            </w:r>
          </w:p>
        </w:tc>
        <w:tc>
          <w:tcPr>
            <w:tcW w:w="3538" w:type="dxa"/>
            <w:tcBorders>
              <w:top w:val="single" w:sz="4" w:space="0" w:color="auto"/>
              <w:left w:val="single" w:sz="4" w:space="0" w:color="auto"/>
              <w:bottom w:val="single" w:sz="4" w:space="0" w:color="auto"/>
              <w:right w:val="single" w:sz="4" w:space="0" w:color="auto"/>
            </w:tcBorders>
          </w:tcPr>
          <w:p w:rsidR="00C20688" w:rsidRPr="000A082F" w:rsidRDefault="00C20688" w:rsidP="005D0C85">
            <w:pPr>
              <w:rPr>
                <w:rFonts w:cs="Arial"/>
                <w:b/>
                <w:bCs/>
                <w:sz w:val="18"/>
                <w:szCs w:val="18"/>
              </w:rPr>
            </w:pPr>
            <w:r w:rsidRPr="000A082F">
              <w:rPr>
                <w:rFonts w:cs="Arial"/>
                <w:b/>
                <w:bCs/>
                <w:sz w:val="18"/>
                <w:szCs w:val="18"/>
              </w:rPr>
              <w:t>Affaire</w:t>
            </w:r>
          </w:p>
        </w:tc>
        <w:tc>
          <w:tcPr>
            <w:tcW w:w="1264" w:type="dxa"/>
            <w:tcBorders>
              <w:top w:val="single" w:sz="4" w:space="0" w:color="auto"/>
              <w:left w:val="single" w:sz="4" w:space="0" w:color="auto"/>
              <w:bottom w:val="single" w:sz="4" w:space="0" w:color="auto"/>
              <w:right w:val="single" w:sz="4" w:space="0" w:color="auto"/>
            </w:tcBorders>
          </w:tcPr>
          <w:p w:rsidR="00C20688" w:rsidRPr="000A082F" w:rsidRDefault="00C20688" w:rsidP="005D0C85">
            <w:pPr>
              <w:rPr>
                <w:rFonts w:cs="Arial"/>
                <w:b/>
                <w:bCs/>
                <w:sz w:val="18"/>
                <w:szCs w:val="18"/>
              </w:rPr>
            </w:pPr>
            <w:r w:rsidRPr="000A082F">
              <w:rPr>
                <w:rFonts w:cs="Arial"/>
                <w:b/>
                <w:bCs/>
                <w:sz w:val="18"/>
                <w:szCs w:val="18"/>
              </w:rPr>
              <w:t>Arrêt du</w:t>
            </w:r>
          </w:p>
        </w:tc>
        <w:tc>
          <w:tcPr>
            <w:tcW w:w="1300" w:type="dxa"/>
            <w:tcBorders>
              <w:top w:val="single" w:sz="4" w:space="0" w:color="auto"/>
              <w:left w:val="single" w:sz="4" w:space="0" w:color="auto"/>
              <w:bottom w:val="single" w:sz="4" w:space="0" w:color="auto"/>
              <w:right w:val="single" w:sz="4" w:space="0" w:color="auto"/>
            </w:tcBorders>
          </w:tcPr>
          <w:p w:rsidR="00C20688" w:rsidRPr="000A082F" w:rsidRDefault="00C20688" w:rsidP="005D0C85">
            <w:pPr>
              <w:rPr>
                <w:rFonts w:cs="Arial"/>
                <w:b/>
                <w:bCs/>
                <w:sz w:val="18"/>
                <w:szCs w:val="18"/>
              </w:rPr>
            </w:pPr>
            <w:r w:rsidRPr="000A082F">
              <w:rPr>
                <w:rFonts w:cs="Arial"/>
                <w:b/>
                <w:bCs/>
                <w:sz w:val="18"/>
                <w:szCs w:val="18"/>
              </w:rPr>
              <w:t>Définitif le</w:t>
            </w:r>
          </w:p>
        </w:tc>
        <w:tc>
          <w:tcPr>
            <w:tcW w:w="2448" w:type="dxa"/>
            <w:tcBorders>
              <w:top w:val="single" w:sz="4" w:space="0" w:color="auto"/>
              <w:left w:val="single" w:sz="4" w:space="0" w:color="auto"/>
              <w:bottom w:val="single" w:sz="4" w:space="0" w:color="auto"/>
              <w:right w:val="single" w:sz="4" w:space="0" w:color="auto"/>
            </w:tcBorders>
          </w:tcPr>
          <w:p w:rsidR="00C20688" w:rsidRPr="000A082F" w:rsidRDefault="00C20688" w:rsidP="005D0C85">
            <w:pPr>
              <w:rPr>
                <w:rFonts w:cs="Arial"/>
                <w:b/>
                <w:bCs/>
                <w:sz w:val="18"/>
                <w:szCs w:val="18"/>
              </w:rPr>
            </w:pPr>
            <w:r w:rsidRPr="000A082F">
              <w:rPr>
                <w:rFonts w:cs="Arial"/>
                <w:b/>
                <w:bCs/>
                <w:sz w:val="18"/>
                <w:szCs w:val="18"/>
              </w:rPr>
              <w:t>Critère de classification</w:t>
            </w:r>
          </w:p>
        </w:tc>
      </w:tr>
      <w:tr w:rsidR="00E12AC3" w:rsidRPr="000A082F" w:rsidTr="005D0C85">
        <w:tc>
          <w:tcPr>
            <w:tcW w:w="1199" w:type="dxa"/>
            <w:tcBorders>
              <w:top w:val="single" w:sz="4" w:space="0" w:color="auto"/>
              <w:left w:val="single" w:sz="4" w:space="0" w:color="auto"/>
              <w:bottom w:val="single" w:sz="4" w:space="0" w:color="auto"/>
              <w:right w:val="single" w:sz="4" w:space="0" w:color="auto"/>
            </w:tcBorders>
          </w:tcPr>
          <w:p w:rsidR="00E12AC3" w:rsidRPr="00155341" w:rsidRDefault="00E12AC3" w:rsidP="006E1665">
            <w:pPr>
              <w:rPr>
                <w:rFonts w:cs="Arial"/>
                <w:sz w:val="18"/>
                <w:szCs w:val="18"/>
              </w:rPr>
            </w:pPr>
            <w:r w:rsidRPr="00155341">
              <w:rPr>
                <w:rFonts w:cs="Arial"/>
                <w:sz w:val="18"/>
                <w:szCs w:val="18"/>
              </w:rPr>
              <w:t>48408/12</w:t>
            </w:r>
          </w:p>
        </w:tc>
        <w:tc>
          <w:tcPr>
            <w:tcW w:w="3538" w:type="dxa"/>
            <w:tcBorders>
              <w:top w:val="single" w:sz="4" w:space="0" w:color="auto"/>
              <w:left w:val="single" w:sz="4" w:space="0" w:color="auto"/>
              <w:bottom w:val="single" w:sz="4" w:space="0" w:color="auto"/>
              <w:right w:val="single" w:sz="4" w:space="0" w:color="auto"/>
            </w:tcBorders>
          </w:tcPr>
          <w:p w:rsidR="00E12AC3" w:rsidRPr="00155341" w:rsidRDefault="00E12AC3" w:rsidP="00E12AC3">
            <w:pPr>
              <w:rPr>
                <w:rFonts w:cs="Arial"/>
                <w:sz w:val="18"/>
                <w:szCs w:val="18"/>
              </w:rPr>
            </w:pPr>
            <w:r w:rsidRPr="00155341">
              <w:rPr>
                <w:rFonts w:cs="Arial"/>
                <w:sz w:val="18"/>
                <w:szCs w:val="18"/>
              </w:rPr>
              <w:t xml:space="preserve">VENIAMIN TYMOSHENKO </w:t>
            </w:r>
            <w:r>
              <w:rPr>
                <w:rFonts w:cs="Arial"/>
                <w:sz w:val="18"/>
                <w:szCs w:val="18"/>
              </w:rPr>
              <w:t>ET AUTRES</w:t>
            </w:r>
            <w:r w:rsidRPr="00155341">
              <w:rPr>
                <w:rFonts w:cs="Arial"/>
                <w:sz w:val="18"/>
                <w:szCs w:val="18"/>
              </w:rPr>
              <w:t xml:space="preserve"> </w:t>
            </w:r>
          </w:p>
        </w:tc>
        <w:tc>
          <w:tcPr>
            <w:tcW w:w="1264" w:type="dxa"/>
            <w:tcBorders>
              <w:top w:val="single" w:sz="4" w:space="0" w:color="auto"/>
              <w:left w:val="single" w:sz="4" w:space="0" w:color="auto"/>
              <w:bottom w:val="single" w:sz="4" w:space="0" w:color="auto"/>
              <w:right w:val="single" w:sz="4" w:space="0" w:color="auto"/>
            </w:tcBorders>
          </w:tcPr>
          <w:p w:rsidR="00E12AC3" w:rsidRPr="00155341" w:rsidRDefault="00E12AC3" w:rsidP="006E1665">
            <w:pPr>
              <w:rPr>
                <w:rFonts w:cs="Arial"/>
                <w:sz w:val="18"/>
                <w:szCs w:val="18"/>
              </w:rPr>
            </w:pPr>
            <w:r w:rsidRPr="00155341">
              <w:rPr>
                <w:rFonts w:cs="Arial"/>
                <w:sz w:val="18"/>
                <w:szCs w:val="18"/>
              </w:rPr>
              <w:t>02/10/2014</w:t>
            </w:r>
          </w:p>
        </w:tc>
        <w:tc>
          <w:tcPr>
            <w:tcW w:w="1300" w:type="dxa"/>
            <w:tcBorders>
              <w:top w:val="single" w:sz="4" w:space="0" w:color="auto"/>
              <w:left w:val="single" w:sz="4" w:space="0" w:color="auto"/>
              <w:bottom w:val="single" w:sz="4" w:space="0" w:color="auto"/>
              <w:right w:val="single" w:sz="4" w:space="0" w:color="auto"/>
            </w:tcBorders>
          </w:tcPr>
          <w:p w:rsidR="00E12AC3" w:rsidRPr="00155341" w:rsidRDefault="00E12AC3" w:rsidP="006E1665">
            <w:pPr>
              <w:rPr>
                <w:rFonts w:cs="Arial"/>
                <w:bCs/>
                <w:sz w:val="18"/>
                <w:szCs w:val="18"/>
              </w:rPr>
            </w:pPr>
            <w:r w:rsidRPr="00155341">
              <w:rPr>
                <w:rFonts w:cs="Arial"/>
                <w:bCs/>
                <w:sz w:val="18"/>
                <w:szCs w:val="18"/>
              </w:rPr>
              <w:t>02/01/2015</w:t>
            </w:r>
          </w:p>
        </w:tc>
        <w:tc>
          <w:tcPr>
            <w:tcW w:w="2448" w:type="dxa"/>
            <w:tcBorders>
              <w:top w:val="single" w:sz="4" w:space="0" w:color="auto"/>
              <w:left w:val="single" w:sz="4" w:space="0" w:color="auto"/>
              <w:bottom w:val="single" w:sz="4" w:space="0" w:color="auto"/>
              <w:right w:val="single" w:sz="4" w:space="0" w:color="auto"/>
            </w:tcBorders>
          </w:tcPr>
          <w:p w:rsidR="00E12AC3" w:rsidRPr="005E2661" w:rsidRDefault="00E12AC3" w:rsidP="008E5DB4">
            <w:pPr>
              <w:rPr>
                <w:rFonts w:cs="Arial"/>
                <w:sz w:val="18"/>
                <w:szCs w:val="18"/>
              </w:rPr>
            </w:pPr>
            <w:r>
              <w:rPr>
                <w:rFonts w:cs="Arial"/>
                <w:sz w:val="18"/>
                <w:szCs w:val="18"/>
              </w:rPr>
              <w:t>Problème complexe</w:t>
            </w:r>
          </w:p>
        </w:tc>
      </w:tr>
    </w:tbl>
    <w:p w:rsidR="005D1278" w:rsidRPr="000A082F" w:rsidRDefault="005D1278" w:rsidP="005D1278">
      <w:pPr>
        <w:rPr>
          <w:lang w:val="en-US"/>
        </w:rPr>
      </w:pPr>
    </w:p>
    <w:p w:rsidR="00B7223C" w:rsidRPr="00AB356B" w:rsidRDefault="00956125" w:rsidP="00B7223C">
      <w:pPr>
        <w:rPr>
          <w:color w:val="000000"/>
          <w:szCs w:val="20"/>
        </w:rPr>
      </w:pPr>
      <w:r w:rsidRPr="000A082F">
        <w:rPr>
          <w:b/>
          <w:bCs/>
        </w:rPr>
        <w:t>Description de</w:t>
      </w:r>
      <w:r w:rsidR="00B7223C" w:rsidRPr="000A082F">
        <w:rPr>
          <w:b/>
          <w:bCs/>
        </w:rPr>
        <w:t xml:space="preserve"> </w:t>
      </w:r>
      <w:r w:rsidRPr="000A082F">
        <w:rPr>
          <w:b/>
          <w:bCs/>
        </w:rPr>
        <w:t>l’affaire</w:t>
      </w:r>
    </w:p>
    <w:p w:rsidR="005D1278" w:rsidRDefault="005D1278" w:rsidP="005020E6"/>
    <w:p w:rsidR="00586090" w:rsidRDefault="008E5DB4" w:rsidP="002C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rPr>
      </w:pPr>
      <w:r>
        <w:rPr>
          <w:rFonts w:cs="Arial"/>
          <w:szCs w:val="20"/>
        </w:rPr>
        <w:t>Cette affaire concerne la v</w:t>
      </w:r>
      <w:r w:rsidR="00586090" w:rsidRPr="00DD3E41">
        <w:rPr>
          <w:rFonts w:cs="Arial"/>
          <w:szCs w:val="20"/>
        </w:rPr>
        <w:t xml:space="preserve">iolation du droit des </w:t>
      </w:r>
      <w:r w:rsidR="00586090">
        <w:rPr>
          <w:rFonts w:cs="Arial"/>
          <w:szCs w:val="20"/>
        </w:rPr>
        <w:t>requérants à la liberté d’association</w:t>
      </w:r>
      <w:r w:rsidR="008C2201">
        <w:rPr>
          <w:rFonts w:cs="Arial"/>
          <w:szCs w:val="20"/>
        </w:rPr>
        <w:t>. Ces derniers,</w:t>
      </w:r>
      <w:bookmarkStart w:id="1" w:name="_GoBack"/>
      <w:bookmarkEnd w:id="1"/>
      <w:r w:rsidR="00586090">
        <w:rPr>
          <w:rFonts w:cs="Arial"/>
          <w:szCs w:val="20"/>
        </w:rPr>
        <w:t xml:space="preserve"> employés et membres d’un syndicat d’</w:t>
      </w:r>
      <w:r w:rsidR="00586090" w:rsidRPr="00DD3E41">
        <w:rPr>
          <w:rFonts w:cs="Arial"/>
          <w:szCs w:val="20"/>
        </w:rPr>
        <w:t xml:space="preserve">une compagnie aérienne ukrainienne </w:t>
      </w:r>
      <w:r w:rsidR="00586090">
        <w:rPr>
          <w:rFonts w:cs="Arial"/>
          <w:szCs w:val="20"/>
        </w:rPr>
        <w:t>privée</w:t>
      </w:r>
      <w:r w:rsidR="00F061EB">
        <w:rPr>
          <w:rFonts w:cs="Arial"/>
          <w:szCs w:val="20"/>
        </w:rPr>
        <w:t xml:space="preserve"> ont fait l’objet d’une interdiction de faire grève en septembre 2011</w:t>
      </w:r>
      <w:r w:rsidR="00586090">
        <w:rPr>
          <w:rFonts w:cs="Arial"/>
          <w:szCs w:val="20"/>
        </w:rPr>
        <w:t xml:space="preserve">. La Cour </w:t>
      </w:r>
      <w:r w:rsidR="003152B3">
        <w:rPr>
          <w:rFonts w:cs="Arial"/>
          <w:szCs w:val="20"/>
        </w:rPr>
        <w:t xml:space="preserve">européenne </w:t>
      </w:r>
      <w:r w:rsidR="00586090">
        <w:rPr>
          <w:rFonts w:cs="Arial"/>
          <w:szCs w:val="20"/>
        </w:rPr>
        <w:t>a conclu que l’</w:t>
      </w:r>
      <w:r w:rsidR="00586090" w:rsidRPr="00DD3E41">
        <w:rPr>
          <w:rFonts w:cs="Arial"/>
          <w:szCs w:val="20"/>
        </w:rPr>
        <w:t>ingérenc</w:t>
      </w:r>
      <w:r w:rsidR="00586090">
        <w:rPr>
          <w:rFonts w:cs="Arial"/>
          <w:szCs w:val="20"/>
        </w:rPr>
        <w:t>e dans le</w:t>
      </w:r>
      <w:r w:rsidR="00586090" w:rsidRPr="00DD3E41">
        <w:rPr>
          <w:rFonts w:cs="Arial"/>
          <w:szCs w:val="20"/>
        </w:rPr>
        <w:t xml:space="preserve"> droit des requérants </w:t>
      </w:r>
      <w:r w:rsidR="00586090">
        <w:rPr>
          <w:rFonts w:cs="Arial"/>
          <w:szCs w:val="20"/>
        </w:rPr>
        <w:t>en vertu de l’article 11 n’</w:t>
      </w:r>
      <w:r w:rsidR="00586090" w:rsidRPr="00DD3E41">
        <w:rPr>
          <w:rFonts w:cs="Arial"/>
          <w:szCs w:val="20"/>
        </w:rPr>
        <w:t>était pas fondé</w:t>
      </w:r>
      <w:r w:rsidR="00586090">
        <w:rPr>
          <w:rFonts w:cs="Arial"/>
          <w:szCs w:val="20"/>
        </w:rPr>
        <w:t>e</w:t>
      </w:r>
      <w:r w:rsidR="00586090" w:rsidRPr="00DD3E41">
        <w:rPr>
          <w:rFonts w:cs="Arial"/>
          <w:szCs w:val="20"/>
        </w:rPr>
        <w:t xml:space="preserve"> sur une législation suffisamment claire et prévisible.</w:t>
      </w:r>
    </w:p>
    <w:p w:rsidR="00586090" w:rsidRDefault="00586090" w:rsidP="0058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rPr>
      </w:pPr>
    </w:p>
    <w:p w:rsidR="00586090" w:rsidRPr="00DD3E41" w:rsidRDefault="00586090" w:rsidP="00BD3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rPr>
      </w:pPr>
      <w:r w:rsidRPr="00DD3E41">
        <w:rPr>
          <w:rFonts w:cs="Arial"/>
          <w:szCs w:val="20"/>
        </w:rPr>
        <w:t xml:space="preserve">Cette interdiction était fondée sur une disposition de la </w:t>
      </w:r>
      <w:r w:rsidR="004A4182">
        <w:rPr>
          <w:rFonts w:cs="Arial"/>
          <w:szCs w:val="20"/>
        </w:rPr>
        <w:t>l</w:t>
      </w:r>
      <w:r w:rsidR="004A4182" w:rsidRPr="00DD3E41">
        <w:rPr>
          <w:rFonts w:cs="Arial"/>
          <w:szCs w:val="20"/>
        </w:rPr>
        <w:t xml:space="preserve">oi </w:t>
      </w:r>
      <w:r w:rsidRPr="00DD3E41">
        <w:rPr>
          <w:rFonts w:cs="Arial"/>
          <w:szCs w:val="20"/>
        </w:rPr>
        <w:t xml:space="preserve">sur les </w:t>
      </w:r>
      <w:r w:rsidRPr="00185F77">
        <w:rPr>
          <w:rFonts w:cs="Arial"/>
          <w:szCs w:val="20"/>
        </w:rPr>
        <w:t xml:space="preserve">transports de 1994 (article 18) qui prévoyait que les grèves n’étaient pas autorisées lorsque le transport des passagers ou </w:t>
      </w:r>
      <w:r w:rsidR="006644E1" w:rsidRPr="006065F1">
        <w:rPr>
          <w:rFonts w:cs="Arial"/>
          <w:szCs w:val="20"/>
        </w:rPr>
        <w:t>la maintenance</w:t>
      </w:r>
      <w:r w:rsidRPr="006065F1">
        <w:rPr>
          <w:rFonts w:cs="Arial"/>
          <w:szCs w:val="20"/>
        </w:rPr>
        <w:t xml:space="preserve"> d’un cycle de production </w:t>
      </w:r>
      <w:r w:rsidR="004F6CD6" w:rsidRPr="006065F1">
        <w:rPr>
          <w:rFonts w:cs="Arial"/>
          <w:szCs w:val="20"/>
        </w:rPr>
        <w:t xml:space="preserve">en </w:t>
      </w:r>
      <w:r w:rsidR="006644E1" w:rsidRPr="006065F1">
        <w:rPr>
          <w:rFonts w:cs="Arial"/>
          <w:szCs w:val="20"/>
        </w:rPr>
        <w:t>continu</w:t>
      </w:r>
      <w:r w:rsidR="006644E1" w:rsidRPr="00185F77">
        <w:rPr>
          <w:rFonts w:cs="Arial"/>
          <w:szCs w:val="20"/>
        </w:rPr>
        <w:t xml:space="preserve"> </w:t>
      </w:r>
      <w:r w:rsidRPr="006065F1">
        <w:rPr>
          <w:rFonts w:cs="Arial"/>
          <w:szCs w:val="20"/>
        </w:rPr>
        <w:t xml:space="preserve">sont concernés, ainsi que lorsque la vie ou la santé humaine </w:t>
      </w:r>
      <w:r w:rsidR="006644E1" w:rsidRPr="006065F1">
        <w:rPr>
          <w:rFonts w:cs="Arial"/>
          <w:szCs w:val="20"/>
        </w:rPr>
        <w:t xml:space="preserve">serait </w:t>
      </w:r>
      <w:r w:rsidRPr="006065F1">
        <w:rPr>
          <w:rFonts w:cs="Arial"/>
          <w:szCs w:val="20"/>
        </w:rPr>
        <w:t>mis en danger par la grève ». La Cour a constaté que cette disposition était en contradiction avec la</w:t>
      </w:r>
      <w:r w:rsidRPr="00DD3E41">
        <w:rPr>
          <w:rFonts w:cs="Arial"/>
          <w:szCs w:val="20"/>
        </w:rPr>
        <w:t xml:space="preserve"> </w:t>
      </w:r>
      <w:r w:rsidR="006644E1">
        <w:rPr>
          <w:rFonts w:cs="Arial"/>
          <w:szCs w:val="20"/>
        </w:rPr>
        <w:t>l</w:t>
      </w:r>
      <w:r w:rsidR="006644E1" w:rsidRPr="00DD3E41">
        <w:rPr>
          <w:rFonts w:cs="Arial"/>
          <w:szCs w:val="20"/>
        </w:rPr>
        <w:t>oi</w:t>
      </w:r>
      <w:r w:rsidR="006644E1">
        <w:rPr>
          <w:rFonts w:cs="Arial"/>
          <w:szCs w:val="20"/>
        </w:rPr>
        <w:t xml:space="preserve"> </w:t>
      </w:r>
      <w:r>
        <w:rPr>
          <w:rFonts w:cs="Arial"/>
          <w:szCs w:val="20"/>
        </w:rPr>
        <w:t>sur la résolution des conflits de travail</w:t>
      </w:r>
      <w:r w:rsidRPr="00DD3E41">
        <w:rPr>
          <w:rFonts w:cs="Arial"/>
          <w:szCs w:val="20"/>
        </w:rPr>
        <w:t xml:space="preserve"> de 1998 (article 24). En particulier, les dispositions de cette loi </w:t>
      </w:r>
      <w:r>
        <w:rPr>
          <w:rFonts w:cs="Arial"/>
          <w:szCs w:val="20"/>
        </w:rPr>
        <w:t>étaient moins restrictives et n’interdisaient</w:t>
      </w:r>
      <w:r w:rsidRPr="00DD3E41">
        <w:rPr>
          <w:rFonts w:cs="Arial"/>
          <w:szCs w:val="20"/>
        </w:rPr>
        <w:t xml:space="preserve"> </w:t>
      </w:r>
      <w:r w:rsidR="006644E1" w:rsidRPr="004A6A59">
        <w:rPr>
          <w:rFonts w:cs="Arial"/>
          <w:szCs w:val="20"/>
        </w:rPr>
        <w:t xml:space="preserve">pas </w:t>
      </w:r>
      <w:r w:rsidRPr="004A6A59">
        <w:rPr>
          <w:rFonts w:cs="Arial"/>
          <w:szCs w:val="20"/>
        </w:rPr>
        <w:t xml:space="preserve">expressément les grèves lorsque le transport des passagers ou </w:t>
      </w:r>
      <w:r w:rsidR="006644E1">
        <w:rPr>
          <w:rFonts w:cs="Arial"/>
          <w:szCs w:val="20"/>
        </w:rPr>
        <w:t>la maintenance</w:t>
      </w:r>
      <w:r w:rsidRPr="004A6A59">
        <w:rPr>
          <w:rFonts w:cs="Arial"/>
          <w:szCs w:val="20"/>
        </w:rPr>
        <w:t xml:space="preserve"> d’un cycle de production</w:t>
      </w:r>
      <w:r w:rsidR="006644E1">
        <w:rPr>
          <w:rFonts w:cs="Arial"/>
          <w:szCs w:val="20"/>
        </w:rPr>
        <w:t xml:space="preserve"> continu</w:t>
      </w:r>
      <w:r w:rsidRPr="004A6A59">
        <w:rPr>
          <w:rFonts w:cs="Arial"/>
          <w:szCs w:val="20"/>
        </w:rPr>
        <w:t xml:space="preserve"> </w:t>
      </w:r>
      <w:r w:rsidR="006644E1">
        <w:rPr>
          <w:rFonts w:cs="Arial"/>
          <w:szCs w:val="20"/>
        </w:rPr>
        <w:t>étaient</w:t>
      </w:r>
      <w:r w:rsidR="006644E1" w:rsidRPr="004A6A59">
        <w:rPr>
          <w:rFonts w:cs="Arial"/>
          <w:szCs w:val="20"/>
        </w:rPr>
        <w:t xml:space="preserve"> </w:t>
      </w:r>
      <w:r w:rsidRPr="004A6A59">
        <w:rPr>
          <w:rFonts w:cs="Arial"/>
          <w:szCs w:val="20"/>
        </w:rPr>
        <w:t xml:space="preserve">concernés. </w:t>
      </w:r>
      <w:r>
        <w:rPr>
          <w:rFonts w:cs="Arial"/>
          <w:szCs w:val="20"/>
        </w:rPr>
        <w:t>La Cour a noté qu</w:t>
      </w:r>
      <w:r w:rsidR="006644E1">
        <w:rPr>
          <w:rFonts w:cs="Arial"/>
          <w:szCs w:val="20"/>
        </w:rPr>
        <w:t>’il n’avait pas été remédié à cette</w:t>
      </w:r>
      <w:r>
        <w:rPr>
          <w:rFonts w:cs="Arial"/>
          <w:szCs w:val="20"/>
        </w:rPr>
        <w:t xml:space="preserve"> contradiction législative </w:t>
      </w:r>
      <w:r w:rsidRPr="00DD3E41">
        <w:rPr>
          <w:rFonts w:cs="Arial"/>
          <w:szCs w:val="20"/>
        </w:rPr>
        <w:t xml:space="preserve">pendant plusieurs années, malgré les dispositions transitoires pertinentes de la </w:t>
      </w:r>
      <w:r w:rsidR="006644E1">
        <w:rPr>
          <w:rFonts w:cs="Arial"/>
          <w:szCs w:val="20"/>
        </w:rPr>
        <w:t>l</w:t>
      </w:r>
      <w:r w:rsidR="006644E1" w:rsidRPr="00DD3E41">
        <w:rPr>
          <w:rFonts w:cs="Arial"/>
          <w:szCs w:val="20"/>
        </w:rPr>
        <w:t>oi</w:t>
      </w:r>
      <w:r w:rsidR="006644E1">
        <w:rPr>
          <w:rFonts w:cs="Arial"/>
          <w:szCs w:val="20"/>
        </w:rPr>
        <w:t xml:space="preserve"> </w:t>
      </w:r>
      <w:r>
        <w:rPr>
          <w:rFonts w:cs="Arial"/>
          <w:szCs w:val="20"/>
        </w:rPr>
        <w:t>sur la résolution des conflits de travail,</w:t>
      </w:r>
      <w:r w:rsidRPr="00DD3E41">
        <w:rPr>
          <w:rFonts w:cs="Arial"/>
          <w:szCs w:val="20"/>
        </w:rPr>
        <w:t xml:space="preserve"> les recommandations du Comité </w:t>
      </w:r>
      <w:r>
        <w:rPr>
          <w:rFonts w:cs="Arial"/>
          <w:szCs w:val="20"/>
        </w:rPr>
        <w:t>de la liberté d’association de l’</w:t>
      </w:r>
      <w:r w:rsidRPr="00DD3E41">
        <w:rPr>
          <w:rFonts w:cs="Arial"/>
          <w:szCs w:val="20"/>
        </w:rPr>
        <w:t>OIT</w:t>
      </w:r>
      <w:r>
        <w:rPr>
          <w:rFonts w:cs="Arial"/>
          <w:szCs w:val="20"/>
        </w:rPr>
        <w:t>,</w:t>
      </w:r>
      <w:r w:rsidRPr="00DD3E41">
        <w:rPr>
          <w:rFonts w:cs="Arial"/>
          <w:szCs w:val="20"/>
        </w:rPr>
        <w:t xml:space="preserve"> le projet de loi et la déclaration du Commissaire </w:t>
      </w:r>
      <w:r w:rsidRPr="004A6A59">
        <w:rPr>
          <w:rFonts w:cs="Arial"/>
          <w:szCs w:val="20"/>
        </w:rPr>
        <w:t xml:space="preserve">du Parlement ukrainien pour les droits de l’homme </w:t>
      </w:r>
      <w:r w:rsidR="00BD341E">
        <w:rPr>
          <w:rFonts w:cs="Arial"/>
          <w:szCs w:val="20"/>
        </w:rPr>
        <w:t>adoptés</w:t>
      </w:r>
      <w:r w:rsidR="00BD341E" w:rsidRPr="004A6A59">
        <w:rPr>
          <w:rFonts w:cs="Arial"/>
          <w:szCs w:val="20"/>
        </w:rPr>
        <w:t xml:space="preserve"> </w:t>
      </w:r>
      <w:r w:rsidRPr="004A6A59">
        <w:rPr>
          <w:rFonts w:cs="Arial"/>
          <w:szCs w:val="20"/>
        </w:rPr>
        <w:t>au cours de cette période</w:t>
      </w:r>
      <w:r>
        <w:rPr>
          <w:rFonts w:cs="Arial"/>
          <w:szCs w:val="20"/>
        </w:rPr>
        <w:t xml:space="preserve">.  </w:t>
      </w:r>
    </w:p>
    <w:p w:rsidR="00586090" w:rsidRPr="00DD3E41" w:rsidRDefault="00586090" w:rsidP="00586090">
      <w:pPr>
        <w:rPr>
          <w:rFonts w:cs="Arial"/>
          <w:szCs w:val="20"/>
        </w:rPr>
      </w:pPr>
    </w:p>
    <w:p w:rsidR="00586090" w:rsidRPr="00DD3E41" w:rsidRDefault="00586090" w:rsidP="00586090">
      <w:pPr>
        <w:rPr>
          <w:rFonts w:cs="Arial"/>
          <w:b/>
          <w:bCs/>
          <w:szCs w:val="20"/>
        </w:rPr>
      </w:pPr>
      <w:r>
        <w:rPr>
          <w:rFonts w:cs="Arial"/>
          <w:b/>
          <w:bCs/>
          <w:szCs w:val="20"/>
        </w:rPr>
        <w:t>É</w:t>
      </w:r>
      <w:r w:rsidRPr="00DD3E41">
        <w:rPr>
          <w:rFonts w:cs="Arial"/>
          <w:b/>
          <w:bCs/>
          <w:szCs w:val="20"/>
        </w:rPr>
        <w:t>tat d’exécution</w:t>
      </w:r>
    </w:p>
    <w:p w:rsidR="00586090" w:rsidRPr="00DD3E41" w:rsidRDefault="00586090" w:rsidP="00586090">
      <w:pPr>
        <w:rPr>
          <w:rFonts w:cs="Arial"/>
          <w:b/>
          <w:bCs/>
          <w:szCs w:val="20"/>
        </w:rPr>
      </w:pPr>
    </w:p>
    <w:p w:rsidR="00586090" w:rsidRPr="00906D6C" w:rsidRDefault="00586090" w:rsidP="00586090">
      <w:pPr>
        <w:pStyle w:val="s746c8714"/>
        <w:spacing w:before="0" w:beforeAutospacing="0" w:after="0" w:afterAutospacing="0"/>
        <w:rPr>
          <w:rFonts w:ascii="Arial" w:hAnsi="Arial" w:cs="Arial"/>
          <w:sz w:val="20"/>
          <w:szCs w:val="20"/>
        </w:rPr>
      </w:pPr>
      <w:r w:rsidRPr="00906D6C">
        <w:rPr>
          <w:rStyle w:val="sae070d1d"/>
          <w:rFonts w:ascii="Arial" w:hAnsi="Arial" w:cs="Arial"/>
          <w:sz w:val="20"/>
          <w:szCs w:val="20"/>
        </w:rPr>
        <w:t xml:space="preserve">Les autorités ukrainiennes ont fourni un plan d’action mis à jour le 15 mars 2017 (voir </w:t>
      </w:r>
      <w:bookmarkStart w:id="2" w:name="_ML_000000000002_VALID"/>
      <w:r w:rsidR="00577F30" w:rsidRPr="00577F30">
        <w:rPr>
          <w:rFonts w:ascii="Arial" w:hAnsi="Arial" w:cs="Arial"/>
          <w:sz w:val="20"/>
          <w:szCs w:val="20"/>
        </w:rPr>
        <w:fldChar w:fldCharType="begin"/>
      </w:r>
      <w:r w:rsidR="00577F30" w:rsidRPr="00577F30">
        <w:rPr>
          <w:rFonts w:ascii="Arial" w:hAnsi="Arial" w:cs="Arial"/>
          <w:sz w:val="20"/>
          <w:szCs w:val="20"/>
        </w:rPr>
        <w:instrText xml:space="preserve"> HYPERLINK "https://search.coe.int/cm/Pages/result_details.aspx?Reference=DH-DD(2017)355" \o "1288th meeting (June 2017) (DH) - Action plan (15/03/2017) - Communication from Ukraine concerning the case of VENIAMIN TYMOSHENKO AND OTHERS v. Ukraine (Application No. 48408/12) [Anglais uniquement]" </w:instrText>
      </w:r>
      <w:r w:rsidR="00577F30" w:rsidRPr="00577F30">
        <w:rPr>
          <w:rFonts w:ascii="Arial" w:hAnsi="Arial" w:cs="Arial"/>
          <w:sz w:val="20"/>
          <w:szCs w:val="20"/>
        </w:rPr>
        <w:fldChar w:fldCharType="separate"/>
      </w:r>
      <w:bookmarkEnd w:id="2"/>
      <w:r w:rsidR="00577F30" w:rsidRPr="00577F30">
        <w:rPr>
          <w:rStyle w:val="Hyperlink"/>
          <w:rFonts w:ascii="Arial" w:hAnsi="Arial" w:cs="Arial"/>
          <w:sz w:val="20"/>
          <w:szCs w:val="20"/>
        </w:rPr>
        <w:t>DH-DD(2017)355</w:t>
      </w:r>
      <w:r w:rsidR="00577F30" w:rsidRPr="00577F30">
        <w:rPr>
          <w:rFonts w:ascii="Arial" w:hAnsi="Arial" w:cs="Arial"/>
          <w:sz w:val="20"/>
          <w:szCs w:val="20"/>
        </w:rPr>
        <w:fldChar w:fldCharType="end"/>
      </w:r>
      <w:r w:rsidRPr="00586090">
        <w:rPr>
          <w:rFonts w:ascii="Arial" w:hAnsi="Arial" w:cs="Arial"/>
          <w:sz w:val="20"/>
          <w:szCs w:val="20"/>
        </w:rPr>
        <w:t>)</w:t>
      </w:r>
      <w:r w:rsidRPr="00586090">
        <w:rPr>
          <w:rStyle w:val="sae070d1d"/>
          <w:rFonts w:ascii="Arial" w:hAnsi="Arial" w:cs="Arial"/>
          <w:sz w:val="20"/>
          <w:szCs w:val="20"/>
        </w:rPr>
        <w:t>,</w:t>
      </w:r>
      <w:r w:rsidRPr="00906D6C">
        <w:rPr>
          <w:rStyle w:val="sae070d1d"/>
          <w:rFonts w:ascii="Arial" w:hAnsi="Arial" w:cs="Arial"/>
          <w:sz w:val="20"/>
          <w:szCs w:val="20"/>
        </w:rPr>
        <w:t xml:space="preserve"> après </w:t>
      </w:r>
      <w:r>
        <w:rPr>
          <w:rStyle w:val="sae070d1d"/>
          <w:rFonts w:ascii="Arial" w:hAnsi="Arial" w:cs="Arial"/>
          <w:sz w:val="20"/>
          <w:szCs w:val="20"/>
        </w:rPr>
        <w:t xml:space="preserve">avoir soumis </w:t>
      </w:r>
      <w:r w:rsidRPr="00906D6C">
        <w:rPr>
          <w:rStyle w:val="sae070d1d"/>
          <w:rFonts w:ascii="Arial" w:hAnsi="Arial" w:cs="Arial"/>
          <w:sz w:val="20"/>
          <w:szCs w:val="20"/>
        </w:rPr>
        <w:t>un plan d</w:t>
      </w:r>
      <w:r>
        <w:rPr>
          <w:rStyle w:val="sae070d1d"/>
          <w:rFonts w:ascii="Arial" w:hAnsi="Arial" w:cs="Arial"/>
          <w:sz w:val="20"/>
          <w:szCs w:val="20"/>
        </w:rPr>
        <w:t>’action le</w:t>
      </w:r>
      <w:r w:rsidRPr="00906D6C">
        <w:rPr>
          <w:rStyle w:val="sae070d1d"/>
          <w:rFonts w:ascii="Arial" w:hAnsi="Arial" w:cs="Arial"/>
          <w:sz w:val="20"/>
          <w:szCs w:val="20"/>
        </w:rPr>
        <w:t xml:space="preserve"> 7 mai 2015 (voir </w:t>
      </w:r>
      <w:bookmarkStart w:id="3" w:name="_ML_000000000003_VALID"/>
      <w:r w:rsidR="00577F30" w:rsidRPr="00577F30">
        <w:rPr>
          <w:rFonts w:ascii="Arial" w:hAnsi="Arial" w:cs="Arial"/>
          <w:sz w:val="20"/>
          <w:szCs w:val="20"/>
        </w:rPr>
        <w:fldChar w:fldCharType="begin"/>
      </w:r>
      <w:r w:rsidR="00577F30" w:rsidRPr="00577F30">
        <w:rPr>
          <w:rFonts w:ascii="Arial" w:hAnsi="Arial" w:cs="Arial"/>
          <w:sz w:val="20"/>
          <w:szCs w:val="20"/>
        </w:rPr>
        <w:instrText xml:space="preserve"> HYPERLINK "https://search.coe.int/cm/Pages/result_details.aspx?Reference=DH-DD(2015)558" \o "1230 meeting (9-11 June 2015) (DH) - Action plan (07/05/2015) - Communication from Ukraine concerning the case of Veniamin Tymoshenko and Others against Ukraine (Application No. 48408/12) [Anglais uniquement]" </w:instrText>
      </w:r>
      <w:r w:rsidR="00577F30" w:rsidRPr="00577F30">
        <w:rPr>
          <w:rFonts w:ascii="Arial" w:hAnsi="Arial" w:cs="Arial"/>
          <w:sz w:val="20"/>
          <w:szCs w:val="20"/>
        </w:rPr>
        <w:fldChar w:fldCharType="separate"/>
      </w:r>
      <w:bookmarkEnd w:id="3"/>
      <w:r w:rsidR="00577F30" w:rsidRPr="00577F30">
        <w:rPr>
          <w:rStyle w:val="Hyperlink"/>
          <w:rFonts w:ascii="Arial" w:hAnsi="Arial" w:cs="Arial"/>
          <w:sz w:val="20"/>
          <w:szCs w:val="20"/>
        </w:rPr>
        <w:t>DH-DD(2015)558</w:t>
      </w:r>
      <w:r w:rsidR="00577F30" w:rsidRPr="00577F30">
        <w:rPr>
          <w:rFonts w:ascii="Arial" w:hAnsi="Arial" w:cs="Arial"/>
          <w:sz w:val="20"/>
          <w:szCs w:val="20"/>
        </w:rPr>
        <w:fldChar w:fldCharType="end"/>
      </w:r>
      <w:r w:rsidRPr="00906D6C">
        <w:rPr>
          <w:rStyle w:val="sae070d1d"/>
          <w:rFonts w:ascii="Arial" w:hAnsi="Arial" w:cs="Arial"/>
          <w:sz w:val="20"/>
          <w:szCs w:val="20"/>
        </w:rPr>
        <w:t xml:space="preserve">). </w:t>
      </w:r>
    </w:p>
    <w:p w:rsidR="00586090" w:rsidRPr="00DD3E41" w:rsidRDefault="00586090" w:rsidP="00586090">
      <w:pPr>
        <w:pStyle w:val="s746c8714"/>
        <w:spacing w:before="0" w:beforeAutospacing="0" w:after="0" w:afterAutospacing="0"/>
        <w:rPr>
          <w:rStyle w:val="s89ec461c"/>
          <w:rFonts w:ascii="Arial" w:hAnsi="Arial" w:cs="Arial"/>
          <w:sz w:val="20"/>
          <w:szCs w:val="20"/>
        </w:rPr>
      </w:pPr>
    </w:p>
    <w:p w:rsidR="00586090" w:rsidRPr="00824EF1" w:rsidRDefault="00586090" w:rsidP="00586090">
      <w:pPr>
        <w:pStyle w:val="HTMLPreformatted"/>
        <w:rPr>
          <w:rFonts w:ascii="Arial" w:hAnsi="Arial" w:cs="Arial"/>
          <w:i/>
          <w:u w:val="single"/>
          <w:lang w:val="fr-FR"/>
        </w:rPr>
      </w:pPr>
      <w:r w:rsidRPr="00824EF1">
        <w:rPr>
          <w:rFonts w:ascii="Arial" w:hAnsi="Arial" w:cs="Arial"/>
          <w:i/>
          <w:u w:val="single"/>
          <w:lang w:val="fr-FR"/>
        </w:rPr>
        <w:t>Mesures individuelles</w:t>
      </w:r>
      <w:r w:rsidRPr="00451082">
        <w:rPr>
          <w:rFonts w:ascii="Arial" w:hAnsi="Arial" w:cs="Arial"/>
          <w:lang w:val="fr-FR"/>
        </w:rPr>
        <w:t xml:space="preserve"> : </w:t>
      </w:r>
    </w:p>
    <w:p w:rsidR="00586090" w:rsidRPr="00DD3E41" w:rsidRDefault="00586090" w:rsidP="00586090">
      <w:pPr>
        <w:pStyle w:val="HTMLPreformatted"/>
        <w:rPr>
          <w:rFonts w:ascii="Arial" w:hAnsi="Arial" w:cs="Arial"/>
          <w:lang w:val="fr-FR"/>
        </w:rPr>
      </w:pPr>
    </w:p>
    <w:p w:rsidR="00BD341E" w:rsidRDefault="00586090" w:rsidP="00BD341E">
      <w:pPr>
        <w:pStyle w:val="HTMLPreformatted"/>
        <w:rPr>
          <w:rFonts w:ascii="Arial" w:hAnsi="Arial" w:cs="Arial"/>
          <w:lang w:val="fr-FR"/>
        </w:rPr>
      </w:pPr>
      <w:r w:rsidRPr="00DD3E41">
        <w:rPr>
          <w:rFonts w:ascii="Arial" w:hAnsi="Arial" w:cs="Arial"/>
          <w:lang w:val="fr-FR"/>
        </w:rPr>
        <w:t xml:space="preserve">La satisfaction équitable accordée par la Cour européenne </w:t>
      </w:r>
      <w:r>
        <w:rPr>
          <w:rFonts w:ascii="Arial" w:hAnsi="Arial" w:cs="Arial"/>
          <w:lang w:val="fr-FR"/>
        </w:rPr>
        <w:t>à titre de</w:t>
      </w:r>
      <w:r w:rsidRPr="00DD3E41">
        <w:rPr>
          <w:rFonts w:ascii="Arial" w:hAnsi="Arial" w:cs="Arial"/>
          <w:lang w:val="fr-FR"/>
        </w:rPr>
        <w:t xml:space="preserve"> préjudice moral a été versée aux requérants.</w:t>
      </w:r>
      <w:r w:rsidR="00BD341E">
        <w:rPr>
          <w:rFonts w:ascii="Arial" w:hAnsi="Arial" w:cs="Arial"/>
          <w:lang w:val="fr-FR"/>
        </w:rPr>
        <w:t xml:space="preserve"> </w:t>
      </w:r>
      <w:r>
        <w:rPr>
          <w:rFonts w:ascii="Arial" w:hAnsi="Arial" w:cs="Arial"/>
          <w:lang w:val="fr-FR"/>
        </w:rPr>
        <w:t>Les autorités estiment qu’</w:t>
      </w:r>
      <w:r w:rsidRPr="00DD3E41">
        <w:rPr>
          <w:rFonts w:ascii="Arial" w:hAnsi="Arial" w:cs="Arial"/>
          <w:lang w:val="fr-FR"/>
        </w:rPr>
        <w:t>aucune autre mesure individuelle n</w:t>
      </w:r>
      <w:r>
        <w:rPr>
          <w:rFonts w:ascii="Arial" w:hAnsi="Arial" w:cs="Arial"/>
          <w:lang w:val="fr-FR"/>
        </w:rPr>
        <w:t>’</w:t>
      </w:r>
      <w:r w:rsidRPr="00DD3E41">
        <w:rPr>
          <w:rFonts w:ascii="Arial" w:hAnsi="Arial" w:cs="Arial"/>
          <w:lang w:val="fr-FR"/>
        </w:rPr>
        <w:t>est requise dans les circonstances de la présente affaire.</w:t>
      </w:r>
    </w:p>
    <w:p w:rsidR="007E0F73" w:rsidRDefault="007E0F73" w:rsidP="00586090">
      <w:pPr>
        <w:pStyle w:val="HTMLPreformatted"/>
        <w:rPr>
          <w:rFonts w:ascii="Arial" w:hAnsi="Arial" w:cs="Arial"/>
          <w:i/>
          <w:u w:val="single"/>
          <w:lang w:val="fr-FR"/>
        </w:rPr>
      </w:pPr>
    </w:p>
    <w:p w:rsidR="00586090" w:rsidRPr="00824EF1" w:rsidRDefault="00586090" w:rsidP="00586090">
      <w:pPr>
        <w:pStyle w:val="HTMLPreformatted"/>
        <w:rPr>
          <w:rFonts w:ascii="Arial" w:hAnsi="Arial" w:cs="Arial"/>
          <w:i/>
          <w:u w:val="single"/>
          <w:lang w:val="fr-FR"/>
        </w:rPr>
      </w:pPr>
      <w:r w:rsidRPr="00824EF1">
        <w:rPr>
          <w:rFonts w:ascii="Arial" w:hAnsi="Arial" w:cs="Arial"/>
          <w:i/>
          <w:u w:val="single"/>
          <w:lang w:val="fr-FR"/>
        </w:rPr>
        <w:t>Mesures générales</w:t>
      </w:r>
      <w:r w:rsidRPr="00451082">
        <w:rPr>
          <w:rFonts w:ascii="Arial" w:hAnsi="Arial" w:cs="Arial"/>
          <w:lang w:val="fr-FR"/>
        </w:rPr>
        <w:t> :</w:t>
      </w:r>
      <w:r>
        <w:rPr>
          <w:rFonts w:ascii="Arial" w:hAnsi="Arial" w:cs="Arial"/>
          <w:i/>
          <w:u w:val="single"/>
          <w:lang w:val="fr-FR"/>
        </w:rPr>
        <w:t xml:space="preserve"> </w:t>
      </w:r>
    </w:p>
    <w:p w:rsidR="00586090" w:rsidRPr="00DD3E41" w:rsidRDefault="00586090" w:rsidP="00586090">
      <w:pPr>
        <w:pStyle w:val="HTMLPreformatted"/>
        <w:rPr>
          <w:rFonts w:ascii="Arial" w:hAnsi="Arial" w:cs="Arial"/>
          <w:lang w:val="fr-FR"/>
        </w:rPr>
      </w:pPr>
    </w:p>
    <w:p w:rsidR="00586090" w:rsidRPr="00824EF1" w:rsidRDefault="00586090" w:rsidP="00586090">
      <w:pPr>
        <w:pStyle w:val="HTMLPreformatted"/>
        <w:rPr>
          <w:rFonts w:ascii="Arial" w:hAnsi="Arial" w:cs="Arial"/>
          <w:i/>
          <w:lang w:val="fr-FR"/>
        </w:rPr>
      </w:pPr>
      <w:r w:rsidRPr="00824EF1">
        <w:rPr>
          <w:rFonts w:ascii="Arial" w:hAnsi="Arial" w:cs="Arial"/>
          <w:i/>
          <w:lang w:val="fr-FR"/>
        </w:rPr>
        <w:t>1) Modifications législatives</w:t>
      </w:r>
    </w:p>
    <w:p w:rsidR="00586090" w:rsidRPr="00DD3E41" w:rsidRDefault="00586090" w:rsidP="00586090">
      <w:pPr>
        <w:pStyle w:val="HTMLPreformatted"/>
        <w:rPr>
          <w:rFonts w:ascii="Arial" w:hAnsi="Arial" w:cs="Arial"/>
          <w:lang w:val="fr-FR"/>
        </w:rPr>
      </w:pPr>
    </w:p>
    <w:p w:rsidR="00586090" w:rsidRPr="00DD3E41" w:rsidRDefault="00586090" w:rsidP="008E3453">
      <w:pPr>
        <w:pStyle w:val="HTMLPreformatted"/>
        <w:rPr>
          <w:rFonts w:ascii="Arial" w:hAnsi="Arial" w:cs="Arial"/>
          <w:lang w:val="fr-FR"/>
        </w:rPr>
      </w:pPr>
      <w:r>
        <w:rPr>
          <w:rFonts w:ascii="Arial" w:hAnsi="Arial" w:cs="Arial"/>
          <w:lang w:val="fr-FR"/>
        </w:rPr>
        <w:t>Les autorités ont souligné que d</w:t>
      </w:r>
      <w:r w:rsidRPr="00DD3E41">
        <w:rPr>
          <w:rFonts w:ascii="Arial" w:hAnsi="Arial" w:cs="Arial"/>
          <w:lang w:val="fr-FR"/>
        </w:rPr>
        <w:t xml:space="preserve">es amendements à la </w:t>
      </w:r>
      <w:r w:rsidR="000739B9">
        <w:rPr>
          <w:rFonts w:ascii="Arial" w:hAnsi="Arial" w:cs="Arial"/>
          <w:lang w:val="fr-FR"/>
        </w:rPr>
        <w:t>l</w:t>
      </w:r>
      <w:r w:rsidR="000739B9" w:rsidRPr="00DD3E41">
        <w:rPr>
          <w:rFonts w:ascii="Arial" w:hAnsi="Arial" w:cs="Arial"/>
          <w:lang w:val="fr-FR"/>
        </w:rPr>
        <w:t xml:space="preserve">oi </w:t>
      </w:r>
      <w:r w:rsidRPr="00DD3E41">
        <w:rPr>
          <w:rFonts w:ascii="Arial" w:hAnsi="Arial" w:cs="Arial"/>
          <w:lang w:val="fr-FR"/>
        </w:rPr>
        <w:t xml:space="preserve">sur les transports </w:t>
      </w:r>
      <w:r w:rsidR="000739B9">
        <w:rPr>
          <w:rFonts w:ascii="Arial" w:hAnsi="Arial" w:cs="Arial"/>
          <w:lang w:val="fr-FR"/>
        </w:rPr>
        <w:t>étai</w:t>
      </w:r>
      <w:r w:rsidR="008E3453">
        <w:rPr>
          <w:rFonts w:ascii="Arial" w:hAnsi="Arial" w:cs="Arial"/>
          <w:lang w:val="fr-FR"/>
        </w:rPr>
        <w:t>ent</w:t>
      </w:r>
      <w:r w:rsidR="000739B9">
        <w:rPr>
          <w:rFonts w:ascii="Arial" w:hAnsi="Arial" w:cs="Arial"/>
          <w:lang w:val="fr-FR"/>
        </w:rPr>
        <w:t xml:space="preserve"> </w:t>
      </w:r>
      <w:r>
        <w:rPr>
          <w:rFonts w:ascii="Arial" w:hAnsi="Arial" w:cs="Arial"/>
          <w:lang w:val="fr-FR"/>
        </w:rPr>
        <w:t>nécessaires pour répondre aux défaillances constatées par la Cour en l’</w:t>
      </w:r>
      <w:r w:rsidRPr="00DD3E41">
        <w:rPr>
          <w:rFonts w:ascii="Arial" w:hAnsi="Arial" w:cs="Arial"/>
          <w:lang w:val="fr-FR"/>
        </w:rPr>
        <w:t>espèce.</w:t>
      </w:r>
    </w:p>
    <w:p w:rsidR="00586090" w:rsidRPr="00DD3E41" w:rsidRDefault="00586090" w:rsidP="00586090">
      <w:pPr>
        <w:pStyle w:val="HTMLPreformatted"/>
        <w:rPr>
          <w:rFonts w:ascii="Arial" w:hAnsi="Arial" w:cs="Arial"/>
          <w:lang w:val="fr-FR"/>
        </w:rPr>
      </w:pPr>
    </w:p>
    <w:p w:rsidR="00F62494" w:rsidRDefault="00586090" w:rsidP="00F62494">
      <w:pPr>
        <w:pStyle w:val="HTMLPreformatted"/>
        <w:rPr>
          <w:rFonts w:ascii="Arial" w:hAnsi="Arial" w:cs="Arial"/>
          <w:lang w:val="fr-FR"/>
        </w:rPr>
      </w:pPr>
      <w:r w:rsidRPr="00DD3E41">
        <w:rPr>
          <w:rFonts w:ascii="Arial" w:hAnsi="Arial" w:cs="Arial"/>
          <w:lang w:val="fr-FR"/>
        </w:rPr>
        <w:t xml:space="preserve">Le </w:t>
      </w:r>
      <w:r>
        <w:rPr>
          <w:rFonts w:ascii="Arial" w:hAnsi="Arial" w:cs="Arial"/>
          <w:lang w:val="fr-FR"/>
        </w:rPr>
        <w:t>11 mai 2016, un projet de loi n</w:t>
      </w:r>
      <w:r w:rsidRPr="00DD3E41">
        <w:rPr>
          <w:rFonts w:ascii="Arial" w:hAnsi="Arial" w:cs="Arial"/>
          <w:lang w:val="fr-FR"/>
        </w:rPr>
        <w:t>° 4639 a été soumis au Parlement. Un premier examen du projet de loi devait avoir lieu les 14 et 17 mars 2017 lors de la session plénière de la</w:t>
      </w:r>
      <w:r>
        <w:rPr>
          <w:rFonts w:ascii="Arial" w:hAnsi="Arial" w:cs="Arial"/>
          <w:lang w:val="fr-FR"/>
        </w:rPr>
        <w:t xml:space="preserve"> </w:t>
      </w:r>
      <w:proofErr w:type="spellStart"/>
      <w:r>
        <w:rPr>
          <w:rFonts w:ascii="Arial" w:hAnsi="Arial" w:cs="Arial"/>
          <w:lang w:val="fr-FR"/>
        </w:rPr>
        <w:t>Verkhovna</w:t>
      </w:r>
      <w:proofErr w:type="spellEnd"/>
      <w:r>
        <w:rPr>
          <w:rFonts w:ascii="Arial" w:hAnsi="Arial" w:cs="Arial"/>
          <w:lang w:val="fr-FR"/>
        </w:rPr>
        <w:t xml:space="preserve"> Rada d’Ukraine. </w:t>
      </w:r>
    </w:p>
    <w:p w:rsidR="00F62494" w:rsidRDefault="00F62494" w:rsidP="00F62494">
      <w:pPr>
        <w:pStyle w:val="HTMLPreformatted"/>
        <w:rPr>
          <w:rFonts w:ascii="Arial" w:hAnsi="Arial" w:cs="Arial"/>
          <w:lang w:val="fr-FR"/>
        </w:rPr>
      </w:pPr>
    </w:p>
    <w:p w:rsidR="00586090" w:rsidRDefault="00586090" w:rsidP="00F62494">
      <w:pPr>
        <w:pStyle w:val="HTMLPreformatted"/>
        <w:rPr>
          <w:rFonts w:ascii="Arial" w:hAnsi="Arial" w:cs="Arial"/>
          <w:lang w:val="fr-FR"/>
        </w:rPr>
      </w:pPr>
      <w:r>
        <w:rPr>
          <w:rFonts w:ascii="Arial" w:hAnsi="Arial" w:cs="Arial"/>
          <w:lang w:val="fr-FR"/>
        </w:rPr>
        <w:lastRenderedPageBreak/>
        <w:t>L’</w:t>
      </w:r>
      <w:r w:rsidRPr="00DD3E41">
        <w:rPr>
          <w:rFonts w:ascii="Arial" w:hAnsi="Arial" w:cs="Arial"/>
          <w:lang w:val="fr-FR"/>
        </w:rPr>
        <w:t xml:space="preserve">objectif du projet de loi était de remédier aux incohérences entre la loi de 1994 sur les transports (article 18), la loi de 1998 sur </w:t>
      </w:r>
      <w:r>
        <w:rPr>
          <w:rFonts w:ascii="Arial" w:hAnsi="Arial" w:cs="Arial"/>
          <w:lang w:val="fr-FR"/>
        </w:rPr>
        <w:t>la résolution d</w:t>
      </w:r>
      <w:r w:rsidRPr="00DD3E41">
        <w:rPr>
          <w:rFonts w:ascii="Arial" w:hAnsi="Arial" w:cs="Arial"/>
          <w:lang w:val="fr-FR"/>
        </w:rPr>
        <w:t>es conflits du travail (</w:t>
      </w:r>
      <w:r>
        <w:rPr>
          <w:rFonts w:ascii="Arial" w:hAnsi="Arial" w:cs="Arial"/>
          <w:lang w:val="fr-FR"/>
        </w:rPr>
        <w:t>article 24) et la Constitution.</w:t>
      </w:r>
      <w:r w:rsidR="00F62494">
        <w:rPr>
          <w:rFonts w:ascii="Arial" w:hAnsi="Arial" w:cs="Arial"/>
          <w:lang w:val="fr-FR"/>
        </w:rPr>
        <w:t xml:space="preserve"> Il</w:t>
      </w:r>
      <w:r w:rsidRPr="00DD3E41">
        <w:rPr>
          <w:rFonts w:ascii="Arial" w:hAnsi="Arial" w:cs="Arial"/>
          <w:lang w:val="fr-FR"/>
        </w:rPr>
        <w:t xml:space="preserve"> p</w:t>
      </w:r>
      <w:r>
        <w:rPr>
          <w:rFonts w:ascii="Arial" w:hAnsi="Arial" w:cs="Arial"/>
          <w:lang w:val="fr-FR"/>
        </w:rPr>
        <w:t>révoit un nouveau libellé de l’</w:t>
      </w:r>
      <w:r w:rsidRPr="00DD3E41">
        <w:rPr>
          <w:rFonts w:ascii="Arial" w:hAnsi="Arial" w:cs="Arial"/>
          <w:lang w:val="fr-FR"/>
        </w:rPr>
        <w:t>article 18 de la loi de 1994 sur les transports, à savoir</w:t>
      </w:r>
      <w:r>
        <w:rPr>
          <w:rFonts w:ascii="Arial" w:hAnsi="Arial" w:cs="Arial"/>
          <w:lang w:val="fr-FR"/>
        </w:rPr>
        <w:t xml:space="preserve"> </w:t>
      </w:r>
      <w:r w:rsidRPr="00DD3E41">
        <w:rPr>
          <w:rFonts w:ascii="Arial" w:hAnsi="Arial" w:cs="Arial"/>
          <w:lang w:val="fr-FR"/>
        </w:rPr>
        <w:t>: «</w:t>
      </w:r>
      <w:r>
        <w:rPr>
          <w:rFonts w:ascii="Arial" w:hAnsi="Arial" w:cs="Arial"/>
          <w:lang w:val="fr-FR"/>
        </w:rPr>
        <w:t xml:space="preserve"> </w:t>
      </w:r>
      <w:r w:rsidRPr="00DD3E41">
        <w:rPr>
          <w:rFonts w:ascii="Arial" w:hAnsi="Arial" w:cs="Arial"/>
          <w:lang w:val="fr-FR"/>
        </w:rPr>
        <w:t xml:space="preserve">une grève </w:t>
      </w:r>
      <w:r>
        <w:rPr>
          <w:rFonts w:ascii="Arial" w:hAnsi="Arial" w:cs="Arial"/>
          <w:lang w:val="fr-FR"/>
        </w:rPr>
        <w:t>dans l</w:t>
      </w:r>
      <w:r w:rsidRPr="00DD3E41">
        <w:rPr>
          <w:rFonts w:ascii="Arial" w:hAnsi="Arial" w:cs="Arial"/>
          <w:lang w:val="fr-FR"/>
        </w:rPr>
        <w:t>es entreprises de transport doit être effectuée conformément à la législation sur la procédure de règlement des conflits collectifs du travail (conflits)</w:t>
      </w:r>
      <w:r>
        <w:rPr>
          <w:rFonts w:ascii="Arial" w:hAnsi="Arial" w:cs="Arial"/>
          <w:lang w:val="fr-FR"/>
        </w:rPr>
        <w:t xml:space="preserve"> </w:t>
      </w:r>
      <w:r w:rsidRPr="00DD3E41">
        <w:rPr>
          <w:rFonts w:ascii="Arial" w:hAnsi="Arial" w:cs="Arial"/>
          <w:lang w:val="fr-FR"/>
        </w:rPr>
        <w:t xml:space="preserve">». Il ressort de la Note </w:t>
      </w:r>
      <w:r>
        <w:rPr>
          <w:rFonts w:ascii="Arial" w:hAnsi="Arial" w:cs="Arial"/>
          <w:lang w:val="fr-FR"/>
        </w:rPr>
        <w:t>explicative du projet de loi qu’</w:t>
      </w:r>
      <w:r w:rsidRPr="00DD3E41">
        <w:rPr>
          <w:rFonts w:ascii="Arial" w:hAnsi="Arial" w:cs="Arial"/>
          <w:lang w:val="fr-FR"/>
        </w:rPr>
        <w:t>il a</w:t>
      </w:r>
      <w:r>
        <w:rPr>
          <w:rFonts w:ascii="Arial" w:hAnsi="Arial" w:cs="Arial"/>
          <w:lang w:val="fr-FR"/>
        </w:rPr>
        <w:t xml:space="preserve"> été soumis à l’examen du Parlement en vue d’</w:t>
      </w:r>
      <w:r w:rsidRPr="00DD3E41">
        <w:rPr>
          <w:rFonts w:ascii="Arial" w:hAnsi="Arial" w:cs="Arial"/>
          <w:lang w:val="fr-FR"/>
        </w:rPr>
        <w:t>exécuter le ju</w:t>
      </w:r>
      <w:r>
        <w:rPr>
          <w:rFonts w:ascii="Arial" w:hAnsi="Arial" w:cs="Arial"/>
          <w:lang w:val="fr-FR"/>
        </w:rPr>
        <w:t xml:space="preserve">gement rendu dans l’affaire </w:t>
      </w:r>
      <w:proofErr w:type="spellStart"/>
      <w:r w:rsidRPr="00824EF1">
        <w:rPr>
          <w:rFonts w:ascii="Arial" w:hAnsi="Arial" w:cs="Arial"/>
          <w:i/>
          <w:lang w:val="fr-FR"/>
        </w:rPr>
        <w:t>Veniamin</w:t>
      </w:r>
      <w:proofErr w:type="spellEnd"/>
      <w:r w:rsidRPr="00824EF1">
        <w:rPr>
          <w:rFonts w:ascii="Arial" w:hAnsi="Arial" w:cs="Arial"/>
          <w:i/>
          <w:lang w:val="fr-FR"/>
        </w:rPr>
        <w:t xml:space="preserve"> </w:t>
      </w:r>
      <w:proofErr w:type="spellStart"/>
      <w:r w:rsidRPr="00824EF1">
        <w:rPr>
          <w:rFonts w:ascii="Arial" w:hAnsi="Arial" w:cs="Arial"/>
          <w:i/>
          <w:lang w:val="fr-FR"/>
        </w:rPr>
        <w:t>Tymoshenko</w:t>
      </w:r>
      <w:proofErr w:type="spellEnd"/>
      <w:r w:rsidRPr="00824EF1">
        <w:rPr>
          <w:rFonts w:ascii="Arial" w:hAnsi="Arial" w:cs="Arial"/>
          <w:i/>
          <w:lang w:val="fr-FR"/>
        </w:rPr>
        <w:t xml:space="preserve"> et autres</w:t>
      </w:r>
      <w:r w:rsidRPr="00DD3E41">
        <w:rPr>
          <w:rFonts w:ascii="Arial" w:hAnsi="Arial" w:cs="Arial"/>
          <w:lang w:val="fr-FR"/>
        </w:rPr>
        <w:t>. Le projet de loi a reçu des commentaires positifs des com</w:t>
      </w:r>
      <w:r>
        <w:rPr>
          <w:rFonts w:ascii="Arial" w:hAnsi="Arial" w:cs="Arial"/>
          <w:lang w:val="fr-FR"/>
        </w:rPr>
        <w:t>missions</w:t>
      </w:r>
      <w:r w:rsidRPr="00DD3E41">
        <w:rPr>
          <w:rFonts w:ascii="Arial" w:hAnsi="Arial" w:cs="Arial"/>
          <w:lang w:val="fr-FR"/>
        </w:rPr>
        <w:t xml:space="preserve"> parlementaires compétent</w:t>
      </w:r>
      <w:r>
        <w:rPr>
          <w:rFonts w:ascii="Arial" w:hAnsi="Arial" w:cs="Arial"/>
          <w:lang w:val="fr-FR"/>
        </w:rPr>
        <w:t>e</w:t>
      </w:r>
      <w:r w:rsidRPr="00DD3E41">
        <w:rPr>
          <w:rFonts w:ascii="Arial" w:hAnsi="Arial" w:cs="Arial"/>
          <w:lang w:val="fr-FR"/>
        </w:rPr>
        <w:t>s, ainsi</w:t>
      </w:r>
      <w:r>
        <w:rPr>
          <w:rFonts w:ascii="Arial" w:hAnsi="Arial" w:cs="Arial"/>
          <w:lang w:val="fr-FR"/>
        </w:rPr>
        <w:t xml:space="preserve"> que des syndicats concernés.</w:t>
      </w:r>
    </w:p>
    <w:p w:rsidR="00586090" w:rsidRDefault="00586090" w:rsidP="00586090">
      <w:pPr>
        <w:pStyle w:val="HTMLPreformatted"/>
        <w:rPr>
          <w:rFonts w:ascii="Arial" w:hAnsi="Arial" w:cs="Arial"/>
          <w:lang w:val="fr-FR"/>
        </w:rPr>
      </w:pPr>
    </w:p>
    <w:p w:rsidR="00586090" w:rsidRDefault="00586090" w:rsidP="007626E6">
      <w:pPr>
        <w:pStyle w:val="HTMLPreformatted"/>
        <w:rPr>
          <w:rFonts w:ascii="Arial" w:hAnsi="Arial" w:cs="Arial"/>
          <w:lang w:val="fr-FR"/>
        </w:rPr>
      </w:pPr>
      <w:r>
        <w:rPr>
          <w:rFonts w:ascii="Arial" w:hAnsi="Arial" w:cs="Arial"/>
          <w:lang w:val="fr-FR"/>
        </w:rPr>
        <w:t xml:space="preserve">Les autorités ont </w:t>
      </w:r>
      <w:r w:rsidR="00F62494">
        <w:rPr>
          <w:rFonts w:ascii="Arial" w:hAnsi="Arial" w:cs="Arial"/>
          <w:lang w:val="fr-FR"/>
        </w:rPr>
        <w:t xml:space="preserve">indiqué </w:t>
      </w:r>
      <w:r>
        <w:rPr>
          <w:rFonts w:ascii="Arial" w:hAnsi="Arial" w:cs="Arial"/>
          <w:lang w:val="fr-FR"/>
        </w:rPr>
        <w:t>qu’u</w:t>
      </w:r>
      <w:r w:rsidRPr="00DD3E41">
        <w:rPr>
          <w:rFonts w:ascii="Arial" w:hAnsi="Arial" w:cs="Arial"/>
          <w:lang w:val="fr-FR"/>
        </w:rPr>
        <w:t xml:space="preserve">ne fois adopté, le projet de loi harmoniserait </w:t>
      </w:r>
      <w:r w:rsidR="00945F0B">
        <w:rPr>
          <w:rFonts w:ascii="Arial" w:hAnsi="Arial" w:cs="Arial"/>
          <w:lang w:val="fr-FR"/>
        </w:rPr>
        <w:t>la réglementation sur le droit de</w:t>
      </w:r>
      <w:r>
        <w:rPr>
          <w:rFonts w:ascii="Arial" w:hAnsi="Arial" w:cs="Arial"/>
          <w:lang w:val="fr-FR"/>
        </w:rPr>
        <w:t xml:space="preserve"> grève dans l’</w:t>
      </w:r>
      <w:r w:rsidRPr="00DD3E41">
        <w:rPr>
          <w:rFonts w:ascii="Arial" w:hAnsi="Arial" w:cs="Arial"/>
          <w:lang w:val="fr-FR"/>
        </w:rPr>
        <w:t>industrie des transports avec la législation sur les conflits collectifs du travail</w:t>
      </w:r>
      <w:r w:rsidR="00185F77">
        <w:rPr>
          <w:rFonts w:ascii="Arial" w:hAnsi="Arial" w:cs="Arial"/>
          <w:lang w:val="fr-FR"/>
        </w:rPr>
        <w:t xml:space="preserve"> dans d’autres secteurs</w:t>
      </w:r>
      <w:r w:rsidRPr="00DD3E41">
        <w:rPr>
          <w:rFonts w:ascii="Arial" w:hAnsi="Arial" w:cs="Arial"/>
          <w:lang w:val="fr-FR"/>
        </w:rPr>
        <w:t>.</w:t>
      </w:r>
    </w:p>
    <w:p w:rsidR="00586090" w:rsidRPr="00451082" w:rsidRDefault="00586090" w:rsidP="00586090">
      <w:pPr>
        <w:pStyle w:val="HTMLPreformatted"/>
        <w:rPr>
          <w:rFonts w:ascii="Arial" w:hAnsi="Arial" w:cs="Arial"/>
          <w:i/>
          <w:lang w:val="fr-FR"/>
        </w:rPr>
      </w:pPr>
    </w:p>
    <w:p w:rsidR="00586090" w:rsidRDefault="00586090" w:rsidP="00586090">
      <w:pPr>
        <w:pStyle w:val="HTMLPreformatted"/>
        <w:rPr>
          <w:rFonts w:ascii="Arial" w:hAnsi="Arial" w:cs="Arial"/>
          <w:lang w:val="fr-FR"/>
        </w:rPr>
      </w:pPr>
      <w:r>
        <w:rPr>
          <w:rFonts w:ascii="Arial" w:hAnsi="Arial" w:cs="Arial"/>
          <w:i/>
          <w:lang w:val="fr-FR"/>
        </w:rPr>
        <w:t>2) Pratique nationale</w:t>
      </w:r>
    </w:p>
    <w:p w:rsidR="00586090" w:rsidRPr="00DD3E41" w:rsidRDefault="00586090" w:rsidP="00586090">
      <w:pPr>
        <w:pStyle w:val="HTMLPreformatted"/>
        <w:rPr>
          <w:rFonts w:ascii="Arial" w:hAnsi="Arial" w:cs="Arial"/>
          <w:lang w:val="fr-FR"/>
        </w:rPr>
      </w:pPr>
    </w:p>
    <w:p w:rsidR="00586090" w:rsidRDefault="00586090" w:rsidP="00945F0B">
      <w:pPr>
        <w:pStyle w:val="HTMLPreformatted"/>
        <w:rPr>
          <w:rFonts w:ascii="Arial" w:hAnsi="Arial" w:cs="Arial"/>
          <w:lang w:val="fr-FR"/>
        </w:rPr>
      </w:pPr>
      <w:r w:rsidRPr="00DD3E41">
        <w:rPr>
          <w:rFonts w:ascii="Arial" w:hAnsi="Arial" w:cs="Arial"/>
          <w:lang w:val="fr-FR"/>
        </w:rPr>
        <w:t>Les auto</w:t>
      </w:r>
      <w:r>
        <w:rPr>
          <w:rFonts w:ascii="Arial" w:hAnsi="Arial" w:cs="Arial"/>
          <w:lang w:val="fr-FR"/>
        </w:rPr>
        <w:t>rités ont informé le Comité que</w:t>
      </w:r>
      <w:r w:rsidRPr="00DD3E41">
        <w:rPr>
          <w:rFonts w:ascii="Arial" w:hAnsi="Arial" w:cs="Arial"/>
          <w:lang w:val="fr-FR"/>
        </w:rPr>
        <w:t xml:space="preserve"> depuis le 1</w:t>
      </w:r>
      <w:r w:rsidRPr="00451082">
        <w:rPr>
          <w:rFonts w:ascii="Arial" w:hAnsi="Arial" w:cs="Arial"/>
          <w:vertAlign w:val="superscript"/>
          <w:lang w:val="fr-FR"/>
        </w:rPr>
        <w:t>er</w:t>
      </w:r>
      <w:r>
        <w:rPr>
          <w:rFonts w:ascii="Arial" w:hAnsi="Arial" w:cs="Arial"/>
          <w:lang w:val="fr-FR"/>
        </w:rPr>
        <w:t xml:space="preserve"> janvier 2014, l’</w:t>
      </w:r>
      <w:r w:rsidRPr="00DD3E41">
        <w:rPr>
          <w:rFonts w:ascii="Arial" w:hAnsi="Arial" w:cs="Arial"/>
          <w:lang w:val="fr-FR"/>
        </w:rPr>
        <w:t>article 18</w:t>
      </w:r>
      <w:r>
        <w:rPr>
          <w:rFonts w:ascii="Arial" w:hAnsi="Arial" w:cs="Arial"/>
          <w:lang w:val="fr-FR"/>
        </w:rPr>
        <w:t xml:space="preserve"> de la </w:t>
      </w:r>
      <w:r w:rsidR="00945F0B">
        <w:rPr>
          <w:rFonts w:ascii="Arial" w:hAnsi="Arial" w:cs="Arial"/>
          <w:lang w:val="fr-FR"/>
        </w:rPr>
        <w:t xml:space="preserve">loi </w:t>
      </w:r>
      <w:r>
        <w:rPr>
          <w:rFonts w:ascii="Arial" w:hAnsi="Arial" w:cs="Arial"/>
          <w:lang w:val="fr-FR"/>
        </w:rPr>
        <w:t>sur les transports n’</w:t>
      </w:r>
      <w:r w:rsidRPr="00DD3E41">
        <w:rPr>
          <w:rFonts w:ascii="Arial" w:hAnsi="Arial" w:cs="Arial"/>
          <w:lang w:val="fr-FR"/>
        </w:rPr>
        <w:t>a jamais été appliqué par les trib</w:t>
      </w:r>
      <w:r>
        <w:rPr>
          <w:rFonts w:ascii="Arial" w:hAnsi="Arial" w:cs="Arial"/>
          <w:lang w:val="fr-FR"/>
        </w:rPr>
        <w:t>unaux nationaux pour interdire d</w:t>
      </w:r>
      <w:r w:rsidRPr="00DD3E41">
        <w:rPr>
          <w:rFonts w:ascii="Arial" w:hAnsi="Arial" w:cs="Arial"/>
          <w:lang w:val="fr-FR"/>
        </w:rPr>
        <w:t>es grèves dan</w:t>
      </w:r>
      <w:r>
        <w:rPr>
          <w:rFonts w:ascii="Arial" w:hAnsi="Arial" w:cs="Arial"/>
          <w:lang w:val="fr-FR"/>
        </w:rPr>
        <w:t>s les entreprises de transport.</w:t>
      </w:r>
    </w:p>
    <w:p w:rsidR="00586090" w:rsidRDefault="00586090" w:rsidP="00586090">
      <w:pPr>
        <w:pStyle w:val="HTMLPreformatted"/>
        <w:rPr>
          <w:rFonts w:ascii="Arial" w:hAnsi="Arial" w:cs="Arial"/>
          <w:lang w:val="fr-FR"/>
        </w:rPr>
      </w:pPr>
    </w:p>
    <w:p w:rsidR="00586090" w:rsidRDefault="00586090" w:rsidP="00945F0B">
      <w:pPr>
        <w:pStyle w:val="HTMLPreformatted"/>
        <w:rPr>
          <w:rFonts w:ascii="Arial" w:hAnsi="Arial" w:cs="Arial"/>
          <w:lang w:val="fr-FR"/>
        </w:rPr>
      </w:pPr>
      <w:r>
        <w:rPr>
          <w:rFonts w:ascii="Arial" w:hAnsi="Arial" w:cs="Arial"/>
          <w:lang w:val="fr-FR"/>
        </w:rPr>
        <w:t>Elles</w:t>
      </w:r>
      <w:r w:rsidRPr="00DD3E41">
        <w:rPr>
          <w:rFonts w:ascii="Arial" w:hAnsi="Arial" w:cs="Arial"/>
          <w:lang w:val="fr-FR"/>
        </w:rPr>
        <w:t xml:space="preserve"> ont également fourni plusieurs exemples de déc</w:t>
      </w:r>
      <w:r>
        <w:rPr>
          <w:rFonts w:ascii="Arial" w:hAnsi="Arial" w:cs="Arial"/>
          <w:lang w:val="fr-FR"/>
        </w:rPr>
        <w:t>isions judiciaires interdisant d</w:t>
      </w:r>
      <w:r w:rsidRPr="00DD3E41">
        <w:rPr>
          <w:rFonts w:ascii="Arial" w:hAnsi="Arial" w:cs="Arial"/>
          <w:lang w:val="fr-FR"/>
        </w:rPr>
        <w:t xml:space="preserve">es grèves ordinaires (dans </w:t>
      </w:r>
      <w:r>
        <w:rPr>
          <w:rFonts w:ascii="Arial" w:hAnsi="Arial" w:cs="Arial"/>
          <w:lang w:val="fr-FR"/>
        </w:rPr>
        <w:t xml:space="preserve">d’autres </w:t>
      </w:r>
      <w:r w:rsidRPr="00DD3E41">
        <w:rPr>
          <w:rFonts w:ascii="Arial" w:hAnsi="Arial" w:cs="Arial"/>
          <w:lang w:val="fr-FR"/>
        </w:rPr>
        <w:t>secteur</w:t>
      </w:r>
      <w:r>
        <w:rPr>
          <w:rFonts w:ascii="Arial" w:hAnsi="Arial" w:cs="Arial"/>
          <w:lang w:val="fr-FR"/>
        </w:rPr>
        <w:t xml:space="preserve">s que le </w:t>
      </w:r>
      <w:r w:rsidRPr="00DD3E41">
        <w:rPr>
          <w:rFonts w:ascii="Arial" w:hAnsi="Arial" w:cs="Arial"/>
          <w:lang w:val="fr-FR"/>
        </w:rPr>
        <w:t>transport), où les tribunaux nationaux ont appliqué</w:t>
      </w:r>
      <w:r>
        <w:rPr>
          <w:rFonts w:ascii="Arial" w:hAnsi="Arial" w:cs="Arial"/>
          <w:lang w:val="fr-FR"/>
        </w:rPr>
        <w:t xml:space="preserve"> le raisonnement juridique de l’</w:t>
      </w:r>
      <w:r w:rsidRPr="00DD3E41">
        <w:rPr>
          <w:rFonts w:ascii="Arial" w:hAnsi="Arial" w:cs="Arial"/>
          <w:lang w:val="fr-FR"/>
        </w:rPr>
        <w:t xml:space="preserve">arrêt </w:t>
      </w:r>
      <w:proofErr w:type="spellStart"/>
      <w:r w:rsidRPr="00451082">
        <w:rPr>
          <w:rFonts w:ascii="Arial" w:hAnsi="Arial" w:cs="Arial"/>
          <w:i/>
          <w:lang w:val="fr-FR"/>
        </w:rPr>
        <w:t>Veniamin</w:t>
      </w:r>
      <w:proofErr w:type="spellEnd"/>
      <w:r w:rsidRPr="00451082">
        <w:rPr>
          <w:rFonts w:ascii="Arial" w:hAnsi="Arial" w:cs="Arial"/>
          <w:i/>
          <w:lang w:val="fr-FR"/>
        </w:rPr>
        <w:t xml:space="preserve"> </w:t>
      </w:r>
      <w:proofErr w:type="spellStart"/>
      <w:r w:rsidRPr="00451082">
        <w:rPr>
          <w:rFonts w:ascii="Arial" w:hAnsi="Arial" w:cs="Arial"/>
          <w:i/>
          <w:lang w:val="fr-FR"/>
        </w:rPr>
        <w:t>Tymoshenko</w:t>
      </w:r>
      <w:proofErr w:type="spellEnd"/>
      <w:r>
        <w:rPr>
          <w:rFonts w:ascii="Arial" w:hAnsi="Arial" w:cs="Arial"/>
          <w:lang w:val="fr-FR"/>
        </w:rPr>
        <w:t xml:space="preserve"> (afin d’examiner les demandes d’</w:t>
      </w:r>
      <w:r w:rsidRPr="00DD3E41">
        <w:rPr>
          <w:rFonts w:ascii="Arial" w:hAnsi="Arial" w:cs="Arial"/>
          <w:lang w:val="fr-FR"/>
        </w:rPr>
        <w:t xml:space="preserve">interdiction des grèves déposées par les employeurs). Les tribunaux se sont référés </w:t>
      </w:r>
      <w:r w:rsidR="00945F0B">
        <w:rPr>
          <w:rFonts w:ascii="Arial" w:hAnsi="Arial" w:cs="Arial"/>
          <w:lang w:val="fr-FR"/>
        </w:rPr>
        <w:t>à cet arrêt</w:t>
      </w:r>
      <w:r w:rsidRPr="00DD3E41">
        <w:rPr>
          <w:rFonts w:ascii="Arial" w:hAnsi="Arial" w:cs="Arial"/>
          <w:lang w:val="fr-FR"/>
        </w:rPr>
        <w:t xml:space="preserve"> use en tant q</w:t>
      </w:r>
      <w:r>
        <w:rPr>
          <w:rFonts w:ascii="Arial" w:hAnsi="Arial" w:cs="Arial"/>
          <w:lang w:val="fr-FR"/>
        </w:rPr>
        <w:t>ue source de droit, en se fondant sur l’article 17 de la loi de l’Ukraine « s</w:t>
      </w:r>
      <w:r w:rsidRPr="00DD3E41">
        <w:rPr>
          <w:rFonts w:ascii="Arial" w:hAnsi="Arial" w:cs="Arial"/>
          <w:lang w:val="fr-FR"/>
        </w:rPr>
        <w:t xml:space="preserve">ur l'exécution des arrêts de la </w:t>
      </w:r>
      <w:r>
        <w:rPr>
          <w:rFonts w:ascii="Arial" w:hAnsi="Arial" w:cs="Arial"/>
          <w:lang w:val="fr-FR"/>
        </w:rPr>
        <w:t>Cour européenne des droits de l’homme et l’</w:t>
      </w:r>
      <w:r w:rsidRPr="00DD3E41">
        <w:rPr>
          <w:rFonts w:ascii="Arial" w:hAnsi="Arial" w:cs="Arial"/>
          <w:lang w:val="fr-FR"/>
        </w:rPr>
        <w:t>applicat</w:t>
      </w:r>
      <w:r>
        <w:rPr>
          <w:rFonts w:ascii="Arial" w:hAnsi="Arial" w:cs="Arial"/>
          <w:lang w:val="fr-FR"/>
        </w:rPr>
        <w:t>ion de sa jurisprudence »</w:t>
      </w:r>
      <w:r w:rsidRPr="00DD3E41">
        <w:rPr>
          <w:rFonts w:ascii="Arial" w:hAnsi="Arial" w:cs="Arial"/>
          <w:lang w:val="fr-FR"/>
        </w:rPr>
        <w:t>.</w:t>
      </w:r>
    </w:p>
    <w:p w:rsidR="00586090" w:rsidRPr="00DD3E41" w:rsidRDefault="00586090" w:rsidP="00586090">
      <w:pPr>
        <w:pStyle w:val="HTMLPreformatted"/>
        <w:rPr>
          <w:rFonts w:ascii="Arial" w:hAnsi="Arial" w:cs="Arial"/>
          <w:lang w:val="fr-FR"/>
        </w:rPr>
      </w:pPr>
    </w:p>
    <w:p w:rsidR="00586090" w:rsidRPr="00451082" w:rsidRDefault="00586090" w:rsidP="00586090">
      <w:pPr>
        <w:pStyle w:val="HTMLPreformatted"/>
        <w:rPr>
          <w:rFonts w:ascii="Arial" w:hAnsi="Arial" w:cs="Arial"/>
          <w:i/>
          <w:lang w:val="fr-FR"/>
        </w:rPr>
      </w:pPr>
      <w:r w:rsidRPr="00451082">
        <w:rPr>
          <w:rFonts w:ascii="Arial" w:hAnsi="Arial" w:cs="Arial"/>
          <w:i/>
          <w:lang w:val="fr-FR"/>
        </w:rPr>
        <w:t>3) Publication et diffusion</w:t>
      </w:r>
    </w:p>
    <w:p w:rsidR="00586090" w:rsidRPr="00DD3E41" w:rsidRDefault="00586090" w:rsidP="00586090">
      <w:pPr>
        <w:pStyle w:val="HTMLPreformatted"/>
        <w:rPr>
          <w:rFonts w:ascii="Arial" w:hAnsi="Arial" w:cs="Arial"/>
          <w:lang w:val="fr-FR"/>
        </w:rPr>
      </w:pPr>
    </w:p>
    <w:p w:rsidR="00586090" w:rsidRPr="00DD3E41" w:rsidRDefault="00945F0B" w:rsidP="00586090">
      <w:pPr>
        <w:pStyle w:val="Default"/>
        <w:rPr>
          <w:i/>
          <w:color w:val="auto"/>
          <w:sz w:val="20"/>
          <w:szCs w:val="20"/>
          <w:lang w:val="fr-FR"/>
        </w:rPr>
      </w:pPr>
      <w:r>
        <w:rPr>
          <w:color w:val="auto"/>
          <w:sz w:val="20"/>
          <w:szCs w:val="20"/>
          <w:lang w:val="fr-FR"/>
        </w:rPr>
        <w:t>L’arrêt</w:t>
      </w:r>
      <w:r w:rsidR="00586090" w:rsidRPr="00DD3E41">
        <w:rPr>
          <w:color w:val="auto"/>
          <w:sz w:val="20"/>
          <w:szCs w:val="20"/>
          <w:lang w:val="fr-FR"/>
        </w:rPr>
        <w:t xml:space="preserve"> a également été tra</w:t>
      </w:r>
      <w:r w:rsidR="00586090">
        <w:rPr>
          <w:color w:val="auto"/>
          <w:sz w:val="20"/>
          <w:szCs w:val="20"/>
          <w:lang w:val="fr-FR"/>
        </w:rPr>
        <w:t>duit, publié et diffusé auprès l</w:t>
      </w:r>
      <w:r w:rsidR="00586090" w:rsidRPr="00DD3E41">
        <w:rPr>
          <w:color w:val="auto"/>
          <w:sz w:val="20"/>
          <w:szCs w:val="20"/>
          <w:lang w:val="fr-FR"/>
        </w:rPr>
        <w:t>es aut</w:t>
      </w:r>
      <w:r w:rsidR="00586090">
        <w:rPr>
          <w:color w:val="auto"/>
          <w:sz w:val="20"/>
          <w:szCs w:val="20"/>
          <w:lang w:val="fr-FR"/>
        </w:rPr>
        <w:t>orités compétentes (y compris la Cour suprême d’</w:t>
      </w:r>
      <w:r w:rsidR="00586090" w:rsidRPr="00DD3E41">
        <w:rPr>
          <w:color w:val="auto"/>
          <w:sz w:val="20"/>
          <w:szCs w:val="20"/>
          <w:lang w:val="fr-FR"/>
        </w:rPr>
        <w:t>Ukrai</w:t>
      </w:r>
      <w:r w:rsidR="00586090">
        <w:rPr>
          <w:color w:val="auto"/>
          <w:sz w:val="20"/>
          <w:szCs w:val="20"/>
          <w:lang w:val="fr-FR"/>
        </w:rPr>
        <w:t>ne, la Haute Cour d’</w:t>
      </w:r>
      <w:r w:rsidR="00586090" w:rsidRPr="00DD3E41">
        <w:rPr>
          <w:color w:val="auto"/>
          <w:sz w:val="20"/>
          <w:szCs w:val="20"/>
          <w:lang w:val="fr-FR"/>
        </w:rPr>
        <w:t xml:space="preserve">Ukraine </w:t>
      </w:r>
      <w:r w:rsidR="00586090">
        <w:rPr>
          <w:color w:val="auto"/>
          <w:sz w:val="20"/>
          <w:szCs w:val="20"/>
          <w:lang w:val="fr-FR"/>
        </w:rPr>
        <w:t xml:space="preserve">spécialisée dans </w:t>
      </w:r>
      <w:r w:rsidR="00586090" w:rsidRPr="00DD3E41">
        <w:rPr>
          <w:color w:val="auto"/>
          <w:sz w:val="20"/>
          <w:szCs w:val="20"/>
          <w:lang w:val="fr-FR"/>
        </w:rPr>
        <w:t>les affaires civiles et pénales,</w:t>
      </w:r>
      <w:r w:rsidR="00586090">
        <w:rPr>
          <w:color w:val="auto"/>
          <w:sz w:val="20"/>
          <w:szCs w:val="20"/>
          <w:lang w:val="fr-FR"/>
        </w:rPr>
        <w:t xml:space="preserve"> ainsi qu’auprès de </w:t>
      </w:r>
      <w:r w:rsidR="00586090" w:rsidRPr="00DD3E41">
        <w:rPr>
          <w:color w:val="auto"/>
          <w:sz w:val="20"/>
          <w:szCs w:val="20"/>
          <w:lang w:val="fr-FR"/>
        </w:rPr>
        <w:t>tous les tribunaux impliqués dans cette affaire).</w:t>
      </w:r>
    </w:p>
    <w:p w:rsidR="00586090" w:rsidRDefault="00586090" w:rsidP="00586090">
      <w:pPr>
        <w:rPr>
          <w:rFonts w:cs="Arial"/>
          <w:b/>
          <w:bCs/>
          <w:szCs w:val="20"/>
        </w:rPr>
      </w:pPr>
    </w:p>
    <w:p w:rsidR="00586090" w:rsidRPr="00DD3E41" w:rsidRDefault="00586090" w:rsidP="0058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Cs w:val="20"/>
        </w:rPr>
      </w:pPr>
      <w:r w:rsidRPr="00DD3E41">
        <w:rPr>
          <w:rFonts w:cs="Arial"/>
          <w:b/>
          <w:szCs w:val="20"/>
        </w:rPr>
        <w:t>Analyse par le Secrétariat</w:t>
      </w:r>
    </w:p>
    <w:p w:rsidR="00586090" w:rsidRPr="00DD3E41" w:rsidRDefault="00586090" w:rsidP="0058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Cs w:val="20"/>
        </w:rPr>
      </w:pPr>
    </w:p>
    <w:p w:rsidR="00586090" w:rsidRPr="00451082" w:rsidRDefault="00586090" w:rsidP="0058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i/>
          <w:szCs w:val="20"/>
          <w:u w:val="single"/>
        </w:rPr>
      </w:pPr>
      <w:r w:rsidRPr="00DD3E41">
        <w:rPr>
          <w:rFonts w:cs="Arial"/>
          <w:i/>
          <w:szCs w:val="20"/>
          <w:u w:val="single"/>
        </w:rPr>
        <w:t>Mesures individuelles</w:t>
      </w:r>
      <w:r w:rsidRPr="00451082">
        <w:rPr>
          <w:rFonts w:cs="Arial"/>
          <w:szCs w:val="20"/>
        </w:rPr>
        <w:t xml:space="preserve"> </w:t>
      </w:r>
      <w:r w:rsidRPr="00DD3E41">
        <w:rPr>
          <w:rFonts w:cs="Arial"/>
          <w:szCs w:val="20"/>
        </w:rPr>
        <w:t>:</w:t>
      </w:r>
    </w:p>
    <w:p w:rsidR="00586090" w:rsidRPr="00DD3E41" w:rsidRDefault="00586090" w:rsidP="0058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rPr>
      </w:pPr>
    </w:p>
    <w:p w:rsidR="00586090" w:rsidRDefault="00586090" w:rsidP="00945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rPr>
      </w:pPr>
      <w:r w:rsidRPr="00DD3E41">
        <w:rPr>
          <w:rFonts w:cs="Arial"/>
          <w:szCs w:val="20"/>
        </w:rPr>
        <w:t xml:space="preserve">La satisfaction équitable accordée par la Cour européenne </w:t>
      </w:r>
      <w:r>
        <w:rPr>
          <w:rFonts w:cs="Arial"/>
          <w:szCs w:val="20"/>
        </w:rPr>
        <w:t>pour le</w:t>
      </w:r>
      <w:r w:rsidRPr="00DD3E41">
        <w:rPr>
          <w:rFonts w:cs="Arial"/>
          <w:szCs w:val="20"/>
        </w:rPr>
        <w:t xml:space="preserve"> préjudice moral a été versée à tous les requérants. Il </w:t>
      </w:r>
      <w:r w:rsidR="00945F0B">
        <w:rPr>
          <w:rFonts w:cs="Arial"/>
          <w:szCs w:val="20"/>
        </w:rPr>
        <w:t>apparaît</w:t>
      </w:r>
      <w:r w:rsidR="00945F0B" w:rsidRPr="00DD3E41">
        <w:rPr>
          <w:rFonts w:cs="Arial"/>
          <w:szCs w:val="20"/>
        </w:rPr>
        <w:t xml:space="preserve"> </w:t>
      </w:r>
      <w:r w:rsidRPr="00DD3E41">
        <w:rPr>
          <w:rFonts w:cs="Arial"/>
          <w:szCs w:val="20"/>
        </w:rPr>
        <w:t xml:space="preserve">que la </w:t>
      </w:r>
      <w:r>
        <w:rPr>
          <w:rFonts w:cs="Arial"/>
          <w:szCs w:val="20"/>
        </w:rPr>
        <w:t>compagnie aérienne privée a cessé d’</w:t>
      </w:r>
      <w:r w:rsidRPr="00DD3E41">
        <w:rPr>
          <w:rFonts w:cs="Arial"/>
          <w:szCs w:val="20"/>
        </w:rPr>
        <w:t>exister en avril 2013 après avoir été déclarée en faillite. Auc</w:t>
      </w:r>
      <w:r>
        <w:rPr>
          <w:rFonts w:cs="Arial"/>
          <w:szCs w:val="20"/>
        </w:rPr>
        <w:t>une autre mesure individuelle n’</w:t>
      </w:r>
      <w:r w:rsidRPr="00DD3E41">
        <w:rPr>
          <w:rFonts w:cs="Arial"/>
          <w:szCs w:val="20"/>
        </w:rPr>
        <w:t>est donc requise.</w:t>
      </w:r>
    </w:p>
    <w:p w:rsidR="00586090" w:rsidRPr="00DD3E41" w:rsidRDefault="00586090" w:rsidP="0058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rPr>
      </w:pPr>
    </w:p>
    <w:p w:rsidR="00586090" w:rsidRDefault="00586090" w:rsidP="0058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rPr>
      </w:pPr>
      <w:r w:rsidRPr="00DD3E41">
        <w:rPr>
          <w:rFonts w:cs="Arial"/>
          <w:i/>
          <w:szCs w:val="20"/>
          <w:u w:val="single"/>
        </w:rPr>
        <w:t>Mesures générales</w:t>
      </w:r>
      <w:r>
        <w:rPr>
          <w:rFonts w:cs="Arial"/>
          <w:szCs w:val="20"/>
        </w:rPr>
        <w:t xml:space="preserve"> </w:t>
      </w:r>
      <w:r w:rsidRPr="00DD3E41">
        <w:rPr>
          <w:rFonts w:cs="Arial"/>
          <w:szCs w:val="20"/>
        </w:rPr>
        <w:t>:</w:t>
      </w:r>
    </w:p>
    <w:p w:rsidR="00586090" w:rsidRPr="00DD3E41" w:rsidRDefault="00586090" w:rsidP="0058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rPr>
      </w:pPr>
    </w:p>
    <w:p w:rsidR="00586090" w:rsidRDefault="00586090" w:rsidP="00443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rPr>
      </w:pPr>
      <w:r w:rsidRPr="00DD3E41">
        <w:rPr>
          <w:rFonts w:cs="Arial"/>
          <w:szCs w:val="20"/>
        </w:rPr>
        <w:t xml:space="preserve">La récente soumission au Parlement du projet de loi </w:t>
      </w:r>
      <w:r>
        <w:rPr>
          <w:rFonts w:cs="Arial"/>
          <w:szCs w:val="20"/>
        </w:rPr>
        <w:t>corrigeant</w:t>
      </w:r>
      <w:r w:rsidRPr="00DD3E41">
        <w:rPr>
          <w:rFonts w:cs="Arial"/>
          <w:szCs w:val="20"/>
        </w:rPr>
        <w:t xml:space="preserve"> les incohérences dans la législation critiquée par la Cour </w:t>
      </w:r>
      <w:r w:rsidR="00443505">
        <w:rPr>
          <w:rFonts w:cs="Arial"/>
          <w:szCs w:val="20"/>
        </w:rPr>
        <w:t>est</w:t>
      </w:r>
      <w:r w:rsidRPr="00DD3E41">
        <w:rPr>
          <w:rFonts w:cs="Arial"/>
          <w:szCs w:val="20"/>
        </w:rPr>
        <w:t xml:space="preserve"> un développement prometteur dans cette affaire. Il est important que le Comité </w:t>
      </w:r>
      <w:r>
        <w:rPr>
          <w:rFonts w:cs="Arial"/>
          <w:szCs w:val="20"/>
        </w:rPr>
        <w:t>soit davantage informé de l’état d’avancement de l’</w:t>
      </w:r>
      <w:r w:rsidRPr="00DD3E41">
        <w:rPr>
          <w:rFonts w:cs="Arial"/>
          <w:szCs w:val="20"/>
        </w:rPr>
        <w:t xml:space="preserve">adoption du projet de loi, du fait que les projets de loi antérieurs </w:t>
      </w:r>
      <w:r w:rsidR="00443505">
        <w:rPr>
          <w:rFonts w:cs="Arial"/>
          <w:szCs w:val="20"/>
        </w:rPr>
        <w:t xml:space="preserve">proposant </w:t>
      </w:r>
      <w:r>
        <w:rPr>
          <w:rFonts w:cs="Arial"/>
          <w:szCs w:val="20"/>
        </w:rPr>
        <w:t xml:space="preserve">des amendements similaires n’ont finalement pas été </w:t>
      </w:r>
      <w:r w:rsidRPr="00DD3E41">
        <w:rPr>
          <w:rFonts w:cs="Arial"/>
          <w:szCs w:val="20"/>
        </w:rPr>
        <w:t>suivis par les autorités.</w:t>
      </w:r>
    </w:p>
    <w:p w:rsidR="00586090" w:rsidRDefault="00586090" w:rsidP="0058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rPr>
      </w:pPr>
    </w:p>
    <w:p w:rsidR="00586090" w:rsidRPr="00884551" w:rsidRDefault="00586090" w:rsidP="0058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rPr>
      </w:pPr>
      <w:r w:rsidRPr="00884551">
        <w:rPr>
          <w:rFonts w:cs="Arial"/>
          <w:szCs w:val="20"/>
        </w:rPr>
        <w:t>Il est également noté que, dans leurs conclusions sur l’Ukraine de 2014</w:t>
      </w:r>
      <w:r w:rsidRPr="00884551">
        <w:rPr>
          <w:rStyle w:val="FootnoteReference"/>
          <w:rFonts w:cs="Arial"/>
          <w:szCs w:val="20"/>
        </w:rPr>
        <w:footnoteReference w:id="1"/>
      </w:r>
      <w:r w:rsidRPr="00884551">
        <w:rPr>
          <w:rFonts w:cs="Arial"/>
          <w:szCs w:val="20"/>
        </w:rPr>
        <w:t>, le Comité européen des droits sociaux a également conclu que l’interdiction inconditionnelle du droit de grève aux employés travaillant dans le secteur des transports n’était pas conforme aux conditions établies par la Charte sociale européenne.</w:t>
      </w:r>
    </w:p>
    <w:p w:rsidR="00586090" w:rsidRPr="00DD3E41" w:rsidRDefault="00586090" w:rsidP="0058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rPr>
      </w:pPr>
    </w:p>
    <w:p w:rsidR="00586090" w:rsidRPr="00560FDE" w:rsidRDefault="00443505" w:rsidP="0060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trike/>
          <w:szCs w:val="20"/>
        </w:rPr>
      </w:pPr>
      <w:r>
        <w:rPr>
          <w:rFonts w:cs="Arial"/>
          <w:szCs w:val="20"/>
        </w:rPr>
        <w:t xml:space="preserve">Il convient de relever que </w:t>
      </w:r>
      <w:r w:rsidR="00586090" w:rsidRPr="00DD3E41">
        <w:rPr>
          <w:rFonts w:cs="Arial"/>
          <w:szCs w:val="20"/>
        </w:rPr>
        <w:t>les dispositions critiquées</w:t>
      </w:r>
      <w:r w:rsidR="00586090">
        <w:rPr>
          <w:rFonts w:cs="Arial"/>
          <w:szCs w:val="20"/>
        </w:rPr>
        <w:t xml:space="preserve"> de la </w:t>
      </w:r>
      <w:r>
        <w:rPr>
          <w:rFonts w:cs="Arial"/>
          <w:szCs w:val="20"/>
        </w:rPr>
        <w:t xml:space="preserve">loi </w:t>
      </w:r>
      <w:r w:rsidR="00586090">
        <w:rPr>
          <w:rFonts w:cs="Arial"/>
          <w:szCs w:val="20"/>
        </w:rPr>
        <w:t xml:space="preserve">sur les transports </w:t>
      </w:r>
      <w:r>
        <w:rPr>
          <w:rFonts w:cs="Arial"/>
          <w:szCs w:val="20"/>
        </w:rPr>
        <w:t>ne sont plus</w:t>
      </w:r>
      <w:r w:rsidRPr="00DD3E41">
        <w:rPr>
          <w:rFonts w:cs="Arial"/>
          <w:szCs w:val="20"/>
        </w:rPr>
        <w:t xml:space="preserve"> </w:t>
      </w:r>
      <w:r w:rsidR="00586090" w:rsidRPr="00DD3E41">
        <w:rPr>
          <w:rFonts w:cs="Arial"/>
          <w:szCs w:val="20"/>
        </w:rPr>
        <w:t>appliquées et que le r</w:t>
      </w:r>
      <w:r w:rsidR="00586090">
        <w:rPr>
          <w:rFonts w:cs="Arial"/>
          <w:szCs w:val="20"/>
        </w:rPr>
        <w:t>aisonnement juridique de l’</w:t>
      </w:r>
      <w:r w:rsidR="00586090" w:rsidRPr="00DD3E41">
        <w:rPr>
          <w:rFonts w:cs="Arial"/>
          <w:szCs w:val="20"/>
        </w:rPr>
        <w:t xml:space="preserve">arrêt </w:t>
      </w:r>
      <w:proofErr w:type="spellStart"/>
      <w:r w:rsidR="00586090" w:rsidRPr="00DE6202">
        <w:rPr>
          <w:rFonts w:cs="Arial"/>
          <w:i/>
          <w:szCs w:val="20"/>
        </w:rPr>
        <w:t>Veniamin</w:t>
      </w:r>
      <w:proofErr w:type="spellEnd"/>
      <w:r w:rsidR="00586090" w:rsidRPr="00DD3E41">
        <w:rPr>
          <w:rFonts w:cs="Arial"/>
          <w:i/>
          <w:szCs w:val="20"/>
        </w:rPr>
        <w:t xml:space="preserve"> </w:t>
      </w:r>
      <w:proofErr w:type="spellStart"/>
      <w:r w:rsidR="00586090" w:rsidRPr="00DD3E41">
        <w:rPr>
          <w:rFonts w:cs="Arial"/>
          <w:i/>
          <w:szCs w:val="20"/>
        </w:rPr>
        <w:t>Tymoshenko</w:t>
      </w:r>
      <w:proofErr w:type="spellEnd"/>
      <w:r w:rsidR="00586090" w:rsidRPr="00DD3E41">
        <w:rPr>
          <w:rFonts w:cs="Arial"/>
          <w:szCs w:val="20"/>
        </w:rPr>
        <w:t xml:space="preserve"> a </w:t>
      </w:r>
      <w:r w:rsidR="00586090">
        <w:rPr>
          <w:rFonts w:cs="Arial"/>
          <w:szCs w:val="20"/>
        </w:rPr>
        <w:t xml:space="preserve">été directement appliqué </w:t>
      </w:r>
      <w:r w:rsidR="0041282F">
        <w:rPr>
          <w:rFonts w:cs="Arial"/>
          <w:szCs w:val="20"/>
        </w:rPr>
        <w:t>à l’égard</w:t>
      </w:r>
      <w:r w:rsidR="00586090" w:rsidRPr="00DD3E41">
        <w:rPr>
          <w:rFonts w:cs="Arial"/>
          <w:szCs w:val="20"/>
        </w:rPr>
        <w:t xml:space="preserve"> de grèves </w:t>
      </w:r>
      <w:r w:rsidR="0041282F">
        <w:rPr>
          <w:rFonts w:cs="Arial"/>
          <w:szCs w:val="20"/>
        </w:rPr>
        <w:t>non liées à</w:t>
      </w:r>
      <w:r w:rsidR="00586090">
        <w:rPr>
          <w:rFonts w:cs="Arial"/>
          <w:szCs w:val="20"/>
        </w:rPr>
        <w:t xml:space="preserve"> l’</w:t>
      </w:r>
      <w:r w:rsidR="00586090" w:rsidRPr="00DD3E41">
        <w:rPr>
          <w:rFonts w:cs="Arial"/>
          <w:szCs w:val="20"/>
        </w:rPr>
        <w:t>industrie du transport</w:t>
      </w:r>
      <w:r w:rsidR="00586090">
        <w:rPr>
          <w:rFonts w:cs="Arial"/>
          <w:szCs w:val="20"/>
        </w:rPr>
        <w:t>. Toutefois, l’</w:t>
      </w:r>
      <w:r w:rsidR="00586090" w:rsidRPr="00DD3E41">
        <w:rPr>
          <w:rFonts w:cs="Arial"/>
          <w:szCs w:val="20"/>
        </w:rPr>
        <w:t xml:space="preserve">article 18 de la </w:t>
      </w:r>
      <w:r w:rsidR="0041282F">
        <w:rPr>
          <w:rFonts w:cs="Arial"/>
          <w:szCs w:val="20"/>
        </w:rPr>
        <w:t>l</w:t>
      </w:r>
      <w:r w:rsidR="00586090" w:rsidRPr="00DD3E41">
        <w:rPr>
          <w:rFonts w:cs="Arial"/>
          <w:szCs w:val="20"/>
        </w:rPr>
        <w:t xml:space="preserve">oi sur les transports interdisant les grèves </w:t>
      </w:r>
      <w:r w:rsidR="00586090">
        <w:rPr>
          <w:rFonts w:cs="Arial"/>
          <w:szCs w:val="20"/>
        </w:rPr>
        <w:t>dans le secteur des</w:t>
      </w:r>
      <w:r w:rsidR="00586090" w:rsidRPr="00DD3E41">
        <w:rPr>
          <w:rFonts w:cs="Arial"/>
          <w:szCs w:val="20"/>
        </w:rPr>
        <w:t xml:space="preserve"> transport</w:t>
      </w:r>
      <w:r w:rsidR="00586090">
        <w:rPr>
          <w:rFonts w:cs="Arial"/>
          <w:szCs w:val="20"/>
        </w:rPr>
        <w:t>s</w:t>
      </w:r>
      <w:r w:rsidR="00586090" w:rsidRPr="00DD3E41">
        <w:rPr>
          <w:rFonts w:cs="Arial"/>
          <w:szCs w:val="20"/>
        </w:rPr>
        <w:t xml:space="preserve"> est encore en vigueur et, par conséquent, des informations serai</w:t>
      </w:r>
      <w:r w:rsidR="00586090">
        <w:rPr>
          <w:rFonts w:cs="Arial"/>
          <w:szCs w:val="20"/>
        </w:rPr>
        <w:t>en</w:t>
      </w:r>
      <w:r w:rsidR="00586090" w:rsidRPr="00DD3E41">
        <w:rPr>
          <w:rFonts w:cs="Arial"/>
          <w:szCs w:val="20"/>
        </w:rPr>
        <w:t xml:space="preserve">t </w:t>
      </w:r>
      <w:r w:rsidR="00586090">
        <w:rPr>
          <w:rFonts w:cs="Arial"/>
          <w:szCs w:val="20"/>
        </w:rPr>
        <w:t xml:space="preserve">encore </w:t>
      </w:r>
      <w:r w:rsidR="00586090" w:rsidRPr="00DD3E41">
        <w:rPr>
          <w:rFonts w:cs="Arial"/>
          <w:szCs w:val="20"/>
        </w:rPr>
        <w:t>utile</w:t>
      </w:r>
      <w:r w:rsidR="00586090">
        <w:rPr>
          <w:rFonts w:cs="Arial"/>
          <w:szCs w:val="20"/>
        </w:rPr>
        <w:t>s</w:t>
      </w:r>
      <w:r w:rsidR="00586090" w:rsidRPr="00DD3E41">
        <w:rPr>
          <w:rFonts w:cs="Arial"/>
          <w:szCs w:val="20"/>
        </w:rPr>
        <w:t xml:space="preserve"> sur</w:t>
      </w:r>
      <w:r w:rsidR="004F6CD6" w:rsidRPr="004F6CD6">
        <w:rPr>
          <w:rFonts w:cs="Arial"/>
          <w:szCs w:val="20"/>
        </w:rPr>
        <w:t xml:space="preserve"> des exemples</w:t>
      </w:r>
      <w:r w:rsidR="00560FDE">
        <w:rPr>
          <w:rFonts w:cs="Arial"/>
          <w:szCs w:val="20"/>
        </w:rPr>
        <w:t xml:space="preserve"> de jurisprudence</w:t>
      </w:r>
      <w:r w:rsidR="006065F1">
        <w:rPr>
          <w:rFonts w:cs="Arial"/>
          <w:szCs w:val="20"/>
        </w:rPr>
        <w:t xml:space="preserve"> </w:t>
      </w:r>
      <w:r w:rsidR="00B201D1">
        <w:rPr>
          <w:rFonts w:cs="Arial"/>
          <w:szCs w:val="20"/>
        </w:rPr>
        <w:t>depuis que</w:t>
      </w:r>
      <w:r w:rsidR="00B201D1" w:rsidRPr="00DD3E41">
        <w:rPr>
          <w:rFonts w:cs="Arial"/>
          <w:szCs w:val="20"/>
        </w:rPr>
        <w:t xml:space="preserve"> </w:t>
      </w:r>
      <w:r w:rsidR="00B201D1">
        <w:rPr>
          <w:rFonts w:cs="Arial"/>
          <w:szCs w:val="20"/>
        </w:rPr>
        <w:t xml:space="preserve">l’arrêt de la Cour est devenu définitif, </w:t>
      </w:r>
      <w:r w:rsidR="004F6CD6" w:rsidRPr="004F6CD6">
        <w:rPr>
          <w:rFonts w:cs="Arial"/>
          <w:szCs w:val="20"/>
        </w:rPr>
        <w:t xml:space="preserve">lorsque les grèves </w:t>
      </w:r>
      <w:r w:rsidR="00F35CA1" w:rsidRPr="00F35CA1">
        <w:rPr>
          <w:rFonts w:cs="Arial"/>
          <w:szCs w:val="20"/>
        </w:rPr>
        <w:t>auprès des entreprises de transport</w:t>
      </w:r>
      <w:r w:rsidR="004F6CD6" w:rsidRPr="004F6CD6">
        <w:rPr>
          <w:rFonts w:cs="Arial"/>
          <w:szCs w:val="20"/>
        </w:rPr>
        <w:t xml:space="preserve"> </w:t>
      </w:r>
      <w:r w:rsidR="00560FDE" w:rsidRPr="004F6CD6">
        <w:rPr>
          <w:rFonts w:cs="Arial"/>
          <w:szCs w:val="20"/>
        </w:rPr>
        <w:t xml:space="preserve">ont eu lieu </w:t>
      </w:r>
      <w:r w:rsidR="004F6CD6" w:rsidRPr="004F6CD6">
        <w:rPr>
          <w:rFonts w:cs="Arial"/>
          <w:szCs w:val="20"/>
        </w:rPr>
        <w:t>malgré</w:t>
      </w:r>
      <w:r w:rsidR="00577F30">
        <w:rPr>
          <w:rFonts w:cs="Arial"/>
          <w:szCs w:val="20"/>
        </w:rPr>
        <w:t xml:space="preserve"> ces dispositions législatives.</w:t>
      </w:r>
    </w:p>
    <w:p w:rsidR="00586090" w:rsidRPr="00DD3E41" w:rsidRDefault="00586090" w:rsidP="0058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rPr>
      </w:pPr>
    </w:p>
    <w:p w:rsidR="00586090" w:rsidRPr="00DD3E41" w:rsidRDefault="00875B5F" w:rsidP="00875B5F">
      <w:pPr>
        <w:rPr>
          <w:rFonts w:cs="Arial"/>
          <w:szCs w:val="20"/>
        </w:rPr>
      </w:pPr>
      <w:r>
        <w:rPr>
          <w:rFonts w:cs="Arial"/>
          <w:szCs w:val="20"/>
        </w:rPr>
        <w:t>L</w:t>
      </w:r>
      <w:r w:rsidR="00586090" w:rsidRPr="00DD3E41">
        <w:rPr>
          <w:rFonts w:cs="Arial"/>
          <w:szCs w:val="20"/>
        </w:rPr>
        <w:t xml:space="preserve">a traduction, publication et </w:t>
      </w:r>
      <w:r w:rsidR="00586090">
        <w:rPr>
          <w:rFonts w:cs="Arial"/>
          <w:szCs w:val="20"/>
        </w:rPr>
        <w:t xml:space="preserve">diffusion </w:t>
      </w:r>
      <w:r>
        <w:rPr>
          <w:rFonts w:cs="Arial"/>
          <w:szCs w:val="20"/>
        </w:rPr>
        <w:t>de l’arrêt</w:t>
      </w:r>
      <w:r w:rsidR="00586090">
        <w:rPr>
          <w:rFonts w:cs="Arial"/>
          <w:szCs w:val="20"/>
        </w:rPr>
        <w:t xml:space="preserve"> auprès </w:t>
      </w:r>
      <w:r>
        <w:rPr>
          <w:rFonts w:cs="Arial"/>
          <w:szCs w:val="20"/>
        </w:rPr>
        <w:t>d</w:t>
      </w:r>
      <w:r w:rsidR="00586090" w:rsidRPr="00DD3E41">
        <w:rPr>
          <w:rFonts w:cs="Arial"/>
          <w:szCs w:val="20"/>
        </w:rPr>
        <w:t xml:space="preserve">es autorités compétentes sont </w:t>
      </w:r>
      <w:r>
        <w:rPr>
          <w:rFonts w:cs="Arial"/>
          <w:szCs w:val="20"/>
        </w:rPr>
        <w:t>des mesures positives</w:t>
      </w:r>
      <w:r w:rsidR="00586090" w:rsidRPr="00DD3E41">
        <w:rPr>
          <w:rFonts w:cs="Arial"/>
          <w:szCs w:val="20"/>
        </w:rPr>
        <w:t xml:space="preserve">. </w:t>
      </w:r>
      <w:r>
        <w:rPr>
          <w:rFonts w:cs="Arial"/>
          <w:szCs w:val="20"/>
        </w:rPr>
        <w:t>Cependant, d</w:t>
      </w:r>
      <w:r w:rsidR="00586090" w:rsidRPr="00DD3E41">
        <w:rPr>
          <w:rFonts w:cs="Arial"/>
          <w:szCs w:val="20"/>
        </w:rPr>
        <w:t xml:space="preserve">es informations </w:t>
      </w:r>
      <w:r w:rsidRPr="00DD3E41">
        <w:rPr>
          <w:rFonts w:cs="Arial"/>
          <w:szCs w:val="20"/>
        </w:rPr>
        <w:t xml:space="preserve">seraient utiles </w:t>
      </w:r>
      <w:r w:rsidR="00586090" w:rsidRPr="00DD3E41">
        <w:rPr>
          <w:rFonts w:cs="Arial"/>
          <w:szCs w:val="20"/>
        </w:rPr>
        <w:t xml:space="preserve">sur </w:t>
      </w:r>
      <w:r w:rsidR="00586090">
        <w:rPr>
          <w:rFonts w:cs="Arial"/>
          <w:szCs w:val="20"/>
        </w:rPr>
        <w:t>les activités de formation et d’</w:t>
      </w:r>
      <w:r w:rsidR="00586090" w:rsidRPr="00DD3E41">
        <w:rPr>
          <w:rFonts w:cs="Arial"/>
          <w:szCs w:val="20"/>
        </w:rPr>
        <w:t>enseignement pour les parties concernées (y compris les autorités judiciaires).</w:t>
      </w:r>
    </w:p>
    <w:p w:rsidR="00586090" w:rsidRPr="00DD3E41" w:rsidRDefault="00586090" w:rsidP="00586090">
      <w:pPr>
        <w:jc w:val="both"/>
        <w:rPr>
          <w:rFonts w:cs="Arial"/>
          <w:szCs w:val="20"/>
        </w:rPr>
      </w:pPr>
    </w:p>
    <w:tbl>
      <w:tblPr>
        <w:tblW w:w="2500" w:type="pct"/>
        <w:tblInd w:w="1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08" w:type="dxa"/>
          <w:bottom w:w="108" w:type="dxa"/>
        </w:tblCellMar>
        <w:tblLook w:val="0000" w:firstRow="0" w:lastRow="0" w:firstColumn="0" w:lastColumn="0" w:noHBand="0" w:noVBand="0"/>
      </w:tblPr>
      <w:tblGrid>
        <w:gridCol w:w="5041"/>
      </w:tblGrid>
      <w:tr w:rsidR="005D1278" w:rsidRPr="00FD36F9" w:rsidTr="00157450">
        <w:tc>
          <w:tcPr>
            <w:tcW w:w="5041" w:type="dxa"/>
            <w:vAlign w:val="center"/>
          </w:tcPr>
          <w:p w:rsidR="005D1278" w:rsidRPr="00FD36F9" w:rsidRDefault="005D1278" w:rsidP="007E29F3">
            <w:pPr>
              <w:pStyle w:val="COELignes"/>
              <w:rPr>
                <w:lang w:val="fr-FR"/>
              </w:rPr>
            </w:pPr>
            <w:r w:rsidRPr="00FD36F9">
              <w:rPr>
                <w:lang w:val="fr-FR"/>
              </w:rPr>
              <w:t>Financement assuré: OUI</w:t>
            </w:r>
          </w:p>
        </w:tc>
      </w:tr>
    </w:tbl>
    <w:p w:rsidR="007E0F73" w:rsidRPr="00FD36F9" w:rsidRDefault="007E0F73" w:rsidP="007E0F73">
      <w:pPr>
        <w:pStyle w:val="COELignes"/>
        <w:rPr>
          <w:lang w:val="fr-FR"/>
        </w:rPr>
      </w:pPr>
    </w:p>
    <w:sectPr w:rsidR="007E0F73" w:rsidRPr="00FD36F9" w:rsidSect="00544F6A">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74D" w:rsidRDefault="008E274D" w:rsidP="00FD6043">
      <w:r>
        <w:separator/>
      </w:r>
    </w:p>
  </w:endnote>
  <w:endnote w:type="continuationSeparator" w:id="0">
    <w:p w:rsidR="008E274D" w:rsidRDefault="008E274D"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E00002AF" w:usb1="50006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82F" w:rsidRDefault="000A08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Footer"/>
      <w:jc w:val="right"/>
      <w:rPr>
        <w:rFonts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B8" w:rsidRPr="00113EB0" w:rsidRDefault="00CA78AC"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74D" w:rsidRDefault="008E274D" w:rsidP="00FD6043">
      <w:r>
        <w:separator/>
      </w:r>
    </w:p>
  </w:footnote>
  <w:footnote w:type="continuationSeparator" w:id="0">
    <w:p w:rsidR="008E274D" w:rsidRDefault="008E274D" w:rsidP="00FD6043">
      <w:r>
        <w:continuationSeparator/>
      </w:r>
    </w:p>
  </w:footnote>
  <w:footnote w:id="1">
    <w:p w:rsidR="00586090" w:rsidRDefault="00586090" w:rsidP="00586090">
      <w:pPr>
        <w:pStyle w:val="FootnoteText"/>
      </w:pPr>
      <w:r>
        <w:rPr>
          <w:rStyle w:val="FootnoteReference"/>
        </w:rPr>
        <w:footnoteRef/>
      </w:r>
      <w:r>
        <w:t xml:space="preserve"> </w:t>
      </w:r>
      <w:hyperlink r:id="rId1" w:history="1">
        <w:r w:rsidRPr="001E1D68">
          <w:rPr>
            <w:rStyle w:val="Hyperlink"/>
          </w:rPr>
          <w:t>http://hudoc.esc.coe.int/eng?i=2014/def/UKR/6/4/EN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491E67" w:rsidRDefault="005D1278" w:rsidP="00491E67">
    <w:pPr>
      <w:pStyle w:val="Header"/>
    </w:pPr>
    <w:r>
      <w:t>CM/Notes</w:t>
    </w:r>
    <w:r w:rsidRPr="00B7223C">
      <w:t>/</w:t>
    </w:r>
    <w:r w:rsidR="00B7223C" w:rsidRPr="00B7223C">
      <w:t>128</w:t>
    </w:r>
    <w:r w:rsidR="000A082F">
      <w:t>8</w:t>
    </w:r>
    <w:r w:rsidRPr="00B7223C">
      <w:t>/</w:t>
    </w:r>
    <w:r w:rsidR="00586090">
      <w:t>H46-36</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8C2201">
      <w:rPr>
        <w:noProof/>
      </w:rPr>
      <w:t>2</w:t>
    </w:r>
    <w:r w:rsidR="00E15639" w:rsidRPr="00491E6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7E0F73">
      <w:rPr>
        <w:noProof/>
      </w:rPr>
      <w:t>3</w:t>
    </w:r>
    <w:r w:rsidRPr="00491E67">
      <w:fldChar w:fldCharType="end"/>
    </w:r>
    <w:r w:rsidR="00E475F9" w:rsidRPr="00491E67">
      <w:tab/>
    </w:r>
    <w:r w:rsidR="00586090">
      <w:t>CM/Notes/1288/H46-36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137BB4" w:rsidP="00123CDD">
    <w:pPr>
      <w:pStyle w:val="Header"/>
      <w:spacing w:after="2280"/>
    </w:pPr>
    <w:r>
      <w:rPr>
        <w:noProof/>
        <w:lang w:val="en-US"/>
      </w:rPr>
      <w:drawing>
        <wp:anchor distT="0" distB="0" distL="114300" distR="114300" simplePos="0" relativeHeight="251657728" behindDoc="1" locked="0" layoutInCell="0" allowOverlap="0" wp14:anchorId="7F746461" wp14:editId="2F3BE695">
          <wp:simplePos x="0" y="0"/>
          <wp:positionH relativeFrom="page">
            <wp:posOffset>410210</wp:posOffset>
          </wp:positionH>
          <wp:positionV relativeFrom="page">
            <wp:posOffset>17780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227C1"/>
    <w:multiLevelType w:val="hybridMultilevel"/>
    <w:tmpl w:val="9EBAB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14"/>
    <w:rsid w:val="00010924"/>
    <w:rsid w:val="00027B2B"/>
    <w:rsid w:val="00035FDF"/>
    <w:rsid w:val="00071EA7"/>
    <w:rsid w:val="00072CBD"/>
    <w:rsid w:val="000739B9"/>
    <w:rsid w:val="00082CEE"/>
    <w:rsid w:val="000A082F"/>
    <w:rsid w:val="000A307B"/>
    <w:rsid w:val="000C52A6"/>
    <w:rsid w:val="000C5E2A"/>
    <w:rsid w:val="000E50A4"/>
    <w:rsid w:val="000F4CF2"/>
    <w:rsid w:val="000F58C3"/>
    <w:rsid w:val="000F5ADA"/>
    <w:rsid w:val="000F708C"/>
    <w:rsid w:val="00106141"/>
    <w:rsid w:val="00110729"/>
    <w:rsid w:val="00113EB0"/>
    <w:rsid w:val="001213BB"/>
    <w:rsid w:val="00123CDD"/>
    <w:rsid w:val="00132AF8"/>
    <w:rsid w:val="00134D9A"/>
    <w:rsid w:val="00135BDB"/>
    <w:rsid w:val="00137BB4"/>
    <w:rsid w:val="0014266D"/>
    <w:rsid w:val="00147EF4"/>
    <w:rsid w:val="00153BB3"/>
    <w:rsid w:val="00156DC1"/>
    <w:rsid w:val="00157450"/>
    <w:rsid w:val="00160B03"/>
    <w:rsid w:val="00162E09"/>
    <w:rsid w:val="00171115"/>
    <w:rsid w:val="00185F77"/>
    <w:rsid w:val="001A1F8C"/>
    <w:rsid w:val="001A6076"/>
    <w:rsid w:val="001B7E0B"/>
    <w:rsid w:val="001E7C29"/>
    <w:rsid w:val="001F297D"/>
    <w:rsid w:val="001F4F04"/>
    <w:rsid w:val="00214299"/>
    <w:rsid w:val="002250DD"/>
    <w:rsid w:val="0023437D"/>
    <w:rsid w:val="00242ABB"/>
    <w:rsid w:val="00246017"/>
    <w:rsid w:val="00251353"/>
    <w:rsid w:val="00262B36"/>
    <w:rsid w:val="00265917"/>
    <w:rsid w:val="002861FB"/>
    <w:rsid w:val="00293EE6"/>
    <w:rsid w:val="002B1EAE"/>
    <w:rsid w:val="002C049C"/>
    <w:rsid w:val="002C0872"/>
    <w:rsid w:val="002C20BA"/>
    <w:rsid w:val="002C43B5"/>
    <w:rsid w:val="002C4704"/>
    <w:rsid w:val="002D0655"/>
    <w:rsid w:val="002D11B8"/>
    <w:rsid w:val="002E4089"/>
    <w:rsid w:val="002F3006"/>
    <w:rsid w:val="002F405C"/>
    <w:rsid w:val="002F6BB7"/>
    <w:rsid w:val="00303712"/>
    <w:rsid w:val="003152B3"/>
    <w:rsid w:val="003354C4"/>
    <w:rsid w:val="00335CAF"/>
    <w:rsid w:val="003364D1"/>
    <w:rsid w:val="003543E0"/>
    <w:rsid w:val="0037200F"/>
    <w:rsid w:val="00373957"/>
    <w:rsid w:val="00381C50"/>
    <w:rsid w:val="00385587"/>
    <w:rsid w:val="00392D1D"/>
    <w:rsid w:val="0039556E"/>
    <w:rsid w:val="003A5509"/>
    <w:rsid w:val="003B2C8C"/>
    <w:rsid w:val="003B345B"/>
    <w:rsid w:val="003D3B17"/>
    <w:rsid w:val="003D48AE"/>
    <w:rsid w:val="003D6AC2"/>
    <w:rsid w:val="003F3D4B"/>
    <w:rsid w:val="0040027C"/>
    <w:rsid w:val="00400868"/>
    <w:rsid w:val="0041282F"/>
    <w:rsid w:val="004256CB"/>
    <w:rsid w:val="004329B7"/>
    <w:rsid w:val="00443505"/>
    <w:rsid w:val="00443709"/>
    <w:rsid w:val="00447D22"/>
    <w:rsid w:val="004553F6"/>
    <w:rsid w:val="004728F8"/>
    <w:rsid w:val="00480D8B"/>
    <w:rsid w:val="00491E67"/>
    <w:rsid w:val="004A37E1"/>
    <w:rsid w:val="004A4182"/>
    <w:rsid w:val="004C0C2F"/>
    <w:rsid w:val="004C11B3"/>
    <w:rsid w:val="004D1C0F"/>
    <w:rsid w:val="004F1D8B"/>
    <w:rsid w:val="004F6CD6"/>
    <w:rsid w:val="0050115D"/>
    <w:rsid w:val="005020E6"/>
    <w:rsid w:val="0054041B"/>
    <w:rsid w:val="00544F6A"/>
    <w:rsid w:val="00550B6C"/>
    <w:rsid w:val="00560FDE"/>
    <w:rsid w:val="00574663"/>
    <w:rsid w:val="00577F30"/>
    <w:rsid w:val="00586090"/>
    <w:rsid w:val="005B1FA1"/>
    <w:rsid w:val="005B3604"/>
    <w:rsid w:val="005C73BB"/>
    <w:rsid w:val="005D1278"/>
    <w:rsid w:val="005D7BB3"/>
    <w:rsid w:val="005D7CDF"/>
    <w:rsid w:val="005F093B"/>
    <w:rsid w:val="005F3DC6"/>
    <w:rsid w:val="006065F1"/>
    <w:rsid w:val="00614982"/>
    <w:rsid w:val="00636A5F"/>
    <w:rsid w:val="00643231"/>
    <w:rsid w:val="00643C3F"/>
    <w:rsid w:val="00644AD3"/>
    <w:rsid w:val="006455FA"/>
    <w:rsid w:val="006644E1"/>
    <w:rsid w:val="00671684"/>
    <w:rsid w:val="00671EA2"/>
    <w:rsid w:val="00672740"/>
    <w:rsid w:val="006908C5"/>
    <w:rsid w:val="006A45EA"/>
    <w:rsid w:val="006E50E9"/>
    <w:rsid w:val="006F0318"/>
    <w:rsid w:val="006F6B48"/>
    <w:rsid w:val="00712E65"/>
    <w:rsid w:val="007144A4"/>
    <w:rsid w:val="007150DE"/>
    <w:rsid w:val="00735569"/>
    <w:rsid w:val="00761627"/>
    <w:rsid w:val="007626E6"/>
    <w:rsid w:val="007716CB"/>
    <w:rsid w:val="00773CFE"/>
    <w:rsid w:val="007A543D"/>
    <w:rsid w:val="007B3DD0"/>
    <w:rsid w:val="007C0AD1"/>
    <w:rsid w:val="007D7B20"/>
    <w:rsid w:val="007E0F73"/>
    <w:rsid w:val="007E168C"/>
    <w:rsid w:val="007F6C46"/>
    <w:rsid w:val="00800A19"/>
    <w:rsid w:val="00803517"/>
    <w:rsid w:val="008042E6"/>
    <w:rsid w:val="00805F04"/>
    <w:rsid w:val="0081063E"/>
    <w:rsid w:val="00810D5A"/>
    <w:rsid w:val="00814AA2"/>
    <w:rsid w:val="0082394F"/>
    <w:rsid w:val="00853C90"/>
    <w:rsid w:val="008575F2"/>
    <w:rsid w:val="0087380A"/>
    <w:rsid w:val="00875B5F"/>
    <w:rsid w:val="008B07D4"/>
    <w:rsid w:val="008C12CC"/>
    <w:rsid w:val="008C2201"/>
    <w:rsid w:val="008E274D"/>
    <w:rsid w:val="008E3453"/>
    <w:rsid w:val="008E5DB4"/>
    <w:rsid w:val="00912F71"/>
    <w:rsid w:val="00915AB1"/>
    <w:rsid w:val="00916BF5"/>
    <w:rsid w:val="009215B8"/>
    <w:rsid w:val="00923554"/>
    <w:rsid w:val="009270C4"/>
    <w:rsid w:val="009342FF"/>
    <w:rsid w:val="00940F14"/>
    <w:rsid w:val="00945F0B"/>
    <w:rsid w:val="00950D67"/>
    <w:rsid w:val="009527D7"/>
    <w:rsid w:val="00955512"/>
    <w:rsid w:val="00956125"/>
    <w:rsid w:val="00963962"/>
    <w:rsid w:val="00974C41"/>
    <w:rsid w:val="00990722"/>
    <w:rsid w:val="009A5179"/>
    <w:rsid w:val="009B3AB7"/>
    <w:rsid w:val="009C5258"/>
    <w:rsid w:val="009D28F3"/>
    <w:rsid w:val="009D28F7"/>
    <w:rsid w:val="009E1846"/>
    <w:rsid w:val="00A12DEC"/>
    <w:rsid w:val="00A13FA3"/>
    <w:rsid w:val="00A161B3"/>
    <w:rsid w:val="00A22D53"/>
    <w:rsid w:val="00A43748"/>
    <w:rsid w:val="00A474E5"/>
    <w:rsid w:val="00A842D4"/>
    <w:rsid w:val="00A93CA3"/>
    <w:rsid w:val="00AB2BF8"/>
    <w:rsid w:val="00AB6552"/>
    <w:rsid w:val="00AB67F8"/>
    <w:rsid w:val="00AB7727"/>
    <w:rsid w:val="00AC73AA"/>
    <w:rsid w:val="00AE76B8"/>
    <w:rsid w:val="00AF0846"/>
    <w:rsid w:val="00B06133"/>
    <w:rsid w:val="00B129D8"/>
    <w:rsid w:val="00B201D1"/>
    <w:rsid w:val="00B227AE"/>
    <w:rsid w:val="00B41B03"/>
    <w:rsid w:val="00B41EC3"/>
    <w:rsid w:val="00B509CE"/>
    <w:rsid w:val="00B63F08"/>
    <w:rsid w:val="00B65598"/>
    <w:rsid w:val="00B7223C"/>
    <w:rsid w:val="00B81BAC"/>
    <w:rsid w:val="00B849E0"/>
    <w:rsid w:val="00B90246"/>
    <w:rsid w:val="00B920E4"/>
    <w:rsid w:val="00B9581E"/>
    <w:rsid w:val="00BA79A3"/>
    <w:rsid w:val="00BB7DCE"/>
    <w:rsid w:val="00BD25C0"/>
    <w:rsid w:val="00BD341E"/>
    <w:rsid w:val="00C049EE"/>
    <w:rsid w:val="00C109FD"/>
    <w:rsid w:val="00C14C2C"/>
    <w:rsid w:val="00C20688"/>
    <w:rsid w:val="00C409C2"/>
    <w:rsid w:val="00C74E6F"/>
    <w:rsid w:val="00C8348A"/>
    <w:rsid w:val="00C92F89"/>
    <w:rsid w:val="00CA78AC"/>
    <w:rsid w:val="00CC39DC"/>
    <w:rsid w:val="00CE1FF8"/>
    <w:rsid w:val="00CE4890"/>
    <w:rsid w:val="00CE6FD2"/>
    <w:rsid w:val="00D0182E"/>
    <w:rsid w:val="00D0265B"/>
    <w:rsid w:val="00D24A57"/>
    <w:rsid w:val="00D53526"/>
    <w:rsid w:val="00D554E6"/>
    <w:rsid w:val="00D70628"/>
    <w:rsid w:val="00D93B6C"/>
    <w:rsid w:val="00D95E3B"/>
    <w:rsid w:val="00DA4FA4"/>
    <w:rsid w:val="00DA7643"/>
    <w:rsid w:val="00DB029C"/>
    <w:rsid w:val="00DC162E"/>
    <w:rsid w:val="00DC4A39"/>
    <w:rsid w:val="00DE0A21"/>
    <w:rsid w:val="00DF6796"/>
    <w:rsid w:val="00E125C6"/>
    <w:rsid w:val="00E12AC3"/>
    <w:rsid w:val="00E15639"/>
    <w:rsid w:val="00E173B5"/>
    <w:rsid w:val="00E24C57"/>
    <w:rsid w:val="00E475F9"/>
    <w:rsid w:val="00E50974"/>
    <w:rsid w:val="00E86611"/>
    <w:rsid w:val="00E940BF"/>
    <w:rsid w:val="00EA643A"/>
    <w:rsid w:val="00EB7B84"/>
    <w:rsid w:val="00ED036F"/>
    <w:rsid w:val="00ED418B"/>
    <w:rsid w:val="00EE34E3"/>
    <w:rsid w:val="00EF0BE4"/>
    <w:rsid w:val="00F01885"/>
    <w:rsid w:val="00F061EB"/>
    <w:rsid w:val="00F168A4"/>
    <w:rsid w:val="00F2380B"/>
    <w:rsid w:val="00F24713"/>
    <w:rsid w:val="00F262FE"/>
    <w:rsid w:val="00F35CA1"/>
    <w:rsid w:val="00F40699"/>
    <w:rsid w:val="00F40B8D"/>
    <w:rsid w:val="00F433D6"/>
    <w:rsid w:val="00F61D34"/>
    <w:rsid w:val="00F62494"/>
    <w:rsid w:val="00F76BBD"/>
    <w:rsid w:val="00F84886"/>
    <w:rsid w:val="00F96689"/>
    <w:rsid w:val="00FD6043"/>
    <w:rsid w:val="00FE1614"/>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2 Char,Footnote Text Char1 Char Char1,Footnote Text Char Char Char Char1,Footnote Text Char1 Char Char1 Char Char1,Footnote Text Char Char Char Char1 Char Char1,Footnote Text Char1 Char Char"/>
    <w:basedOn w:val="Normal"/>
    <w:link w:val="FootnoteTextChar"/>
    <w:unhideWhenUsed/>
    <w:rsid w:val="009C5258"/>
    <w:rPr>
      <w:sz w:val="16"/>
      <w:szCs w:val="20"/>
    </w:rPr>
  </w:style>
  <w:style w:type="character" w:customStyle="1" w:styleId="FootnoteTextChar">
    <w:name w:val="Footnote Text Char"/>
    <w:aliases w:val="Footnote Text Char2 Char Char1,Footnote Text Char1 Char Char1 Char1,Footnote Text Char Char Char Char1 Char1,Footnote Text Char1 Char Char1 Char Char1 Char1,Footnote Text Char Char Char Char1 Char Char1 Char1"/>
    <w:link w:val="FootnoteText"/>
    <w:uiPriority w:val="99"/>
    <w:rsid w:val="009C5258"/>
    <w:rPr>
      <w:rFonts w:ascii="Arial" w:hAnsi="Arial"/>
      <w:sz w:val="16"/>
      <w:lang w:val="fr-FR" w:eastAsia="en-US"/>
    </w:rPr>
  </w:style>
  <w:style w:type="character" w:styleId="FootnoteReference">
    <w:name w:val="footnote reference"/>
    <w:aliases w:val="Footnotes refss,Footnote Refernece"/>
    <w:unhideWhenUsed/>
    <w:rsid w:val="00853C90"/>
    <w:rPr>
      <w:vertAlign w:val="superscript"/>
    </w:rPr>
  </w:style>
  <w:style w:type="paragraph" w:customStyle="1" w:styleId="COELignes">
    <w:name w:val="COE_Lignes"/>
    <w:basedOn w:val="Normal"/>
    <w:rsid w:val="005D1278"/>
    <w:rPr>
      <w:rFonts w:eastAsia="Times New Roman"/>
      <w:szCs w:val="24"/>
      <w:lang w:val="en-US"/>
    </w:rPr>
  </w:style>
  <w:style w:type="paragraph" w:styleId="NormalWeb">
    <w:name w:val="Normal (Web)"/>
    <w:basedOn w:val="Normal"/>
    <w:uiPriority w:val="99"/>
    <w:rsid w:val="00B7223C"/>
    <w:pPr>
      <w:spacing w:before="100" w:beforeAutospacing="1" w:after="100" w:afterAutospacing="1"/>
    </w:pPr>
    <w:rPr>
      <w:rFonts w:eastAsia="Times New Roman"/>
      <w:sz w:val="17"/>
      <w:szCs w:val="17"/>
      <w:lang w:val="en-US"/>
    </w:rPr>
  </w:style>
  <w:style w:type="character" w:customStyle="1" w:styleId="sb8d990e2">
    <w:name w:val="sb8d990e2"/>
    <w:rsid w:val="005020E6"/>
  </w:style>
  <w:style w:type="paragraph" w:customStyle="1" w:styleId="Default">
    <w:name w:val="Default"/>
    <w:rsid w:val="00F84886"/>
    <w:pPr>
      <w:autoSpaceDE w:val="0"/>
      <w:autoSpaceDN w:val="0"/>
      <w:adjustRightInd w:val="0"/>
    </w:pPr>
    <w:rPr>
      <w:rFonts w:ascii="Arial" w:hAnsi="Arial" w:cs="Arial"/>
      <w:color w:val="000000"/>
      <w:sz w:val="24"/>
      <w:szCs w:val="24"/>
      <w:lang w:val="en-US"/>
    </w:rPr>
  </w:style>
  <w:style w:type="character" w:customStyle="1" w:styleId="FootnoteTextChar1">
    <w:name w:val="Footnote Text Char1"/>
    <w:aliases w:val="Footnote Text Char Char,Footnote Text Char2 Char Char,Footnote Text Char1 Char Char1 Char,Footnote Text Char Char Char Char1 Char,Footnote Text Char1 Char Char1 Char Char1 Char,Footnote Text Char Char Char Char1 Char Char1 Char"/>
    <w:rsid w:val="00586090"/>
    <w:rPr>
      <w:rFonts w:ascii="Arial" w:hAnsi="Arial"/>
      <w:sz w:val="16"/>
    </w:rPr>
  </w:style>
  <w:style w:type="paragraph" w:customStyle="1" w:styleId="s746c8714">
    <w:name w:val="s746c8714"/>
    <w:basedOn w:val="Normal"/>
    <w:rsid w:val="00586090"/>
    <w:pPr>
      <w:spacing w:before="100" w:beforeAutospacing="1" w:after="100" w:afterAutospacing="1"/>
    </w:pPr>
    <w:rPr>
      <w:rFonts w:ascii="Times New Roman" w:eastAsia="Times New Roman" w:hAnsi="Times New Roman"/>
      <w:sz w:val="24"/>
      <w:szCs w:val="24"/>
      <w:lang w:eastAsia="fr-FR"/>
    </w:rPr>
  </w:style>
  <w:style w:type="character" w:customStyle="1" w:styleId="sae070d1d">
    <w:name w:val="sae070d1d"/>
    <w:basedOn w:val="DefaultParagraphFont"/>
    <w:rsid w:val="00586090"/>
  </w:style>
  <w:style w:type="character" w:customStyle="1" w:styleId="s89ec461c">
    <w:name w:val="s89ec461c"/>
    <w:basedOn w:val="DefaultParagraphFont"/>
    <w:rsid w:val="00586090"/>
  </w:style>
  <w:style w:type="paragraph" w:styleId="HTMLPreformatted">
    <w:name w:val="HTML Preformatted"/>
    <w:basedOn w:val="Normal"/>
    <w:link w:val="HTMLPreformattedChar"/>
    <w:uiPriority w:val="99"/>
    <w:unhideWhenUsed/>
    <w:rsid w:val="0058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uiPriority w:val="99"/>
    <w:rsid w:val="00586090"/>
    <w:rPr>
      <w:rFonts w:ascii="Courier New" w:eastAsia="Times New Roman"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2 Char,Footnote Text Char1 Char Char1,Footnote Text Char Char Char Char1,Footnote Text Char1 Char Char1 Char Char1,Footnote Text Char Char Char Char1 Char Char1,Footnote Text Char1 Char Char"/>
    <w:basedOn w:val="Normal"/>
    <w:link w:val="FootnoteTextChar"/>
    <w:unhideWhenUsed/>
    <w:rsid w:val="009C5258"/>
    <w:rPr>
      <w:sz w:val="16"/>
      <w:szCs w:val="20"/>
    </w:rPr>
  </w:style>
  <w:style w:type="character" w:customStyle="1" w:styleId="FootnoteTextChar">
    <w:name w:val="Footnote Text Char"/>
    <w:aliases w:val="Footnote Text Char2 Char Char1,Footnote Text Char1 Char Char1 Char1,Footnote Text Char Char Char Char1 Char1,Footnote Text Char1 Char Char1 Char Char1 Char1,Footnote Text Char Char Char Char1 Char Char1 Char1"/>
    <w:link w:val="FootnoteText"/>
    <w:uiPriority w:val="99"/>
    <w:rsid w:val="009C5258"/>
    <w:rPr>
      <w:rFonts w:ascii="Arial" w:hAnsi="Arial"/>
      <w:sz w:val="16"/>
      <w:lang w:val="fr-FR" w:eastAsia="en-US"/>
    </w:rPr>
  </w:style>
  <w:style w:type="character" w:styleId="FootnoteReference">
    <w:name w:val="footnote reference"/>
    <w:aliases w:val="Footnotes refss,Footnote Refernece"/>
    <w:unhideWhenUsed/>
    <w:rsid w:val="00853C90"/>
    <w:rPr>
      <w:vertAlign w:val="superscript"/>
    </w:rPr>
  </w:style>
  <w:style w:type="paragraph" w:customStyle="1" w:styleId="COELignes">
    <w:name w:val="COE_Lignes"/>
    <w:basedOn w:val="Normal"/>
    <w:rsid w:val="005D1278"/>
    <w:rPr>
      <w:rFonts w:eastAsia="Times New Roman"/>
      <w:szCs w:val="24"/>
      <w:lang w:val="en-US"/>
    </w:rPr>
  </w:style>
  <w:style w:type="paragraph" w:styleId="NormalWeb">
    <w:name w:val="Normal (Web)"/>
    <w:basedOn w:val="Normal"/>
    <w:uiPriority w:val="99"/>
    <w:rsid w:val="00B7223C"/>
    <w:pPr>
      <w:spacing w:before="100" w:beforeAutospacing="1" w:after="100" w:afterAutospacing="1"/>
    </w:pPr>
    <w:rPr>
      <w:rFonts w:eastAsia="Times New Roman"/>
      <w:sz w:val="17"/>
      <w:szCs w:val="17"/>
      <w:lang w:val="en-US"/>
    </w:rPr>
  </w:style>
  <w:style w:type="character" w:customStyle="1" w:styleId="sb8d990e2">
    <w:name w:val="sb8d990e2"/>
    <w:rsid w:val="005020E6"/>
  </w:style>
  <w:style w:type="paragraph" w:customStyle="1" w:styleId="Default">
    <w:name w:val="Default"/>
    <w:rsid w:val="00F84886"/>
    <w:pPr>
      <w:autoSpaceDE w:val="0"/>
      <w:autoSpaceDN w:val="0"/>
      <w:adjustRightInd w:val="0"/>
    </w:pPr>
    <w:rPr>
      <w:rFonts w:ascii="Arial" w:hAnsi="Arial" w:cs="Arial"/>
      <w:color w:val="000000"/>
      <w:sz w:val="24"/>
      <w:szCs w:val="24"/>
      <w:lang w:val="en-US"/>
    </w:rPr>
  </w:style>
  <w:style w:type="character" w:customStyle="1" w:styleId="FootnoteTextChar1">
    <w:name w:val="Footnote Text Char1"/>
    <w:aliases w:val="Footnote Text Char Char,Footnote Text Char2 Char Char,Footnote Text Char1 Char Char1 Char,Footnote Text Char Char Char Char1 Char,Footnote Text Char1 Char Char1 Char Char1 Char,Footnote Text Char Char Char Char1 Char Char1 Char"/>
    <w:rsid w:val="00586090"/>
    <w:rPr>
      <w:rFonts w:ascii="Arial" w:hAnsi="Arial"/>
      <w:sz w:val="16"/>
    </w:rPr>
  </w:style>
  <w:style w:type="paragraph" w:customStyle="1" w:styleId="s746c8714">
    <w:name w:val="s746c8714"/>
    <w:basedOn w:val="Normal"/>
    <w:rsid w:val="00586090"/>
    <w:pPr>
      <w:spacing w:before="100" w:beforeAutospacing="1" w:after="100" w:afterAutospacing="1"/>
    </w:pPr>
    <w:rPr>
      <w:rFonts w:ascii="Times New Roman" w:eastAsia="Times New Roman" w:hAnsi="Times New Roman"/>
      <w:sz w:val="24"/>
      <w:szCs w:val="24"/>
      <w:lang w:eastAsia="fr-FR"/>
    </w:rPr>
  </w:style>
  <w:style w:type="character" w:customStyle="1" w:styleId="sae070d1d">
    <w:name w:val="sae070d1d"/>
    <w:basedOn w:val="DefaultParagraphFont"/>
    <w:rsid w:val="00586090"/>
  </w:style>
  <w:style w:type="character" w:customStyle="1" w:styleId="s89ec461c">
    <w:name w:val="s89ec461c"/>
    <w:basedOn w:val="DefaultParagraphFont"/>
    <w:rsid w:val="00586090"/>
  </w:style>
  <w:style w:type="paragraph" w:styleId="HTMLPreformatted">
    <w:name w:val="HTML Preformatted"/>
    <w:basedOn w:val="Normal"/>
    <w:link w:val="HTMLPreformattedChar"/>
    <w:uiPriority w:val="99"/>
    <w:unhideWhenUsed/>
    <w:rsid w:val="0058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uiPriority w:val="99"/>
    <w:rsid w:val="00586090"/>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389042">
      <w:bodyDiv w:val="1"/>
      <w:marLeft w:val="0"/>
      <w:marRight w:val="0"/>
      <w:marTop w:val="0"/>
      <w:marBottom w:val="0"/>
      <w:divBdr>
        <w:top w:val="none" w:sz="0" w:space="0" w:color="auto"/>
        <w:left w:val="none" w:sz="0" w:space="0" w:color="auto"/>
        <w:bottom w:val="none" w:sz="0" w:space="0" w:color="auto"/>
        <w:right w:val="none" w:sz="0" w:space="0" w:color="auto"/>
      </w:divBdr>
    </w:div>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hudoc.esc.coe.int/eng?i=2014/def/UKR/6/4/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1A77658-35FB-4A2C-8544-BEB5D59E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C0143175.dotm</Template>
  <TotalTime>6</TotalTime>
  <Pages>2</Pages>
  <Words>1191</Words>
  <Characters>6789</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7965</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Dominique</dc:creator>
  <cp:lastModifiedBy>BUI-THI Regine</cp:lastModifiedBy>
  <cp:revision>8</cp:revision>
  <cp:lastPrinted>2016-03-16T18:37:00Z</cp:lastPrinted>
  <dcterms:created xsi:type="dcterms:W3CDTF">2017-04-25T07:55:00Z</dcterms:created>
  <dcterms:modified xsi:type="dcterms:W3CDTF">2017-06-08T13:23:00Z</dcterms:modified>
</cp:coreProperties>
</file>