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AE35E11" w:rsidR="00D70688" w:rsidRPr="00D0286A" w:rsidRDefault="00174AD6" w:rsidP="00D70688">
            <w:pPr>
              <w:rPr>
                <w:rFonts w:ascii="Tahoma" w:hAnsi="Tahoma" w:cs="Tahoma"/>
                <w:caps/>
                <w:color w:val="000000" w:themeColor="text1"/>
                <w:sz w:val="18"/>
                <w:szCs w:val="18"/>
                <w:highlight w:val="cyan"/>
              </w:rPr>
            </w:pPr>
            <w:r w:rsidRPr="00174AD6">
              <w:rPr>
                <w:rFonts w:ascii="Tahoma" w:hAnsi="Tahoma" w:cs="Tahoma"/>
                <w:caps/>
                <w:color w:val="000000" w:themeColor="text1"/>
                <w:sz w:val="18"/>
                <w:szCs w:val="18"/>
              </w:rPr>
              <w:t>BH8871/</w:t>
            </w:r>
            <w:r w:rsidR="00E446D3">
              <w:rPr>
                <w:rFonts w:ascii="Tahoma" w:hAnsi="Tahoma" w:cs="Tahoma"/>
                <w:caps/>
                <w:color w:val="000000" w:themeColor="text1"/>
                <w:sz w:val="18"/>
                <w:szCs w:val="18"/>
              </w:rPr>
              <w:t>04</w:t>
            </w:r>
            <w:r w:rsidRPr="00E446D3">
              <w:rPr>
                <w:rFonts w:ascii="Tahoma" w:hAnsi="Tahoma" w:cs="Tahoma"/>
                <w:caps/>
                <w:color w:val="000000" w:themeColor="text1"/>
                <w:sz w:val="18"/>
                <w:szCs w:val="18"/>
              </w:rPr>
              <w:t>.10.2022</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61DA68E5" w:rsidR="00D70688" w:rsidRPr="00D0286A" w:rsidRDefault="00846C5A" w:rsidP="00D70688">
            <w:pPr>
              <w:rPr>
                <w:rFonts w:ascii="Tahoma" w:hAnsi="Tahoma" w:cs="Tahoma"/>
                <w:caps/>
                <w:color w:val="000000" w:themeColor="text1"/>
                <w:sz w:val="18"/>
                <w:szCs w:val="18"/>
                <w:highlight w:val="cyan"/>
              </w:rPr>
            </w:pPr>
            <w:r w:rsidRPr="00D35906">
              <w:rPr>
                <w:rFonts w:ascii="Tahoma" w:hAnsi="Tahoma" w:cs="Tahoma"/>
                <w:caps/>
                <w:color w:val="000000" w:themeColor="text1"/>
                <w:sz w:val="18"/>
                <w:szCs w:val="18"/>
              </w:rPr>
              <w:t>28</w:t>
            </w:r>
            <w:r>
              <w:rPr>
                <w:rFonts w:ascii="Tahoma" w:hAnsi="Tahoma" w:cs="Tahoma"/>
                <w:caps/>
                <w:color w:val="000000" w:themeColor="text1"/>
                <w:sz w:val="18"/>
                <w:szCs w:val="18"/>
              </w:rPr>
              <w:t>4</w:t>
            </w:r>
            <w:r w:rsidRPr="00D35906">
              <w:rPr>
                <w:rFonts w:ascii="Tahoma" w:hAnsi="Tahoma" w:cs="Tahoma"/>
                <w:caps/>
                <w:color w:val="000000" w:themeColor="text1"/>
                <w:sz w:val="18"/>
                <w:szCs w:val="18"/>
              </w:rPr>
              <w:t>2/</w:t>
            </w:r>
            <w:r>
              <w:t xml:space="preserve"> </w:t>
            </w:r>
            <w:r w:rsidRPr="002E6CCD">
              <w:rPr>
                <w:rFonts w:ascii="Tahoma" w:hAnsi="Tahoma" w:cs="Tahoma"/>
                <w:caps/>
                <w:color w:val="000000" w:themeColor="text1"/>
                <w:sz w:val="18"/>
                <w:szCs w:val="18"/>
              </w:rPr>
              <w:t>DEVELOPING A DRUG PREVENTION SUPPORT NETWORK FOR PARENTS AND PROFESSIONALS IN GEORGIA</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64B5E1F6" w:rsidR="00D70688" w:rsidRPr="00485425" w:rsidRDefault="00A56179" w:rsidP="00846C5A">
            <w:pPr>
              <w:rPr>
                <w:rFonts w:ascii="Tahoma" w:hAnsi="Tahoma" w:cs="Tahoma"/>
                <w:color w:val="000000" w:themeColor="text1"/>
                <w:sz w:val="18"/>
                <w:szCs w:val="18"/>
              </w:rPr>
            </w:pPr>
            <w:hyperlink r:id="rId11" w:history="1">
              <w:r w:rsidR="00846C5A" w:rsidRPr="00A934B6">
                <w:rPr>
                  <w:rStyle w:val="Hyperlink"/>
                  <w:rFonts w:ascii="Tahoma" w:hAnsi="Tahoma" w:cs="Tahoma"/>
                  <w:sz w:val="18"/>
                  <w:szCs w:val="18"/>
                </w:rPr>
                <w:t>kristine.garashvili@coe.int</w:t>
              </w:r>
            </w:hyperlink>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3ED357AA" w:rsidR="00C20349" w:rsidRPr="00D0286A" w:rsidRDefault="00174AD6" w:rsidP="00E17F6A">
      <w:pPr>
        <w:rPr>
          <w:rFonts w:ascii="Tahoma" w:hAnsi="Tahoma" w:cs="Tahoma"/>
          <w:b/>
          <w:caps/>
          <w:sz w:val="28"/>
          <w:szCs w:val="28"/>
        </w:rPr>
      </w:pPr>
      <w:r>
        <w:rPr>
          <w:rFonts w:ascii="Tahoma" w:hAnsi="Tahoma" w:cs="Tahoma"/>
          <w:b/>
          <w:caps/>
          <w:sz w:val="28"/>
          <w:szCs w:val="28"/>
        </w:rPr>
        <w:br/>
      </w:r>
      <w:r w:rsidR="00C20349"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1090D22D"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846C5A">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846C5A" w:rsidRPr="00846C5A">
        <w:rPr>
          <w:rFonts w:ascii="Tahoma" w:hAnsi="Tahoma" w:cs="Tahoma"/>
          <w:b/>
        </w:rPr>
        <w:t>national consultancy services on various aspects of Drug Prevention at local level in Georgia</w:t>
      </w:r>
      <w:r w:rsidR="00174AD6">
        <w:rPr>
          <w:rFonts w:ascii="Tahoma" w:hAnsi="Tahoma" w:cs="Tahoma"/>
          <w:b/>
        </w:rPr>
        <w:t xml:space="preserve">, </w:t>
      </w:r>
      <w:r w:rsidR="00174AD6" w:rsidRPr="00174AD6">
        <w:rPr>
          <w:rFonts w:ascii="Tahoma" w:hAnsi="Tahoma" w:cs="Tahoma"/>
          <w:b/>
        </w:rPr>
        <w:t>in the framework of the Project</w:t>
      </w:r>
      <w:r w:rsidR="00174AD6">
        <w:rPr>
          <w:rFonts w:ascii="Tahoma" w:hAnsi="Tahoma" w:cs="Tahoma"/>
          <w:b/>
        </w:rPr>
        <w:t xml:space="preserve"> </w:t>
      </w:r>
      <w:r w:rsidR="00174AD6" w:rsidRPr="00174AD6">
        <w:rPr>
          <w:rFonts w:ascii="Tahoma" w:hAnsi="Tahoma" w:cs="Tahoma"/>
          <w:b/>
        </w:rPr>
        <w:t xml:space="preserve">“Developing a Drug Prevention Support Network for Parents and Professionals in Georgia”.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A56179"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A56179"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A56179"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18C13C11"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01259E73" w:rsidR="00B133A9" w:rsidRPr="00D0286A" w:rsidRDefault="00846C5A" w:rsidP="00B133A9">
      <w:pPr>
        <w:spacing w:line="276" w:lineRule="auto"/>
        <w:jc w:val="both"/>
        <w:rPr>
          <w:rFonts w:ascii="Tahoma" w:hAnsi="Tahoma" w:cs="Tahoma"/>
          <w:sz w:val="20"/>
          <w:szCs w:val="20"/>
        </w:rPr>
      </w:pPr>
      <w:r w:rsidRPr="00C702BA">
        <w:rPr>
          <w:rFonts w:ascii="Tahoma" w:hAnsi="Tahoma" w:cs="Tahoma"/>
          <w:bCs/>
          <w:color w:val="000000" w:themeColor="text1"/>
          <w:sz w:val="20"/>
          <w:szCs w:val="20"/>
        </w:rPr>
        <w:t xml:space="preserve">Pompidou Group </w:t>
      </w:r>
      <w:r>
        <w:rPr>
          <w:rFonts w:ascii="Tahoma" w:hAnsi="Tahoma" w:cs="Tahoma"/>
          <w:bCs/>
          <w:color w:val="000000" w:themeColor="text1"/>
          <w:sz w:val="20"/>
          <w:szCs w:val="20"/>
        </w:rPr>
        <w:t>of t</w:t>
      </w:r>
      <w:r w:rsidR="00B133A9" w:rsidRPr="00D0286A">
        <w:rPr>
          <w:rFonts w:ascii="Tahoma" w:hAnsi="Tahoma" w:cs="Tahoma"/>
          <w:sz w:val="20"/>
          <w:szCs w:val="20"/>
        </w:rPr>
        <w:t xml:space="preserve">he Council of Europe is currently implementing a Project on </w:t>
      </w:r>
      <w:hyperlink r:id="rId12" w:history="1">
        <w:r w:rsidR="00A50EBD" w:rsidRPr="001B04AB">
          <w:rPr>
            <w:rStyle w:val="Hyperlink"/>
            <w:rFonts w:ascii="Tahoma" w:hAnsi="Tahoma" w:cs="Tahoma"/>
            <w:sz w:val="20"/>
            <w:szCs w:val="20"/>
          </w:rPr>
          <w:t>‘</w:t>
        </w:r>
        <w:r w:rsidRPr="001B04AB">
          <w:rPr>
            <w:rStyle w:val="Hyperlink"/>
            <w:rFonts w:ascii="Tahoma" w:hAnsi="Tahoma" w:cs="Tahoma"/>
            <w:bCs/>
            <w:sz w:val="20"/>
            <w:szCs w:val="20"/>
          </w:rPr>
          <w:t>Developing a Drug Prevention Network for Parents and Professionals in Georgia’</w:t>
        </w:r>
      </w:hyperlink>
      <w:r w:rsidRPr="00C702BA">
        <w:rPr>
          <w:rFonts w:ascii="Tahoma" w:hAnsi="Tahoma" w:cs="Tahoma"/>
          <w:bCs/>
          <w:color w:val="000000" w:themeColor="text1"/>
          <w:sz w:val="20"/>
          <w:szCs w:val="20"/>
        </w:rPr>
        <w:t>. The project aims to contribute to the reduction of drug use prevalence</w:t>
      </w:r>
      <w:r w:rsidR="00613E34">
        <w:rPr>
          <w:rFonts w:ascii="Tahoma" w:hAnsi="Tahoma" w:cs="Tahoma"/>
          <w:bCs/>
          <w:color w:val="000000" w:themeColor="text1"/>
          <w:sz w:val="20"/>
          <w:szCs w:val="20"/>
        </w:rPr>
        <w:t xml:space="preserve">, </w:t>
      </w:r>
      <w:r w:rsidRPr="00C702BA">
        <w:rPr>
          <w:rFonts w:ascii="Tahoma" w:hAnsi="Tahoma" w:cs="Tahoma"/>
          <w:bCs/>
          <w:color w:val="000000" w:themeColor="text1"/>
          <w:sz w:val="20"/>
          <w:szCs w:val="20"/>
        </w:rPr>
        <w:t>associated risk factors</w:t>
      </w:r>
      <w:r w:rsidR="00613E34">
        <w:rPr>
          <w:rFonts w:ascii="Tahoma" w:hAnsi="Tahoma" w:cs="Tahoma"/>
          <w:bCs/>
          <w:color w:val="000000" w:themeColor="text1"/>
          <w:sz w:val="20"/>
          <w:szCs w:val="20"/>
        </w:rPr>
        <w:t xml:space="preserve">, </w:t>
      </w:r>
      <w:r w:rsidR="009D38F9">
        <w:rPr>
          <w:rFonts w:ascii="Tahoma" w:hAnsi="Tahoma" w:cs="Tahoma"/>
          <w:bCs/>
          <w:color w:val="000000" w:themeColor="text1"/>
          <w:sz w:val="20"/>
          <w:szCs w:val="20"/>
        </w:rPr>
        <w:t>behaviours</w:t>
      </w:r>
      <w:r w:rsidRPr="00C702BA">
        <w:rPr>
          <w:rFonts w:ascii="Tahoma" w:hAnsi="Tahoma" w:cs="Tahoma"/>
          <w:bCs/>
          <w:color w:val="000000" w:themeColor="text1"/>
          <w:sz w:val="20"/>
          <w:szCs w:val="20"/>
        </w:rPr>
        <w:t xml:space="preserve"> </w:t>
      </w:r>
      <w:r w:rsidR="00613E34">
        <w:rPr>
          <w:rFonts w:ascii="Tahoma" w:hAnsi="Tahoma" w:cs="Tahoma"/>
          <w:bCs/>
          <w:color w:val="000000" w:themeColor="text1"/>
          <w:sz w:val="20"/>
          <w:szCs w:val="20"/>
        </w:rPr>
        <w:t>as well as mitigating trauma, mental health and crisis related to drug addiction and substance abuse related issues.</w:t>
      </w:r>
      <w:r w:rsidRPr="00C702BA">
        <w:rPr>
          <w:rFonts w:ascii="Tahoma" w:hAnsi="Tahoma" w:cs="Tahoma"/>
          <w:bCs/>
          <w:color w:val="000000" w:themeColor="text1"/>
          <w:sz w:val="20"/>
          <w:szCs w:val="20"/>
        </w:rPr>
        <w:t xml:space="preserve"> </w:t>
      </w:r>
      <w:r w:rsidR="00B133A9" w:rsidRPr="00D0286A">
        <w:rPr>
          <w:rFonts w:ascii="Tahoma" w:hAnsi="Tahoma" w:cs="Tahoma"/>
          <w:sz w:val="20"/>
          <w:szCs w:val="20"/>
        </w:rPr>
        <w:t xml:space="preserve">In that context, </w:t>
      </w:r>
      <w:r w:rsidR="00CD3D01">
        <w:rPr>
          <w:rFonts w:ascii="Tahoma" w:hAnsi="Tahoma" w:cs="Tahoma"/>
          <w:sz w:val="20"/>
          <w:szCs w:val="20"/>
        </w:rPr>
        <w:t>the Office of the Council of Europe in Georgia</w:t>
      </w:r>
      <w:r w:rsidR="00B133A9" w:rsidRPr="00D0286A">
        <w:rPr>
          <w:rFonts w:ascii="Tahoma" w:hAnsi="Tahoma" w:cs="Tahoma"/>
          <w:sz w:val="20"/>
          <w:szCs w:val="20"/>
        </w:rPr>
        <w:t xml:space="preserve"> is looking for Provider(s) (see below) for the provision of</w:t>
      </w:r>
      <w:r w:rsidRPr="00846C5A">
        <w:rPr>
          <w:rFonts w:ascii="Tahoma" w:hAnsi="Tahoma" w:cs="Tahoma"/>
          <w:sz w:val="20"/>
          <w:szCs w:val="20"/>
        </w:rPr>
        <w:t xml:space="preserve"> national consultancy services on various aspects of drug prevention at local level </w:t>
      </w:r>
      <w:r w:rsidR="00B133A9"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174AD6" w:rsidRDefault="00B133A9" w:rsidP="00B133A9">
      <w:pPr>
        <w:spacing w:line="276" w:lineRule="auto"/>
        <w:jc w:val="both"/>
        <w:rPr>
          <w:rFonts w:ascii="Tahoma" w:hAnsi="Tahoma" w:cs="Tahoma"/>
          <w:b/>
          <w:sz w:val="20"/>
          <w:szCs w:val="20"/>
        </w:rPr>
      </w:pPr>
      <w:r w:rsidRPr="00174AD6">
        <w:rPr>
          <w:rFonts w:ascii="Tahoma" w:hAnsi="Tahoma" w:cs="Tahoma"/>
          <w:b/>
          <w:sz w:val="20"/>
          <w:szCs w:val="20"/>
        </w:rPr>
        <w:t>Pooling</w:t>
      </w:r>
    </w:p>
    <w:p w14:paraId="01A9D193" w14:textId="77777777" w:rsidR="00B133A9" w:rsidRPr="00174AD6" w:rsidRDefault="00B133A9" w:rsidP="00B133A9">
      <w:pPr>
        <w:spacing w:line="276" w:lineRule="auto"/>
        <w:jc w:val="both"/>
        <w:rPr>
          <w:rFonts w:ascii="Tahoma" w:hAnsi="Tahoma" w:cs="Tahoma"/>
          <w:sz w:val="20"/>
          <w:szCs w:val="20"/>
        </w:rPr>
      </w:pPr>
      <w:r w:rsidRPr="00174AD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174AD6" w:rsidRDefault="00B133A9" w:rsidP="00311C90">
      <w:pPr>
        <w:pStyle w:val="Default"/>
        <w:numPr>
          <w:ilvl w:val="0"/>
          <w:numId w:val="6"/>
        </w:numPr>
        <w:ind w:left="709"/>
        <w:rPr>
          <w:rFonts w:ascii="Tahoma" w:hAnsi="Tahoma" w:cs="Tahoma"/>
          <w:sz w:val="20"/>
          <w:szCs w:val="20"/>
        </w:rPr>
      </w:pPr>
      <w:r w:rsidRPr="00174AD6">
        <w:rPr>
          <w:rFonts w:ascii="Tahoma" w:hAnsi="Tahoma" w:cs="Tahoma"/>
          <w:sz w:val="20"/>
          <w:szCs w:val="20"/>
        </w:rPr>
        <w:t>quality (including as appropriate: capability, expertise, past performance, availability of resources and proposed methods of undertaking the work</w:t>
      </w:r>
      <w:proofErr w:type="gramStart"/>
      <w:r w:rsidRPr="00174AD6">
        <w:rPr>
          <w:rFonts w:ascii="Tahoma" w:hAnsi="Tahoma" w:cs="Tahoma"/>
          <w:sz w:val="20"/>
          <w:szCs w:val="20"/>
        </w:rPr>
        <w:t>);</w:t>
      </w:r>
      <w:proofErr w:type="gramEnd"/>
    </w:p>
    <w:p w14:paraId="3BF309F0" w14:textId="77777777" w:rsidR="00B133A9" w:rsidRPr="00174AD6" w:rsidRDefault="00B133A9" w:rsidP="00311C90">
      <w:pPr>
        <w:pStyle w:val="Default"/>
        <w:numPr>
          <w:ilvl w:val="0"/>
          <w:numId w:val="6"/>
        </w:numPr>
        <w:ind w:left="709"/>
        <w:rPr>
          <w:rFonts w:ascii="Tahoma" w:hAnsi="Tahoma" w:cs="Tahoma"/>
          <w:sz w:val="20"/>
          <w:szCs w:val="20"/>
        </w:rPr>
      </w:pPr>
      <w:r w:rsidRPr="00174AD6">
        <w:rPr>
          <w:rFonts w:ascii="Tahoma" w:hAnsi="Tahoma" w:cs="Tahoma"/>
          <w:sz w:val="20"/>
          <w:szCs w:val="20"/>
        </w:rPr>
        <w:t>availability (including, without limitation, capacity to meet required deadlines and, where relevant, geographical location); and</w:t>
      </w:r>
    </w:p>
    <w:p w14:paraId="75D10624" w14:textId="77777777" w:rsidR="00B133A9" w:rsidRPr="00174AD6" w:rsidRDefault="00B133A9" w:rsidP="00311C90">
      <w:pPr>
        <w:pStyle w:val="Default"/>
        <w:numPr>
          <w:ilvl w:val="0"/>
          <w:numId w:val="6"/>
        </w:numPr>
        <w:ind w:left="709"/>
        <w:rPr>
          <w:rFonts w:ascii="Tahoma" w:hAnsi="Tahoma" w:cs="Tahoma"/>
          <w:sz w:val="20"/>
          <w:szCs w:val="20"/>
        </w:rPr>
      </w:pPr>
      <w:r w:rsidRPr="00174AD6">
        <w:rPr>
          <w:rFonts w:ascii="Tahoma" w:hAnsi="Tahoma" w:cs="Tahoma"/>
          <w:sz w:val="20"/>
          <w:szCs w:val="20"/>
        </w:rPr>
        <w:t>price.</w:t>
      </w:r>
    </w:p>
    <w:p w14:paraId="6EE577A1" w14:textId="7543B8BA" w:rsidR="00B133A9" w:rsidRPr="00174AD6" w:rsidRDefault="00B133A9" w:rsidP="00B133A9">
      <w:pPr>
        <w:spacing w:line="276" w:lineRule="auto"/>
        <w:jc w:val="both"/>
        <w:rPr>
          <w:rFonts w:ascii="Tahoma" w:hAnsi="Tahoma" w:cs="Tahoma"/>
          <w:sz w:val="20"/>
          <w:szCs w:val="20"/>
        </w:rPr>
      </w:pPr>
      <w:r w:rsidRPr="00174AD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C338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799"/>
        <w:gridCol w:w="2059"/>
      </w:tblGrid>
      <w:tr w:rsidR="00B133A9" w:rsidRPr="00D0286A" w14:paraId="5C5B7FFB" w14:textId="77777777" w:rsidTr="00A50EBD">
        <w:trPr>
          <w:trHeight w:val="100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79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059" w:type="dxa"/>
            <w:tcBorders>
              <w:left w:val="single" w:sz="2" w:space="0" w:color="808080" w:themeColor="background1" w:themeShade="80"/>
              <w:bottom w:val="single" w:sz="2" w:space="0" w:color="808080"/>
            </w:tcBorders>
            <w:shd w:val="clear" w:color="auto" w:fill="F2F2F2" w:themeFill="background1" w:themeFillShade="F2"/>
            <w:vAlign w:val="center"/>
          </w:tcPr>
          <w:p w14:paraId="2FD1DDCE" w14:textId="77777777" w:rsidR="00A50EBD"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Maximum number of </w:t>
            </w:r>
          </w:p>
          <w:p w14:paraId="15864D98" w14:textId="7F1A523D"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Provide(s) to be selected</w:t>
            </w:r>
          </w:p>
        </w:tc>
      </w:tr>
      <w:tr w:rsidR="00B133A9" w:rsidRPr="00D0286A" w14:paraId="10D45989" w14:textId="77777777" w:rsidTr="00A50EBD">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2BC7556D" w:rsidR="00B133A9" w:rsidRPr="00D0286A" w:rsidRDefault="00A56179"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CC4D3F">
                  <w:rPr>
                    <w:rFonts w:ascii="MS Gothic" w:eastAsia="MS Gothic" w:hAnsi="MS Gothic" w:cs="Tahoma"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679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76B85FD1" w:rsidR="00B133A9" w:rsidRPr="00CC4D3F" w:rsidRDefault="00B133A9" w:rsidP="00F75021">
            <w:pPr>
              <w:spacing w:before="60" w:after="60"/>
              <w:ind w:left="25" w:right="-249" w:hanging="25"/>
              <w:rPr>
                <w:rFonts w:ascii="Tahoma" w:eastAsia="Calibri" w:hAnsi="Tahoma" w:cs="Tahoma"/>
                <w:b/>
                <w:bCs/>
                <w:lang w:val="en-US" w:eastAsia="en-US"/>
              </w:rPr>
            </w:pPr>
            <w:r w:rsidRPr="00CC4D3F">
              <w:rPr>
                <w:rFonts w:ascii="Tahoma" w:eastAsia="Calibri" w:hAnsi="Tahoma" w:cs="Tahoma"/>
                <w:b/>
                <w:bCs/>
                <w:lang w:val="en-US" w:eastAsia="en-US"/>
              </w:rPr>
              <w:t xml:space="preserve">Lot 1 - </w:t>
            </w:r>
            <w:r w:rsidR="00A50EBD" w:rsidRPr="00CC4D3F">
              <w:rPr>
                <w:rFonts w:ascii="Tahoma" w:hAnsi="Tahoma" w:cs="Tahoma"/>
                <w:color w:val="000000" w:themeColor="text1"/>
              </w:rPr>
              <w:t>Development of the capacity building, policy development, training and awareness campaign in drug prevention and drug prevalence related risk factors among mid-level management civil servants</w:t>
            </w:r>
            <w:r w:rsidR="00174AD6" w:rsidRPr="00CC4D3F">
              <w:rPr>
                <w:rFonts w:ascii="Tahoma" w:hAnsi="Tahoma" w:cs="Tahoma"/>
                <w:color w:val="000000" w:themeColor="text1"/>
              </w:rPr>
              <w:t>.</w:t>
            </w:r>
          </w:p>
        </w:tc>
        <w:tc>
          <w:tcPr>
            <w:tcW w:w="205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1707F637" w:rsidR="00B133A9" w:rsidRPr="00D0286A" w:rsidRDefault="00185677"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B133A9" w:rsidRPr="00D0286A" w14:paraId="0F91EE37" w14:textId="77777777" w:rsidTr="00A50EBD">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7E59EB79" w:rsidR="00B133A9" w:rsidRPr="00D0286A" w:rsidRDefault="00A50EBD"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79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91C35B3" w14:textId="10BEE707" w:rsidR="00A50EBD" w:rsidRPr="00CC4D3F" w:rsidRDefault="00B133A9" w:rsidP="00A50EBD">
            <w:pPr>
              <w:jc w:val="both"/>
              <w:rPr>
                <w:rFonts w:ascii="Tahoma" w:hAnsi="Tahoma" w:cs="Tahoma"/>
                <w:b/>
                <w:bCs/>
                <w:color w:val="000000" w:themeColor="text1"/>
                <w:u w:val="single"/>
              </w:rPr>
            </w:pPr>
            <w:r w:rsidRPr="00CC4D3F">
              <w:rPr>
                <w:rFonts w:ascii="Tahoma" w:eastAsia="Calibri" w:hAnsi="Tahoma" w:cs="Tahoma"/>
                <w:b/>
                <w:bCs/>
                <w:lang w:val="en-US" w:eastAsia="en-US"/>
              </w:rPr>
              <w:t>Lot 2</w:t>
            </w:r>
            <w:r w:rsidRPr="00CC4D3F">
              <w:rPr>
                <w:rFonts w:ascii="Tahoma" w:eastAsia="Calibri" w:hAnsi="Tahoma" w:cs="Tahoma"/>
                <w:bCs/>
                <w:lang w:val="en-US" w:eastAsia="en-US"/>
              </w:rPr>
              <w:t xml:space="preserve"> - </w:t>
            </w:r>
            <w:r w:rsidR="00A50EBD" w:rsidRPr="00CC4D3F">
              <w:rPr>
                <w:rFonts w:ascii="Tahoma" w:hAnsi="Tahoma" w:cs="Tahoma"/>
                <w:color w:val="000000" w:themeColor="text1"/>
              </w:rPr>
              <w:t>Development of the capacity building and trainings for municipal</w:t>
            </w:r>
            <w:r w:rsidR="00A50EBD" w:rsidRPr="00CC4D3F">
              <w:rPr>
                <w:rFonts w:ascii="Tahoma" w:hAnsi="Tahoma" w:cs="Tahoma"/>
              </w:rPr>
              <w:t>/local self-government representatives and frontline levels on drug prevention and drug prevalence related risk factors</w:t>
            </w:r>
            <w:r w:rsidR="00757701" w:rsidRPr="00CC4D3F">
              <w:rPr>
                <w:rFonts w:ascii="Tahoma" w:hAnsi="Tahoma" w:cs="Tahoma"/>
              </w:rPr>
              <w:t>, including d</w:t>
            </w:r>
            <w:r w:rsidR="00D86193" w:rsidRPr="00CC4D3F">
              <w:rPr>
                <w:rFonts w:ascii="Tahoma" w:hAnsi="Tahoma" w:cs="Tahoma"/>
              </w:rPr>
              <w:t>esign</w:t>
            </w:r>
            <w:r w:rsidR="00757701" w:rsidRPr="00CC4D3F">
              <w:rPr>
                <w:rFonts w:ascii="Tahoma" w:hAnsi="Tahoma" w:cs="Tahoma"/>
              </w:rPr>
              <w:t xml:space="preserve"> of drug prevention programmes </w:t>
            </w:r>
            <w:r w:rsidR="00A95F52" w:rsidRPr="00CC4D3F">
              <w:rPr>
                <w:rFonts w:ascii="Tahoma" w:hAnsi="Tahoma" w:cs="Tahoma"/>
              </w:rPr>
              <w:t xml:space="preserve">for children and adolescents. </w:t>
            </w:r>
          </w:p>
          <w:p w14:paraId="4B870DF5" w14:textId="4A44FECD" w:rsidR="00B133A9" w:rsidRPr="00CC4D3F" w:rsidRDefault="00B133A9" w:rsidP="00F75021">
            <w:pPr>
              <w:spacing w:before="60" w:after="60"/>
              <w:ind w:right="-249"/>
              <w:rPr>
                <w:rFonts w:ascii="Tahoma" w:eastAsia="Calibri" w:hAnsi="Tahoma" w:cs="Tahoma"/>
                <w:bCs/>
                <w:lang w:eastAsia="en-US"/>
              </w:rPr>
            </w:pPr>
          </w:p>
        </w:tc>
        <w:tc>
          <w:tcPr>
            <w:tcW w:w="205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7C29FA99" w:rsidR="00B133A9" w:rsidRPr="00D0286A" w:rsidRDefault="00185677"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A50EBD" w:rsidRPr="00D0286A" w14:paraId="2B003536" w14:textId="77777777" w:rsidTr="001F1F1D">
        <w:trPr>
          <w:trHeight w:val="420"/>
          <w:jc w:val="center"/>
        </w:trPr>
        <w:sdt>
          <w:sdtPr>
            <w:rPr>
              <w:rFonts w:ascii="Tahoma" w:eastAsia="Calibri" w:hAnsi="Tahoma" w:cs="Tahoma"/>
              <w:bCs/>
              <w:sz w:val="36"/>
              <w:szCs w:val="36"/>
              <w:lang w:val="en-US" w:eastAsia="en-US"/>
            </w:rPr>
            <w:id w:val="-1773164779"/>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2664B2" w14:textId="1A5AD0C0" w:rsidR="00A50EBD" w:rsidRDefault="00A50EBD"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79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F64199F" w14:textId="577C7EA9" w:rsidR="00A50EBD" w:rsidRPr="00CC4D3F" w:rsidRDefault="00A50EBD" w:rsidP="00A50EBD">
            <w:pPr>
              <w:jc w:val="both"/>
              <w:rPr>
                <w:rFonts w:ascii="Tahoma" w:hAnsi="Tahoma" w:cs="Tahoma"/>
                <w:color w:val="000000" w:themeColor="text1"/>
              </w:rPr>
            </w:pPr>
            <w:r w:rsidRPr="00CC4D3F">
              <w:rPr>
                <w:rFonts w:ascii="Tahoma" w:eastAsia="Calibri" w:hAnsi="Tahoma" w:cs="Tahoma"/>
                <w:b/>
                <w:bCs/>
                <w:lang w:val="en-US" w:eastAsia="en-US"/>
              </w:rPr>
              <w:t xml:space="preserve">Lot 3 </w:t>
            </w:r>
            <w:r w:rsidR="000217B1">
              <w:rPr>
                <w:rFonts w:ascii="Tahoma" w:eastAsia="Calibri" w:hAnsi="Tahoma" w:cs="Tahoma"/>
                <w:b/>
                <w:bCs/>
                <w:lang w:val="en-US" w:eastAsia="en-US"/>
              </w:rPr>
              <w:t>–</w:t>
            </w:r>
            <w:r w:rsidRPr="00CC4D3F">
              <w:rPr>
                <w:rFonts w:ascii="Tahoma" w:eastAsia="Calibri" w:hAnsi="Tahoma" w:cs="Tahoma"/>
                <w:b/>
                <w:bCs/>
                <w:lang w:val="en-US" w:eastAsia="en-US"/>
              </w:rPr>
              <w:t xml:space="preserve"> </w:t>
            </w:r>
            <w:r w:rsidRPr="00CC4D3F">
              <w:rPr>
                <w:rFonts w:ascii="Tahoma" w:hAnsi="Tahoma" w:cs="Tahoma"/>
                <w:color w:val="000000" w:themeColor="text1"/>
              </w:rPr>
              <w:t>Design</w:t>
            </w:r>
            <w:r w:rsidR="000217B1">
              <w:rPr>
                <w:rFonts w:ascii="Tahoma" w:hAnsi="Tahoma" w:cs="Tahoma"/>
                <w:color w:val="000000" w:themeColor="text1"/>
              </w:rPr>
              <w:t>/develop</w:t>
            </w:r>
            <w:r w:rsidRPr="00CC4D3F">
              <w:rPr>
                <w:rFonts w:ascii="Tahoma" w:hAnsi="Tahoma" w:cs="Tahoma"/>
                <w:color w:val="000000" w:themeColor="text1"/>
              </w:rPr>
              <w:t xml:space="preserve"> and delivery of </w:t>
            </w:r>
            <w:r w:rsidR="000217B1" w:rsidRPr="000217B1">
              <w:rPr>
                <w:rFonts w:ascii="Tahoma" w:hAnsi="Tahoma" w:cs="Tahoma"/>
                <w:color w:val="000000" w:themeColor="text1"/>
              </w:rPr>
              <w:t>online training resource packages for professionals and parents on psychosocial and mental health effects of trauma, crisis situations management, identifying stress-related symptoms in adolescents with drug prevalence and risk related behaviours</w:t>
            </w:r>
          </w:p>
          <w:p w14:paraId="7BF1CB70" w14:textId="3DCF93C1" w:rsidR="00393EF0" w:rsidRPr="00CC4D3F" w:rsidRDefault="00393EF0" w:rsidP="00A50EBD">
            <w:pPr>
              <w:jc w:val="both"/>
              <w:rPr>
                <w:rFonts w:ascii="Tahoma" w:hAnsi="Tahoma" w:cs="Tahoma"/>
                <w:color w:val="000000" w:themeColor="text1"/>
              </w:rPr>
            </w:pPr>
          </w:p>
        </w:tc>
        <w:tc>
          <w:tcPr>
            <w:tcW w:w="205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6169289" w14:textId="48C31F5B" w:rsidR="00A50EBD" w:rsidRPr="00D0286A" w:rsidRDefault="00185677" w:rsidP="00512853">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15DD2161" w14:textId="1B3C44C2" w:rsidR="00174AD6" w:rsidRPr="00185677" w:rsidRDefault="00B133A9" w:rsidP="00846C5A">
      <w:pPr>
        <w:autoSpaceDE w:val="0"/>
        <w:autoSpaceDN w:val="0"/>
        <w:adjustRightInd w:val="0"/>
        <w:jc w:val="both"/>
        <w:rPr>
          <w:rFonts w:ascii="Tahoma" w:hAnsi="Tahoma" w:cs="Tahoma"/>
          <w:sz w:val="20"/>
          <w:szCs w:val="20"/>
          <w:lang w:eastAsia="en-US"/>
        </w:rPr>
      </w:pPr>
      <w:r w:rsidRPr="00D0286A">
        <w:rPr>
          <w:rFonts w:ascii="Tahoma" w:hAnsi="Tahoma" w:cs="Tahoma"/>
          <w:color w:val="000000"/>
          <w:sz w:val="20"/>
          <w:szCs w:val="20"/>
          <w:lang w:eastAsia="en-US"/>
        </w:rPr>
        <w:t xml:space="preserve">Prices are indicated in </w:t>
      </w:r>
      <w:r w:rsidRPr="00174AD6">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w:t>
      </w:r>
      <w:r w:rsidR="00846C5A">
        <w:rPr>
          <w:rFonts w:ascii="Tahoma" w:hAnsi="Tahoma" w:cs="Tahoma"/>
          <w:color w:val="000000"/>
          <w:sz w:val="20"/>
          <w:szCs w:val="20"/>
          <w:lang w:eastAsia="en-US"/>
        </w:rPr>
        <w:t xml:space="preserve"> </w:t>
      </w:r>
      <w:r w:rsidR="00185677">
        <w:rPr>
          <w:rFonts w:ascii="Tahoma" w:hAnsi="Tahoma" w:cs="Tahoma"/>
          <w:sz w:val="20"/>
          <w:szCs w:val="20"/>
          <w:lang w:val="en-US" w:eastAsia="en-US"/>
        </w:rPr>
        <w:t xml:space="preserve"> </w:t>
      </w:r>
      <w:r w:rsidR="00185677" w:rsidRPr="00185677">
        <w:rPr>
          <w:rFonts w:ascii="Tahoma" w:hAnsi="Tahoma" w:cs="Tahoma"/>
          <w:sz w:val="20"/>
          <w:szCs w:val="20"/>
          <w:lang w:val="en-US" w:eastAsia="en-US"/>
        </w:rPr>
        <w:t xml:space="preserve">The fees indicated below will be applicable throughout the duration of the Framework Contract. For legal persons registered in Georgia, actual payments in the framework of this contract </w:t>
      </w:r>
      <w:r w:rsidR="00185677" w:rsidRPr="00185677">
        <w:rPr>
          <w:rFonts w:ascii="Tahoma" w:hAnsi="Tahoma" w:cs="Tahoma"/>
          <w:sz w:val="20"/>
          <w:szCs w:val="20"/>
          <w:lang w:val="en-US" w:eastAsia="en-US"/>
        </w:rPr>
        <w:lastRenderedPageBreak/>
        <w:t xml:space="preserve">will be done in Georgian </w:t>
      </w:r>
      <w:proofErr w:type="spellStart"/>
      <w:r w:rsidR="00185677" w:rsidRPr="00185677">
        <w:rPr>
          <w:rFonts w:ascii="Tahoma" w:hAnsi="Tahoma" w:cs="Tahoma"/>
          <w:sz w:val="20"/>
          <w:szCs w:val="20"/>
          <w:lang w:val="en-US" w:eastAsia="en-US"/>
        </w:rPr>
        <w:t>Lari</w:t>
      </w:r>
      <w:proofErr w:type="spellEnd"/>
      <w:r w:rsidR="00185677" w:rsidRPr="00185677">
        <w:rPr>
          <w:rFonts w:ascii="Tahoma" w:hAnsi="Tahoma" w:cs="Tahoma"/>
          <w:sz w:val="20"/>
          <w:szCs w:val="20"/>
          <w:lang w:val="en-US" w:eastAsia="en-US"/>
        </w:rPr>
        <w:t xml:space="preserve"> </w:t>
      </w:r>
      <w:r w:rsidR="00392358">
        <w:rPr>
          <w:rFonts w:ascii="Tahoma" w:hAnsi="Tahoma" w:cs="Tahoma"/>
          <w:sz w:val="20"/>
          <w:szCs w:val="20"/>
          <w:lang w:val="en-US" w:eastAsia="en-US"/>
        </w:rPr>
        <w:t xml:space="preserve">(GEL) </w:t>
      </w:r>
      <w:r w:rsidR="00185677" w:rsidRPr="00185677">
        <w:rPr>
          <w:rFonts w:ascii="Tahoma" w:hAnsi="Tahoma" w:cs="Tahoma"/>
          <w:sz w:val="20"/>
          <w:szCs w:val="20"/>
          <w:lang w:val="en-US" w:eastAsia="en-US"/>
        </w:rPr>
        <w:t>according to the exchange rate of the National Bank of Georgia applicable at the invoice issue date. For the VAT regime to be mentioned on the invoice(s), please refer to Article 4.2 of the Legal Conditions (See Section C. below).</w:t>
      </w:r>
    </w:p>
    <w:p w14:paraId="021CA1CF" w14:textId="2138A9F7" w:rsidR="00846C5A" w:rsidRPr="00131267" w:rsidRDefault="00846C5A" w:rsidP="00846C5A">
      <w:pPr>
        <w:autoSpaceDE w:val="0"/>
        <w:autoSpaceDN w:val="0"/>
        <w:adjustRightInd w:val="0"/>
        <w:jc w:val="both"/>
        <w:rPr>
          <w:rFonts w:ascii="Tahoma" w:hAnsi="Tahoma" w:cs="Tahoma"/>
          <w:sz w:val="20"/>
          <w:szCs w:val="20"/>
          <w:lang w:val="en-US" w:eastAsia="en-US"/>
        </w:rPr>
      </w:pPr>
      <w:r w:rsidRPr="00131267">
        <w:rPr>
          <w:rFonts w:ascii="Tahoma" w:hAnsi="Tahoma" w:cs="Tahoma"/>
          <w:sz w:val="20"/>
          <w:szCs w:val="20"/>
          <w:lang w:val="en-US" w:eastAsia="en-US"/>
        </w:rPr>
        <w:t xml:space="preserve">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1B2C4"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3384"/>
      </w:tblGrid>
      <w:tr w:rsidR="00257D1F" w:rsidRPr="00D0286A" w14:paraId="6BD6D58A" w14:textId="77777777" w:rsidTr="001F1F1D">
        <w:trPr>
          <w:trHeight w:val="688"/>
          <w:jc w:val="center"/>
        </w:trPr>
        <w:tc>
          <w:tcPr>
            <w:tcW w:w="6961" w:type="dxa"/>
            <w:shd w:val="clear" w:color="auto" w:fill="DBE5F1" w:themeFill="accent1" w:themeFillTint="33"/>
            <w:vAlign w:val="center"/>
          </w:tcPr>
          <w:p w14:paraId="2C2B5127" w14:textId="682F96CC" w:rsidR="00257D1F" w:rsidRPr="00D0286A" w:rsidRDefault="00257D1F"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3384" w:type="dxa"/>
            <w:tcBorders>
              <w:bottom w:val="single" w:sz="2" w:space="0" w:color="FF0000"/>
            </w:tcBorders>
            <w:shd w:val="clear" w:color="auto" w:fill="DBE5F1" w:themeFill="accent1" w:themeFillTint="33"/>
            <w:vAlign w:val="center"/>
          </w:tcPr>
          <w:p w14:paraId="14D50370" w14:textId="77777777" w:rsidR="00257D1F" w:rsidRPr="00D0286A" w:rsidRDefault="00257D1F"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257D1F" w:rsidRPr="00D0286A" w:rsidRDefault="00257D1F"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257D1F" w:rsidRPr="00D0286A" w14:paraId="5A649F14" w14:textId="77777777" w:rsidTr="001F1F1D">
        <w:trPr>
          <w:trHeight w:val="780"/>
          <w:jc w:val="center"/>
        </w:trPr>
        <w:tc>
          <w:tcPr>
            <w:tcW w:w="6961" w:type="dxa"/>
            <w:tcBorders>
              <w:right w:val="single" w:sz="2" w:space="0" w:color="FF0000"/>
            </w:tcBorders>
            <w:shd w:val="clear" w:color="auto" w:fill="F2F2F2" w:themeFill="background1" w:themeFillShade="F2"/>
            <w:vAlign w:val="center"/>
          </w:tcPr>
          <w:p w14:paraId="2BCAF44A" w14:textId="4B34F294" w:rsidR="00257D1F" w:rsidRPr="001B04AB" w:rsidRDefault="00257D1F" w:rsidP="00512853">
            <w:pPr>
              <w:spacing w:line="276" w:lineRule="auto"/>
              <w:rPr>
                <w:rFonts w:ascii="Tahoma" w:hAnsi="Tahoma" w:cs="Tahoma"/>
                <w:sz w:val="20"/>
                <w:szCs w:val="20"/>
                <w:highlight w:val="yellow"/>
                <w:lang w:eastAsia="en-US"/>
              </w:rPr>
            </w:pPr>
            <w:r w:rsidRPr="001B04AB">
              <w:rPr>
                <w:rFonts w:ascii="Tahoma" w:hAnsi="Tahoma" w:cs="Tahoma"/>
                <w:sz w:val="20"/>
                <w:szCs w:val="20"/>
                <w:lang w:eastAsia="en-US"/>
              </w:rPr>
              <w:t>Daily fee</w:t>
            </w:r>
          </w:p>
        </w:tc>
        <w:tc>
          <w:tcPr>
            <w:tcW w:w="338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257D1F" w:rsidRPr="00D0286A" w:rsidRDefault="00257D1F" w:rsidP="00A0651D">
            <w:pPr>
              <w:ind w:left="-37"/>
              <w:jc w:val="center"/>
              <w:rPr>
                <w:rFonts w:ascii="Tahoma" w:hAnsi="Tahoma" w:cs="Tahoma"/>
                <w:sz w:val="18"/>
                <w:szCs w:val="18"/>
                <w:highlight w:val="yellow"/>
                <w:lang w:eastAsia="en-US"/>
              </w:rPr>
            </w:pPr>
          </w:p>
        </w:tc>
      </w:tr>
    </w:tbl>
    <w:p w14:paraId="4B17550E" w14:textId="77777777" w:rsidR="006A1D4A" w:rsidRDefault="006A1D4A" w:rsidP="006A1D4A">
      <w:pPr>
        <w:ind w:left="-142"/>
        <w:rPr>
          <w:rFonts w:ascii="Tahoma" w:hAnsi="Tahoma" w:cs="Tahoma"/>
          <w:b/>
        </w:rPr>
      </w:pPr>
      <w:bookmarkStart w:id="0" w:name="_Hlk62556255"/>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19A1076" w14:textId="77777777" w:rsidTr="00B37702">
        <w:tc>
          <w:tcPr>
            <w:tcW w:w="9105" w:type="dxa"/>
            <w:shd w:val="clear" w:color="auto" w:fill="DBE5F1" w:themeFill="accent1" w:themeFillTint="33"/>
            <w:vAlign w:val="center"/>
          </w:tcPr>
          <w:p w14:paraId="4DD65489" w14:textId="77777777" w:rsidR="006A1D4A" w:rsidRPr="00257D1F" w:rsidRDefault="006A1D4A" w:rsidP="00B37702">
            <w:pPr>
              <w:spacing w:before="120" w:after="120"/>
              <w:rPr>
                <w:rFonts w:ascii="Tahoma" w:hAnsi="Tahoma" w:cs="Tahoma"/>
                <w:sz w:val="20"/>
                <w:szCs w:val="20"/>
              </w:rPr>
            </w:pPr>
            <w:bookmarkStart w:id="1" w:name="_Hlk62555567"/>
            <w:r w:rsidRPr="00257D1F">
              <w:rPr>
                <w:rFonts w:ascii="Tahoma" w:hAnsi="Tahoma" w:cs="Tahoma"/>
                <w:sz w:val="20"/>
                <w:szCs w:val="20"/>
              </w:rPr>
              <w:t>This Framework Contract</w:t>
            </w:r>
            <w:r w:rsidRPr="00257D1F">
              <w:rPr>
                <w:rFonts w:ascii="Tahoma" w:eastAsia="Calibri" w:hAnsi="Tahoma" w:cs="Tahoma"/>
                <w:sz w:val="20"/>
                <w:szCs w:val="20"/>
                <w:lang w:val="en-US" w:eastAsia="en-US"/>
              </w:rPr>
              <w:t xml:space="preserve"> takes effect as from the date of its signature by both parties and is</w:t>
            </w:r>
            <w:r w:rsidRPr="00257D1F">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10FFE9698D694EBE896E70F4025DDA08"/>
              </w:placeholder>
              <w:date w:fullDate="2023-12-31T00:00:00Z">
                <w:dateFormat w:val="dd/MM/yyyy"/>
                <w:lid w:val="fr-FR"/>
                <w:storeMappedDataAs w:val="dateTime"/>
                <w:calendar w:val="gregorian"/>
              </w:date>
            </w:sdtPr>
            <w:sdtEndPr>
              <w:rPr>
                <w:rStyle w:val="Style71"/>
              </w:rPr>
            </w:sdtEndPr>
            <w:sdtContent>
              <w:p w14:paraId="3275F08D" w14:textId="77F8AD4F" w:rsidR="006A1D4A" w:rsidRPr="00026E8A" w:rsidRDefault="00B86013" w:rsidP="00B37702">
                <w:pPr>
                  <w:spacing w:before="120" w:after="120"/>
                  <w:rPr>
                    <w:rFonts w:ascii="Tahoma" w:hAnsi="Tahoma" w:cs="Tahoma"/>
                    <w:sz w:val="20"/>
                    <w:szCs w:val="20"/>
                    <w:highlight w:val="cyan"/>
                  </w:rPr>
                </w:pPr>
                <w:r w:rsidRPr="00257D1F">
                  <w:rPr>
                    <w:rStyle w:val="Style71"/>
                    <w:rFonts w:ascii="Tahoma" w:hAnsi="Tahoma" w:cs="Tahoma"/>
                    <w:szCs w:val="20"/>
                    <w:lang w:val="fr-FR"/>
                  </w:rPr>
                  <w:t>31/12/2023</w:t>
                </w:r>
              </w:p>
            </w:sdtContent>
          </w:sdt>
        </w:tc>
      </w:tr>
      <w:tr w:rsidR="006A1D4A" w:rsidRPr="00651235" w14:paraId="33131B3C" w14:textId="77777777" w:rsidTr="00B37702">
        <w:tc>
          <w:tcPr>
            <w:tcW w:w="10449" w:type="dxa"/>
            <w:gridSpan w:val="2"/>
            <w:shd w:val="clear" w:color="auto" w:fill="DBE5F1" w:themeFill="accent1" w:themeFillTint="33"/>
            <w:vAlign w:val="center"/>
          </w:tcPr>
          <w:p w14:paraId="0DC0A8A9" w14:textId="40DB550A" w:rsidR="006A1D4A" w:rsidRPr="00985CBC" w:rsidRDefault="006A1D4A" w:rsidP="00B37702">
            <w:pPr>
              <w:spacing w:before="120" w:after="120"/>
              <w:rPr>
                <w:rStyle w:val="Style71"/>
                <w:rFonts w:ascii="Tahoma" w:hAnsi="Tahoma" w:cs="Tahoma"/>
                <w:szCs w:val="20"/>
                <w:lang w:val="en-US"/>
              </w:rPr>
            </w:pPr>
            <w:r w:rsidRPr="00257D1F">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985CBC" w:rsidRPr="000217B1">
              <w:rPr>
                <w:rFonts w:ascii="Tahoma" w:hAnsi="Tahoma" w:cs="Tahoma"/>
                <w:sz w:val="20"/>
                <w:szCs w:val="20"/>
                <w:lang w:val="en-US"/>
              </w:rPr>
              <w:t>one</w:t>
            </w:r>
            <w:r w:rsidR="00985CBC">
              <w:rPr>
                <w:rFonts w:ascii="Tahoma" w:hAnsi="Tahoma" w:cs="Tahoma"/>
                <w:sz w:val="20"/>
                <w:szCs w:val="20"/>
                <w:lang w:val="en-US"/>
              </w:rPr>
              <w:t xml:space="preserve"> </w:t>
            </w:r>
            <w:r w:rsidRPr="00257D1F">
              <w:rPr>
                <w:rFonts w:ascii="Tahoma" w:hAnsi="Tahoma" w:cs="Tahoma"/>
                <w:sz w:val="20"/>
                <w:szCs w:val="20"/>
                <w:lang w:val="en-US"/>
              </w:rPr>
              <w:t>month</w:t>
            </w:r>
            <w:r w:rsidR="00985CBC">
              <w:rPr>
                <w:rFonts w:ascii="Tahoma" w:hAnsi="Tahoma" w:cs="Tahoma"/>
                <w:sz w:val="20"/>
                <w:szCs w:val="20"/>
                <w:lang w:val="en-US"/>
              </w:rPr>
              <w:t xml:space="preserve"> </w:t>
            </w:r>
            <w:r w:rsidRPr="00257D1F">
              <w:rPr>
                <w:rFonts w:ascii="Tahoma" w:hAnsi="Tahoma" w:cs="Tahoma"/>
                <w:sz w:val="20"/>
                <w:szCs w:val="20"/>
                <w:lang w:val="en-US"/>
              </w:rPr>
              <w:t xml:space="preserve">before the renewal date. The contract shall not be renewed </w:t>
            </w:r>
            <w:r w:rsidRPr="000217B1">
              <w:rPr>
                <w:rFonts w:ascii="Tahoma" w:hAnsi="Tahoma" w:cs="Tahoma"/>
                <w:sz w:val="20"/>
                <w:szCs w:val="20"/>
                <w:lang w:val="en-US"/>
              </w:rPr>
              <w:t>beyond</w:t>
            </w:r>
            <w:r w:rsidR="000217B1" w:rsidRPr="000217B1">
              <w:rPr>
                <w:rFonts w:ascii="Tahoma" w:hAnsi="Tahoma" w:cs="Tahoma"/>
                <w:sz w:val="20"/>
                <w:szCs w:val="20"/>
                <w:lang w:val="en-US"/>
              </w:rPr>
              <w:t xml:space="preserve"> 31/12/2024</w:t>
            </w:r>
            <w:r w:rsidRPr="00392358">
              <w:rPr>
                <w:rFonts w:ascii="Tahoma" w:hAnsi="Tahoma" w:cs="Tahoma"/>
                <w:sz w:val="20"/>
                <w:szCs w:val="20"/>
                <w:highlight w:val="yellow"/>
                <w:lang w:val="en-US"/>
              </w:rPr>
              <w:t xml:space="preserve"> </w:t>
            </w:r>
            <w:r w:rsidRPr="00257D1F">
              <w:rPr>
                <w:rFonts w:ascii="Tahoma" w:hAnsi="Tahoma" w:cs="Tahoma"/>
                <w:sz w:val="20"/>
                <w:szCs w:val="20"/>
                <w:lang w:val="en-US"/>
              </w:rPr>
              <w:t>and shall end on this date unless either party has already validly terminated the contract.</w:t>
            </w:r>
          </w:p>
        </w:tc>
      </w:tr>
      <w:bookmarkEnd w:id="0"/>
      <w:bookmarkEnd w:id="1"/>
    </w:tbl>
    <w:p w14:paraId="3A849A7D" w14:textId="395A111B" w:rsidR="006A1D4A" w:rsidRDefault="006A1D4A" w:rsidP="00B133A9">
      <w:pPr>
        <w:spacing w:before="60" w:after="120"/>
        <w:ind w:left="-142"/>
        <w:rPr>
          <w:rFonts w:ascii="Tahoma" w:hAnsi="Tahoma" w:cs="Tahoma"/>
          <w:sz w:val="20"/>
          <w:szCs w:val="20"/>
        </w:rPr>
      </w:pPr>
    </w:p>
    <w:p w14:paraId="4F4EF92C" w14:textId="77777777" w:rsidR="00393EF0" w:rsidRPr="00D0286A" w:rsidRDefault="00393EF0"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B33B"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691"/>
        <w:gridCol w:w="1654"/>
      </w:tblGrid>
      <w:tr w:rsidR="00257D1F" w:rsidRPr="00D0286A" w14:paraId="477D284D" w14:textId="77777777" w:rsidTr="001F1F1D">
        <w:trPr>
          <w:trHeight w:val="688"/>
          <w:jc w:val="center"/>
        </w:trPr>
        <w:tc>
          <w:tcPr>
            <w:tcW w:w="8691" w:type="dxa"/>
            <w:shd w:val="clear" w:color="auto" w:fill="DBE5F1" w:themeFill="accent1" w:themeFillTint="33"/>
            <w:vAlign w:val="center"/>
          </w:tcPr>
          <w:p w14:paraId="1F744B8D" w14:textId="50A41CE6" w:rsidR="00257D1F" w:rsidRPr="00D0286A" w:rsidRDefault="00257D1F"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654" w:type="dxa"/>
            <w:tcBorders>
              <w:bottom w:val="single" w:sz="2" w:space="0" w:color="FF0000"/>
            </w:tcBorders>
            <w:shd w:val="clear" w:color="auto" w:fill="DBE5F1" w:themeFill="accent1" w:themeFillTint="33"/>
            <w:vAlign w:val="center"/>
          </w:tcPr>
          <w:p w14:paraId="4B8315A5" w14:textId="77777777" w:rsidR="00257D1F" w:rsidRPr="00D0286A" w:rsidRDefault="00257D1F"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257D1F" w:rsidRPr="00D0286A" w:rsidRDefault="00257D1F"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257D1F" w:rsidRPr="00D0286A" w14:paraId="4C29C9B9" w14:textId="77777777" w:rsidTr="001F1F1D">
        <w:trPr>
          <w:trHeight w:val="780"/>
          <w:jc w:val="center"/>
        </w:trPr>
        <w:tc>
          <w:tcPr>
            <w:tcW w:w="8691" w:type="dxa"/>
            <w:tcBorders>
              <w:right w:val="single" w:sz="2" w:space="0" w:color="FF0000"/>
            </w:tcBorders>
            <w:shd w:val="clear" w:color="auto" w:fill="F2F2F2" w:themeFill="background1" w:themeFillShade="F2"/>
            <w:vAlign w:val="center"/>
          </w:tcPr>
          <w:p w14:paraId="277FDB2E" w14:textId="689F5EB1" w:rsidR="00257D1F" w:rsidRPr="00985CBC" w:rsidRDefault="00257D1F" w:rsidP="00512853">
            <w:pPr>
              <w:spacing w:line="276" w:lineRule="auto"/>
              <w:rPr>
                <w:rFonts w:ascii="Tahoma" w:hAnsi="Tahoma" w:cs="Tahoma"/>
                <w:sz w:val="20"/>
                <w:szCs w:val="20"/>
                <w:highlight w:val="yellow"/>
                <w:lang w:eastAsia="en-US"/>
              </w:rPr>
            </w:pPr>
            <w:r w:rsidRPr="00985CBC">
              <w:rPr>
                <w:rFonts w:ascii="Tahoma" w:hAnsi="Tahoma" w:cs="Tahoma"/>
                <w:sz w:val="20"/>
                <w:szCs w:val="20"/>
                <w:lang w:eastAsia="en-US"/>
              </w:rPr>
              <w:t>Daily fee</w:t>
            </w:r>
          </w:p>
        </w:tc>
        <w:tc>
          <w:tcPr>
            <w:tcW w:w="165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257D1F" w:rsidRPr="00D0286A" w:rsidRDefault="00257D1F" w:rsidP="00A0651D">
            <w:pPr>
              <w:ind w:left="-65"/>
              <w:jc w:val="center"/>
              <w:rPr>
                <w:rFonts w:ascii="Tahoma" w:hAnsi="Tahoma" w:cs="Tahoma"/>
                <w:sz w:val="18"/>
                <w:szCs w:val="18"/>
                <w:highlight w:val="yellow"/>
                <w:lang w:eastAsia="en-US"/>
              </w:rPr>
            </w:pPr>
          </w:p>
        </w:tc>
      </w:tr>
    </w:tbl>
    <w:p w14:paraId="5C6C1A24" w14:textId="77777777" w:rsidR="006A1D4A" w:rsidRDefault="006A1D4A" w:rsidP="006A1D4A">
      <w:pPr>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6A1D4A" w:rsidRPr="00026E8A" w14:paraId="676B1D8D" w14:textId="77777777" w:rsidTr="00B37702">
        <w:tc>
          <w:tcPr>
            <w:tcW w:w="9105" w:type="dxa"/>
            <w:shd w:val="clear" w:color="auto" w:fill="DBE5F1" w:themeFill="accent1" w:themeFillTint="33"/>
            <w:vAlign w:val="center"/>
          </w:tcPr>
          <w:p w14:paraId="53A8CB24" w14:textId="77777777" w:rsidR="006A1D4A" w:rsidRPr="00393EF0" w:rsidRDefault="006A1D4A" w:rsidP="00B37702">
            <w:pPr>
              <w:spacing w:before="120" w:after="120"/>
              <w:rPr>
                <w:rFonts w:ascii="Tahoma" w:hAnsi="Tahoma" w:cs="Tahoma"/>
                <w:sz w:val="20"/>
                <w:szCs w:val="20"/>
              </w:rPr>
            </w:pPr>
            <w:r w:rsidRPr="00393EF0">
              <w:rPr>
                <w:rFonts w:ascii="Tahoma" w:hAnsi="Tahoma" w:cs="Tahoma"/>
                <w:sz w:val="20"/>
                <w:szCs w:val="20"/>
              </w:rPr>
              <w:t>This Framework Contract</w:t>
            </w:r>
            <w:r w:rsidRPr="00393EF0">
              <w:rPr>
                <w:rFonts w:ascii="Tahoma" w:eastAsia="Calibri" w:hAnsi="Tahoma" w:cs="Tahoma"/>
                <w:sz w:val="20"/>
                <w:szCs w:val="20"/>
                <w:lang w:val="en-US" w:eastAsia="en-US"/>
              </w:rPr>
              <w:t xml:space="preserve"> takes effect as from the date of its signature by both parties and is</w:t>
            </w:r>
            <w:r w:rsidRPr="00393EF0">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sz w:val="20"/>
                <w:szCs w:val="20"/>
              </w:rPr>
              <w:id w:val="-209345724"/>
              <w:placeholder>
                <w:docPart w:val="1FD602ADE6744E1E8622F8B35C823197"/>
              </w:placeholder>
              <w:date w:fullDate="2023-12-31T00:00:00Z">
                <w:dateFormat w:val="dd/MM/yyyy"/>
                <w:lid w:val="fr-FR"/>
                <w:storeMappedDataAs w:val="dateTime"/>
                <w:calendar w:val="gregorian"/>
              </w:date>
            </w:sdtPr>
            <w:sdtEndPr>
              <w:rPr>
                <w:rStyle w:val="Heading1Char"/>
              </w:rPr>
            </w:sdtEndPr>
            <w:sdtContent>
              <w:p w14:paraId="0D85F740" w14:textId="588BE02D" w:rsidR="006A1D4A" w:rsidRPr="00026E8A" w:rsidRDefault="00B86013" w:rsidP="00B37702">
                <w:pPr>
                  <w:spacing w:before="120" w:after="120"/>
                  <w:rPr>
                    <w:rFonts w:ascii="Tahoma" w:hAnsi="Tahoma" w:cs="Tahoma"/>
                    <w:sz w:val="20"/>
                    <w:szCs w:val="20"/>
                    <w:highlight w:val="cyan"/>
                  </w:rPr>
                </w:pPr>
                <w:r w:rsidRPr="00393EF0">
                  <w:rPr>
                    <w:rStyle w:val="Heading1Char"/>
                    <w:rFonts w:ascii="Tahoma" w:hAnsi="Tahoma" w:cs="Tahoma"/>
                    <w:sz w:val="20"/>
                    <w:szCs w:val="20"/>
                    <w:lang w:val="fr-FR"/>
                  </w:rPr>
                  <w:t>31/12/2023</w:t>
                </w:r>
              </w:p>
            </w:sdtContent>
          </w:sdt>
        </w:tc>
      </w:tr>
      <w:tr w:rsidR="006A1D4A" w:rsidRPr="00651235" w14:paraId="411DB631" w14:textId="77777777" w:rsidTr="00B37702">
        <w:tc>
          <w:tcPr>
            <w:tcW w:w="10449" w:type="dxa"/>
            <w:gridSpan w:val="2"/>
            <w:shd w:val="clear" w:color="auto" w:fill="DBE5F1" w:themeFill="accent1" w:themeFillTint="33"/>
            <w:vAlign w:val="center"/>
          </w:tcPr>
          <w:p w14:paraId="1359991F" w14:textId="3D7F4DDD" w:rsidR="006A1D4A" w:rsidRPr="00257D1F" w:rsidRDefault="006A1D4A" w:rsidP="00B37702">
            <w:pPr>
              <w:spacing w:before="120" w:after="120"/>
              <w:rPr>
                <w:rFonts w:ascii="Tahoma" w:hAnsi="Tahoma" w:cs="Tahoma"/>
                <w:sz w:val="20"/>
                <w:szCs w:val="20"/>
                <w:lang w:val="en-US"/>
              </w:rPr>
            </w:pPr>
            <w:r w:rsidRPr="00393EF0">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985CBC" w:rsidRPr="000217B1">
              <w:rPr>
                <w:rFonts w:ascii="Tahoma" w:hAnsi="Tahoma" w:cs="Tahoma"/>
                <w:sz w:val="20"/>
                <w:szCs w:val="20"/>
                <w:lang w:val="en-US"/>
              </w:rPr>
              <w:t>one</w:t>
            </w:r>
            <w:r w:rsidR="00985CBC">
              <w:rPr>
                <w:rFonts w:ascii="Tahoma" w:hAnsi="Tahoma" w:cs="Tahoma"/>
                <w:sz w:val="20"/>
                <w:szCs w:val="20"/>
                <w:lang w:val="en-US"/>
              </w:rPr>
              <w:t xml:space="preserve"> </w:t>
            </w:r>
            <w:r w:rsidRPr="00393EF0">
              <w:rPr>
                <w:rFonts w:ascii="Tahoma" w:hAnsi="Tahoma" w:cs="Tahoma"/>
                <w:sz w:val="20"/>
                <w:szCs w:val="20"/>
                <w:lang w:val="en-US"/>
              </w:rPr>
              <w:t xml:space="preserve">month before the renewal date. The contract shall not be renewed beyond </w:t>
            </w:r>
            <w:r w:rsidR="000217B1" w:rsidRPr="000217B1">
              <w:rPr>
                <w:rFonts w:ascii="Tahoma" w:hAnsi="Tahoma" w:cs="Tahoma"/>
                <w:sz w:val="20"/>
                <w:szCs w:val="20"/>
                <w:lang w:val="en-US"/>
              </w:rPr>
              <w:t>31/12/2024</w:t>
            </w:r>
            <w:r w:rsidRPr="00393EF0">
              <w:rPr>
                <w:rFonts w:ascii="Tahoma" w:hAnsi="Tahoma" w:cs="Tahoma"/>
                <w:sz w:val="20"/>
                <w:szCs w:val="20"/>
                <w:lang w:val="en-US"/>
              </w:rPr>
              <w:t xml:space="preserve"> and shall end on this date unless either party has already validly terminated the contract.</w:t>
            </w:r>
          </w:p>
          <w:p w14:paraId="5E0D590A" w14:textId="4A7351A0" w:rsidR="006A1D4A" w:rsidRPr="00257D1F" w:rsidRDefault="006A1D4A" w:rsidP="00B37702">
            <w:pPr>
              <w:spacing w:before="120" w:after="120"/>
              <w:rPr>
                <w:rStyle w:val="Style71"/>
                <w:rFonts w:ascii="Tahoma" w:hAnsi="Tahoma" w:cs="Tahoma"/>
                <w:lang w:val="en-US"/>
              </w:rPr>
            </w:pPr>
          </w:p>
        </w:tc>
      </w:tr>
    </w:tbl>
    <w:p w14:paraId="4AD70235" w14:textId="77777777" w:rsidR="00257D1F" w:rsidRPr="00D0286A" w:rsidRDefault="00257D1F" w:rsidP="00257D1F">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357C7A87" w14:textId="77777777" w:rsidR="00257D1F" w:rsidRPr="00D0286A" w:rsidRDefault="00257D1F" w:rsidP="00257D1F">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63D43286" wp14:editId="5EA32E79">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AE40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24"/>
        <w:gridCol w:w="1518"/>
      </w:tblGrid>
      <w:tr w:rsidR="00257D1F" w:rsidRPr="00D0286A" w14:paraId="2CF30044" w14:textId="77777777" w:rsidTr="00393EF0">
        <w:trPr>
          <w:trHeight w:val="688"/>
          <w:jc w:val="center"/>
        </w:trPr>
        <w:tc>
          <w:tcPr>
            <w:tcW w:w="8524" w:type="dxa"/>
            <w:shd w:val="clear" w:color="auto" w:fill="DBE5F1" w:themeFill="accent1" w:themeFillTint="33"/>
            <w:vAlign w:val="center"/>
          </w:tcPr>
          <w:p w14:paraId="03756DA1" w14:textId="536083DD" w:rsidR="00257D1F" w:rsidRPr="00D0286A" w:rsidRDefault="00257D1F" w:rsidP="0032797B">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1F1F1D" w:rsidRPr="001F1F1D">
              <w:rPr>
                <w:rFonts w:ascii="Tahoma" w:hAnsi="Tahoma" w:cs="Tahoma"/>
                <w:b/>
                <w:sz w:val="18"/>
                <w:szCs w:val="18"/>
                <w:lang w:val="ka-GE"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AFB7222" w14:textId="77777777" w:rsidR="00257D1F" w:rsidRPr="00D0286A" w:rsidRDefault="00257D1F" w:rsidP="0032797B">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2B56687B" w14:textId="77777777" w:rsidR="00257D1F" w:rsidRPr="00D0286A" w:rsidRDefault="00257D1F" w:rsidP="0032797B">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257D1F" w:rsidRPr="00D0286A" w14:paraId="36974238" w14:textId="77777777" w:rsidTr="00393EF0">
        <w:trPr>
          <w:trHeight w:val="780"/>
          <w:jc w:val="center"/>
        </w:trPr>
        <w:tc>
          <w:tcPr>
            <w:tcW w:w="8524" w:type="dxa"/>
            <w:tcBorders>
              <w:right w:val="single" w:sz="2" w:space="0" w:color="FF0000"/>
            </w:tcBorders>
            <w:shd w:val="clear" w:color="auto" w:fill="F2F2F2" w:themeFill="background1" w:themeFillShade="F2"/>
            <w:vAlign w:val="center"/>
          </w:tcPr>
          <w:p w14:paraId="015DF26B" w14:textId="77777777" w:rsidR="00257D1F" w:rsidRPr="00985CBC" w:rsidRDefault="00257D1F" w:rsidP="0032797B">
            <w:pPr>
              <w:spacing w:line="276" w:lineRule="auto"/>
              <w:rPr>
                <w:rFonts w:ascii="Tahoma" w:hAnsi="Tahoma" w:cs="Tahoma"/>
                <w:sz w:val="20"/>
                <w:szCs w:val="20"/>
                <w:highlight w:val="yellow"/>
                <w:lang w:eastAsia="en-US"/>
              </w:rPr>
            </w:pPr>
            <w:r w:rsidRPr="00985CBC">
              <w:rPr>
                <w:rFonts w:ascii="Tahoma" w:hAnsi="Tahoma" w:cs="Tahoma"/>
                <w:sz w:val="20"/>
                <w:szCs w:val="20"/>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29B1D0" w14:textId="77777777" w:rsidR="00257D1F" w:rsidRPr="00D0286A" w:rsidRDefault="00257D1F" w:rsidP="0032797B">
            <w:pPr>
              <w:ind w:left="-65"/>
              <w:jc w:val="center"/>
              <w:rPr>
                <w:rFonts w:ascii="Tahoma" w:hAnsi="Tahoma" w:cs="Tahoma"/>
                <w:sz w:val="18"/>
                <w:szCs w:val="18"/>
                <w:highlight w:val="yellow"/>
                <w:lang w:eastAsia="en-US"/>
              </w:rPr>
            </w:pPr>
          </w:p>
        </w:tc>
      </w:tr>
    </w:tbl>
    <w:tbl>
      <w:tblPr>
        <w:tblStyle w:val="TableGrid"/>
        <w:tblW w:w="10598"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11"/>
        <w:gridCol w:w="1487"/>
      </w:tblGrid>
      <w:tr w:rsidR="00257D1F" w:rsidRPr="00026E8A" w14:paraId="781CEE83" w14:textId="77777777" w:rsidTr="001F1F1D">
        <w:trPr>
          <w:trHeight w:val="754"/>
        </w:trPr>
        <w:tc>
          <w:tcPr>
            <w:tcW w:w="9111" w:type="dxa"/>
            <w:shd w:val="clear" w:color="auto" w:fill="DBE5F1" w:themeFill="accent1" w:themeFillTint="33"/>
            <w:vAlign w:val="center"/>
          </w:tcPr>
          <w:p w14:paraId="4460AB6F" w14:textId="77777777" w:rsidR="00257D1F" w:rsidRPr="0032797B" w:rsidRDefault="00257D1F" w:rsidP="0032797B">
            <w:pPr>
              <w:spacing w:before="120" w:after="120"/>
              <w:rPr>
                <w:rFonts w:ascii="Tahoma" w:hAnsi="Tahoma" w:cs="Tahoma"/>
                <w:sz w:val="20"/>
                <w:szCs w:val="20"/>
              </w:rPr>
            </w:pPr>
            <w:r w:rsidRPr="0032797B">
              <w:rPr>
                <w:rFonts w:ascii="Tahoma" w:hAnsi="Tahoma" w:cs="Tahoma"/>
                <w:sz w:val="20"/>
                <w:szCs w:val="20"/>
              </w:rPr>
              <w:t>This Framework Contract</w:t>
            </w:r>
            <w:r w:rsidRPr="0032797B">
              <w:rPr>
                <w:rFonts w:ascii="Tahoma" w:eastAsia="Calibri" w:hAnsi="Tahoma" w:cs="Tahoma"/>
                <w:sz w:val="20"/>
                <w:szCs w:val="20"/>
                <w:lang w:val="en-US" w:eastAsia="en-US"/>
              </w:rPr>
              <w:t xml:space="preserve"> takes effect as from the date of its signature by both parties and is</w:t>
            </w:r>
            <w:r w:rsidRPr="0032797B">
              <w:rPr>
                <w:rFonts w:ascii="Tahoma" w:hAnsi="Tahoma" w:cs="Tahoma"/>
                <w:sz w:val="20"/>
                <w:szCs w:val="20"/>
              </w:rPr>
              <w:t xml:space="preserve"> concluded until:</w:t>
            </w:r>
          </w:p>
        </w:tc>
        <w:tc>
          <w:tcPr>
            <w:tcW w:w="1487" w:type="dxa"/>
            <w:shd w:val="clear" w:color="auto" w:fill="F2F2F2" w:themeFill="background1" w:themeFillShade="F2"/>
            <w:vAlign w:val="center"/>
          </w:tcPr>
          <w:sdt>
            <w:sdtPr>
              <w:rPr>
                <w:rStyle w:val="Heading1Char"/>
                <w:rFonts w:ascii="Tahoma" w:hAnsi="Tahoma" w:cs="Tahoma"/>
                <w:sz w:val="20"/>
                <w:szCs w:val="20"/>
              </w:rPr>
              <w:id w:val="416760488"/>
              <w:placeholder>
                <w:docPart w:val="062A181B3C07497685CEA3B96B8EE255"/>
              </w:placeholder>
              <w:date w:fullDate="2023-12-31T00:00:00Z">
                <w:dateFormat w:val="dd/MM/yyyy"/>
                <w:lid w:val="fr-FR"/>
                <w:storeMappedDataAs w:val="dateTime"/>
                <w:calendar w:val="gregorian"/>
              </w:date>
            </w:sdtPr>
            <w:sdtEndPr>
              <w:rPr>
                <w:rStyle w:val="Heading1Char"/>
              </w:rPr>
            </w:sdtEndPr>
            <w:sdtContent>
              <w:p w14:paraId="4B9D99AA" w14:textId="77777777" w:rsidR="00257D1F" w:rsidRPr="00026E8A" w:rsidRDefault="00257D1F" w:rsidP="0032797B">
                <w:pPr>
                  <w:spacing w:before="120" w:after="120"/>
                  <w:rPr>
                    <w:rFonts w:ascii="Tahoma" w:hAnsi="Tahoma" w:cs="Tahoma"/>
                    <w:sz w:val="20"/>
                    <w:szCs w:val="20"/>
                    <w:highlight w:val="cyan"/>
                  </w:rPr>
                </w:pPr>
                <w:r w:rsidRPr="00393EF0">
                  <w:rPr>
                    <w:rStyle w:val="Heading1Char"/>
                    <w:rFonts w:ascii="Tahoma" w:hAnsi="Tahoma" w:cs="Tahoma"/>
                    <w:sz w:val="20"/>
                    <w:szCs w:val="20"/>
                    <w:lang w:val="fr-FR"/>
                  </w:rPr>
                  <w:t>31/12/2023</w:t>
                </w:r>
              </w:p>
            </w:sdtContent>
          </w:sdt>
        </w:tc>
      </w:tr>
      <w:tr w:rsidR="00257D1F" w:rsidRPr="00651235" w14:paraId="16C89C77" w14:textId="77777777" w:rsidTr="001F1F1D">
        <w:trPr>
          <w:trHeight w:val="3356"/>
        </w:trPr>
        <w:tc>
          <w:tcPr>
            <w:tcW w:w="10598" w:type="dxa"/>
            <w:gridSpan w:val="2"/>
            <w:shd w:val="clear" w:color="auto" w:fill="DBE5F1" w:themeFill="accent1" w:themeFillTint="33"/>
            <w:vAlign w:val="center"/>
          </w:tcPr>
          <w:p w14:paraId="08F71D0A" w14:textId="241DBC75" w:rsidR="00257D1F" w:rsidRPr="00257D1F" w:rsidRDefault="00257D1F" w:rsidP="0032797B">
            <w:pPr>
              <w:spacing w:before="120" w:after="120"/>
              <w:rPr>
                <w:rFonts w:ascii="Tahoma" w:hAnsi="Tahoma" w:cs="Tahoma"/>
                <w:sz w:val="20"/>
                <w:szCs w:val="20"/>
                <w:lang w:val="en-US"/>
              </w:rPr>
            </w:pPr>
            <w:r w:rsidRPr="0032797B">
              <w:rPr>
                <w:rFonts w:ascii="Tahoma" w:hAnsi="Tahoma" w:cs="Tahoma"/>
                <w:sz w:val="20"/>
                <w:szCs w:val="20"/>
                <w:lang w:val="en-US"/>
              </w:rPr>
              <w:lastRenderedPageBreak/>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985CBC" w:rsidRPr="000217B1">
              <w:rPr>
                <w:rFonts w:ascii="Tahoma" w:hAnsi="Tahoma" w:cs="Tahoma"/>
                <w:sz w:val="20"/>
                <w:szCs w:val="20"/>
                <w:lang w:val="en-US"/>
              </w:rPr>
              <w:t>one</w:t>
            </w:r>
            <w:r w:rsidR="00985CBC">
              <w:rPr>
                <w:rFonts w:ascii="Tahoma" w:hAnsi="Tahoma" w:cs="Tahoma"/>
                <w:sz w:val="20"/>
                <w:szCs w:val="20"/>
                <w:lang w:val="en-US"/>
              </w:rPr>
              <w:t xml:space="preserve"> </w:t>
            </w:r>
            <w:r w:rsidRPr="0032797B">
              <w:rPr>
                <w:rFonts w:ascii="Tahoma" w:hAnsi="Tahoma" w:cs="Tahoma"/>
                <w:sz w:val="20"/>
                <w:szCs w:val="20"/>
                <w:lang w:val="en-US"/>
              </w:rPr>
              <w:t xml:space="preserve">month before the renewal date. The contract shall not be renewed beyond </w:t>
            </w:r>
            <w:r w:rsidR="000217B1" w:rsidRPr="000217B1">
              <w:rPr>
                <w:rFonts w:ascii="Tahoma" w:hAnsi="Tahoma" w:cs="Tahoma"/>
                <w:sz w:val="20"/>
                <w:szCs w:val="20"/>
                <w:lang w:val="en-US"/>
              </w:rPr>
              <w:t>31/12/2024</w:t>
            </w:r>
            <w:r w:rsidR="000217B1">
              <w:rPr>
                <w:rFonts w:ascii="Tahoma" w:hAnsi="Tahoma" w:cs="Tahoma"/>
                <w:sz w:val="20"/>
                <w:szCs w:val="20"/>
                <w:lang w:val="en-US"/>
              </w:rPr>
              <w:t xml:space="preserve"> </w:t>
            </w:r>
            <w:r w:rsidRPr="0032797B">
              <w:rPr>
                <w:rFonts w:ascii="Tahoma" w:hAnsi="Tahoma" w:cs="Tahoma"/>
                <w:sz w:val="20"/>
                <w:szCs w:val="20"/>
                <w:lang w:val="en-US"/>
              </w:rPr>
              <w:t>and shall end on this date unless either party has already validly terminated the contract.</w:t>
            </w:r>
          </w:p>
          <w:p w14:paraId="030CA2A7" w14:textId="063613C6" w:rsidR="00257D1F" w:rsidRPr="00257D1F" w:rsidRDefault="00257D1F" w:rsidP="0032797B">
            <w:pPr>
              <w:spacing w:before="120" w:after="120"/>
              <w:rPr>
                <w:rStyle w:val="Style71"/>
                <w:rFonts w:ascii="Tahoma" w:hAnsi="Tahoma" w:cs="Tahoma"/>
                <w:lang w:val="en-US"/>
              </w:rPr>
            </w:pPr>
          </w:p>
        </w:tc>
      </w:tr>
    </w:tbl>
    <w:p w14:paraId="3D68B47E" w14:textId="3C5A2F2E"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2"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2"/>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1DCE2063" w:rsidR="00C92B98" w:rsidRPr="00C92B98"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9593F"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A56179"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A56179" w:rsidRPr="00D0286A" w:rsidRDefault="00A56179"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A56179" w:rsidRPr="00D0286A" w:rsidRDefault="00A56179"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A56179" w:rsidRPr="00D0286A" w:rsidRDefault="00A56179"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A56179" w:rsidRPr="00D0286A" w:rsidRDefault="00A56179"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A56179" w:rsidRPr="00D0286A" w:rsidRDefault="00A56179"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A56179" w:rsidRPr="00D0286A" w:rsidRDefault="00A56179"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A56179" w:rsidRPr="00D0286A" w:rsidRDefault="00A56179"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A56179" w:rsidRPr="00D0286A" w:rsidRDefault="00A56179"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A56179" w:rsidRPr="00D0286A" w14:paraId="74E7DA64" w14:textId="77777777" w:rsidTr="00A56179">
        <w:trPr>
          <w:trHeight w:val="308"/>
          <w:jc w:val="center"/>
        </w:trPr>
        <w:tc>
          <w:tcPr>
            <w:tcW w:w="438" w:type="dxa"/>
            <w:tcBorders>
              <w:top w:val="nil"/>
              <w:left w:val="nil"/>
              <w:bottom w:val="nil"/>
              <w:right w:val="nil"/>
            </w:tcBorders>
            <w:shd w:val="clear" w:color="auto" w:fill="FFFFFF" w:themeFill="background1"/>
          </w:tcPr>
          <w:p w14:paraId="593950AC" w14:textId="77777777" w:rsidR="00A56179" w:rsidRPr="00D0286A" w:rsidRDefault="00A56179"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A56179" w:rsidRPr="00D0286A" w:rsidRDefault="00A56179"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A56179" w:rsidRPr="00D0286A" w:rsidRDefault="00A56179"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A56179" w:rsidRPr="00D0286A" w:rsidRDefault="00A56179"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A56179" w:rsidRPr="00D0286A" w:rsidRDefault="00A56179"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A56179" w:rsidRPr="00D0286A" w:rsidRDefault="00A56179"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A56179" w:rsidRPr="00D0286A" w:rsidRDefault="00A56179"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A56179" w:rsidRPr="00D0286A" w:rsidRDefault="00A56179"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A56179" w:rsidRPr="00D0286A" w14:paraId="5A9D3190" w14:textId="77777777" w:rsidTr="00D0286A">
        <w:trPr>
          <w:trHeight w:val="308"/>
          <w:jc w:val="center"/>
        </w:trPr>
        <w:tc>
          <w:tcPr>
            <w:tcW w:w="438" w:type="dxa"/>
            <w:tcBorders>
              <w:top w:val="nil"/>
              <w:left w:val="nil"/>
              <w:bottom w:val="nil"/>
              <w:right w:val="nil"/>
            </w:tcBorders>
            <w:shd w:val="clear" w:color="auto" w:fill="FFFFFF" w:themeFill="background1"/>
          </w:tcPr>
          <w:p w14:paraId="6AEA8692" w14:textId="77777777" w:rsidR="00A56179" w:rsidRPr="00D0286A" w:rsidRDefault="00A56179" w:rsidP="00A56179">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2396DAD" w14:textId="77777777" w:rsidR="00A56179" w:rsidRPr="00D0286A" w:rsidRDefault="00A56179" w:rsidP="00A56179">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0316023" w14:textId="77777777" w:rsidR="00A56179" w:rsidRPr="00D0286A" w:rsidRDefault="00A56179" w:rsidP="00A56179">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141F3D5" w14:textId="77777777" w:rsidR="00A56179" w:rsidRPr="00D0286A" w:rsidRDefault="00A56179" w:rsidP="00A56179">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0A341969" w14:textId="77777777" w:rsidR="00A56179" w:rsidRPr="00D0286A" w:rsidRDefault="00A56179" w:rsidP="00A56179">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BBF7B55" w14:textId="08D103B9" w:rsidR="00A56179" w:rsidRPr="00D0286A" w:rsidRDefault="00A56179" w:rsidP="00A56179">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19733016"/>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BEB2978" w14:textId="7CACFD50" w:rsidR="00A56179" w:rsidRDefault="00A56179" w:rsidP="00A56179">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7A2C646" w14:textId="137ED3D6" w:rsidR="00A56179" w:rsidRPr="00D0286A" w:rsidRDefault="00A56179" w:rsidP="00A56179">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6"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6"/>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7"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8"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8"/>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2"/>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10D2C023" w14:textId="77777777" w:rsidR="003A0F5F" w:rsidRPr="00D0286A" w:rsidRDefault="003A0F5F" w:rsidP="00B51F20">
      <w:pPr>
        <w:tabs>
          <w:tab w:val="left" w:pos="284"/>
        </w:tabs>
        <w:autoSpaceDE w:val="0"/>
        <w:autoSpaceDN w:val="0"/>
        <w:spacing w:line="276" w:lineRule="auto"/>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B51F20">
      <w:pPr>
        <w:tabs>
          <w:tab w:val="left" w:pos="284"/>
        </w:tabs>
        <w:autoSpaceDE w:val="0"/>
        <w:autoSpaceDN w:val="0"/>
        <w:spacing w:line="276" w:lineRule="auto"/>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B51F20">
      <w:pPr>
        <w:tabs>
          <w:tab w:val="left" w:pos="284"/>
        </w:tabs>
        <w:autoSpaceDE w:val="0"/>
        <w:autoSpaceDN w:val="0"/>
        <w:spacing w:line="276" w:lineRule="auto"/>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B51F20">
      <w:pPr>
        <w:tabs>
          <w:tab w:val="left" w:pos="284"/>
        </w:tabs>
        <w:autoSpaceDE w:val="0"/>
        <w:autoSpaceDN w:val="0"/>
        <w:spacing w:line="276" w:lineRule="auto"/>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B51F20">
      <w:pPr>
        <w:tabs>
          <w:tab w:val="left" w:pos="284"/>
        </w:tabs>
        <w:autoSpaceDE w:val="0"/>
        <w:autoSpaceDN w:val="0"/>
        <w:spacing w:line="276" w:lineRule="auto"/>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EF33" w14:textId="77777777" w:rsidR="001565A9" w:rsidRDefault="001565A9" w:rsidP="00D50F13">
      <w:r>
        <w:separator/>
      </w:r>
    </w:p>
  </w:endnote>
  <w:endnote w:type="continuationSeparator" w:id="0">
    <w:p w14:paraId="2AB3D769" w14:textId="77777777" w:rsidR="001565A9" w:rsidRDefault="001565A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0AF29EC2" w:rsidR="00E320C9" w:rsidRPr="00AE2D2B" w:rsidRDefault="00E446D3" w:rsidP="004965C8">
          <w:pPr>
            <w:rPr>
              <w:rFonts w:ascii="Arial Narrow" w:hAnsi="Arial Narrow"/>
              <w:caps/>
              <w:color w:val="000000"/>
              <w:sz w:val="18"/>
              <w:szCs w:val="18"/>
              <w:highlight w:val="cyan"/>
            </w:rPr>
          </w:pPr>
          <w:r w:rsidRPr="00174AD6">
            <w:rPr>
              <w:rFonts w:ascii="Tahoma" w:hAnsi="Tahoma" w:cs="Tahoma"/>
              <w:caps/>
              <w:color w:val="000000" w:themeColor="text1"/>
              <w:sz w:val="18"/>
              <w:szCs w:val="18"/>
            </w:rPr>
            <w:t>BH8871/</w:t>
          </w:r>
          <w:r>
            <w:rPr>
              <w:rFonts w:ascii="Tahoma" w:hAnsi="Tahoma" w:cs="Tahoma"/>
              <w:caps/>
              <w:color w:val="000000" w:themeColor="text1"/>
              <w:sz w:val="18"/>
              <w:szCs w:val="18"/>
            </w:rPr>
            <w:t>04</w:t>
          </w:r>
          <w:r w:rsidRPr="00E446D3">
            <w:rPr>
              <w:rFonts w:ascii="Tahoma" w:hAnsi="Tahoma" w:cs="Tahoma"/>
              <w:caps/>
              <w:color w:val="000000" w:themeColor="text1"/>
              <w:sz w:val="18"/>
              <w:szCs w:val="18"/>
            </w:rPr>
            <w:t>.10.2022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3962" w14:textId="77777777" w:rsidR="001565A9" w:rsidRDefault="001565A9" w:rsidP="00D50F13">
      <w:r>
        <w:separator/>
      </w:r>
    </w:p>
  </w:footnote>
  <w:footnote w:type="continuationSeparator" w:id="0">
    <w:p w14:paraId="68E37BA8" w14:textId="77777777" w:rsidR="001565A9" w:rsidRDefault="001565A9"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35"/>
  </w:num>
  <w:num w:numId="3">
    <w:abstractNumId w:val="2"/>
  </w:num>
  <w:num w:numId="4">
    <w:abstractNumId w:val="1"/>
  </w:num>
  <w:num w:numId="5">
    <w:abstractNumId w:val="17"/>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num>
  <w:num w:numId="10">
    <w:abstractNumId w:val="12"/>
  </w:num>
  <w:num w:numId="11">
    <w:abstractNumId w:val="6"/>
  </w:num>
  <w:num w:numId="12">
    <w:abstractNumId w:val="30"/>
  </w:num>
  <w:num w:numId="13">
    <w:abstractNumId w:val="0"/>
  </w:num>
  <w:num w:numId="14">
    <w:abstractNumId w:val="15"/>
  </w:num>
  <w:num w:numId="15">
    <w:abstractNumId w:val="22"/>
  </w:num>
  <w:num w:numId="16">
    <w:abstractNumId w:val="33"/>
  </w:num>
  <w:num w:numId="17">
    <w:abstractNumId w:val="9"/>
  </w:num>
  <w:num w:numId="18">
    <w:abstractNumId w:val="32"/>
  </w:num>
  <w:num w:numId="19">
    <w:abstractNumId w:val="25"/>
  </w:num>
  <w:num w:numId="20">
    <w:abstractNumId w:val="19"/>
  </w:num>
  <w:num w:numId="21">
    <w:abstractNumId w:val="16"/>
  </w:num>
  <w:num w:numId="22">
    <w:abstractNumId w:val="5"/>
  </w:num>
  <w:num w:numId="23">
    <w:abstractNumId w:val="14"/>
  </w:num>
  <w:num w:numId="24">
    <w:abstractNumId w:val="10"/>
  </w:num>
  <w:num w:numId="25">
    <w:abstractNumId w:val="7"/>
  </w:num>
  <w:num w:numId="26">
    <w:abstractNumId w:val="31"/>
  </w:num>
  <w:num w:numId="27">
    <w:abstractNumId w:val="26"/>
  </w:num>
  <w:num w:numId="28">
    <w:abstractNumId w:val="27"/>
  </w:num>
  <w:num w:numId="29">
    <w:abstractNumId w:val="3"/>
  </w:num>
  <w:num w:numId="30">
    <w:abstractNumId w:val="28"/>
  </w:num>
  <w:num w:numId="31">
    <w:abstractNumId w:val="24"/>
  </w:num>
  <w:num w:numId="32">
    <w:abstractNumId w:val="20"/>
  </w:num>
  <w:num w:numId="33">
    <w:abstractNumId w:val="23"/>
  </w:num>
  <w:num w:numId="34">
    <w:abstractNumId w:val="8"/>
  </w:num>
  <w:num w:numId="35">
    <w:abstractNumId w:val="36"/>
  </w:num>
  <w:num w:numId="36">
    <w:abstractNumId w:val="11"/>
  </w:num>
  <w:num w:numId="3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17B1"/>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5247F"/>
    <w:rsid w:val="001565A9"/>
    <w:rsid w:val="00160002"/>
    <w:rsid w:val="0016172B"/>
    <w:rsid w:val="00162598"/>
    <w:rsid w:val="00174AD6"/>
    <w:rsid w:val="00183E4D"/>
    <w:rsid w:val="00185677"/>
    <w:rsid w:val="0019283C"/>
    <w:rsid w:val="001A207E"/>
    <w:rsid w:val="001A28AE"/>
    <w:rsid w:val="001A5371"/>
    <w:rsid w:val="001B0127"/>
    <w:rsid w:val="001B04AB"/>
    <w:rsid w:val="001B138A"/>
    <w:rsid w:val="001C4BA2"/>
    <w:rsid w:val="001C6878"/>
    <w:rsid w:val="001D40AD"/>
    <w:rsid w:val="001D5926"/>
    <w:rsid w:val="001D5CF8"/>
    <w:rsid w:val="001E5424"/>
    <w:rsid w:val="001F1F1D"/>
    <w:rsid w:val="001F5A87"/>
    <w:rsid w:val="002019A5"/>
    <w:rsid w:val="002111B3"/>
    <w:rsid w:val="00211D01"/>
    <w:rsid w:val="002133FA"/>
    <w:rsid w:val="00213A16"/>
    <w:rsid w:val="00225B0D"/>
    <w:rsid w:val="002336A0"/>
    <w:rsid w:val="0024454E"/>
    <w:rsid w:val="00251355"/>
    <w:rsid w:val="00252393"/>
    <w:rsid w:val="00257D1F"/>
    <w:rsid w:val="002818A7"/>
    <w:rsid w:val="00290EAC"/>
    <w:rsid w:val="00293CBB"/>
    <w:rsid w:val="00294937"/>
    <w:rsid w:val="002A2C42"/>
    <w:rsid w:val="002A2D2F"/>
    <w:rsid w:val="002A56A1"/>
    <w:rsid w:val="002B4786"/>
    <w:rsid w:val="002C6F98"/>
    <w:rsid w:val="002D5425"/>
    <w:rsid w:val="002D5DC0"/>
    <w:rsid w:val="002E3768"/>
    <w:rsid w:val="002E5606"/>
    <w:rsid w:val="00300098"/>
    <w:rsid w:val="00311C90"/>
    <w:rsid w:val="003132E1"/>
    <w:rsid w:val="00320711"/>
    <w:rsid w:val="003215FC"/>
    <w:rsid w:val="00332AF4"/>
    <w:rsid w:val="003347E8"/>
    <w:rsid w:val="0034681E"/>
    <w:rsid w:val="00350F4E"/>
    <w:rsid w:val="0035108E"/>
    <w:rsid w:val="0035737F"/>
    <w:rsid w:val="00361219"/>
    <w:rsid w:val="003705A6"/>
    <w:rsid w:val="003712F2"/>
    <w:rsid w:val="00371509"/>
    <w:rsid w:val="00371F0B"/>
    <w:rsid w:val="00374444"/>
    <w:rsid w:val="003840F5"/>
    <w:rsid w:val="00386026"/>
    <w:rsid w:val="00392358"/>
    <w:rsid w:val="0039258A"/>
    <w:rsid w:val="00393451"/>
    <w:rsid w:val="00393EF0"/>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5425"/>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9166D"/>
    <w:rsid w:val="005A282B"/>
    <w:rsid w:val="005A6974"/>
    <w:rsid w:val="005B0752"/>
    <w:rsid w:val="005B732C"/>
    <w:rsid w:val="005C5D6E"/>
    <w:rsid w:val="005E2710"/>
    <w:rsid w:val="005E5511"/>
    <w:rsid w:val="005F65E7"/>
    <w:rsid w:val="005F7249"/>
    <w:rsid w:val="00602C82"/>
    <w:rsid w:val="00611175"/>
    <w:rsid w:val="00613313"/>
    <w:rsid w:val="00613E34"/>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9505D"/>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40B"/>
    <w:rsid w:val="00711683"/>
    <w:rsid w:val="00712D43"/>
    <w:rsid w:val="00714D53"/>
    <w:rsid w:val="00717259"/>
    <w:rsid w:val="0072200B"/>
    <w:rsid w:val="007332D8"/>
    <w:rsid w:val="00743F00"/>
    <w:rsid w:val="00747ADB"/>
    <w:rsid w:val="00751959"/>
    <w:rsid w:val="007556CC"/>
    <w:rsid w:val="007573B9"/>
    <w:rsid w:val="00757701"/>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6C5A"/>
    <w:rsid w:val="00847F47"/>
    <w:rsid w:val="00851230"/>
    <w:rsid w:val="0085784E"/>
    <w:rsid w:val="00860FEB"/>
    <w:rsid w:val="008628C7"/>
    <w:rsid w:val="008713A9"/>
    <w:rsid w:val="00871BE2"/>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35D0C"/>
    <w:rsid w:val="0094730B"/>
    <w:rsid w:val="0095095F"/>
    <w:rsid w:val="00956F45"/>
    <w:rsid w:val="0097037F"/>
    <w:rsid w:val="00973EF1"/>
    <w:rsid w:val="0098229E"/>
    <w:rsid w:val="00985CBC"/>
    <w:rsid w:val="00987B83"/>
    <w:rsid w:val="00990987"/>
    <w:rsid w:val="0099327E"/>
    <w:rsid w:val="009A100B"/>
    <w:rsid w:val="009A5B27"/>
    <w:rsid w:val="009B76BE"/>
    <w:rsid w:val="009C258F"/>
    <w:rsid w:val="009D290D"/>
    <w:rsid w:val="009D38F9"/>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0EBD"/>
    <w:rsid w:val="00A51EDA"/>
    <w:rsid w:val="00A53368"/>
    <w:rsid w:val="00A535BA"/>
    <w:rsid w:val="00A53A4C"/>
    <w:rsid w:val="00A53BF2"/>
    <w:rsid w:val="00A56179"/>
    <w:rsid w:val="00A65785"/>
    <w:rsid w:val="00A675CC"/>
    <w:rsid w:val="00A77DE0"/>
    <w:rsid w:val="00A8461F"/>
    <w:rsid w:val="00A85379"/>
    <w:rsid w:val="00A8672C"/>
    <w:rsid w:val="00A95F52"/>
    <w:rsid w:val="00A96A37"/>
    <w:rsid w:val="00AA1957"/>
    <w:rsid w:val="00AA7B01"/>
    <w:rsid w:val="00AB03AB"/>
    <w:rsid w:val="00AB13EF"/>
    <w:rsid w:val="00AB1B8D"/>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1F20"/>
    <w:rsid w:val="00B5712C"/>
    <w:rsid w:val="00B60F30"/>
    <w:rsid w:val="00B653B9"/>
    <w:rsid w:val="00B72357"/>
    <w:rsid w:val="00B72F17"/>
    <w:rsid w:val="00B74DC5"/>
    <w:rsid w:val="00B7602C"/>
    <w:rsid w:val="00B86013"/>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C4D3F"/>
    <w:rsid w:val="00CD061B"/>
    <w:rsid w:val="00CD3D01"/>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214"/>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86193"/>
    <w:rsid w:val="00D90F8E"/>
    <w:rsid w:val="00DB3002"/>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446D3"/>
    <w:rsid w:val="00E56FDA"/>
    <w:rsid w:val="00E57189"/>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B34DB"/>
    <w:rsid w:val="00FC0D76"/>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B0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385634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tbilisi/developing-a-drug-prevention-network-for-parents-and-professionals-in-georgia"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ne.garashvili@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FE9698D694EBE896E70F4025DDA08"/>
        <w:category>
          <w:name w:val="General"/>
          <w:gallery w:val="placeholder"/>
        </w:category>
        <w:types>
          <w:type w:val="bbPlcHdr"/>
        </w:types>
        <w:behaviors>
          <w:behavior w:val="content"/>
        </w:behaviors>
        <w:guid w:val="{A6099F07-4132-4DAF-9EBB-F43DEA457DC9}"/>
      </w:docPartPr>
      <w:docPartBody>
        <w:p w:rsidR="0093387A" w:rsidRDefault="00B1718D" w:rsidP="00B1718D">
          <w:pPr>
            <w:pStyle w:val="10FFE9698D694EBE896E70F4025DDA08"/>
          </w:pPr>
          <w:r w:rsidRPr="00802563">
            <w:rPr>
              <w:rStyle w:val="PlaceholderText"/>
              <w:rFonts w:ascii="Arial Narrow" w:hAnsi="Arial Narrow"/>
              <w:sz w:val="20"/>
              <w:szCs w:val="20"/>
              <w:highlight w:val="cyan"/>
            </w:rPr>
            <w:t>date</w:t>
          </w:r>
        </w:p>
      </w:docPartBody>
    </w:docPart>
    <w:docPart>
      <w:docPartPr>
        <w:name w:val="1FD602ADE6744E1E8622F8B35C823197"/>
        <w:category>
          <w:name w:val="General"/>
          <w:gallery w:val="placeholder"/>
        </w:category>
        <w:types>
          <w:type w:val="bbPlcHdr"/>
        </w:types>
        <w:behaviors>
          <w:behavior w:val="content"/>
        </w:behaviors>
        <w:guid w:val="{F9B7AC22-230D-4D91-8BC0-9AFDBCC1D44E}"/>
      </w:docPartPr>
      <w:docPartBody>
        <w:p w:rsidR="0093387A" w:rsidRDefault="00B1718D" w:rsidP="00B1718D">
          <w:pPr>
            <w:pStyle w:val="1FD602ADE6744E1E8622F8B35C823197"/>
          </w:pPr>
          <w:r w:rsidRPr="00802563">
            <w:rPr>
              <w:rStyle w:val="PlaceholderText"/>
              <w:rFonts w:ascii="Arial Narrow" w:hAnsi="Arial Narrow"/>
              <w:sz w:val="20"/>
              <w:szCs w:val="20"/>
              <w:highlight w:val="cyan"/>
            </w:rPr>
            <w:t>date</w:t>
          </w:r>
        </w:p>
      </w:docPartBody>
    </w:docPart>
    <w:docPart>
      <w:docPartPr>
        <w:name w:val="062A181B3C07497685CEA3B96B8EE255"/>
        <w:category>
          <w:name w:val="General"/>
          <w:gallery w:val="placeholder"/>
        </w:category>
        <w:types>
          <w:type w:val="bbPlcHdr"/>
        </w:types>
        <w:behaviors>
          <w:behavior w:val="content"/>
        </w:behaviors>
        <w:guid w:val="{F762C499-44D1-4568-A2E0-90321FE338AB}"/>
      </w:docPartPr>
      <w:docPartBody>
        <w:p w:rsidR="00126F4B" w:rsidRDefault="00037EA0" w:rsidP="00037EA0">
          <w:pPr>
            <w:pStyle w:val="062A181B3C07497685CEA3B96B8EE255"/>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37EA0"/>
    <w:rsid w:val="00126F4B"/>
    <w:rsid w:val="003A2842"/>
    <w:rsid w:val="004D5BA8"/>
    <w:rsid w:val="0093387A"/>
    <w:rsid w:val="00AF1160"/>
    <w:rsid w:val="00B1718D"/>
    <w:rsid w:val="00ED0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37EA0"/>
    <w:rPr>
      <w:color w:val="808080"/>
    </w:rPr>
  </w:style>
  <w:style w:type="paragraph" w:customStyle="1" w:styleId="10FFE9698D694EBE896E70F4025DDA08">
    <w:name w:val="10FFE9698D694EBE896E70F4025DDA08"/>
    <w:rsid w:val="00B1718D"/>
  </w:style>
  <w:style w:type="paragraph" w:customStyle="1" w:styleId="1FD602ADE6744E1E8622F8B35C823197">
    <w:name w:val="1FD602ADE6744E1E8622F8B35C823197"/>
    <w:rsid w:val="00B1718D"/>
  </w:style>
  <w:style w:type="paragraph" w:customStyle="1" w:styleId="062A181B3C07497685CEA3B96B8EE255">
    <w:name w:val="062A181B3C07497685CEA3B96B8EE255"/>
    <w:rsid w:val="00037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2.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660F8B-4F33-5F4C-B346-E507234E5DFF}">
  <ds:schemaRefs>
    <ds:schemaRef ds:uri="http://schemas.openxmlformats.org/officeDocument/2006/bibliography"/>
  </ds:schemaRefs>
</ds:datastoreItem>
</file>

<file path=customXml/itemProps4.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6201</Words>
  <Characters>35351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2022-10-03T08:12:00Z</dcterms:created>
  <dcterms:modified xsi:type="dcterms:W3CDTF">2022-10-12T08:35:00Z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