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Default="003122C0">
            <w:pPr>
              <w:jc w:val="right"/>
              <w:rPr>
                <w:rFonts w:ascii="Arial Narrow" w:hAnsi="Arial Narrow"/>
                <w:b/>
                <w:caps/>
                <w:sz w:val="28"/>
                <w:szCs w:val="28"/>
              </w:rPr>
            </w:pPr>
            <w:bookmarkStart w:id="0" w:name="_GoBack"/>
            <w:bookmarkEnd w:id="0"/>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DF3A9E4" w:rsidR="003122C0" w:rsidRDefault="00640886">
            <w:pPr>
              <w:rPr>
                <w:rFonts w:ascii="Arial Narrow" w:hAnsi="Arial Narrow"/>
                <w:caps/>
                <w:color w:val="000000" w:themeColor="text1"/>
                <w:sz w:val="18"/>
                <w:szCs w:val="18"/>
                <w:highlight w:val="cyan"/>
              </w:rPr>
            </w:pPr>
            <w:r w:rsidRPr="00640886">
              <w:rPr>
                <w:rFonts w:ascii="Arial Narrow" w:hAnsi="Arial Narrow"/>
                <w:caps/>
                <w:color w:val="000000" w:themeColor="text1"/>
                <w:sz w:val="18"/>
                <w:szCs w:val="18"/>
              </w:rPr>
              <w:t>N/A</w:t>
            </w:r>
          </w:p>
        </w:tc>
      </w:tr>
      <w:tr w:rsidR="003122C0"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Default="00305B31">
            <w:pPr>
              <w:jc w:val="right"/>
              <w:rPr>
                <w:rFonts w:ascii="Arial Narrow" w:hAnsi="Arial Narrow"/>
                <w:b/>
                <w:caps/>
                <w:sz w:val="28"/>
                <w:szCs w:val="28"/>
              </w:rPr>
            </w:pPr>
            <w:r>
              <w:rPr>
                <w:rFonts w:ascii="Arial Narrow" w:hAnsi="Arial Narrow"/>
                <w:sz w:val="18"/>
                <w:szCs w:val="18"/>
              </w:rPr>
              <w:t>Project ID / Sector</w:t>
            </w:r>
            <w:r w:rsidR="003122C0">
              <w:rPr>
                <w:rFonts w:ascii="Arial Narrow" w:hAnsi="Arial Narrow"/>
                <w:sz w:val="18"/>
                <w:szCs w:val="18"/>
              </w:rPr>
              <w:t xml:space="preserve"> </w:t>
            </w:r>
            <w:r w:rsidR="003122C0">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7D54B9C" w:rsidR="003122C0" w:rsidRDefault="00640886">
            <w:pPr>
              <w:rPr>
                <w:rFonts w:ascii="Arial Narrow" w:hAnsi="Arial Narrow"/>
                <w:caps/>
                <w:color w:val="000000" w:themeColor="text1"/>
                <w:sz w:val="18"/>
                <w:szCs w:val="18"/>
                <w:highlight w:val="cyan"/>
              </w:rPr>
            </w:pPr>
            <w:r w:rsidRPr="00640886">
              <w:rPr>
                <w:rFonts w:ascii="Arial Narrow" w:hAnsi="Arial Narrow"/>
                <w:caps/>
                <w:color w:val="000000" w:themeColor="text1"/>
                <w:sz w:val="18"/>
                <w:szCs w:val="18"/>
              </w:rPr>
              <w:t>N/A</w:t>
            </w:r>
          </w:p>
        </w:tc>
      </w:tr>
      <w:tr w:rsidR="003122C0"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Default="003122C0">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C90A078" w:rsidR="003122C0" w:rsidRDefault="00DD6B62">
            <w:pPr>
              <w:rPr>
                <w:rFonts w:ascii="Arial Narrow" w:hAnsi="Arial Narrow"/>
                <w:b/>
                <w:caps/>
                <w:color w:val="000000" w:themeColor="text1"/>
                <w:sz w:val="18"/>
                <w:szCs w:val="18"/>
                <w:highlight w:val="cyan"/>
              </w:rPr>
            </w:pPr>
            <w:r w:rsidRPr="00640886">
              <w:rPr>
                <w:rFonts w:ascii="Arial Narrow" w:hAnsi="Arial Narrow"/>
                <w:color w:val="000000" w:themeColor="text1"/>
                <w:sz w:val="18"/>
                <w:szCs w:val="18"/>
              </w:rPr>
              <w:t xml:space="preserve">Vlado </w:t>
            </w:r>
            <w:proofErr w:type="spellStart"/>
            <w:r w:rsidR="00640886">
              <w:rPr>
                <w:rFonts w:ascii="Arial Narrow" w:hAnsi="Arial Narrow"/>
                <w:color w:val="000000" w:themeColor="text1"/>
                <w:sz w:val="18"/>
                <w:szCs w:val="18"/>
              </w:rPr>
              <w:t>Dedovic</w:t>
            </w:r>
            <w:proofErr w:type="spellEnd"/>
            <w:r w:rsidR="00640886">
              <w:rPr>
                <w:rFonts w:ascii="Arial Narrow" w:hAnsi="Arial Narrow"/>
                <w:color w:val="000000" w:themeColor="text1"/>
                <w:sz w:val="18"/>
                <w:szCs w:val="18"/>
              </w:rPr>
              <w:t xml:space="preserve">: </w:t>
            </w:r>
            <w:hyperlink r:id="rId12" w:history="1">
              <w:r w:rsidR="00640886" w:rsidRPr="00CA341F">
                <w:rPr>
                  <w:rStyle w:val="Hyperlink"/>
                  <w:rFonts w:ascii="Arial Narrow" w:hAnsi="Arial Narrow"/>
                  <w:sz w:val="18"/>
                  <w:szCs w:val="18"/>
                </w:rPr>
                <w:t>Vlado.DEDOVIC@coe.int</w:t>
              </w:r>
            </w:hyperlink>
            <w:r w:rsidR="00640886">
              <w:rPr>
                <w:rFonts w:ascii="Arial Narrow" w:hAnsi="Arial Narrow"/>
                <w:color w:val="000000" w:themeColor="text1"/>
                <w:sz w:val="18"/>
                <w:szCs w:val="18"/>
              </w:rPr>
              <w:t xml:space="preserve">; tel. </w:t>
            </w:r>
            <w:r w:rsidR="00640886" w:rsidRPr="00640886">
              <w:rPr>
                <w:rFonts w:ascii="Arial Narrow" w:hAnsi="Arial Narrow"/>
                <w:color w:val="000000" w:themeColor="text1"/>
                <w:sz w:val="18"/>
                <w:szCs w:val="18"/>
              </w:rPr>
              <w:t>+382 20 673 868, extension 103</w:t>
            </w:r>
          </w:p>
        </w:tc>
      </w:tr>
    </w:tbl>
    <w:p w14:paraId="2002E72B" w14:textId="77777777" w:rsidR="000013DF" w:rsidRDefault="000013DF"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034CD24C" w:rsidR="003840F5" w:rsidRPr="002133FA" w:rsidRDefault="00BD6B89" w:rsidP="00BD6B89">
      <w:pPr>
        <w:spacing w:before="60" w:after="120"/>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1"/>
      </w:r>
      <w:r w:rsidR="00764810">
        <w:rPr>
          <w:rFonts w:ascii="Arial Narrow" w:hAnsi="Arial Narrow"/>
          <w:b/>
        </w:rPr>
        <w:t xml:space="preserve"> for the provision of</w:t>
      </w:r>
      <w:r w:rsidRPr="002133FA">
        <w:rPr>
          <w:rFonts w:ascii="Arial Narrow" w:hAnsi="Arial Narrow"/>
          <w:b/>
        </w:rPr>
        <w:t xml:space="preserve"> </w:t>
      </w:r>
      <w:r w:rsidR="00071CCA">
        <w:rPr>
          <w:rFonts w:ascii="Arial Narrow" w:hAnsi="Arial Narrow"/>
          <w:b/>
        </w:rPr>
        <w:t>Consultancy Services on the Accountability of Judicial System in Montenegro</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B55134">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B55134">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B55134">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B55134">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B55134">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B55134">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B55134">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FC72C5" w:rsidRDefault="003122C0" w:rsidP="00B55134">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p>
          <w:p w14:paraId="428E8322"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B55134">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FC72C5" w:rsidRDefault="0084353C" w:rsidP="00B55134">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r>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B55134">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7F5606AF" w14:textId="7FAE90FA" w:rsidR="0067560E" w:rsidRPr="0067560E" w:rsidRDefault="0067560E" w:rsidP="0067560E">
      <w:pPr>
        <w:spacing w:line="276" w:lineRule="auto"/>
        <w:ind w:left="-142"/>
        <w:jc w:val="both"/>
        <w:rPr>
          <w:rFonts w:ascii="Arial Narrow" w:hAnsi="Arial Narrow"/>
          <w:sz w:val="20"/>
          <w:szCs w:val="20"/>
        </w:rPr>
      </w:pPr>
      <w:r w:rsidRPr="0067560E">
        <w:rPr>
          <w:rFonts w:ascii="Arial Narrow" w:hAnsi="Arial Narrow"/>
          <w:sz w:val="20"/>
          <w:szCs w:val="20"/>
        </w:rPr>
        <w:t>The Council of Europe currently implements the Action on “Accountability of the Judicial System” financed under the European Union/Council of Europe Horizontal Facility for the Western Balkans and Turkey (Horizontal Facility) “</w:t>
      </w:r>
    </w:p>
    <w:p w14:paraId="224B66CE" w14:textId="77777777" w:rsidR="0067560E" w:rsidRPr="0067560E" w:rsidRDefault="0067560E" w:rsidP="0067560E">
      <w:pPr>
        <w:spacing w:line="276" w:lineRule="auto"/>
        <w:ind w:left="-142"/>
        <w:jc w:val="both"/>
        <w:rPr>
          <w:rFonts w:ascii="Arial Narrow" w:hAnsi="Arial Narrow"/>
          <w:sz w:val="20"/>
          <w:szCs w:val="20"/>
        </w:rPr>
      </w:pPr>
      <w:r w:rsidRPr="0067560E">
        <w:rPr>
          <w:rFonts w:ascii="Arial Narrow" w:hAnsi="Arial Narrow"/>
          <w:sz w:val="20"/>
          <w:szCs w:val="20"/>
        </w:rPr>
        <w:t xml:space="preserve">Beneficiaries of the Action are the Judicial Council, the Prosecutorial Council, the Supreme Court of Montenegro, the Supreme State Prosecutor`s Office, the Centre for Training in Judiciary and State Prosecution and the Ministry of Justice of Montenegro. </w:t>
      </w:r>
    </w:p>
    <w:p w14:paraId="41B3B0A5" w14:textId="77777777" w:rsidR="0067560E" w:rsidRPr="0067560E" w:rsidRDefault="0067560E" w:rsidP="0067560E">
      <w:pPr>
        <w:spacing w:line="276" w:lineRule="auto"/>
        <w:ind w:left="-142"/>
        <w:jc w:val="both"/>
        <w:rPr>
          <w:rFonts w:ascii="Arial Narrow" w:hAnsi="Arial Narrow"/>
          <w:sz w:val="20"/>
          <w:szCs w:val="20"/>
        </w:rPr>
      </w:pPr>
      <w:r w:rsidRPr="0067560E">
        <w:rPr>
          <w:rFonts w:ascii="Arial Narrow" w:hAnsi="Arial Narrow"/>
          <w:sz w:val="20"/>
          <w:szCs w:val="20"/>
        </w:rPr>
        <w:t>The objective of the Action is to enhance the capacity of the Judicial and Prosecutorial Councils, the Centre for Training in Judiciary and State Prosecution and the accountability of whole judicial system of Montenegro. This objective will be pursued through supporting the implementation of primary and secondary legislation regulating the area of judicial accountability, capacity building of the judicial and prosecutorial self-governing bodies and of the training institution</w:t>
      </w:r>
    </w:p>
    <w:p w14:paraId="0DA9A357" w14:textId="258C928B" w:rsidR="0067560E" w:rsidRPr="0067560E" w:rsidRDefault="0067560E" w:rsidP="0067560E">
      <w:pPr>
        <w:spacing w:line="276" w:lineRule="auto"/>
        <w:ind w:left="-142"/>
        <w:jc w:val="both"/>
        <w:rPr>
          <w:rFonts w:ascii="Arial Narrow" w:hAnsi="Arial Narrow"/>
          <w:sz w:val="20"/>
          <w:szCs w:val="20"/>
        </w:rPr>
      </w:pPr>
      <w:r w:rsidRPr="0067560E">
        <w:rPr>
          <w:rFonts w:ascii="Arial Narrow" w:hAnsi="Arial Narrow"/>
          <w:sz w:val="20"/>
          <w:szCs w:val="20"/>
        </w:rPr>
        <w:t>The Action will be completed on 31 October 2018 (with possible extension until 30 April 2019) and the overall budget is 750,000 Euros.</w:t>
      </w:r>
    </w:p>
    <w:p w14:paraId="5889EC1D" w14:textId="77777777" w:rsidR="0067560E" w:rsidRDefault="0067560E" w:rsidP="003F5BE6">
      <w:pPr>
        <w:spacing w:line="276" w:lineRule="auto"/>
        <w:ind w:left="-142"/>
        <w:jc w:val="both"/>
        <w:rPr>
          <w:rFonts w:ascii="Arial Narrow" w:hAnsi="Arial Narrow"/>
          <w:sz w:val="20"/>
          <w:szCs w:val="20"/>
        </w:rPr>
      </w:pPr>
    </w:p>
    <w:p w14:paraId="39C19021" w14:textId="30CD5204" w:rsidR="003F5BE6" w:rsidRDefault="003F5BE6" w:rsidP="003F5BE6">
      <w:pPr>
        <w:spacing w:line="276" w:lineRule="auto"/>
        <w:ind w:left="-142"/>
        <w:jc w:val="both"/>
        <w:rPr>
          <w:rFonts w:ascii="Arial Narrow" w:hAnsi="Arial Narrow"/>
          <w:sz w:val="20"/>
          <w:szCs w:val="20"/>
        </w:rPr>
      </w:pPr>
      <w:r w:rsidRPr="005F65E7">
        <w:rPr>
          <w:rFonts w:ascii="Arial Narrow" w:hAnsi="Arial Narrow"/>
          <w:sz w:val="20"/>
          <w:szCs w:val="20"/>
        </w:rPr>
        <w:t>In t</w:t>
      </w:r>
      <w:r w:rsidR="00BC28C8">
        <w:rPr>
          <w:rFonts w:ascii="Arial Narrow" w:hAnsi="Arial Narrow"/>
          <w:sz w:val="20"/>
          <w:szCs w:val="20"/>
        </w:rPr>
        <w:t xml:space="preserve">hat context, it is looking for a maximum of 20 </w:t>
      </w:r>
      <w:r>
        <w:rPr>
          <w:rFonts w:ascii="Arial Narrow" w:hAnsi="Arial Narrow"/>
          <w:sz w:val="20"/>
          <w:szCs w:val="20"/>
        </w:rPr>
        <w:t>Provider</w:t>
      </w:r>
      <w:r w:rsidR="00E43B6F">
        <w:rPr>
          <w:rFonts w:ascii="Arial Narrow" w:hAnsi="Arial Narrow"/>
          <w:sz w:val="20"/>
          <w:szCs w:val="20"/>
        </w:rPr>
        <w:t>s</w:t>
      </w:r>
      <w:r w:rsidRPr="005F65E7">
        <w:rPr>
          <w:rFonts w:ascii="Arial Narrow" w:hAnsi="Arial Narrow"/>
          <w:sz w:val="20"/>
          <w:szCs w:val="20"/>
        </w:rPr>
        <w:t xml:space="preserve"> for the provision of </w:t>
      </w:r>
      <w:r w:rsidR="00BC28C8">
        <w:rPr>
          <w:rFonts w:ascii="Arial Narrow" w:hAnsi="Arial Narrow"/>
          <w:sz w:val="20"/>
          <w:szCs w:val="20"/>
        </w:rPr>
        <w:t xml:space="preserve">Consultancy Services on the Accountability of the Judicial System in Montenegro </w:t>
      </w:r>
      <w:r w:rsidRPr="005F65E7">
        <w:rPr>
          <w:rFonts w:ascii="Arial Narrow" w:hAnsi="Arial Narrow"/>
          <w:sz w:val="20"/>
          <w:szCs w:val="20"/>
        </w:rPr>
        <w:t>to be requested by the Council on an as needed basis, in compliance with the ordering procedure def</w:t>
      </w:r>
      <w:r>
        <w:rPr>
          <w:rFonts w:ascii="Arial Narrow" w:hAnsi="Arial Narrow"/>
          <w:sz w:val="20"/>
          <w:szCs w:val="20"/>
        </w:rPr>
        <w:t>ined in the Framework Contract.</w:t>
      </w:r>
    </w:p>
    <w:p w14:paraId="51C31F20" w14:textId="77777777" w:rsidR="003F5BE6" w:rsidRDefault="003F5BE6" w:rsidP="003F5BE6">
      <w:pPr>
        <w:spacing w:line="276" w:lineRule="auto"/>
        <w:ind w:left="-142"/>
        <w:jc w:val="both"/>
        <w:rPr>
          <w:rFonts w:ascii="Arial Narrow" w:hAnsi="Arial Narrow"/>
          <w:sz w:val="20"/>
          <w:szCs w:val="20"/>
        </w:rPr>
      </w:pPr>
    </w:p>
    <w:p w14:paraId="458DDFFF" w14:textId="1663CF31" w:rsidR="003F5BE6" w:rsidRDefault="003F5BE6" w:rsidP="003F5BE6">
      <w:pPr>
        <w:spacing w:line="276" w:lineRule="auto"/>
        <w:ind w:left="-142"/>
        <w:jc w:val="both"/>
        <w:rPr>
          <w:rFonts w:ascii="Arial Narrow" w:hAnsi="Arial Narrow"/>
          <w:sz w:val="20"/>
          <w:szCs w:val="20"/>
        </w:rPr>
      </w:pPr>
      <w:r>
        <w:rPr>
          <w:rFonts w:ascii="Arial Narrow" w:hAnsi="Arial Narrow"/>
          <w:sz w:val="20"/>
          <w:szCs w:val="20"/>
        </w:rPr>
        <w:t>Each time an order form is sent, the selected Provider undertakes to take all the necessary measures to send it sig</w:t>
      </w:r>
      <w:r w:rsidR="00BC28C8">
        <w:rPr>
          <w:rFonts w:ascii="Arial Narrow" w:hAnsi="Arial Narrow"/>
          <w:sz w:val="20"/>
          <w:szCs w:val="20"/>
        </w:rPr>
        <w:t xml:space="preserve">ned to the Council within </w:t>
      </w:r>
      <w:r w:rsidR="00F160E9">
        <w:rPr>
          <w:rFonts w:ascii="Arial Narrow" w:hAnsi="Arial Narrow"/>
          <w:sz w:val="20"/>
          <w:szCs w:val="20"/>
        </w:rPr>
        <w:t>4 (four</w:t>
      </w:r>
      <w:r w:rsidR="00CB70AF">
        <w:rPr>
          <w:rFonts w:ascii="Arial Narrow" w:hAnsi="Arial Narrow"/>
          <w:sz w:val="20"/>
          <w:szCs w:val="20"/>
        </w:rPr>
        <w:t>)</w:t>
      </w:r>
      <w:r w:rsidR="00BC28C8">
        <w:rPr>
          <w:rFonts w:ascii="Arial Narrow" w:hAnsi="Arial Narrow"/>
          <w:sz w:val="20"/>
          <w:szCs w:val="20"/>
        </w:rPr>
        <w:t xml:space="preserve"> w</w:t>
      </w:r>
      <w:r>
        <w:rPr>
          <w:rFonts w:ascii="Arial Narrow" w:hAnsi="Arial Narrow"/>
          <w:sz w:val="20"/>
          <w:szCs w:val="20"/>
        </w:rPr>
        <w:t xml:space="preserve">orking days after its reception. </w:t>
      </w:r>
    </w:p>
    <w:p w14:paraId="6ED71D83" w14:textId="77777777" w:rsidR="003F5BE6" w:rsidRDefault="003F5BE6" w:rsidP="003F5BE6">
      <w:pPr>
        <w:spacing w:line="276" w:lineRule="auto"/>
        <w:ind w:left="-142"/>
        <w:jc w:val="both"/>
        <w:rPr>
          <w:rFonts w:ascii="Arial Narrow" w:hAnsi="Arial Narrow"/>
          <w:sz w:val="20"/>
          <w:szCs w:val="20"/>
        </w:rPr>
      </w:pPr>
    </w:p>
    <w:p w14:paraId="0717E828" w14:textId="77777777" w:rsidR="003F5BE6" w:rsidRPr="006A5D1C" w:rsidRDefault="003F5BE6" w:rsidP="003F5BE6">
      <w:pPr>
        <w:spacing w:line="276" w:lineRule="auto"/>
        <w:ind w:left="-142"/>
        <w:jc w:val="both"/>
        <w:rPr>
          <w:rFonts w:ascii="Arial Narrow" w:hAnsi="Arial Narrow"/>
          <w:b/>
          <w:sz w:val="20"/>
          <w:szCs w:val="20"/>
        </w:rPr>
      </w:pPr>
      <w:r w:rsidRPr="006A5D1C">
        <w:rPr>
          <w:rFonts w:ascii="Arial Narrow" w:hAnsi="Arial Narrow"/>
          <w:b/>
          <w:sz w:val="20"/>
          <w:szCs w:val="20"/>
        </w:rPr>
        <w:t>Pooling</w:t>
      </w:r>
    </w:p>
    <w:p w14:paraId="3B3206BF" w14:textId="77777777" w:rsidR="003F5BE6" w:rsidRPr="006A5D1C" w:rsidRDefault="003F5BE6" w:rsidP="003F5BE6">
      <w:pPr>
        <w:spacing w:line="276" w:lineRule="auto"/>
        <w:ind w:left="-142"/>
        <w:jc w:val="both"/>
        <w:rPr>
          <w:rFonts w:ascii="Arial Narrow" w:hAnsi="Arial Narrow"/>
          <w:sz w:val="20"/>
          <w:szCs w:val="20"/>
        </w:rPr>
      </w:pPr>
      <w:r w:rsidRPr="006A5D1C">
        <w:rPr>
          <w:rFonts w:ascii="Arial Narrow" w:hAnsi="Arial Narrow"/>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6A5D1C" w:rsidRDefault="003F5BE6" w:rsidP="003F5BE6">
      <w:pPr>
        <w:pStyle w:val="Default"/>
        <w:numPr>
          <w:ilvl w:val="0"/>
          <w:numId w:val="49"/>
        </w:numPr>
        <w:ind w:left="567"/>
        <w:rPr>
          <w:rFonts w:ascii="Arial Narrow" w:hAnsi="Arial Narrow"/>
          <w:sz w:val="20"/>
          <w:szCs w:val="20"/>
        </w:rPr>
      </w:pPr>
      <w:r w:rsidRPr="006A5D1C">
        <w:rPr>
          <w:rFonts w:ascii="Arial Narrow" w:hAnsi="Arial Narrow"/>
          <w:sz w:val="20"/>
          <w:szCs w:val="20"/>
        </w:rPr>
        <w:t>quality (including as appropriate: capability, expertise, past performance, availability of resources and proposed methods of undertaking the work);</w:t>
      </w:r>
    </w:p>
    <w:p w14:paraId="01E5A3DC" w14:textId="77777777" w:rsidR="003F5BE6" w:rsidRPr="006A5D1C" w:rsidRDefault="003F5BE6" w:rsidP="003F5BE6">
      <w:pPr>
        <w:pStyle w:val="Default"/>
        <w:numPr>
          <w:ilvl w:val="0"/>
          <w:numId w:val="49"/>
        </w:numPr>
        <w:ind w:left="567"/>
        <w:rPr>
          <w:rFonts w:ascii="Arial Narrow" w:hAnsi="Arial Narrow"/>
          <w:sz w:val="20"/>
          <w:szCs w:val="20"/>
        </w:rPr>
      </w:pPr>
      <w:r w:rsidRPr="006A5D1C">
        <w:rPr>
          <w:rFonts w:ascii="Arial Narrow" w:hAnsi="Arial Narrow"/>
          <w:sz w:val="20"/>
          <w:szCs w:val="20"/>
        </w:rPr>
        <w:t>availability (including, without limitation, capacity to meet required deadlines and, where relevant, geographical location); and</w:t>
      </w:r>
    </w:p>
    <w:p w14:paraId="61CBF01C" w14:textId="77777777" w:rsidR="003F5BE6" w:rsidRPr="006A5D1C" w:rsidRDefault="003F5BE6" w:rsidP="003F5BE6">
      <w:pPr>
        <w:pStyle w:val="Default"/>
        <w:numPr>
          <w:ilvl w:val="0"/>
          <w:numId w:val="49"/>
        </w:numPr>
        <w:ind w:left="567"/>
        <w:rPr>
          <w:rFonts w:ascii="Arial Narrow" w:hAnsi="Arial Narrow"/>
          <w:sz w:val="20"/>
          <w:szCs w:val="20"/>
        </w:rPr>
      </w:pPr>
      <w:proofErr w:type="gramStart"/>
      <w:r w:rsidRPr="006A5D1C">
        <w:rPr>
          <w:rFonts w:ascii="Arial Narrow" w:hAnsi="Arial Narrow"/>
          <w:sz w:val="20"/>
          <w:szCs w:val="20"/>
        </w:rPr>
        <w:t>price</w:t>
      </w:r>
      <w:proofErr w:type="gramEnd"/>
      <w:r w:rsidRPr="006A5D1C">
        <w:rPr>
          <w:rFonts w:ascii="Arial Narrow" w:hAnsi="Arial Narrow"/>
          <w:sz w:val="20"/>
          <w:szCs w:val="20"/>
        </w:rPr>
        <w:t>.</w:t>
      </w:r>
    </w:p>
    <w:p w14:paraId="3664A6C1" w14:textId="3CE96C1D" w:rsidR="003F5BE6" w:rsidRPr="006A5D1C" w:rsidRDefault="003F5BE6" w:rsidP="006A5D1C">
      <w:pPr>
        <w:spacing w:line="276" w:lineRule="auto"/>
        <w:ind w:left="-142"/>
        <w:jc w:val="both"/>
        <w:rPr>
          <w:rFonts w:ascii="Arial Narrow" w:hAnsi="Arial Narrow"/>
          <w:sz w:val="20"/>
          <w:szCs w:val="20"/>
        </w:rPr>
      </w:pPr>
      <w:r w:rsidRPr="006A5D1C">
        <w:rPr>
          <w:rFonts w:ascii="Arial Narrow" w:hAnsi="Arial Narrow"/>
          <w:sz w:val="20"/>
          <w:szCs w:val="20"/>
        </w:rPr>
        <w:t>If a Provider is unable to take an Order or if no reply is given on his behalf within the above deadline, the Council may call on another Provider using the same criteria, and so on until a suitable Provider is contracted.]</w:t>
      </w:r>
    </w:p>
    <w:p w14:paraId="61E56BD3" w14:textId="77777777" w:rsidR="006A5D1C" w:rsidRPr="006A5D1C" w:rsidRDefault="006A5D1C" w:rsidP="006A5D1C">
      <w:pPr>
        <w:spacing w:line="276" w:lineRule="auto"/>
        <w:ind w:left="-142"/>
        <w:jc w:val="both"/>
        <w:rPr>
          <w:rFonts w:ascii="Arial Narrow" w:hAnsi="Arial Narrow"/>
          <w:sz w:val="20"/>
          <w:szCs w:val="20"/>
          <w:highlight w:val="cyan"/>
        </w:rPr>
      </w:pPr>
    </w:p>
    <w:p w14:paraId="23A01230" w14:textId="77777777" w:rsidR="003F5BE6" w:rsidRPr="003F5BE6" w:rsidRDefault="003F5BE6" w:rsidP="003F5BE6">
      <w:pPr>
        <w:spacing w:line="276" w:lineRule="auto"/>
        <w:ind w:left="-142"/>
        <w:jc w:val="both"/>
        <w:rPr>
          <w:rFonts w:ascii="Arial Narrow" w:hAnsi="Arial Narrow"/>
          <w:b/>
          <w:sz w:val="20"/>
          <w:szCs w:val="20"/>
        </w:rPr>
      </w:pPr>
      <w:r w:rsidRPr="003F5BE6">
        <w:rPr>
          <w:rFonts w:ascii="Arial Narrow" w:hAnsi="Arial Narrow"/>
          <w:b/>
          <w:sz w:val="20"/>
          <w:szCs w:val="20"/>
        </w:rPr>
        <w:t>Fees</w:t>
      </w:r>
    </w:p>
    <w:p w14:paraId="4E5E12FA" w14:textId="66FD05F4" w:rsidR="003F5BE6" w:rsidRPr="00687A1C" w:rsidRDefault="003F5BE6" w:rsidP="003F5BE6">
      <w:pPr>
        <w:spacing w:line="276" w:lineRule="auto"/>
        <w:ind w:left="-142"/>
        <w:jc w:val="both"/>
        <w:rPr>
          <w:rFonts w:ascii="Arial Narrow" w:hAnsi="Arial Narrow"/>
          <w:sz w:val="20"/>
          <w:szCs w:val="20"/>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sidR="006A5D1C">
        <w:rPr>
          <w:rFonts w:ascii="Arial Narrow" w:hAnsi="Arial Narrow"/>
          <w:color w:val="000000"/>
          <w:sz w:val="20"/>
          <w:szCs w:val="20"/>
          <w:lang w:eastAsia="en-US"/>
        </w:rPr>
        <w:t xml:space="preserve">Prices are indicated in Euros </w:t>
      </w:r>
      <w:r>
        <w:rPr>
          <w:rFonts w:ascii="Arial Narrow" w:hAnsi="Arial Narrow"/>
          <w:color w:val="000000"/>
          <w:sz w:val="20"/>
          <w:szCs w:val="20"/>
          <w:lang w:eastAsia="en-US"/>
        </w:rPr>
        <w:t xml:space="preserve">without VAT. </w:t>
      </w:r>
      <w:r w:rsidRPr="003A0F5F">
        <w:rPr>
          <w:rFonts w:ascii="Arial Narrow" w:hAnsi="Arial Narrow"/>
          <w:color w:val="000000"/>
          <w:sz w:val="20"/>
          <w:szCs w:val="20"/>
          <w:lang w:eastAsia="en-US"/>
        </w:rPr>
        <w:t>For the VAT regime to be mentioned on the invoice(s), please refer to Article 4.2 of the Legal Con</w:t>
      </w:r>
      <w:r>
        <w:rPr>
          <w:rFonts w:ascii="Arial Narrow" w:hAnsi="Arial Narrow"/>
          <w:color w:val="000000"/>
          <w:sz w:val="20"/>
          <w:szCs w:val="20"/>
          <w:lang w:eastAsia="en-US"/>
        </w:rPr>
        <w:t xml:space="preserve">ditions (See Section C. below). </w:t>
      </w:r>
      <w:r>
        <w:rPr>
          <w:rFonts w:ascii="Arial Narrow" w:hAnsi="Arial Narrow"/>
          <w:b/>
          <w:color w:val="000000"/>
          <w:sz w:val="20"/>
          <w:szCs w:val="20"/>
          <w:highlight w:val="cyan"/>
          <w:lang w:eastAsia="en-US"/>
        </w:rPr>
        <w:t xml:space="preserve"> </w:t>
      </w:r>
      <w:r w:rsidRPr="00E62C62">
        <w:rPr>
          <w:rFonts w:ascii="Arial Narrow" w:hAnsi="Arial Narrow"/>
          <w:b/>
          <w:color w:val="000000"/>
          <w:sz w:val="20"/>
          <w:szCs w:val="20"/>
          <w:lang w:eastAsia="en-US"/>
        </w:rPr>
        <w:t>[</w:t>
      </w:r>
      <w:r w:rsidRPr="00E62C62">
        <w:rPr>
          <w:rFonts w:ascii="Arial Narrow" w:hAnsi="Arial Narrow"/>
          <w:b/>
          <w:color w:val="000000"/>
          <w:sz w:val="20"/>
          <w:szCs w:val="20"/>
          <w:u w:val="single"/>
          <w:lang w:eastAsia="en-US"/>
        </w:rPr>
        <w:t>Tenders proposing a fee above the exclusion level will be entirely and automatically excluded from the tender procedure.]</w:t>
      </w:r>
      <w:r>
        <w:rPr>
          <w:rFonts w:ascii="Times New Roman" w:hAnsi="Times New Roman" w:cs="Times New Roman"/>
          <w:sz w:val="24"/>
          <w:szCs w:val="24"/>
        </w:rPr>
        <w:t xml:space="preserve"> </w:t>
      </w:r>
    </w:p>
    <w:p w14:paraId="0A0AEAFF" w14:textId="77777777" w:rsidR="003F5BE6" w:rsidRDefault="003F5BE6" w:rsidP="003F5BE6">
      <w:pPr>
        <w:spacing w:line="276" w:lineRule="auto"/>
        <w:ind w:left="-142"/>
        <w:jc w:val="both"/>
        <w:rPr>
          <w:rFonts w:ascii="Arial Narrow" w:hAnsi="Arial Narrow"/>
          <w:sz w:val="20"/>
          <w:szCs w:val="20"/>
        </w:rPr>
      </w:pPr>
    </w:p>
    <w:p w14:paraId="5FE5FADF" w14:textId="77777777" w:rsidR="003F5BE6" w:rsidRPr="003B3A58"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w:t>
      </w:r>
      <w:proofErr w:type="gramStart"/>
      <w:r w:rsidRPr="003B3A58">
        <w:rPr>
          <w:rFonts w:ascii="Arial Narrow" w:hAnsi="Arial Narrow"/>
          <w:color w:val="FF0000"/>
          <w:sz w:val="20"/>
          <w:szCs w:val="20"/>
        </w:rPr>
        <w:t>box(</w:t>
      </w:r>
      <w:proofErr w:type="spellStart"/>
      <w:proofErr w:type="gramEnd"/>
      <w:r w:rsidRPr="003B3A58">
        <w:rPr>
          <w:rFonts w:ascii="Arial Narrow" w:hAnsi="Arial Narrow"/>
          <w:color w:val="FF0000"/>
          <w:sz w:val="20"/>
          <w:szCs w:val="20"/>
        </w:rPr>
        <w:t>es</w:t>
      </w:r>
      <w:proofErr w:type="spellEnd"/>
      <w:r w:rsidRPr="003B3A58">
        <w:rPr>
          <w:rFonts w:ascii="Arial Narrow" w:hAnsi="Arial Narrow"/>
          <w:color w:val="FF0000"/>
          <w:sz w:val="20"/>
          <w:szCs w:val="20"/>
        </w:rPr>
        <w:t>)</w:t>
      </w:r>
      <w:r>
        <w:rPr>
          <w:rFonts w:ascii="Arial Narrow" w:hAnsi="Arial Narrow"/>
          <w:color w:val="FF0000"/>
          <w:sz w:val="20"/>
          <w:szCs w:val="20"/>
        </w:rPr>
        <w:t xml:space="preserve"> below</w:t>
      </w:r>
      <w:r w:rsidRPr="003B3A58">
        <w:rPr>
          <w:rFonts w:ascii="Arial Narrow" w:hAnsi="Arial Narrow"/>
          <w:color w:val="FF0000"/>
          <w:sz w:val="20"/>
          <w:szCs w:val="20"/>
        </w:rPr>
        <w:t>.</w:t>
      </w:r>
    </w:p>
    <w:p w14:paraId="14D62CBC" w14:textId="77777777" w:rsidR="003F5BE6" w:rsidRDefault="003F5BE6" w:rsidP="003F5BE6">
      <w:pPr>
        <w:spacing w:line="276" w:lineRule="auto"/>
        <w:ind w:left="-142"/>
        <w:jc w:val="both"/>
        <w:rPr>
          <w:rFonts w:ascii="Arial Narrow" w:hAnsi="Arial Narrow"/>
          <w:sz w:val="18"/>
          <w:szCs w:val="18"/>
          <w:highlight w:val="yellow"/>
          <w:lang w:eastAsia="en-US"/>
        </w:rPr>
      </w:pPr>
      <w:r>
        <w:rPr>
          <w:rFonts w:ascii="Arial Narrow" w:hAnsi="Arial Narrow"/>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F06E93" w14:paraId="2585E0D7" w14:textId="77777777" w:rsidTr="00B33164">
        <w:trPr>
          <w:trHeight w:val="688"/>
        </w:trPr>
        <w:tc>
          <w:tcPr>
            <w:tcW w:w="7739" w:type="dxa"/>
            <w:shd w:val="clear" w:color="auto" w:fill="DBE5F1" w:themeFill="accent1" w:themeFillTint="33"/>
            <w:vAlign w:val="center"/>
          </w:tcPr>
          <w:p w14:paraId="777ED51A" w14:textId="77777777" w:rsidR="003F5BE6" w:rsidRPr="00F06E93" w:rsidRDefault="003F5BE6" w:rsidP="003F5BE6">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Type(s) of Units</w:t>
            </w:r>
            <w:r w:rsidRPr="00F06E93">
              <w:rPr>
                <w:rFonts w:ascii="Arial Narrow" w:hAnsi="Arial Narrow"/>
                <w:b/>
                <w:sz w:val="18"/>
                <w:szCs w:val="18"/>
                <w:lang w:eastAsia="en-US"/>
              </w:rPr>
              <w:t xml:space="preserve">  ▼</w:t>
            </w:r>
          </w:p>
        </w:tc>
        <w:tc>
          <w:tcPr>
            <w:tcW w:w="1359" w:type="dxa"/>
            <w:tcBorders>
              <w:bottom w:val="single" w:sz="2" w:space="0" w:color="FF0000"/>
            </w:tcBorders>
            <w:shd w:val="clear" w:color="auto" w:fill="DBE5F1" w:themeFill="accent1" w:themeFillTint="33"/>
            <w:vAlign w:val="center"/>
          </w:tcPr>
          <w:p w14:paraId="57C2381C" w14:textId="77777777" w:rsidR="003F5BE6" w:rsidRPr="00F06E93" w:rsidRDefault="003F5BE6" w:rsidP="00A4459E">
            <w:pPr>
              <w:spacing w:line="276" w:lineRule="auto"/>
              <w:ind w:left="-142" w:right="-84"/>
              <w:jc w:val="center"/>
              <w:rPr>
                <w:rFonts w:ascii="Arial Narrow" w:hAnsi="Arial Narrow"/>
                <w:b/>
                <w:sz w:val="18"/>
                <w:szCs w:val="18"/>
                <w:lang w:eastAsia="en-US"/>
              </w:rPr>
            </w:pPr>
            <w:r>
              <w:rPr>
                <w:rFonts w:ascii="Arial Narrow" w:hAnsi="Arial Narrow"/>
                <w:b/>
                <w:sz w:val="18"/>
                <w:szCs w:val="18"/>
                <w:lang w:eastAsia="en-US"/>
              </w:rPr>
              <w:t>Unit fee</w:t>
            </w:r>
          </w:p>
          <w:p w14:paraId="50EF7924" w14:textId="77777777" w:rsidR="003F5BE6" w:rsidRPr="00F06E93" w:rsidRDefault="003F5BE6" w:rsidP="003F5BE6">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Default="003F5BE6" w:rsidP="00A4459E">
            <w:pPr>
              <w:spacing w:line="276" w:lineRule="auto"/>
              <w:ind w:left="-142" w:right="-101"/>
              <w:jc w:val="center"/>
              <w:rPr>
                <w:rFonts w:ascii="Arial Narrow" w:hAnsi="Arial Narrow"/>
                <w:b/>
                <w:sz w:val="18"/>
                <w:szCs w:val="18"/>
                <w:lang w:eastAsia="en-US"/>
              </w:rPr>
            </w:pPr>
            <w:r>
              <w:rPr>
                <w:rFonts w:ascii="Arial Narrow" w:hAnsi="Arial Narrow"/>
                <w:b/>
                <w:sz w:val="18"/>
                <w:szCs w:val="18"/>
                <w:lang w:eastAsia="en-US"/>
              </w:rPr>
              <w:t>Exclusion level</w:t>
            </w:r>
          </w:p>
          <w:p w14:paraId="456DEF65" w14:textId="77777777" w:rsidR="003F5BE6" w:rsidRDefault="003F5BE6" w:rsidP="003F5BE6">
            <w:pPr>
              <w:spacing w:line="276" w:lineRule="auto"/>
              <w:ind w:left="-142" w:right="-490"/>
              <w:jc w:val="center"/>
              <w:rPr>
                <w:rFonts w:ascii="Arial Narrow" w:hAnsi="Arial Narrow"/>
                <w:b/>
                <w:sz w:val="18"/>
                <w:szCs w:val="18"/>
                <w:lang w:eastAsia="en-US"/>
              </w:rPr>
            </w:pPr>
            <w:r w:rsidRPr="00F06E93">
              <w:rPr>
                <w:rFonts w:ascii="Arial Narrow" w:hAnsi="Arial Narrow"/>
                <w:b/>
                <w:sz w:val="18"/>
                <w:szCs w:val="18"/>
                <w:lang w:eastAsia="en-US"/>
              </w:rPr>
              <w:t>▼</w:t>
            </w:r>
          </w:p>
        </w:tc>
      </w:tr>
      <w:tr w:rsidR="003F5BE6" w:rsidRPr="00F06E93"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53CCDACA" w:rsidR="003F5BE6" w:rsidRPr="00F06E93" w:rsidRDefault="004B7BDF" w:rsidP="003F5BE6">
            <w:pPr>
              <w:spacing w:line="276" w:lineRule="auto"/>
              <w:ind w:left="34"/>
              <w:rPr>
                <w:rFonts w:ascii="Arial Narrow" w:hAnsi="Arial Narrow"/>
                <w:sz w:val="18"/>
                <w:szCs w:val="18"/>
                <w:highlight w:val="yellow"/>
                <w:lang w:eastAsia="en-US"/>
              </w:rPr>
            </w:pPr>
            <w:r w:rsidRPr="004B7BDF">
              <w:rPr>
                <w:rFonts w:ascii="Arial Narrow" w:hAnsi="Arial Narrow"/>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F06E93" w:rsidRDefault="003F5BE6" w:rsidP="003F5BE6">
            <w:pPr>
              <w:spacing w:line="276" w:lineRule="auto"/>
              <w:ind w:left="-142" w:right="-91"/>
              <w:jc w:val="center"/>
              <w:rPr>
                <w:rFonts w:ascii="Arial Narrow" w:hAnsi="Arial Narrow"/>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1826D65B" w:rsidR="003F5BE6" w:rsidRPr="00A2394B" w:rsidRDefault="006A5D1C" w:rsidP="003F5BE6">
            <w:pPr>
              <w:spacing w:line="276" w:lineRule="auto"/>
              <w:ind w:left="-142" w:right="-91"/>
              <w:jc w:val="center"/>
              <w:rPr>
                <w:rFonts w:ascii="Arial Narrow" w:hAnsi="Arial Narrow"/>
                <w:sz w:val="18"/>
                <w:szCs w:val="18"/>
                <w:highlight w:val="yellow"/>
                <w:lang w:eastAsia="en-US"/>
              </w:rPr>
            </w:pPr>
            <w:r w:rsidRPr="004B7BDF">
              <w:rPr>
                <w:rFonts w:ascii="Arial Narrow" w:hAnsi="Arial Narrow"/>
                <w:sz w:val="18"/>
                <w:szCs w:val="18"/>
                <w:lang w:eastAsia="en-US"/>
              </w:rPr>
              <w:t>401</w:t>
            </w:r>
          </w:p>
        </w:tc>
      </w:tr>
    </w:tbl>
    <w:p w14:paraId="495B554D" w14:textId="77777777" w:rsidR="003F5BE6" w:rsidRDefault="003F5BE6" w:rsidP="003F5BE6">
      <w:pPr>
        <w:spacing w:line="276" w:lineRule="auto"/>
        <w:ind w:left="-142"/>
        <w:jc w:val="both"/>
        <w:rPr>
          <w:rFonts w:ascii="Arial Narrow" w:hAnsi="Arial Narrow"/>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AE14CD" w14:paraId="47229172" w14:textId="77777777" w:rsidTr="00352519">
        <w:tc>
          <w:tcPr>
            <w:tcW w:w="8824" w:type="dxa"/>
            <w:shd w:val="clear" w:color="auto" w:fill="DBE5F1" w:themeFill="accent1" w:themeFillTint="33"/>
            <w:vAlign w:val="center"/>
          </w:tcPr>
          <w:p w14:paraId="37EACEB2" w14:textId="77777777" w:rsidR="00352519" w:rsidRPr="00802563" w:rsidRDefault="00352519" w:rsidP="007F511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701" w:type="dxa"/>
            <w:shd w:val="clear" w:color="auto" w:fill="F2F2F2" w:themeFill="background1" w:themeFillShade="F2"/>
            <w:vAlign w:val="center"/>
          </w:tcPr>
          <w:sdt>
            <w:sdtPr>
              <w:rPr>
                <w:rStyle w:val="Style71"/>
                <w:szCs w:val="20"/>
              </w:rPr>
              <w:id w:val="932088401"/>
              <w:date w:fullDate="2018-10-30T00:00:00Z">
                <w:dateFormat w:val="dd/MM/yyyy"/>
                <w:lid w:val="fr-FR"/>
                <w:storeMappedDataAs w:val="dateTime"/>
                <w:calendar w:val="gregorian"/>
              </w:date>
            </w:sdtPr>
            <w:sdtEndPr>
              <w:rPr>
                <w:rStyle w:val="Style71"/>
              </w:rPr>
            </w:sdtEndPr>
            <w:sdtContent>
              <w:p w14:paraId="46084A98" w14:textId="771AF809" w:rsidR="00352519" w:rsidRPr="00802563" w:rsidRDefault="00741A08" w:rsidP="007F5119">
                <w:pPr>
                  <w:spacing w:before="120" w:after="120"/>
                  <w:rPr>
                    <w:rFonts w:ascii="Arial Narrow" w:hAnsi="Arial Narrow"/>
                    <w:sz w:val="20"/>
                    <w:szCs w:val="20"/>
                  </w:rPr>
                </w:pPr>
                <w:r>
                  <w:rPr>
                    <w:rStyle w:val="Style71"/>
                    <w:szCs w:val="20"/>
                    <w:lang w:val="fr-FR"/>
                  </w:rPr>
                  <w:t>30/10/2018</w:t>
                </w:r>
              </w:p>
            </w:sdtContent>
          </w:sdt>
        </w:tc>
      </w:tr>
      <w:tr w:rsidR="00352519" w:rsidRPr="00AE14CD" w14:paraId="62D6A9D3" w14:textId="77777777" w:rsidTr="00352519">
        <w:tc>
          <w:tcPr>
            <w:tcW w:w="8824" w:type="dxa"/>
            <w:shd w:val="clear" w:color="auto" w:fill="DBE5F1" w:themeFill="accent1" w:themeFillTint="33"/>
            <w:vAlign w:val="center"/>
          </w:tcPr>
          <w:p w14:paraId="14328F4B" w14:textId="47A75F75" w:rsidR="00352519" w:rsidRPr="00802563" w:rsidRDefault="00352519" w:rsidP="007F5119">
            <w:pPr>
              <w:spacing w:before="120" w:after="120"/>
              <w:rPr>
                <w:rFonts w:ascii="Arial Narrow" w:hAnsi="Arial Narrow"/>
                <w:sz w:val="20"/>
                <w:szCs w:val="20"/>
              </w:rPr>
            </w:pPr>
            <w:r>
              <w:rPr>
                <w:rFonts w:ascii="Arial Narrow" w:hAnsi="Arial Narrow"/>
                <w:sz w:val="20"/>
                <w:szCs w:val="20"/>
              </w:rPr>
              <w:t>The Fra</w:t>
            </w:r>
            <w:r w:rsidR="00741A08">
              <w:rPr>
                <w:rFonts w:ascii="Arial Narrow" w:hAnsi="Arial Narrow"/>
                <w:sz w:val="20"/>
                <w:szCs w:val="20"/>
              </w:rPr>
              <w:t>mework Contract may be renewed</w:t>
            </w:r>
            <w:r>
              <w:rPr>
                <w:rFonts w:ascii="Arial Narrow" w:hAnsi="Arial Narrow"/>
                <w:sz w:val="20"/>
                <w:szCs w:val="20"/>
              </w:rPr>
              <w:t>. It shall be renewable until the end date:</w:t>
            </w:r>
          </w:p>
        </w:tc>
        <w:tc>
          <w:tcPr>
            <w:tcW w:w="1701" w:type="dxa"/>
            <w:shd w:val="clear" w:color="auto" w:fill="F2F2F2" w:themeFill="background1" w:themeFillShade="F2"/>
            <w:vAlign w:val="center"/>
          </w:tcPr>
          <w:sdt>
            <w:sdtPr>
              <w:rPr>
                <w:rStyle w:val="Style71"/>
                <w:szCs w:val="20"/>
              </w:rPr>
              <w:id w:val="-1024090114"/>
              <w:date w:fullDate="2019-04-30T00:00:00Z">
                <w:dateFormat w:val="dd/MM/yyyy"/>
                <w:lid w:val="fr-FR"/>
                <w:storeMappedDataAs w:val="dateTime"/>
                <w:calendar w:val="gregorian"/>
              </w:date>
            </w:sdtPr>
            <w:sdtEndPr>
              <w:rPr>
                <w:rStyle w:val="Style71"/>
              </w:rPr>
            </w:sdtEndPr>
            <w:sdtContent>
              <w:p w14:paraId="72AFF1A8" w14:textId="06C34F64" w:rsidR="00352519" w:rsidRDefault="00741A08" w:rsidP="007F5119">
                <w:pPr>
                  <w:spacing w:before="120" w:after="120"/>
                  <w:rPr>
                    <w:rStyle w:val="Style71"/>
                    <w:szCs w:val="20"/>
                  </w:rPr>
                </w:pPr>
                <w:r>
                  <w:rPr>
                    <w:rStyle w:val="Style71"/>
                    <w:szCs w:val="20"/>
                    <w:lang w:val="fr-FR"/>
                  </w:rPr>
                  <w:t>30/04/2019</w:t>
                </w:r>
              </w:p>
            </w:sdtContent>
          </w:sdt>
        </w:tc>
      </w:tr>
    </w:tbl>
    <w:p w14:paraId="229B286B" w14:textId="77777777" w:rsidR="003F5BE6" w:rsidRDefault="003F5BE6" w:rsidP="003F5BE6">
      <w:pPr>
        <w:spacing w:line="276" w:lineRule="auto"/>
        <w:ind w:left="-142"/>
        <w:jc w:val="both"/>
        <w:rPr>
          <w:rFonts w:ascii="Arial Narrow" w:hAnsi="Arial Narrow"/>
          <w:sz w:val="18"/>
          <w:szCs w:val="18"/>
          <w:lang w:eastAsia="en-US"/>
        </w:rPr>
      </w:pPr>
    </w:p>
    <w:p w14:paraId="356A5F52" w14:textId="77777777" w:rsidR="003F5BE6" w:rsidRPr="00AE14CD" w:rsidRDefault="003F5BE6" w:rsidP="003F5BE6">
      <w:pPr>
        <w:spacing w:before="60" w:after="120"/>
        <w:ind w:left="-142"/>
        <w:rPr>
          <w:rFonts w:ascii="Arial Narrow" w:hAnsi="Arial Narrow"/>
          <w:sz w:val="20"/>
          <w:szCs w:val="20"/>
        </w:rPr>
      </w:pPr>
    </w:p>
    <w:p w14:paraId="3ED4D1AA" w14:textId="77777777" w:rsidR="003F5BE6" w:rsidRDefault="003F5BE6" w:rsidP="003F5BE6">
      <w:pPr>
        <w:spacing w:before="60" w:after="120"/>
        <w:ind w:left="-142"/>
        <w:rPr>
          <w:rFonts w:ascii="Arial Narrow" w:hAnsi="Arial Narrow"/>
          <w:b/>
        </w:rPr>
      </w:pPr>
    </w:p>
    <w:p w14:paraId="09235224" w14:textId="77777777" w:rsidR="003F5BE6" w:rsidRDefault="003F5BE6" w:rsidP="003F5BE6">
      <w:pPr>
        <w:ind w:left="-142"/>
        <w:rPr>
          <w:rFonts w:ascii="Arial Narrow" w:hAnsi="Arial Narrow"/>
          <w:b/>
        </w:rPr>
      </w:pPr>
      <w:r>
        <w:rPr>
          <w:rFonts w:ascii="Arial Narrow" w:hAnsi="Arial Narrow"/>
          <w:b/>
        </w:rPr>
        <w:br w:type="page"/>
      </w: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3A0F5F">
      <w:pPr>
        <w:numPr>
          <w:ilvl w:val="0"/>
          <w:numId w:val="41"/>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75705D">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3A0F5F">
      <w:pPr>
        <w:numPr>
          <w:ilvl w:val="0"/>
          <w:numId w:val="41"/>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3A0F5F" w:rsidRDefault="0075705D" w:rsidP="003A0F5F">
      <w:pPr>
        <w:numPr>
          <w:ilvl w:val="0"/>
          <w:numId w:val="41"/>
        </w:numPr>
        <w:tabs>
          <w:tab w:val="left" w:pos="284"/>
        </w:tabs>
        <w:ind w:left="284" w:right="283" w:hanging="284"/>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3A0F5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2"/>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A0F5F" w:rsidRDefault="003A0F5F" w:rsidP="003A0F5F">
            <w:pPr>
              <w:rPr>
                <w:rFonts w:ascii="Arial Narrow" w:hAnsi="Arial Narrow"/>
                <w:sz w:val="20"/>
                <w:szCs w:val="20"/>
              </w:rPr>
            </w:pP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A0F5F" w:rsidRDefault="00DD4C16" w:rsidP="003A0F5F">
            <w:pPr>
              <w:rPr>
                <w:rFonts w:ascii="Arial Narrow" w:hAnsi="Arial Narrow"/>
                <w:sz w:val="20"/>
                <w:szCs w:val="20"/>
              </w:rPr>
            </w:pPr>
            <w:r>
              <w:rPr>
                <w:rFonts w:ascii="Arial Narrow" w:hAnsi="Arial Narrow"/>
                <w:sz w:val="20"/>
                <w:szCs w:val="20"/>
              </w:rPr>
              <w:t>In</w:t>
            </w:r>
          </w:p>
        </w:tc>
      </w:tr>
      <w:tr w:rsidR="003A0F5F" w:rsidRPr="003A0F5F"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a)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b)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3A0F5F">
      <w:pPr>
        <w:numPr>
          <w:ilvl w:val="1"/>
          <w:numId w:val="46"/>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a) </w:t>
      </w:r>
      <w:proofErr w:type="gramStart"/>
      <w:r w:rsidRPr="007D4E81">
        <w:rPr>
          <w:rFonts w:ascii="Arial Narrow" w:hAnsi="Arial Narrow" w:cs="Times New Roman"/>
          <w:sz w:val="18"/>
          <w:szCs w:val="18"/>
          <w:lang w:eastAsia="fr-FR"/>
        </w:rPr>
        <w:t>submitting</w:t>
      </w:r>
      <w:proofErr w:type="gramEnd"/>
      <w:r w:rsidRPr="007D4E81">
        <w:rPr>
          <w:rFonts w:ascii="Arial Narrow" w:hAnsi="Arial Narrow" w:cs="Times New Roman"/>
          <w:sz w:val="18"/>
          <w:szCs w:val="18"/>
          <w:lang w:eastAsia="fr-FR"/>
        </w:rPr>
        <w:t xml:space="preserve">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 </w:t>
      </w:r>
      <w:proofErr w:type="gramStart"/>
      <w:r w:rsidRPr="007D4E81">
        <w:rPr>
          <w:rFonts w:ascii="Arial Narrow" w:hAnsi="Arial Narrow" w:cs="Times New Roman"/>
          <w:sz w:val="18"/>
          <w:szCs w:val="18"/>
          <w:lang w:eastAsia="fr-FR"/>
        </w:rPr>
        <w:t>declaring</w:t>
      </w:r>
      <w:proofErr w:type="gramEnd"/>
      <w:r w:rsidRPr="007D4E81">
        <w:rPr>
          <w:rFonts w:ascii="Arial Narrow" w:hAnsi="Arial Narrow" w:cs="Times New Roman"/>
          <w:sz w:val="18"/>
          <w:szCs w:val="18"/>
          <w:lang w:eastAsia="fr-FR"/>
        </w:rPr>
        <w:t xml:space="preserve"> all fees received from the Council for tax purposes as required in his/her/its country of fiscal residence.</w:t>
      </w:r>
    </w:p>
    <w:p w14:paraId="52DD5810" w14:textId="77777777" w:rsidR="003A0F5F" w:rsidRPr="00E83B04" w:rsidRDefault="003A0F5F" w:rsidP="003A0F5F">
      <w:pPr>
        <w:numPr>
          <w:ilvl w:val="1"/>
          <w:numId w:val="45"/>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bookmarkEnd w:id="2"/>
    <w:p w14:paraId="2013E6EF" w14:textId="77777777" w:rsidR="00CC5ED1" w:rsidRPr="005E4DDD" w:rsidRDefault="00CC5ED1" w:rsidP="00CC5ED1">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368F2B1A" w14:textId="77777777" w:rsidR="00CC5ED1" w:rsidRPr="005E4DDD"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2D755AD7"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0A2AAE25"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22677239"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595B1B2"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ACEF45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7FD4F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0319E625" w14:textId="77777777" w:rsidR="00CC5ED1" w:rsidRPr="008A04CF" w:rsidRDefault="00CC5ED1" w:rsidP="00CC5ED1">
      <w:pPr>
        <w:jc w:val="both"/>
        <w:rPr>
          <w:rFonts w:ascii="Arial Narrow" w:hAnsi="Arial Narrow"/>
          <w:bCs/>
          <w:color w:val="000000" w:themeColor="text1"/>
          <w:sz w:val="18"/>
          <w:szCs w:val="18"/>
        </w:rPr>
      </w:pPr>
      <w:proofErr w:type="gramStart"/>
      <w:r>
        <w:rPr>
          <w:rFonts w:ascii="Arial Narrow" w:hAnsi="Arial Narrow"/>
          <w:bCs/>
          <w:color w:val="000000" w:themeColor="text1"/>
          <w:sz w:val="18"/>
          <w:szCs w:val="18"/>
        </w:rPr>
        <w:t>a</w:t>
      </w:r>
      <w:proofErr w:type="gramEnd"/>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139EC7D3"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b</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4D64ADD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2A6DE6D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53CFEB3"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003EEE6"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x</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1F0A72C" w14:textId="77777777" w:rsidR="00CC5ED1" w:rsidRDefault="00CC5ED1" w:rsidP="00CC5ED1">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lastRenderedPageBreak/>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4.2.1 Should the Provider not be subject to VAT, the amount invoiced shall be net fixed </w:t>
      </w:r>
      <w:proofErr w:type="gramStart"/>
      <w:r w:rsidRPr="007D4E81">
        <w:rPr>
          <w:rFonts w:ascii="Arial Narrow" w:hAnsi="Arial Narrow" w:cs="Times New Roman"/>
          <w:sz w:val="18"/>
          <w:szCs w:val="18"/>
          <w:lang w:eastAsia="fr-FR"/>
        </w:rPr>
        <w:t>amount.</w:t>
      </w:r>
      <w:proofErr w:type="gramEnd"/>
      <w:r w:rsidRPr="007D4E81">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7D4E81">
        <w:rPr>
          <w:rFonts w:ascii="Arial Narrow" w:hAnsi="Arial Narrow" w:cs="Times New Roman"/>
          <w:sz w:val="18"/>
          <w:szCs w:val="18"/>
          <w:lang w:eastAsia="fr-FR"/>
        </w:rPr>
        <w:t>4.2.5.</w:t>
      </w:r>
      <w:proofErr w:type="gramEnd"/>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w:t>
      </w:r>
      <w:proofErr w:type="gramStart"/>
      <w:r w:rsidRPr="007D4E81">
        <w:rPr>
          <w:rFonts w:ascii="Arial Narrow" w:hAnsi="Arial Narrow"/>
          <w:sz w:val="18"/>
          <w:szCs w:val="18"/>
          <w:lang w:val="en-US" w:eastAsia="en-US"/>
        </w:rPr>
        <w:t>activity(</w:t>
      </w:r>
      <w:proofErr w:type="spellStart"/>
      <w:proofErr w:type="gramEnd"/>
      <w:r w:rsidRPr="007D4E81">
        <w:rPr>
          <w:rFonts w:ascii="Arial Narrow" w:hAnsi="Arial Narrow"/>
          <w:sz w:val="18"/>
          <w:szCs w:val="18"/>
          <w:lang w:val="en-US" w:eastAsia="en-US"/>
        </w:rPr>
        <w:t>ies</w:t>
      </w:r>
      <w:proofErr w:type="spellEnd"/>
      <w:r w:rsidRPr="007D4E81">
        <w:rPr>
          <w:rFonts w:ascii="Arial Narrow" w:hAnsi="Arial Narrow"/>
          <w:sz w:val="18"/>
          <w:szCs w:val="18"/>
          <w:lang w:val="en-US" w:eastAsia="en-US"/>
        </w:rPr>
        <w:t xml:space="preserve">),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w:t>
      </w:r>
      <w:r w:rsidRPr="007D4E81">
        <w:rPr>
          <w:rFonts w:ascii="Arial Narrow" w:hAnsi="Arial Narrow" w:cs="Times New Roman"/>
          <w:color w:val="000000"/>
          <w:sz w:val="18"/>
          <w:szCs w:val="18"/>
        </w:rPr>
        <w:lastRenderedPageBreak/>
        <w:t xml:space="preserve">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3"/>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7D4E81">
        <w:rPr>
          <w:rFonts w:ascii="Arial Narrow" w:hAnsi="Arial Narrow" w:cs="Times New Roman"/>
          <w:sz w:val="18"/>
          <w:szCs w:val="18"/>
          <w:lang w:eastAsia="fr-FR"/>
        </w:rPr>
        <w:t>a</w:t>
      </w:r>
      <w:proofErr w:type="gramEnd"/>
      <w:r w:rsidRPr="007D4E81">
        <w:rPr>
          <w:rFonts w:ascii="Arial Narrow" w:hAnsi="Arial Narrow" w:cs="Times New Roman"/>
          <w:sz w:val="18"/>
          <w:szCs w:val="18"/>
          <w:lang w:eastAsia="fr-FR"/>
        </w:rPr>
        <w:t xml:space="preserve">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xml:space="preserve">. In case of </w:t>
      </w:r>
      <w:r w:rsidRPr="007D4E81">
        <w:rPr>
          <w:rFonts w:ascii="Arial Narrow" w:hAnsi="Arial Narrow" w:cs="Times New Roman"/>
          <w:sz w:val="18"/>
          <w:szCs w:val="18"/>
          <w:lang w:eastAsia="fr-FR"/>
        </w:rPr>
        <w:lastRenderedPageBreak/>
        <w:t>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0841B5A7"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472B44">
      <w:pPr>
        <w:numPr>
          <w:ilvl w:val="0"/>
          <w:numId w:val="50"/>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7D4E81">
        <w:rPr>
          <w:rFonts w:ascii="Arial Narrow" w:hAnsi="Arial Narrow" w:cs="Times New Roman"/>
          <w:sz w:val="18"/>
          <w:szCs w:val="18"/>
          <w:lang w:eastAsia="fr-FR"/>
        </w:rPr>
        <w:t>aequo</w:t>
      </w:r>
      <w:proofErr w:type="spellEnd"/>
      <w:r w:rsidRPr="007D4E81">
        <w:rPr>
          <w:rFonts w:ascii="Arial Narrow" w:hAnsi="Arial Narrow" w:cs="Times New Roman"/>
          <w:sz w:val="18"/>
          <w:szCs w:val="18"/>
          <w:lang w:eastAsia="fr-FR"/>
        </w:rPr>
        <w:t xml:space="preserve"> </w:t>
      </w:r>
      <w:proofErr w:type="gramStart"/>
      <w:r w:rsidRPr="007D4E81">
        <w:rPr>
          <w:rFonts w:ascii="Arial Narrow" w:hAnsi="Arial Narrow" w:cs="Times New Roman"/>
          <w:sz w:val="18"/>
          <w:szCs w:val="18"/>
          <w:lang w:eastAsia="fr-FR"/>
        </w:rPr>
        <w:t>et</w:t>
      </w:r>
      <w:proofErr w:type="gramEnd"/>
      <w:r w:rsidRPr="007D4E81">
        <w:rPr>
          <w:rFonts w:ascii="Arial Narrow" w:hAnsi="Arial Narrow" w:cs="Times New Roman"/>
          <w:sz w:val="18"/>
          <w:szCs w:val="18"/>
          <w:lang w:eastAsia="fr-FR"/>
        </w:rPr>
        <w:t xml:space="preserve">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F-67075 Strasbourg Cedex,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w:t>
      </w:r>
      <w:proofErr w:type="spellStart"/>
      <w:r w:rsidRPr="007D4E81">
        <w:rPr>
          <w:rFonts w:ascii="Arial Narrow" w:hAnsi="Arial Narrow" w:cs="Times New Roman"/>
          <w:sz w:val="18"/>
          <w:szCs w:val="18"/>
          <w:lang w:val="fr-FR" w:eastAsia="fr-FR"/>
        </w:rPr>
        <w:t>name</w:t>
      </w:r>
      <w:proofErr w:type="spellEnd"/>
      <w:proofErr w:type="gramStart"/>
      <w:r w:rsidRPr="007D4E81">
        <w:rPr>
          <w:rFonts w:ascii="Arial Narrow" w:hAnsi="Arial Narrow" w:cs="Times New Roman"/>
          <w:sz w:val="18"/>
          <w:szCs w:val="18"/>
          <w:lang w:val="fr-FR" w:eastAsia="fr-FR"/>
        </w:rPr>
        <w:t xml:space="preserve">:  </w:t>
      </w:r>
      <w:r w:rsidRPr="007D4E81">
        <w:rPr>
          <w:rFonts w:ascii="Arial Narrow" w:hAnsi="Arial Narrow"/>
          <w:color w:val="808080"/>
          <w:sz w:val="18"/>
          <w:szCs w:val="18"/>
          <w:lang w:val="fr-FR"/>
        </w:rPr>
        <w:t>Société</w:t>
      </w:r>
      <w:proofErr w:type="gramEnd"/>
      <w:r w:rsidRPr="007D4E81">
        <w:rPr>
          <w:rFonts w:ascii="Arial Narrow" w:hAnsi="Arial Narrow"/>
          <w:color w:val="808080"/>
          <w:sz w:val="18"/>
          <w:szCs w:val="18"/>
          <w:lang w:val="fr-FR"/>
        </w:rPr>
        <w:t xml:space="preserve"> Générale Strasbourg</w:t>
      </w:r>
    </w:p>
    <w:p w14:paraId="3DBDF738" w14:textId="77777777" w:rsidR="003A0F5F" w:rsidRPr="001F472B"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1F472B">
        <w:rPr>
          <w:rFonts w:ascii="Arial Narrow" w:hAnsi="Arial Narrow" w:cs="Times New Roman"/>
          <w:sz w:val="18"/>
          <w:szCs w:val="18"/>
          <w:lang w:val="fr-FR" w:eastAsia="fr-FR"/>
        </w:rPr>
        <w:t>Code IBAN</w:t>
      </w:r>
      <w:proofErr w:type="gramStart"/>
      <w:r w:rsidRPr="001F472B">
        <w:rPr>
          <w:rFonts w:ascii="Arial Narrow" w:hAnsi="Arial Narrow" w:cs="Times New Roman"/>
          <w:sz w:val="18"/>
          <w:szCs w:val="18"/>
          <w:lang w:val="fr-FR" w:eastAsia="fr-FR"/>
        </w:rPr>
        <w:t xml:space="preserve">: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w:t>
      </w:r>
      <w:proofErr w:type="gramEnd"/>
      <w:r w:rsidRPr="007D4E81">
        <w:rPr>
          <w:rFonts w:ascii="Arial Narrow" w:hAnsi="Arial Narrow"/>
          <w:color w:val="808080"/>
          <w:sz w:val="18"/>
          <w:szCs w:val="18"/>
          <w:lang w:val="fr-FR"/>
        </w:rPr>
        <w:t xml:space="preserve"> 30003 02360 001500 1718672</w:t>
      </w:r>
    </w:p>
    <w:p w14:paraId="3BC1FA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Pr="007D4E81">
        <w:rPr>
          <w:rFonts w:ascii="Arial Narrow" w:hAnsi="Arial Narrow"/>
          <w:color w:val="808080"/>
          <w:sz w:val="18"/>
          <w:szCs w:val="18"/>
          <w:lang w:val="en-US"/>
        </w:rPr>
        <w:t>SOGEFRPP</w:t>
      </w:r>
    </w:p>
    <w:p w14:paraId="1BAF4FA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p>
    <w:p w14:paraId="2F908407" w14:textId="77777777" w:rsidR="0072200B" w:rsidRPr="007D4E81" w:rsidRDefault="0072200B" w:rsidP="0072200B">
      <w:pPr>
        <w:tabs>
          <w:tab w:val="left" w:pos="284"/>
        </w:tabs>
        <w:autoSpaceDE w:val="0"/>
        <w:autoSpaceDN w:val="0"/>
        <w:jc w:val="both"/>
        <w:rPr>
          <w:rFonts w:ascii="Arial Narrow" w:hAnsi="Arial Narrow" w:cs="Times New Roman"/>
          <w:sz w:val="18"/>
          <w:szCs w:val="18"/>
          <w:lang w:val="de-DE" w:eastAsia="fr-FR"/>
        </w:rPr>
      </w:pPr>
    </w:p>
    <w:p w14:paraId="5625D4C3"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sectPr w:rsidR="0072200B" w:rsidRPr="007D4E81" w:rsidSect="00B47508">
          <w:type w:val="continuous"/>
          <w:pgSz w:w="11907" w:h="16840" w:code="9"/>
          <w:pgMar w:top="682" w:right="850" w:bottom="567" w:left="851" w:header="284" w:footer="284" w:gutter="0"/>
          <w:cols w:num="2" w:space="142"/>
          <w:docGrid w:linePitch="360"/>
        </w:sectPr>
      </w:pPr>
    </w:p>
    <w:p w14:paraId="04601CFA"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pPr>
    </w:p>
    <w:p w14:paraId="106EB131" w14:textId="77777777" w:rsidR="007D4E81" w:rsidRPr="007D4E81" w:rsidRDefault="007D4E81">
      <w:pPr>
        <w:pBdr>
          <w:bottom w:val="single" w:sz="2" w:space="1" w:color="808080"/>
        </w:pBdr>
        <w:tabs>
          <w:tab w:val="left" w:pos="284"/>
        </w:tabs>
        <w:spacing w:after="120"/>
        <w:rPr>
          <w:rFonts w:ascii="Arial Narrow" w:hAnsi="Arial Narrow"/>
          <w:b/>
          <w:sz w:val="18"/>
          <w:szCs w:val="18"/>
          <w:lang w:eastAsia="en-US"/>
        </w:rPr>
      </w:pPr>
    </w:p>
    <w:sectPr w:rsidR="007D4E81"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4D604" w14:textId="77777777" w:rsidR="006C4386" w:rsidRDefault="006C4386" w:rsidP="00D50F13">
      <w:r>
        <w:separator/>
      </w:r>
    </w:p>
  </w:endnote>
  <w:endnote w:type="continuationSeparator" w:id="0">
    <w:p w14:paraId="05BFF1C3" w14:textId="77777777" w:rsidR="006C4386" w:rsidRDefault="006C438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0570A" w14:textId="77777777" w:rsidR="006C4386" w:rsidRDefault="006C4386" w:rsidP="00D50F13">
      <w:r>
        <w:separator/>
      </w:r>
    </w:p>
  </w:footnote>
  <w:footnote w:type="continuationSeparator" w:id="0">
    <w:p w14:paraId="11348D2C" w14:textId="77777777" w:rsidR="006C4386" w:rsidRDefault="006C4386" w:rsidP="00D50F13">
      <w:r>
        <w:continuationSeparator/>
      </w:r>
    </w:p>
  </w:footnote>
  <w:footnote w:id="1">
    <w:p w14:paraId="10143120" w14:textId="77777777"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proofErr w:type="spellStart"/>
      <w:r w:rsidRPr="00810AE5">
        <w:rPr>
          <w:rFonts w:ascii="Arial Narrow" w:hAnsi="Arial Narrow"/>
          <w:sz w:val="18"/>
          <w:szCs w:val="18"/>
          <w:lang w:val="en-US"/>
        </w:rPr>
        <w:t>Allée</w:t>
      </w:r>
      <w:proofErr w:type="spellEnd"/>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3">
    <w:p w14:paraId="1EDFF562" w14:textId="33990BF0" w:rsidR="00944332" w:rsidRPr="002E59DA" w:rsidRDefault="00944332">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w:t>
      </w:r>
      <w:r w:rsidR="0035431A" w:rsidRPr="002E59DA">
        <w:rPr>
          <w:rFonts w:ascii="Arial Narrow" w:hAnsi="Arial Narrow"/>
          <w:sz w:val="16"/>
          <w:szCs w:val="16"/>
        </w:rPr>
        <w:t xml:space="preserve">Applicable rules : </w:t>
      </w:r>
      <w:hyperlink r:id="rId1" w:history="1">
        <w:r w:rsidR="0035431A" w:rsidRPr="002E59DA">
          <w:rPr>
            <w:rStyle w:val="Hyperlink"/>
            <w:rFonts w:ascii="Arial Narrow" w:hAnsi="Arial Narrow"/>
            <w:sz w:val="16"/>
            <w:szCs w:val="16"/>
          </w:rPr>
          <w:t>https://search.coe.int/cm/Pages/result_details.aspx?ObjectId=09000016805ceb14</w:t>
        </w:r>
      </w:hyperlink>
      <w:r w:rsidR="0035431A"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1F472B">
          <w:rPr>
            <w:rFonts w:ascii="Arial Narrow" w:hAnsi="Arial Narrow"/>
            <w:bCs/>
            <w:noProof/>
          </w:rPr>
          <w:t>7</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1F472B">
          <w:rPr>
            <w:rFonts w:ascii="Arial Narrow" w:hAnsi="Arial Narrow"/>
            <w:bCs/>
            <w:noProof/>
          </w:rPr>
          <w:t>7</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8F95C47"/>
    <w:multiLevelType w:val="hybridMultilevel"/>
    <w:tmpl w:val="D8C2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D4"/>
    <w:multiLevelType w:val="hybridMultilevel"/>
    <w:tmpl w:val="EAA44654"/>
    <w:lvl w:ilvl="0" w:tplc="5616EA0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A0510"/>
    <w:multiLevelType w:val="hybridMultilevel"/>
    <w:tmpl w:val="AEEC2150"/>
    <w:lvl w:ilvl="0" w:tplc="84649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D63A1"/>
    <w:multiLevelType w:val="hybridMultilevel"/>
    <w:tmpl w:val="90C8E81A"/>
    <w:lvl w:ilvl="0" w:tplc="9EDE1554">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A0BDE"/>
    <w:multiLevelType w:val="hybridMultilevel"/>
    <w:tmpl w:val="9D8EFCF2"/>
    <w:lvl w:ilvl="0" w:tplc="8702D25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44D43"/>
    <w:multiLevelType w:val="hybridMultilevel"/>
    <w:tmpl w:val="8050E366"/>
    <w:lvl w:ilvl="0" w:tplc="04090017">
      <w:start w:val="1"/>
      <w:numFmt w:val="lowerLetter"/>
      <w:lvlText w:val="%1)"/>
      <w:lvlJc w:val="left"/>
      <w:pPr>
        <w:tabs>
          <w:tab w:val="num" w:pos="1434"/>
        </w:tabs>
        <w:ind w:left="1434" w:hanging="360"/>
      </w:pPr>
      <w:rPr>
        <w:rFonts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nsid w:val="18634A98"/>
    <w:multiLevelType w:val="hybridMultilevel"/>
    <w:tmpl w:val="37BC8AA2"/>
    <w:lvl w:ilvl="0" w:tplc="147C5CDE">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30000"/>
    <w:multiLevelType w:val="hybridMultilevel"/>
    <w:tmpl w:val="6CA4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C245B"/>
    <w:multiLevelType w:val="hybridMultilevel"/>
    <w:tmpl w:val="BB88DAA0"/>
    <w:lvl w:ilvl="0" w:tplc="88465AFA">
      <w:start w:val="1"/>
      <w:numFmt w:val="upperRoman"/>
      <w:lvlText w:val="%1."/>
      <w:lvlJc w:val="left"/>
      <w:pPr>
        <w:ind w:left="1080" w:hanging="720"/>
      </w:pPr>
      <w:rPr>
        <w:rFonts w:ascii="Arial Narrow" w:hAnsi="Arial Narrow"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B7E40"/>
    <w:multiLevelType w:val="hybridMultilevel"/>
    <w:tmpl w:val="3008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7F64894"/>
    <w:multiLevelType w:val="hybridMultilevel"/>
    <w:tmpl w:val="5A90C69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D50B1"/>
    <w:multiLevelType w:val="hybridMultilevel"/>
    <w:tmpl w:val="C7F45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6014B"/>
    <w:multiLevelType w:val="hybridMultilevel"/>
    <w:tmpl w:val="2702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256D9"/>
    <w:multiLevelType w:val="hybridMultilevel"/>
    <w:tmpl w:val="3CECBB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B906EAE"/>
    <w:multiLevelType w:val="hybridMultilevel"/>
    <w:tmpl w:val="D61A3C2E"/>
    <w:lvl w:ilvl="0" w:tplc="19AAE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818DA"/>
    <w:multiLevelType w:val="hybridMultilevel"/>
    <w:tmpl w:val="6B1C7AD4"/>
    <w:lvl w:ilvl="0" w:tplc="9DC66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713400"/>
    <w:multiLevelType w:val="hybridMultilevel"/>
    <w:tmpl w:val="B528468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974E1C"/>
    <w:multiLevelType w:val="hybridMultilevel"/>
    <w:tmpl w:val="0F326F12"/>
    <w:lvl w:ilvl="0" w:tplc="B86A2E6A">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3128025D"/>
    <w:multiLevelType w:val="hybridMultilevel"/>
    <w:tmpl w:val="AE6E4AAC"/>
    <w:lvl w:ilvl="0" w:tplc="2D0EECF8">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744A24"/>
    <w:multiLevelType w:val="hybridMultilevel"/>
    <w:tmpl w:val="D5E083E8"/>
    <w:lvl w:ilvl="0" w:tplc="6D5E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655461"/>
    <w:multiLevelType w:val="hybridMultilevel"/>
    <w:tmpl w:val="7BEC82E0"/>
    <w:lvl w:ilvl="0" w:tplc="EA484D9A">
      <w:start w:val="1"/>
      <w:numFmt w:val="upperRoman"/>
      <w:lvlText w:val="%1."/>
      <w:lvlJc w:val="left"/>
      <w:pPr>
        <w:ind w:left="1080" w:hanging="720"/>
      </w:pPr>
      <w:rPr>
        <w:rFonts w:ascii="Arial Narrow" w:hAnsi="Arial Narrow"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094A36"/>
    <w:multiLevelType w:val="hybridMultilevel"/>
    <w:tmpl w:val="84949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454148"/>
    <w:multiLevelType w:val="hybridMultilevel"/>
    <w:tmpl w:val="D20A4CA8"/>
    <w:lvl w:ilvl="0" w:tplc="DA3A68E6">
      <w:start w:val="1"/>
      <w:numFmt w:val="upperRoman"/>
      <w:lvlText w:val="%1."/>
      <w:lvlJc w:val="left"/>
      <w:pPr>
        <w:ind w:left="1080" w:hanging="72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F5032F"/>
    <w:multiLevelType w:val="hybridMultilevel"/>
    <w:tmpl w:val="CA1E869A"/>
    <w:lvl w:ilvl="0" w:tplc="70CE1652">
      <w:start w:val="1"/>
      <w:numFmt w:val="upperRoman"/>
      <w:lvlText w:val="%1."/>
      <w:lvlJc w:val="left"/>
      <w:pPr>
        <w:ind w:left="1080" w:hanging="720"/>
      </w:pPr>
      <w:rPr>
        <w:rFonts w:ascii="Arial Narrow" w:hAnsi="Arial Narrow"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31">
    <w:nsid w:val="405256E5"/>
    <w:multiLevelType w:val="hybridMultilevel"/>
    <w:tmpl w:val="91722F2C"/>
    <w:lvl w:ilvl="0" w:tplc="04090017">
      <w:start w:val="1"/>
      <w:numFmt w:val="lowerLetter"/>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2">
    <w:nsid w:val="43597EA3"/>
    <w:multiLevelType w:val="hybridMultilevel"/>
    <w:tmpl w:val="BE6A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F51B28"/>
    <w:multiLevelType w:val="hybridMultilevel"/>
    <w:tmpl w:val="3AB0DCA8"/>
    <w:lvl w:ilvl="0" w:tplc="CBBEC50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D64488"/>
    <w:multiLevelType w:val="hybridMultilevel"/>
    <w:tmpl w:val="24984BB0"/>
    <w:lvl w:ilvl="0" w:tplc="A6802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A87CB9"/>
    <w:multiLevelType w:val="hybridMultilevel"/>
    <w:tmpl w:val="B3ECD4C2"/>
    <w:lvl w:ilvl="0" w:tplc="DA5E0AEE">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4742C7"/>
    <w:multiLevelType w:val="hybridMultilevel"/>
    <w:tmpl w:val="3E06E57E"/>
    <w:lvl w:ilvl="0" w:tplc="BEEE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393082E"/>
    <w:multiLevelType w:val="hybridMultilevel"/>
    <w:tmpl w:val="6A00157A"/>
    <w:lvl w:ilvl="0" w:tplc="22B26AC4">
      <w:start w:val="14"/>
      <w:numFmt w:val="bullet"/>
      <w:lvlText w:val="-"/>
      <w:lvlJc w:val="left"/>
      <w:pPr>
        <w:ind w:left="720" w:hanging="360"/>
      </w:pPr>
      <w:rPr>
        <w:rFonts w:ascii="Arial Narrow" w:eastAsia="Times New Roman" w:hAnsi="Arial Narrow"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427EDC"/>
    <w:multiLevelType w:val="hybridMultilevel"/>
    <w:tmpl w:val="20F83BE4"/>
    <w:lvl w:ilvl="0" w:tplc="235CFC02">
      <w:start w:val="1"/>
      <w:numFmt w:val="decimal"/>
      <w:lvlText w:val="17.%1"/>
      <w:lvlJc w:val="left"/>
      <w:pPr>
        <w:ind w:left="2486" w:hanging="360"/>
      </w:pPr>
      <w:rPr>
        <w:rFonts w:ascii="Arial Narrow" w:hAnsi="Arial Narrow" w:hint="default"/>
        <w:sz w:val="20"/>
        <w:szCs w:val="20"/>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41">
    <w:nsid w:val="66E5251F"/>
    <w:multiLevelType w:val="hybridMultilevel"/>
    <w:tmpl w:val="890C0AC6"/>
    <w:lvl w:ilvl="0" w:tplc="04090007">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B44E2F"/>
    <w:multiLevelType w:val="hybridMultilevel"/>
    <w:tmpl w:val="253CE794"/>
    <w:lvl w:ilvl="0" w:tplc="27C4ED66">
      <w:start w:val="1"/>
      <w:numFmt w:val="upperRoman"/>
      <w:lvlText w:val="%1."/>
      <w:lvlJc w:val="left"/>
      <w:pPr>
        <w:ind w:left="1080" w:hanging="720"/>
      </w:pPr>
      <w:rPr>
        <w:rFonts w:ascii="Arial Narrow" w:hAnsi="Arial Narrow"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D377D"/>
    <w:multiLevelType w:val="hybridMultilevel"/>
    <w:tmpl w:val="E13C3A6E"/>
    <w:lvl w:ilvl="0" w:tplc="A0960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28017E"/>
    <w:multiLevelType w:val="multilevel"/>
    <w:tmpl w:val="0409001D"/>
    <w:numStyleLink w:val="TemplateList"/>
  </w:abstractNum>
  <w:abstractNum w:abstractNumId="47">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nsid w:val="7B13640C"/>
    <w:multiLevelType w:val="hybridMultilevel"/>
    <w:tmpl w:val="A8BE3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41"/>
  </w:num>
  <w:num w:numId="4">
    <w:abstractNumId w:val="30"/>
  </w:num>
  <w:num w:numId="5">
    <w:abstractNumId w:val="8"/>
  </w:num>
  <w:num w:numId="6">
    <w:abstractNumId w:val="2"/>
  </w:num>
  <w:num w:numId="7">
    <w:abstractNumId w:val="20"/>
  </w:num>
  <w:num w:numId="8">
    <w:abstractNumId w:val="39"/>
  </w:num>
  <w:num w:numId="9">
    <w:abstractNumId w:val="31"/>
  </w:num>
  <w:num w:numId="10">
    <w:abstractNumId w:val="4"/>
  </w:num>
  <w:num w:numId="11">
    <w:abstractNumId w:val="16"/>
  </w:num>
  <w:num w:numId="12">
    <w:abstractNumId w:val="42"/>
  </w:num>
  <w:num w:numId="13">
    <w:abstractNumId w:val="46"/>
  </w:num>
  <w:num w:numId="14">
    <w:abstractNumId w:val="28"/>
  </w:num>
  <w:num w:numId="15">
    <w:abstractNumId w:val="11"/>
  </w:num>
  <w:num w:numId="16">
    <w:abstractNumId w:val="9"/>
  </w:num>
  <w:num w:numId="17">
    <w:abstractNumId w:val="26"/>
  </w:num>
  <w:num w:numId="18">
    <w:abstractNumId w:val="19"/>
  </w:num>
  <w:num w:numId="19">
    <w:abstractNumId w:val="6"/>
  </w:num>
  <w:num w:numId="20">
    <w:abstractNumId w:val="29"/>
  </w:num>
  <w:num w:numId="21">
    <w:abstractNumId w:val="44"/>
  </w:num>
  <w:num w:numId="22">
    <w:abstractNumId w:val="36"/>
  </w:num>
  <w:num w:numId="23">
    <w:abstractNumId w:val="24"/>
  </w:num>
  <w:num w:numId="24">
    <w:abstractNumId w:val="37"/>
  </w:num>
  <w:num w:numId="25">
    <w:abstractNumId w:val="27"/>
  </w:num>
  <w:num w:numId="26">
    <w:abstractNumId w:val="34"/>
  </w:num>
  <w:num w:numId="27">
    <w:abstractNumId w:val="5"/>
  </w:num>
  <w:num w:numId="28">
    <w:abstractNumId w:val="45"/>
  </w:num>
  <w:num w:numId="29">
    <w:abstractNumId w:val="18"/>
  </w:num>
  <w:num w:numId="30">
    <w:abstractNumId w:val="14"/>
  </w:num>
  <w:num w:numId="31">
    <w:abstractNumId w:val="48"/>
  </w:num>
  <w:num w:numId="32">
    <w:abstractNumId w:val="17"/>
  </w:num>
  <w:num w:numId="33">
    <w:abstractNumId w:val="32"/>
  </w:num>
  <w:num w:numId="34">
    <w:abstractNumId w:val="21"/>
  </w:num>
  <w:num w:numId="35">
    <w:abstractNumId w:val="33"/>
  </w:num>
  <w:num w:numId="36">
    <w:abstractNumId w:val="12"/>
  </w:num>
  <w:num w:numId="37">
    <w:abstractNumId w:val="7"/>
  </w:num>
  <w:num w:numId="38">
    <w:abstractNumId w:val="15"/>
  </w:num>
  <w:num w:numId="39">
    <w:abstractNumId w:val="25"/>
  </w:num>
  <w:num w:numId="40">
    <w:abstractNumId w:val="10"/>
  </w:num>
  <w:num w:numId="41">
    <w:abstractNumId w:val="43"/>
  </w:num>
  <w:num w:numId="42">
    <w:abstractNumId w:val="40"/>
  </w:num>
  <w:num w:numId="43">
    <w:abstractNumId w:val="35"/>
  </w:num>
  <w:num w:numId="44">
    <w:abstractNumId w:val="38"/>
  </w:num>
  <w:num w:numId="45">
    <w:abstractNumId w:val="1"/>
  </w:num>
  <w:num w:numId="46">
    <w:abstractNumId w:val="0"/>
  </w:num>
  <w:num w:numId="47">
    <w:abstractNumId w:val="47"/>
  </w:num>
  <w:num w:numId="48">
    <w:abstractNumId w:val="23"/>
  </w:num>
  <w:num w:numId="49">
    <w:abstractNumId w:val="3"/>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1CCA"/>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35A0"/>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5424"/>
    <w:rsid w:val="001F472B"/>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2C42"/>
    <w:rsid w:val="002A56A1"/>
    <w:rsid w:val="002B4786"/>
    <w:rsid w:val="002C6F98"/>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B7BDF"/>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0886"/>
    <w:rsid w:val="006426F7"/>
    <w:rsid w:val="00647C28"/>
    <w:rsid w:val="00653BB6"/>
    <w:rsid w:val="006558F9"/>
    <w:rsid w:val="00660256"/>
    <w:rsid w:val="00662182"/>
    <w:rsid w:val="00662FF0"/>
    <w:rsid w:val="006717A7"/>
    <w:rsid w:val="0067529C"/>
    <w:rsid w:val="0067560E"/>
    <w:rsid w:val="006771B6"/>
    <w:rsid w:val="00680325"/>
    <w:rsid w:val="00687D63"/>
    <w:rsid w:val="0069106D"/>
    <w:rsid w:val="006912CB"/>
    <w:rsid w:val="006A51F8"/>
    <w:rsid w:val="006A5D1C"/>
    <w:rsid w:val="006A750B"/>
    <w:rsid w:val="006A7F07"/>
    <w:rsid w:val="006B2D7D"/>
    <w:rsid w:val="006B5CAE"/>
    <w:rsid w:val="006B71A1"/>
    <w:rsid w:val="006B757C"/>
    <w:rsid w:val="006C4386"/>
    <w:rsid w:val="006C7D58"/>
    <w:rsid w:val="006D00AF"/>
    <w:rsid w:val="006D3613"/>
    <w:rsid w:val="006D78F7"/>
    <w:rsid w:val="006D7C4E"/>
    <w:rsid w:val="006E09FC"/>
    <w:rsid w:val="006E37C3"/>
    <w:rsid w:val="006F040B"/>
    <w:rsid w:val="00711683"/>
    <w:rsid w:val="00714D53"/>
    <w:rsid w:val="0072200B"/>
    <w:rsid w:val="007332D8"/>
    <w:rsid w:val="00741A08"/>
    <w:rsid w:val="00743F00"/>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A355F"/>
    <w:rsid w:val="00BA535D"/>
    <w:rsid w:val="00BB11AE"/>
    <w:rsid w:val="00BB66CF"/>
    <w:rsid w:val="00BC28C8"/>
    <w:rsid w:val="00BC30D7"/>
    <w:rsid w:val="00BC4242"/>
    <w:rsid w:val="00BD671C"/>
    <w:rsid w:val="00BD6B89"/>
    <w:rsid w:val="00BE13D6"/>
    <w:rsid w:val="00BE33D8"/>
    <w:rsid w:val="00BF0EF7"/>
    <w:rsid w:val="00C029E4"/>
    <w:rsid w:val="00C07F6F"/>
    <w:rsid w:val="00C11F6F"/>
    <w:rsid w:val="00C12D50"/>
    <w:rsid w:val="00C16967"/>
    <w:rsid w:val="00C20349"/>
    <w:rsid w:val="00C35F97"/>
    <w:rsid w:val="00C4103C"/>
    <w:rsid w:val="00C5327B"/>
    <w:rsid w:val="00C53AF9"/>
    <w:rsid w:val="00C57EAD"/>
    <w:rsid w:val="00C674A5"/>
    <w:rsid w:val="00C73C2F"/>
    <w:rsid w:val="00C73ED8"/>
    <w:rsid w:val="00C7643B"/>
    <w:rsid w:val="00C81B85"/>
    <w:rsid w:val="00C8260C"/>
    <w:rsid w:val="00C82FF6"/>
    <w:rsid w:val="00C921E4"/>
    <w:rsid w:val="00CA4416"/>
    <w:rsid w:val="00CA6E6F"/>
    <w:rsid w:val="00CB70A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D6B62"/>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3B6F"/>
    <w:rsid w:val="00E44537"/>
    <w:rsid w:val="00E56FDA"/>
    <w:rsid w:val="00E57189"/>
    <w:rsid w:val="00E62C62"/>
    <w:rsid w:val="00E7726D"/>
    <w:rsid w:val="00E81D73"/>
    <w:rsid w:val="00E83B04"/>
    <w:rsid w:val="00E90DC4"/>
    <w:rsid w:val="00E9309D"/>
    <w:rsid w:val="00E94437"/>
    <w:rsid w:val="00EB550D"/>
    <w:rsid w:val="00EB6C90"/>
    <w:rsid w:val="00EC08A1"/>
    <w:rsid w:val="00EE1D09"/>
    <w:rsid w:val="00EE7240"/>
    <w:rsid w:val="00EF66B8"/>
    <w:rsid w:val="00F130D7"/>
    <w:rsid w:val="00F160E9"/>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lado.DEDOVIC@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8428D9E-B01D-442B-A1AE-5756AC23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5125</Words>
  <Characters>29214</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HOWSON Nichola</cp:lastModifiedBy>
  <cp:revision>2</cp:revision>
  <cp:lastPrinted>2016-04-12T12:31:00Z</cp:lastPrinted>
  <dcterms:created xsi:type="dcterms:W3CDTF">2018-03-16T12:13:00Z</dcterms:created>
  <dcterms:modified xsi:type="dcterms:W3CDTF">2018-03-16T12:13:00Z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