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B656B" w14:textId="77777777" w:rsidR="00713559" w:rsidRPr="00965FAE" w:rsidRDefault="00713559" w:rsidP="00965FAE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en-US"/>
        </w:rPr>
      </w:pPr>
    </w:p>
    <w:p w14:paraId="1B8FFEC9" w14:textId="77777777" w:rsidR="00713559" w:rsidRPr="00965FAE" w:rsidRDefault="00713559" w:rsidP="00965FAE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en-US"/>
        </w:rPr>
      </w:pPr>
    </w:p>
    <w:p w14:paraId="6C279CC1" w14:textId="5C446092" w:rsidR="00D62D11" w:rsidRPr="00965FAE" w:rsidRDefault="00C675E6" w:rsidP="00965FAE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en-US"/>
        </w:rPr>
      </w:pPr>
      <w:r w:rsidRPr="00965FAE">
        <w:rPr>
          <w:rFonts w:ascii="Verdana" w:hAnsi="Verdana"/>
          <w:color w:val="2F618F"/>
          <w:sz w:val="15"/>
          <w:szCs w:val="15"/>
          <w:lang w:val="mk-MK"/>
        </w:rPr>
        <w:t>Верзија 15 октомври, 2020 год.</w:t>
      </w:r>
    </w:p>
    <w:p w14:paraId="78BCBA2C" w14:textId="46399E79" w:rsidR="0045442C" w:rsidRPr="00965FAE" w:rsidRDefault="00CC0021" w:rsidP="00965FAE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 w:val="32"/>
          <w:szCs w:val="32"/>
          <w:lang w:val="en-US"/>
        </w:rPr>
      </w:pPr>
      <w:r w:rsidRPr="00965FAE">
        <w:rPr>
          <w:rFonts w:ascii="Verdana" w:hAnsi="Verdana"/>
          <w:b/>
          <w:sz w:val="32"/>
          <w:szCs w:val="32"/>
          <w:lang w:val="mk-MK"/>
        </w:rPr>
        <w:t>Воведен курс за судска обука за сајбер-криминал и електронски докази</w:t>
      </w:r>
    </w:p>
    <w:p w14:paraId="5E43246D" w14:textId="2B817534" w:rsidR="00062250" w:rsidRPr="00965FAE" w:rsidRDefault="00CC0021" w:rsidP="00965FAE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Cs w:val="40"/>
          <w:lang w:val="en-US"/>
        </w:rPr>
      </w:pPr>
      <w:r w:rsidRPr="00965FAE">
        <w:rPr>
          <w:rFonts w:ascii="Verdana" w:hAnsi="Verdana"/>
          <w:b/>
          <w:szCs w:val="40"/>
          <w:lang w:val="mk-MK"/>
        </w:rPr>
        <w:t>Почетна анкета</w:t>
      </w:r>
    </w:p>
    <w:p w14:paraId="64069897" w14:textId="77777777" w:rsidR="007102F1" w:rsidRPr="00965FAE" w:rsidRDefault="007102F1" w:rsidP="00965FAE">
      <w:pPr>
        <w:pStyle w:val="Heading1"/>
        <w:spacing w:before="120" w:line="260" w:lineRule="atLeast"/>
        <w:rPr>
          <w:rFonts w:ascii="Verdana" w:hAnsi="Verdana"/>
          <w:lang w:val="en-US"/>
        </w:rPr>
      </w:pPr>
    </w:p>
    <w:p w14:paraId="4A952931" w14:textId="207A1F4A" w:rsidR="00413859" w:rsidRPr="00965FAE" w:rsidRDefault="00CC0021" w:rsidP="00965FAE">
      <w:pPr>
        <w:pStyle w:val="Heading1"/>
        <w:spacing w:before="120" w:line="260" w:lineRule="atLeast"/>
        <w:rPr>
          <w:rFonts w:ascii="Verdana" w:hAnsi="Verdana"/>
          <w:sz w:val="24"/>
          <w:szCs w:val="24"/>
          <w:lang w:val="en-US"/>
        </w:rPr>
      </w:pPr>
      <w:r w:rsidRPr="00965FAE">
        <w:rPr>
          <w:rFonts w:ascii="Verdana" w:hAnsi="Verdana"/>
          <w:sz w:val="24"/>
          <w:szCs w:val="24"/>
          <w:lang w:val="mk-MK"/>
        </w:rPr>
        <w:t>Позадина и образложение</w:t>
      </w:r>
    </w:p>
    <w:p w14:paraId="0EF82C94" w14:textId="43A4E5D3" w:rsidR="00623D41" w:rsidRPr="00965FAE" w:rsidRDefault="00CC0021" w:rsidP="00965FAE">
      <w:pPr>
        <w:pStyle w:val="Heading1"/>
        <w:spacing w:before="120" w:line="260" w:lineRule="atLeast"/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en-US"/>
        </w:rPr>
      </w:pPr>
      <w:r w:rsidRPr="00965FAE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>Воведниот курс за судска обука за сајбер-криминал и електронски докази има за цел да ги постави темелите на знаење во оваа област за судиите, магистрати</w:t>
      </w:r>
      <w:r w:rsidR="005204FF" w:rsidRPr="00965FAE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>те</w:t>
      </w:r>
      <w:r w:rsidRPr="00965FAE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 xml:space="preserve"> и обвинители</w:t>
      </w:r>
      <w:r w:rsidR="005204FF" w:rsidRPr="00965FAE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>те</w:t>
      </w:r>
      <w:r w:rsidRPr="00965FAE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>.</w:t>
      </w:r>
      <w:r w:rsidR="009C7AFF" w:rsidRPr="00965FAE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en-US"/>
        </w:rPr>
        <w:t xml:space="preserve">  </w:t>
      </w:r>
    </w:p>
    <w:p w14:paraId="506133C0" w14:textId="217A4AC5" w:rsidR="00623D41" w:rsidRPr="00965FAE" w:rsidRDefault="00CC0021" w:rsidP="00965FAE">
      <w:pPr>
        <w:pStyle w:val="Heading1"/>
        <w:spacing w:before="120" w:line="260" w:lineRule="atLeast"/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en-US"/>
        </w:rPr>
      </w:pPr>
      <w:r w:rsidRPr="00965FAE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 xml:space="preserve">Курсот </w:t>
      </w:r>
      <w:r w:rsidR="005204FF" w:rsidRPr="00965FAE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>ги дава</w:t>
      </w:r>
      <w:r w:rsidRPr="00965FAE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 xml:space="preserve"> основни</w:t>
      </w:r>
      <w:r w:rsidR="005204FF" w:rsidRPr="00965FAE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>те</w:t>
      </w:r>
      <w:r w:rsidRPr="00965FAE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 xml:space="preserve"> концепти за сајбер-криминал и други сродни теми, како што се меѓународната правна рамка, предизвиците поврзани со електронски докази и меѓународна соработка, главните елементи за спроведување на истрага за сајбер-криминал.</w:t>
      </w:r>
      <w:r w:rsidR="00623D41" w:rsidRPr="00965FAE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en-US"/>
        </w:rPr>
        <w:t xml:space="preserve"> </w:t>
      </w:r>
      <w:r w:rsidRPr="00965FAE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 xml:space="preserve">Курсот има за цел подготовка на </w:t>
      </w:r>
      <w:r w:rsidR="00C675E6" w:rsidRPr="00965FAE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>основата</w:t>
      </w:r>
      <w:r w:rsidRPr="00965FAE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 xml:space="preserve"> за поспецифични курсеви на Советот на Европа што ќе следат, како што се Напредниот судски курс или Специјализираните курсеви.</w:t>
      </w:r>
      <w:r w:rsidR="009C7AFF" w:rsidRPr="00965FAE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en-US"/>
        </w:rPr>
        <w:t xml:space="preserve"> </w:t>
      </w:r>
    </w:p>
    <w:p w14:paraId="13D5B0EE" w14:textId="0A6A5B07" w:rsidR="00623D41" w:rsidRPr="00965FAE" w:rsidRDefault="00CC0021" w:rsidP="00965FAE">
      <w:pPr>
        <w:pStyle w:val="Heading1"/>
        <w:spacing w:before="120" w:line="260" w:lineRule="atLeast"/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en-US"/>
        </w:rPr>
      </w:pPr>
      <w:r w:rsidRPr="00965FAE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>На учесниците им е даден прашалник</w:t>
      </w:r>
      <w:r w:rsidR="00115AC5" w:rsidRPr="00965FAE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 xml:space="preserve"> на почетокот на курсот</w:t>
      </w:r>
      <w:r w:rsidRPr="00965FAE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 xml:space="preserve">, со цел да имаат можност да ги напишат своите прашања и </w:t>
      </w:r>
      <w:r w:rsidR="003A20E0" w:rsidRPr="00965FAE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>точки на за</w:t>
      </w:r>
      <w:r w:rsidRPr="00965FAE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>гриж</w:t>
      </w:r>
      <w:r w:rsidR="003A20E0" w:rsidRPr="00965FAE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>еност</w:t>
      </w:r>
      <w:r w:rsidRPr="00965FAE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>, на кои експертите ќе им одговорат подоцна во текот на курсот.</w:t>
      </w:r>
      <w:r w:rsidR="009C7AFF" w:rsidRPr="00965FAE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en-US"/>
        </w:rPr>
        <w:t xml:space="preserve"> </w:t>
      </w:r>
    </w:p>
    <w:p w14:paraId="24D353E3" w14:textId="5B971A39" w:rsidR="009C7AFF" w:rsidRPr="00965FAE" w:rsidRDefault="00115AC5" w:rsidP="00965FAE">
      <w:pPr>
        <w:pStyle w:val="Heading1"/>
        <w:spacing w:before="120" w:line="260" w:lineRule="atLeast"/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en-US"/>
        </w:rPr>
      </w:pPr>
      <w:r w:rsidRPr="00965FAE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>Ова оди во прилог со почетната анкета што доаѓа во форма на почетен тест (одредено време од 10 минути)</w:t>
      </w:r>
      <w:r w:rsidR="009C7AFF" w:rsidRPr="00965FAE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en-US"/>
        </w:rPr>
        <w:t xml:space="preserve"> </w:t>
      </w:r>
      <w:r w:rsidRPr="00965FAE">
        <w:rPr>
          <w:rFonts w:ascii="Verdana" w:eastAsia="Times New Roman" w:hAnsi="Verdana" w:cstheme="minorBidi"/>
          <w:b w:val="0"/>
          <w:bCs w:val="0"/>
          <w:color w:val="auto"/>
          <w:sz w:val="18"/>
          <w:szCs w:val="18"/>
          <w:lang w:val="mk-MK"/>
        </w:rPr>
        <w:t>што им дава на обучувачите преглед за тоа колкави се знаењата на учесниците и им дава на обучувачите идеја за тоа како да ја презентираат својата дадена тема.</w:t>
      </w:r>
    </w:p>
    <w:p w14:paraId="0ABDA158" w14:textId="77777777" w:rsidR="00A36FF5" w:rsidRPr="00965FAE" w:rsidRDefault="00A36FF5" w:rsidP="00965FAE">
      <w:pPr>
        <w:pStyle w:val="Heading1"/>
        <w:spacing w:before="120" w:line="260" w:lineRule="atLeast"/>
        <w:rPr>
          <w:rFonts w:ascii="Verdana" w:hAnsi="Verdana"/>
          <w:sz w:val="24"/>
          <w:szCs w:val="24"/>
          <w:lang w:val="en-US"/>
        </w:rPr>
      </w:pPr>
    </w:p>
    <w:p w14:paraId="0E4E7A57" w14:textId="77777777" w:rsidR="00623D41" w:rsidRPr="00965FAE" w:rsidRDefault="00623D41" w:rsidP="00965FAE">
      <w:pPr>
        <w:spacing w:before="120" w:after="120" w:line="260" w:lineRule="atLeast"/>
        <w:jc w:val="left"/>
        <w:rPr>
          <w:rFonts w:ascii="Verdana" w:eastAsiaTheme="majorEastAsia" w:hAnsi="Verdana" w:cstheme="majorBidi"/>
          <w:b/>
          <w:bCs/>
          <w:color w:val="2F618F"/>
          <w:sz w:val="24"/>
          <w:szCs w:val="24"/>
          <w:lang w:val="en-US"/>
        </w:rPr>
      </w:pPr>
      <w:r w:rsidRPr="00965FAE">
        <w:rPr>
          <w:rFonts w:ascii="Verdana" w:hAnsi="Verdana"/>
          <w:sz w:val="24"/>
          <w:szCs w:val="24"/>
          <w:lang w:val="en-US"/>
        </w:rPr>
        <w:br w:type="page"/>
      </w:r>
    </w:p>
    <w:p w14:paraId="622EE61B" w14:textId="4ED5E36F" w:rsidR="00413859" w:rsidRPr="00965FAE" w:rsidRDefault="00115AC5" w:rsidP="00965FAE">
      <w:pPr>
        <w:pStyle w:val="Heading1"/>
        <w:spacing w:before="120" w:line="260" w:lineRule="atLeast"/>
        <w:rPr>
          <w:rFonts w:ascii="Verdana" w:eastAsia="Times New Roman" w:hAnsi="Verdana"/>
          <w:b w:val="0"/>
          <w:sz w:val="24"/>
          <w:szCs w:val="24"/>
          <w:lang w:val="en-US"/>
        </w:rPr>
      </w:pPr>
      <w:r w:rsidRPr="00965FAE">
        <w:rPr>
          <w:rFonts w:ascii="Verdana" w:hAnsi="Verdana"/>
          <w:sz w:val="24"/>
          <w:szCs w:val="24"/>
          <w:lang w:val="mk-MK"/>
        </w:rPr>
        <w:lastRenderedPageBreak/>
        <w:t>Прашалник</w:t>
      </w:r>
    </w:p>
    <w:p w14:paraId="733B8968" w14:textId="7E82F449" w:rsidR="007102F1" w:rsidRPr="00965FAE" w:rsidRDefault="002E01BF" w:rsidP="00965FAE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en-US"/>
        </w:rPr>
      </w:pPr>
      <w:r w:rsidRPr="00965FAE">
        <w:rPr>
          <w:rFonts w:ascii="Verdana" w:eastAsia="Times New Roman" w:hAnsi="Verdana"/>
          <w:sz w:val="18"/>
          <w:szCs w:val="18"/>
          <w:lang w:val="mk-MK"/>
        </w:rPr>
        <w:t>Во просторот подолу напишете најмногу три прашања што би сакале обучувачите да ги одговорат за време на курсот</w:t>
      </w:r>
    </w:p>
    <w:p w14:paraId="5C6CF4F8" w14:textId="0314AF4C" w:rsidR="00623D41" w:rsidRPr="00965FAE" w:rsidRDefault="002E01BF" w:rsidP="00965FAE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en-US"/>
        </w:rPr>
      </w:pPr>
      <w:r w:rsidRPr="00965FAE">
        <w:rPr>
          <w:rFonts w:ascii="Verdana" w:eastAsia="Times New Roman" w:hAnsi="Verdana"/>
          <w:b/>
          <w:bCs/>
          <w:noProof/>
          <w:sz w:val="18"/>
          <w:szCs w:val="18"/>
          <w:lang w:val="mk-MK" w:eastAsia="mk-MK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B959A0D" wp14:editId="4543BB58">
                <wp:simplePos x="0" y="0"/>
                <wp:positionH relativeFrom="margin">
                  <wp:posOffset>-10160</wp:posOffset>
                </wp:positionH>
                <wp:positionV relativeFrom="paragraph">
                  <wp:posOffset>512445</wp:posOffset>
                </wp:positionV>
                <wp:extent cx="5381625" cy="1800000"/>
                <wp:effectExtent l="0" t="0" r="28575" b="101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1625" cy="18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849A00" w14:textId="77777777" w:rsidR="002E01BF" w:rsidRPr="003C409F" w:rsidRDefault="002E01BF" w:rsidP="002E01BF">
                            <w:pPr>
                              <w:rPr>
                                <w:rFonts w:ascii="Verdana" w:eastAsia="Times New Roman" w:hAnsi="Verdana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4B959A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8pt;margin-top:40.35pt;width:423.75pt;height:141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N80IwIAAEcEAAAOAAAAZHJzL2Uyb0RvYy54bWysU9uO2yAQfa/Uf0C8N47dZDdrxVlts01V&#10;aXuRdvsBGOMYFRgKJHb69R1wks22Uh+q8oAYZjicOTOzvB20InvhvART0XwypUQYDo0024p+e9q8&#10;WVDiAzMNU2BERQ/C09vV61fL3paigA5UIxxBEOPL3la0C8GWWeZ5JzTzE7DCoLMFp1lA022zxrEe&#10;0bXKiun0KuvBNdYBF97j7f3opKuE37aChy9t60UgqqLILaTdpb2Oe7ZasnLrmO0kP9Jg/8BCM2nw&#10;0zPUPQuM7Jz8A0pL7sBDGyYcdAZtK7lIOWA2+fS3bB47ZkXKBcXx9iyT/3+w/PP+qyOyqWiRX1Ni&#10;mMYiPYkhkHcwkCLq01tfYtijxcAw4DXWOeXq7QPw754YWHfMbMWdc9B3gjXIL48vs4unI46PIHX/&#10;CRr8hu0CJKChdTqKh3IQRMc6Hc61iVQ4Xs7fLvKrYk4JR1++mMaV/mDl6bl1PnwQoEk8VNRh8RM8&#10;2z/4EOmw8hQSf/OgZLORSiXDbeu1cmTPsFE2aR3RX4QpQ/qK3syRyN8hEr8TwRcQWgbseCV1RZ+z&#10;YGXU7b1pUj8GJtV4RsrKHIWM2o0qhqEejoWpoTmgpA7GzsZJxEMH7iclPXZ1Rf2PHXOCEvXRYFlu&#10;8tksjkEyZvPrAg136akvPcxwhKpooGQ8rkManZi6gTssXyuTsLHOI5MjV+zWpPdxsuI4XNop6nn+&#10;V78AAAD//wMAUEsDBBQABgAIAAAAIQAmcloy4AAAAAkBAAAPAAAAZHJzL2Rvd25yZXYueG1sTI/B&#10;TsMwEETvSPyDtUhcUOu0DWka4lQICQQ3KAiubrJNIux1sN00/D3LCY6rGb15W24na8SIPvSOFCzm&#10;CQik2jU9tQreXu9nOYgQNTXaOEIF3xhgW52flbpo3IlecNzFVjCEQqEVdDEOhZSh7tDqMHcDEmcH&#10;562OfPpWNl6fGG6NXCZJJq3uiRc6PeBdh/Xn7mgV5Onj+BGeVs/vdXYwm3i1Hh++vFKXF9PtDYiI&#10;U/wrw68+q0PFTnt3pCYIo2C2yLjJrGQNgvM8vd6A2CtYZekSZFXK/x9UPwAAAP//AwBQSwECLQAU&#10;AAYACAAAACEAtoM4kv4AAADhAQAAEwAAAAAAAAAAAAAAAAAAAAAAW0NvbnRlbnRfVHlwZXNdLnht&#10;bFBLAQItABQABgAIAAAAIQA4/SH/1gAAAJQBAAALAAAAAAAAAAAAAAAAAC8BAABfcmVscy8ucmVs&#10;c1BLAQItABQABgAIAAAAIQA9CN80IwIAAEcEAAAOAAAAAAAAAAAAAAAAAC4CAABkcnMvZTJvRG9j&#10;LnhtbFBLAQItABQABgAIAAAAIQAmcloy4AAAAAkBAAAPAAAAAAAAAAAAAAAAAH0EAABkcnMvZG93&#10;bnJldi54bWxQSwUGAAAAAAQABADzAAAAigUAAAAA&#10;">
                <v:textbox>
                  <w:txbxContent>
                    <w:p w14:paraId="1D849A00" w14:textId="77777777" w:rsidR="002E01BF" w:rsidRPr="003C409F" w:rsidRDefault="002E01BF" w:rsidP="002E01BF">
                      <w:pPr>
                        <w:rPr>
                          <w:rFonts w:ascii="Verdana" w:eastAsia="Times New Roman" w:hAnsi="Verdana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6EA8894" w14:textId="00E281FE" w:rsidR="00623D41" w:rsidRPr="00965FAE" w:rsidRDefault="002E01BF" w:rsidP="00965FAE">
      <w:pPr>
        <w:spacing w:before="120" w:after="120" w:line="260" w:lineRule="atLeast"/>
        <w:rPr>
          <w:rFonts w:ascii="Verdana" w:eastAsia="Times New Roman" w:hAnsi="Verdana"/>
          <w:b/>
          <w:bCs/>
          <w:sz w:val="18"/>
          <w:szCs w:val="18"/>
          <w:lang w:val="en-US"/>
        </w:rPr>
      </w:pPr>
      <w:r w:rsidRPr="00965FAE">
        <w:rPr>
          <w:rFonts w:ascii="Verdana" w:eastAsia="Times New Roman" w:hAnsi="Verdana"/>
          <w:b/>
          <w:bCs/>
          <w:sz w:val="18"/>
          <w:szCs w:val="18"/>
          <w:lang w:val="en-US"/>
        </w:rPr>
        <w:t xml:space="preserve"> </w:t>
      </w:r>
      <w:r w:rsidRPr="00965FAE">
        <w:rPr>
          <w:rFonts w:ascii="Verdana" w:eastAsia="Times New Roman" w:hAnsi="Verdana"/>
          <w:b/>
          <w:bCs/>
          <w:sz w:val="18"/>
          <w:szCs w:val="18"/>
          <w:lang w:val="mk-MK"/>
        </w:rPr>
        <w:t>Прашање #1</w:t>
      </w:r>
    </w:p>
    <w:p w14:paraId="2BAA230D" w14:textId="20924964" w:rsidR="00623D41" w:rsidRPr="00965FAE" w:rsidRDefault="002E01BF" w:rsidP="00965FAE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en-US"/>
        </w:rPr>
      </w:pPr>
      <w:r w:rsidRPr="00965FAE">
        <w:rPr>
          <w:rFonts w:ascii="Verdana" w:eastAsia="Times New Roman" w:hAnsi="Verdana"/>
          <w:b/>
          <w:bCs/>
          <w:noProof/>
          <w:sz w:val="18"/>
          <w:szCs w:val="18"/>
          <w:lang w:val="mk-MK" w:eastAsia="mk-MK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7164823" wp14:editId="1CDA3325">
                <wp:simplePos x="0" y="0"/>
                <wp:positionH relativeFrom="margin">
                  <wp:posOffset>-10160</wp:posOffset>
                </wp:positionH>
                <wp:positionV relativeFrom="paragraph">
                  <wp:posOffset>2397760</wp:posOffset>
                </wp:positionV>
                <wp:extent cx="5381625" cy="1800000"/>
                <wp:effectExtent l="0" t="0" r="28575" b="1016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1625" cy="18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2C0395" w14:textId="77777777" w:rsidR="002E01BF" w:rsidRPr="003C409F" w:rsidRDefault="002E01BF" w:rsidP="002E01BF">
                            <w:pPr>
                              <w:rPr>
                                <w:rFonts w:ascii="Verdana" w:eastAsia="Times New Roman" w:hAnsi="Verdana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27164823" id="_x0000_s1027" type="#_x0000_t202" style="position:absolute;left:0;text-align:left;margin-left:-.8pt;margin-top:188.8pt;width:423.75pt;height:141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7K8IwIAAEwEAAAOAAAAZHJzL2Uyb0RvYy54bWysVNuO0zAQfUfiHyy/07SlXbpR09XSpQhp&#10;uUi7fMDEcRoL2xNst8ny9YydtFtA4gGRB8vjGR+fOTOT9U1vNDtK5xXags8mU86kFVgpuy/418fd&#10;qxVnPoCtQKOVBX+Snt9sXr5Yd20u59igrqRjBGJ93rUFb0Jo8yzzopEG/ARbaclZozMQyHT7rHLQ&#10;EbrR2Xw6vco6dFXrUEjv6fRucPJNwq9rKcLnuvYyMF1w4hbS6tJaxjXbrCHfO2gbJUYa8A8sDChL&#10;j56h7iAAOzj1B5RRwqHHOkwEmgzrWgmZcqBsZtPfsnlooJUpFxLHt2eZ/P+DFZ+OXxxTFdWOMwuG&#10;SvQo+8DeYs/mUZ2u9TkFPbQUFno6jpExU9/eo/jmmcVtA3Yvb53DrpFQEbtZvJldXB1wfAQpu49Y&#10;0TNwCJiA+tqZCEhiMEKnKj2dKxOpCDpcvl7NruZLzgT5Zqtp/NIbkJ+ut86H9xINi5uCOyp9gofj&#10;vQ+RDuSnkEQftap2SutkuH251Y4dgdpkl74R3V+Gacu6gl8vicjfIRK/E8FfIIwK1O9amYI/ZwF5&#10;1O2drVI3BlB62BNlbUcho3aDiqEv+7FiY31KrJ5IWYdDe9M40qZB94Ozjlq74P77AZzkTH+wVJ3r&#10;2WIRZyEZi+WbORnu0lNeesAKgip44GzYbkOan6iAxVuqYq2SvrHcA5ORMrVskn0crzgTl3aKev4J&#10;bH4CAAD//wMAUEsDBBQABgAIAAAAIQByDLvV4QAAAAoBAAAPAAAAZHJzL2Rvd25yZXYueG1sTI/B&#10;TsMwDIbvSLxDZCQuaEvLRtqVphNCArEbbBNcs8ZrK5qkJFlX3h5zgpstf/r9/eV6Mj0b0YfOWQnp&#10;PAGGtna6s42E/e5plgMLUVmtemdRwjcGWFeXF6UqtDvbNxy3sWEUYkOhJLQxDgXnoW7RqDB3A1q6&#10;HZ03KtLqG669OlO46fltkghuVGfpQ6sGfGyx/tyejIR8+TJ+hM3i9b0Wx34Vb7Lx+ctLeX01PdwD&#10;izjFPxh+9UkdKnI6uJPVgfUSZqkgUsIiy2ggIF/erYAdJAiRpsCrkv+vUP0AAAD//wMAUEsBAi0A&#10;FAAGAAgAAAAhALaDOJL+AAAA4QEAABMAAAAAAAAAAAAAAAAAAAAAAFtDb250ZW50X1R5cGVzXS54&#10;bWxQSwECLQAUAAYACAAAACEAOP0h/9YAAACUAQAACwAAAAAAAAAAAAAAAAAvAQAAX3JlbHMvLnJl&#10;bHNQSwECLQAUAAYACAAAACEAn2eyvCMCAABMBAAADgAAAAAAAAAAAAAAAAAuAgAAZHJzL2Uyb0Rv&#10;Yy54bWxQSwECLQAUAAYACAAAACEAcgy71eEAAAAKAQAADwAAAAAAAAAAAAAAAAB9BAAAZHJzL2Rv&#10;d25yZXYueG1sUEsFBgAAAAAEAAQA8wAAAIsFAAAAAA==&#10;">
                <v:textbox>
                  <w:txbxContent>
                    <w:p w14:paraId="512C0395" w14:textId="77777777" w:rsidR="002E01BF" w:rsidRPr="003C409F" w:rsidRDefault="002E01BF" w:rsidP="002E01BF">
                      <w:pPr>
                        <w:rPr>
                          <w:rFonts w:ascii="Verdana" w:eastAsia="Times New Roman" w:hAnsi="Verdana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07C0302" w14:textId="0CA1AF4A" w:rsidR="003C409F" w:rsidRPr="00965FAE" w:rsidRDefault="002E01BF" w:rsidP="00965FAE">
      <w:pPr>
        <w:spacing w:before="120" w:after="120" w:line="260" w:lineRule="atLeast"/>
        <w:rPr>
          <w:rFonts w:ascii="Verdana" w:eastAsia="Times New Roman" w:hAnsi="Verdana"/>
          <w:b/>
          <w:bCs/>
          <w:sz w:val="18"/>
          <w:szCs w:val="18"/>
          <w:lang w:val="en-US"/>
        </w:rPr>
      </w:pPr>
      <w:r w:rsidRPr="00965FAE">
        <w:rPr>
          <w:rFonts w:ascii="Verdana" w:eastAsia="Times New Roman" w:hAnsi="Verdana"/>
          <w:b/>
          <w:bCs/>
          <w:sz w:val="18"/>
          <w:szCs w:val="18"/>
          <w:lang w:val="en-US"/>
        </w:rPr>
        <w:t xml:space="preserve"> </w:t>
      </w:r>
      <w:r w:rsidRPr="00965FAE">
        <w:rPr>
          <w:rFonts w:ascii="Verdana" w:eastAsia="Times New Roman" w:hAnsi="Verdana"/>
          <w:b/>
          <w:bCs/>
          <w:sz w:val="18"/>
          <w:szCs w:val="18"/>
          <w:lang w:val="mk-MK"/>
        </w:rPr>
        <w:t>Прашање #2</w:t>
      </w:r>
    </w:p>
    <w:p w14:paraId="408C51CC" w14:textId="738A03F7" w:rsidR="003C409F" w:rsidRPr="00965FAE" w:rsidRDefault="002E01BF" w:rsidP="00965FAE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en-US"/>
        </w:rPr>
      </w:pPr>
      <w:r w:rsidRPr="00965FAE">
        <w:rPr>
          <w:rFonts w:ascii="Verdana" w:eastAsia="Times New Roman" w:hAnsi="Verdana"/>
          <w:b/>
          <w:bCs/>
          <w:noProof/>
          <w:sz w:val="18"/>
          <w:szCs w:val="18"/>
          <w:lang w:val="mk-MK" w:eastAsia="mk-MK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0C71910" wp14:editId="41194345">
                <wp:simplePos x="0" y="0"/>
                <wp:positionH relativeFrom="margin">
                  <wp:posOffset>-10160</wp:posOffset>
                </wp:positionH>
                <wp:positionV relativeFrom="paragraph">
                  <wp:posOffset>2397760</wp:posOffset>
                </wp:positionV>
                <wp:extent cx="5381625" cy="1800000"/>
                <wp:effectExtent l="0" t="0" r="28575" b="1016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1625" cy="18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EBDD00" w14:textId="77777777" w:rsidR="002E01BF" w:rsidRPr="003C409F" w:rsidRDefault="002E01BF" w:rsidP="002E01BF">
                            <w:pPr>
                              <w:rPr>
                                <w:rFonts w:ascii="Verdana" w:eastAsia="Times New Roman" w:hAnsi="Verdana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 w14:anchorId="10C71910" id="_x0000_s1028" type="#_x0000_t202" style="position:absolute;left:0;text-align:left;margin-left:-.8pt;margin-top:188.8pt;width:423.75pt;height:141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xjtJAIAAEwEAAAOAAAAZHJzL2Uyb0RvYy54bWysVNtu2zAMfR+wfxD0vjjxki414hRdugwD&#10;ugvQ7gNkWY6FSaImKbGzry8lO2m6AXsY5gdBFKmjw0PSq5teK3IQzkswJZ1NppQIw6GWZlfS74/b&#10;N0tKfGCmZgqMKOlReHqzfv1q1dlC5NCCqoUjCGJ80dmStiHYIss8b4VmfgJWGHQ24DQLaLpdVjvW&#10;IbpWWT6dXmUduNo64MJ7PL0bnHSd8JtG8PC1abwIRJUUuYW0urRWcc3WK1bsHLOt5CMN9g8sNJMG&#10;Hz1D3bHAyN7JP6C05A48NGHCQWfQNJKLlANmM5v+ls1Dy6xIuaA43p5l8v8Pln85fHNE1iXNKTFM&#10;Y4keRR/Ie+hJHtXprC8w6MFiWOjxGKucMvX2HvgPTwxsWmZ24tY56FrBamQ3izezi6sDjo8gVfcZ&#10;anyG7QMkoL5xOkqHYhBExyodz5WJVDgeLt4uZ1f5ghKOvtlyGr/0BitO163z4aMATeKmpA5Ln+DZ&#10;4d6HSIcVp5D4mgcl661UKhluV22UIweGbbJN34j+IkwZ0pX0eoFE/g6R+J0IvoDQMmC/K6lL+pwF&#10;K6JuH0ydujEwqYY9UlZmFDJqN6gY+qofKzbWp4L6iMo6GNobxxE3LbhflHTY2iX1P/fMCUrUJ4PV&#10;uZ7N53EWkjFfvMvRcJee6tLDDEeokgZKhu0mpPmJChi4xSo2Mukbyz0wGSljyybZx/GKM3Fpp6jn&#10;n8D6CQAA//8DAFBLAwQUAAYACAAAACEAcgy71eEAAAAKAQAADwAAAGRycy9kb3ducmV2LnhtbEyP&#10;wU7DMAyG70i8Q2QkLmhLy0balaYTQgKxG2wTXLPGayuapCRZV94ec4KbLX/6/f3lejI9G9GHzlkJ&#10;6TwBhrZ2urONhP3uaZYDC1FZrXpnUcI3BlhXlxelKrQ72zcct7FhFGJDoSS0MQ4F56Fu0agwdwNa&#10;uh2dNyrS6huuvTpTuOn5bZIIblRn6UOrBnxssf7cnoyEfPkyfoTN4vW9Fsd+FW+y8fnLS3l9NT3c&#10;A4s4xT8YfvVJHSpyOriT1YH1EmapIFLCIstoICBf3q2AHSQIkabAq5L/r1D9AAAA//8DAFBLAQIt&#10;ABQABgAIAAAAIQC2gziS/gAAAOEBAAATAAAAAAAAAAAAAAAAAAAAAABbQ29udGVudF9UeXBlc10u&#10;eG1sUEsBAi0AFAAGAAgAAAAhADj9If/WAAAAlAEAAAsAAAAAAAAAAAAAAAAALwEAAF9yZWxzLy5y&#10;ZWxzUEsBAi0AFAAGAAgAAAAhAM+LGO0kAgAATAQAAA4AAAAAAAAAAAAAAAAALgIAAGRycy9lMm9E&#10;b2MueG1sUEsBAi0AFAAGAAgAAAAhAHIMu9XhAAAACgEAAA8AAAAAAAAAAAAAAAAAfgQAAGRycy9k&#10;b3ducmV2LnhtbFBLBQYAAAAABAAEAPMAAACMBQAAAAA=&#10;">
                <v:textbox>
                  <w:txbxContent>
                    <w:p w14:paraId="00EBDD00" w14:textId="77777777" w:rsidR="002E01BF" w:rsidRPr="003C409F" w:rsidRDefault="002E01BF" w:rsidP="002E01BF">
                      <w:pPr>
                        <w:rPr>
                          <w:rFonts w:ascii="Verdana" w:eastAsia="Times New Roman" w:hAnsi="Verdana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1D000FC" w14:textId="31CE5E56" w:rsidR="003C409F" w:rsidRPr="00965FAE" w:rsidRDefault="002E01BF" w:rsidP="00965FAE">
      <w:pPr>
        <w:spacing w:before="120" w:after="120" w:line="260" w:lineRule="atLeast"/>
        <w:rPr>
          <w:rFonts w:ascii="Verdana" w:eastAsia="Times New Roman" w:hAnsi="Verdana"/>
          <w:b/>
          <w:bCs/>
          <w:sz w:val="18"/>
          <w:szCs w:val="18"/>
          <w:lang w:val="en-US"/>
        </w:rPr>
      </w:pPr>
      <w:r w:rsidRPr="00965FAE">
        <w:rPr>
          <w:rFonts w:ascii="Verdana" w:eastAsia="Times New Roman" w:hAnsi="Verdana"/>
          <w:b/>
          <w:bCs/>
          <w:sz w:val="18"/>
          <w:szCs w:val="18"/>
          <w:lang w:val="en-US"/>
        </w:rPr>
        <w:t xml:space="preserve"> </w:t>
      </w:r>
      <w:r w:rsidRPr="00965FAE">
        <w:rPr>
          <w:rFonts w:ascii="Verdana" w:eastAsia="Times New Roman" w:hAnsi="Verdana"/>
          <w:b/>
          <w:bCs/>
          <w:sz w:val="18"/>
          <w:szCs w:val="18"/>
          <w:lang w:val="mk-MK"/>
        </w:rPr>
        <w:t>Прашање #3</w:t>
      </w:r>
    </w:p>
    <w:p w14:paraId="43C2851C" w14:textId="77777777" w:rsidR="003C409F" w:rsidRPr="00965FAE" w:rsidRDefault="003C409F" w:rsidP="00965FAE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en-US"/>
        </w:rPr>
      </w:pPr>
    </w:p>
    <w:p w14:paraId="1F57499B" w14:textId="77777777" w:rsidR="00623D41" w:rsidRPr="00965FAE" w:rsidRDefault="00623D41" w:rsidP="00965FAE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en-US"/>
        </w:rPr>
      </w:pPr>
    </w:p>
    <w:p w14:paraId="28BA20DC" w14:textId="77777777" w:rsidR="00A36FF5" w:rsidRPr="00965FAE" w:rsidRDefault="00A36FF5" w:rsidP="00965FAE">
      <w:pPr>
        <w:pStyle w:val="Heading1"/>
        <w:spacing w:before="120" w:line="260" w:lineRule="atLeast"/>
        <w:rPr>
          <w:rFonts w:ascii="Verdana" w:hAnsi="Verdana"/>
          <w:sz w:val="24"/>
          <w:szCs w:val="24"/>
          <w:lang w:val="en-US"/>
        </w:rPr>
      </w:pPr>
    </w:p>
    <w:p w14:paraId="170CF79C" w14:textId="77777777" w:rsidR="003C409F" w:rsidRPr="00965FAE" w:rsidRDefault="003C409F" w:rsidP="00965FAE">
      <w:pPr>
        <w:spacing w:before="120" w:after="120" w:line="260" w:lineRule="atLeast"/>
        <w:jc w:val="left"/>
        <w:rPr>
          <w:rFonts w:ascii="Verdana" w:eastAsiaTheme="majorEastAsia" w:hAnsi="Verdana" w:cstheme="majorBidi"/>
          <w:b/>
          <w:bCs/>
          <w:color w:val="2F618F"/>
          <w:sz w:val="24"/>
          <w:szCs w:val="24"/>
          <w:lang w:val="en-US"/>
        </w:rPr>
      </w:pPr>
      <w:r w:rsidRPr="00965FAE">
        <w:rPr>
          <w:rFonts w:ascii="Verdana" w:hAnsi="Verdana"/>
          <w:sz w:val="24"/>
          <w:szCs w:val="24"/>
          <w:lang w:val="en-US"/>
        </w:rPr>
        <w:br w:type="page"/>
      </w:r>
    </w:p>
    <w:p w14:paraId="6E48A004" w14:textId="5505CDEA" w:rsidR="00A94784" w:rsidRPr="00965FAE" w:rsidRDefault="002E01BF" w:rsidP="00965FAE">
      <w:pPr>
        <w:pStyle w:val="Heading1"/>
        <w:spacing w:before="120" w:line="260" w:lineRule="atLeast"/>
        <w:rPr>
          <w:rFonts w:ascii="Verdana" w:hAnsi="Verdana"/>
          <w:sz w:val="24"/>
          <w:szCs w:val="24"/>
          <w:lang w:val="en-US"/>
        </w:rPr>
      </w:pPr>
      <w:r w:rsidRPr="00965FAE">
        <w:rPr>
          <w:rFonts w:ascii="Verdana" w:hAnsi="Verdana"/>
          <w:sz w:val="24"/>
          <w:szCs w:val="24"/>
          <w:lang w:val="mk-MK"/>
        </w:rPr>
        <w:lastRenderedPageBreak/>
        <w:t>Почетна анкета - Прашања</w:t>
      </w:r>
      <w:r w:rsidR="00404EF9" w:rsidRPr="00965FAE">
        <w:rPr>
          <w:rFonts w:ascii="Verdana" w:hAnsi="Verdana"/>
          <w:sz w:val="24"/>
          <w:szCs w:val="24"/>
          <w:lang w:val="en-US"/>
        </w:rPr>
        <w:t xml:space="preserve"> </w:t>
      </w:r>
    </w:p>
    <w:p w14:paraId="2C268E74" w14:textId="77777777" w:rsidR="00852226" w:rsidRPr="00965FAE" w:rsidRDefault="00852226" w:rsidP="00965FAE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en-US"/>
        </w:rPr>
      </w:pPr>
    </w:p>
    <w:p w14:paraId="015C8647" w14:textId="5AB962D6" w:rsidR="00852226" w:rsidRPr="00965FAE" w:rsidRDefault="002E01BF" w:rsidP="00965FAE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en-US"/>
        </w:rPr>
      </w:pPr>
      <w:r w:rsidRPr="00965FAE">
        <w:rPr>
          <w:rFonts w:ascii="Verdana" w:eastAsia="Times New Roman" w:hAnsi="Verdana"/>
          <w:sz w:val="18"/>
          <w:szCs w:val="18"/>
          <w:lang w:val="mk-MK"/>
        </w:rPr>
        <w:t>Одговорете на следните прашања (ДА или НЕ):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"/>
        <w:gridCol w:w="6875"/>
        <w:gridCol w:w="616"/>
        <w:gridCol w:w="536"/>
      </w:tblGrid>
      <w:tr w:rsidR="00C675E6" w:rsidRPr="00965FAE" w14:paraId="23BEDA3C" w14:textId="77777777" w:rsidTr="0030700E"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EE2FD2" w14:textId="77777777" w:rsidR="00DD3525" w:rsidRPr="00965FAE" w:rsidRDefault="00DD3525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6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8B4AA" w14:textId="7FE06E23" w:rsidR="00DD3525" w:rsidRPr="00965FAE" w:rsidRDefault="00DD3525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616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7D4D2" w14:textId="15117F37" w:rsidR="00DD3525" w:rsidRPr="00965FAE" w:rsidRDefault="002E01BF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mk-MK"/>
              </w:rPr>
              <w:t>ДА</w:t>
            </w:r>
          </w:p>
        </w:tc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3EDC47E4" w14:textId="5B4A21CB" w:rsidR="00DD3525" w:rsidRPr="00965FAE" w:rsidRDefault="002E01BF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mk-MK"/>
              </w:rPr>
              <w:t>НЕ</w:t>
            </w:r>
          </w:p>
        </w:tc>
      </w:tr>
      <w:tr w:rsidR="0030700E" w:rsidRPr="00965FAE" w14:paraId="0E260514" w14:textId="77777777" w:rsidTr="0030700E">
        <w:tc>
          <w:tcPr>
            <w:tcW w:w="47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9157B1" w14:textId="401457D5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875" w:type="dxa"/>
            <w:tcBorders>
              <w:top w:val="single" w:sz="4" w:space="0" w:color="auto"/>
            </w:tcBorders>
            <w:vAlign w:val="center"/>
          </w:tcPr>
          <w:p w14:paraId="6BC6F28E" w14:textId="522DDBF9" w:rsidR="0030700E" w:rsidRPr="00965FAE" w:rsidRDefault="0030700E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Во компјутерскиот систем, податоците се складираат во CPU (Централна обработувачка единица/процесор)</w:t>
            </w:r>
          </w:p>
        </w:tc>
        <w:tc>
          <w:tcPr>
            <w:tcW w:w="616" w:type="dxa"/>
            <w:vAlign w:val="center"/>
          </w:tcPr>
          <w:p w14:paraId="4A542BB8" w14:textId="77777777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A1E0EAF" w14:textId="68F6FB88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965FAE" w14:paraId="222836F5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248B2AAB" w14:textId="5AB64DF1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6875" w:type="dxa"/>
            <w:vAlign w:val="center"/>
          </w:tcPr>
          <w:p w14:paraId="7754DFAE" w14:textId="34688858" w:rsidR="0030700E" w:rsidRPr="00965FAE" w:rsidRDefault="0030700E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Microsoft Office е оперативен систем</w:t>
            </w:r>
          </w:p>
        </w:tc>
        <w:tc>
          <w:tcPr>
            <w:tcW w:w="616" w:type="dxa"/>
            <w:vAlign w:val="center"/>
          </w:tcPr>
          <w:p w14:paraId="0E161B23" w14:textId="77777777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011BCA30" w14:textId="661C8F2F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965FAE" w14:paraId="421C66F6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12D02692" w14:textId="56A6CC40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6875" w:type="dxa"/>
            <w:vAlign w:val="center"/>
          </w:tcPr>
          <w:p w14:paraId="56646210" w14:textId="17DCED21" w:rsidR="0030700E" w:rsidRPr="00965FAE" w:rsidRDefault="0030700E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213.43.112.45 е IP (Интернет протокол) адреса</w:t>
            </w:r>
          </w:p>
        </w:tc>
        <w:tc>
          <w:tcPr>
            <w:tcW w:w="616" w:type="dxa"/>
            <w:vAlign w:val="center"/>
          </w:tcPr>
          <w:p w14:paraId="6412F466" w14:textId="70ADE4CC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636DF2C" w14:textId="77777777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965FAE" w14:paraId="689FBDA4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2B8C3957" w14:textId="533B2268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6875" w:type="dxa"/>
            <w:vAlign w:val="center"/>
          </w:tcPr>
          <w:p w14:paraId="3D807DC5" w14:textId="3AED3BF6" w:rsidR="0030700E" w:rsidRPr="00965FAE" w:rsidRDefault="0030700E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Заглавието на електронската порака може да обезбеди докази за потеклото на пораката</w:t>
            </w:r>
          </w:p>
        </w:tc>
        <w:tc>
          <w:tcPr>
            <w:tcW w:w="616" w:type="dxa"/>
            <w:vAlign w:val="center"/>
          </w:tcPr>
          <w:p w14:paraId="0565CD21" w14:textId="5A2F676F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2D7B274F" w14:textId="77777777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965FAE" w14:paraId="34BFD54D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61477CE5" w14:textId="3E66C27D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6875" w:type="dxa"/>
            <w:vAlign w:val="center"/>
          </w:tcPr>
          <w:p w14:paraId="0E8F4B31" w14:textId="4AA4F67D" w:rsidR="0030700E" w:rsidRPr="00965FAE" w:rsidRDefault="0030700E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Повеќе од 50% од светската популација ги користи социјалните медиуми</w:t>
            </w:r>
          </w:p>
        </w:tc>
        <w:tc>
          <w:tcPr>
            <w:tcW w:w="616" w:type="dxa"/>
            <w:vAlign w:val="center"/>
          </w:tcPr>
          <w:p w14:paraId="2A443CCB" w14:textId="679FFAF1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6DCEEBF" w14:textId="77777777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965FAE" w14:paraId="6A4BA36D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0A4910BC" w14:textId="72C97562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6875" w:type="dxa"/>
            <w:vAlign w:val="center"/>
          </w:tcPr>
          <w:p w14:paraId="3013BEE9" w14:textId="128EE9EB" w:rsidR="0030700E" w:rsidRPr="00965FAE" w:rsidRDefault="0030700E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Конвенцијата од Будимпешта е единствениот меѓународен договор за сајбер-криминал и електронски докази</w:t>
            </w:r>
          </w:p>
        </w:tc>
        <w:tc>
          <w:tcPr>
            <w:tcW w:w="616" w:type="dxa"/>
            <w:vAlign w:val="center"/>
          </w:tcPr>
          <w:p w14:paraId="008FB67B" w14:textId="7F6AE5C9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24584B40" w14:textId="77777777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965FAE" w14:paraId="675C9837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45331E5F" w14:textId="66485DE7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6875" w:type="dxa"/>
            <w:vAlign w:val="center"/>
          </w:tcPr>
          <w:p w14:paraId="5520FBE6" w14:textId="06E10319" w:rsidR="0030700E" w:rsidRPr="00965FAE" w:rsidRDefault="0030700E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40% од земјите ширум светот се или страни, или потписнички или поканети да пристапат кон Конвенцијата од Будимпешта</w:t>
            </w:r>
          </w:p>
        </w:tc>
        <w:tc>
          <w:tcPr>
            <w:tcW w:w="616" w:type="dxa"/>
            <w:vAlign w:val="center"/>
          </w:tcPr>
          <w:p w14:paraId="6D6C9B24" w14:textId="42FE41FC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7A88A631" w14:textId="77777777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965FAE" w14:paraId="1704CFB6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4C487A07" w14:textId="1609D5B7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6875" w:type="dxa"/>
            <w:vAlign w:val="center"/>
          </w:tcPr>
          <w:p w14:paraId="137E4DE4" w14:textId="24659F10" w:rsidR="0030700E" w:rsidRPr="00965FAE" w:rsidRDefault="0030700E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DDoS (дистрибуиран напад за одбивање услуга) е штетен софтвер што се користи за кражба на дигитални идентитети</w:t>
            </w:r>
          </w:p>
        </w:tc>
        <w:tc>
          <w:tcPr>
            <w:tcW w:w="616" w:type="dxa"/>
            <w:vAlign w:val="center"/>
          </w:tcPr>
          <w:p w14:paraId="6F7ED428" w14:textId="77777777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6F9DE270" w14:textId="2F364507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965FAE" w14:paraId="1F888BAE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1D72A68D" w14:textId="54635353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6875" w:type="dxa"/>
            <w:vAlign w:val="center"/>
          </w:tcPr>
          <w:p w14:paraId="526C326F" w14:textId="6A96279C" w:rsidR="0030700E" w:rsidRPr="00965FAE" w:rsidRDefault="0030700E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Ботнет е мрежа на компромитирани компјутери кои се користат за малициозни цели</w:t>
            </w:r>
          </w:p>
        </w:tc>
        <w:tc>
          <w:tcPr>
            <w:tcW w:w="616" w:type="dxa"/>
            <w:vAlign w:val="center"/>
          </w:tcPr>
          <w:p w14:paraId="1BD7A38B" w14:textId="5002E746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3AA9CF75" w14:textId="77777777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965FAE" w14:paraId="01ED0694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7C4F9124" w14:textId="1F19EA6A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6875" w:type="dxa"/>
            <w:vAlign w:val="center"/>
          </w:tcPr>
          <w:p w14:paraId="13801462" w14:textId="01B97D86" w:rsidR="0030700E" w:rsidRPr="00965FAE" w:rsidRDefault="0030700E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Деградација е напад на веб-страница што го менува визуелниот изглед на страната или веб-страницата</w:t>
            </w:r>
          </w:p>
        </w:tc>
        <w:tc>
          <w:tcPr>
            <w:tcW w:w="616" w:type="dxa"/>
            <w:vAlign w:val="center"/>
          </w:tcPr>
          <w:p w14:paraId="339AA248" w14:textId="1A6F3815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E508437" w14:textId="77777777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965FAE" w14:paraId="623BFF48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179C5859" w14:textId="23258D21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11</w:t>
            </w:r>
          </w:p>
        </w:tc>
        <w:tc>
          <w:tcPr>
            <w:tcW w:w="6875" w:type="dxa"/>
            <w:vAlign w:val="center"/>
          </w:tcPr>
          <w:p w14:paraId="63F61477" w14:textId="63E7EE13" w:rsidR="0030700E" w:rsidRPr="00965FAE" w:rsidRDefault="0030700E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Конвенцијата од Будимпешта ги криминилизира сексуалната експлоатација и злоупотреба на деца преку интернет</w:t>
            </w:r>
          </w:p>
        </w:tc>
        <w:tc>
          <w:tcPr>
            <w:tcW w:w="616" w:type="dxa"/>
            <w:vAlign w:val="center"/>
          </w:tcPr>
          <w:p w14:paraId="727BF3AB" w14:textId="37C73454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83FCA2E" w14:textId="77777777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965FAE" w14:paraId="577AE36A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46399B06" w14:textId="02EC7C50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6875" w:type="dxa"/>
            <w:vAlign w:val="center"/>
          </w:tcPr>
          <w:p w14:paraId="2AFD2280" w14:textId="02359168" w:rsidR="0030700E" w:rsidRPr="00965FAE" w:rsidRDefault="0030700E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Клеветење преку интернет е кривично дело според Конвенцијата од Будимпешта</w:t>
            </w:r>
          </w:p>
        </w:tc>
        <w:tc>
          <w:tcPr>
            <w:tcW w:w="616" w:type="dxa"/>
            <w:vAlign w:val="center"/>
          </w:tcPr>
          <w:p w14:paraId="4C2162DD" w14:textId="77777777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37DA945F" w14:textId="702F44EB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965FAE" w14:paraId="6E5915CE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7A0F9139" w14:textId="0F4BBFAA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13</w:t>
            </w:r>
          </w:p>
        </w:tc>
        <w:tc>
          <w:tcPr>
            <w:tcW w:w="6875" w:type="dxa"/>
            <w:vAlign w:val="center"/>
          </w:tcPr>
          <w:p w14:paraId="4243348A" w14:textId="1DD09958" w:rsidR="0030700E" w:rsidRPr="00965FAE" w:rsidRDefault="0030700E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i/>
                <w:iCs/>
                <w:sz w:val="18"/>
                <w:szCs w:val="18"/>
                <w:lang w:val="mk-MK"/>
              </w:rPr>
              <w:t>Skimming и shimming</w:t>
            </w: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 xml:space="preserve"> се две форми на штетен софтвер</w:t>
            </w:r>
          </w:p>
        </w:tc>
        <w:tc>
          <w:tcPr>
            <w:tcW w:w="616" w:type="dxa"/>
            <w:vAlign w:val="center"/>
          </w:tcPr>
          <w:p w14:paraId="27435D4A" w14:textId="77777777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5E5E9A7A" w14:textId="6073D35F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965FAE" w14:paraId="04999329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18C89A6C" w14:textId="6602897F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6875" w:type="dxa"/>
            <w:vAlign w:val="center"/>
          </w:tcPr>
          <w:p w14:paraId="62D8D4B5" w14:textId="5DC34A43" w:rsidR="0030700E" w:rsidRPr="00965FAE" w:rsidRDefault="0030700E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 xml:space="preserve">Сите понудени услуги на </w:t>
            </w:r>
            <w:proofErr w:type="spellStart"/>
            <w:r w:rsidRPr="00965FAE">
              <w:rPr>
                <w:rFonts w:ascii="Verdana" w:hAnsi="Verdana"/>
                <w:sz w:val="18"/>
                <w:szCs w:val="18"/>
                <w:lang w:val="en-US"/>
              </w:rPr>
              <w:t>Darkweb</w:t>
            </w:r>
            <w:proofErr w:type="spellEnd"/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 xml:space="preserve"> се нелегални</w:t>
            </w:r>
          </w:p>
        </w:tc>
        <w:tc>
          <w:tcPr>
            <w:tcW w:w="616" w:type="dxa"/>
            <w:vAlign w:val="center"/>
          </w:tcPr>
          <w:p w14:paraId="33651BCA" w14:textId="77777777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8E7EDC6" w14:textId="5680C1D8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965FAE" w14:paraId="3F24CB99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738CDD0C" w14:textId="7B00DC8A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15</w:t>
            </w:r>
          </w:p>
        </w:tc>
        <w:tc>
          <w:tcPr>
            <w:tcW w:w="6875" w:type="dxa"/>
            <w:vAlign w:val="center"/>
          </w:tcPr>
          <w:p w14:paraId="7E08FE1B" w14:textId="5E301678" w:rsidR="0030700E" w:rsidRPr="00965FAE" w:rsidRDefault="0030700E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Електронски доказ е секоја информација што е генерирана, складирана или пренесена во дигитална форма што подоцна може да биде потребна за да се докаже или побие факт спорен во правна постапка</w:t>
            </w:r>
          </w:p>
        </w:tc>
        <w:tc>
          <w:tcPr>
            <w:tcW w:w="616" w:type="dxa"/>
            <w:vAlign w:val="center"/>
          </w:tcPr>
          <w:p w14:paraId="3A094F9D" w14:textId="24996F9C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24012FA" w14:textId="77777777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965FAE" w14:paraId="7EBBEC3D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5421B0F4" w14:textId="0E06E461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6875" w:type="dxa"/>
            <w:vAlign w:val="center"/>
          </w:tcPr>
          <w:p w14:paraId="2B8E5623" w14:textId="6BD6427A" w:rsidR="0030700E" w:rsidRPr="00965FAE" w:rsidRDefault="0030700E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Манипулирање со електронски докази е потешко од манипулирање со физички докази</w:t>
            </w:r>
          </w:p>
        </w:tc>
        <w:tc>
          <w:tcPr>
            <w:tcW w:w="616" w:type="dxa"/>
            <w:vAlign w:val="center"/>
          </w:tcPr>
          <w:p w14:paraId="0E8B39DC" w14:textId="77777777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0E3768CB" w14:textId="2D5B7BFB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965FAE" w14:paraId="0A832A95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2F61F38F" w14:textId="15FCBB75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lastRenderedPageBreak/>
              <w:t>17</w:t>
            </w:r>
          </w:p>
        </w:tc>
        <w:tc>
          <w:tcPr>
            <w:tcW w:w="6875" w:type="dxa"/>
            <w:vAlign w:val="center"/>
          </w:tcPr>
          <w:p w14:paraId="5BC984D2" w14:textId="3266DD53" w:rsidR="0030700E" w:rsidRPr="00965FAE" w:rsidRDefault="0030700E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Сите електронски уреди потенцијално можат да бидат извори на електронски докази</w:t>
            </w:r>
          </w:p>
        </w:tc>
        <w:tc>
          <w:tcPr>
            <w:tcW w:w="616" w:type="dxa"/>
            <w:vAlign w:val="center"/>
          </w:tcPr>
          <w:p w14:paraId="5CF95E41" w14:textId="29B00A87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65A1C804" w14:textId="77777777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965FAE" w14:paraId="04BFD28F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0A682AC0" w14:textId="0C379B7C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6875" w:type="dxa"/>
            <w:vAlign w:val="center"/>
          </w:tcPr>
          <w:p w14:paraId="593CC69D" w14:textId="18CC26FA" w:rsidR="0030700E" w:rsidRPr="00965FAE" w:rsidRDefault="0030700E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Конвенцијата од Будимпешта обезбедува алатки за справување со електронски докази</w:t>
            </w:r>
          </w:p>
        </w:tc>
        <w:tc>
          <w:tcPr>
            <w:tcW w:w="616" w:type="dxa"/>
            <w:vAlign w:val="center"/>
          </w:tcPr>
          <w:p w14:paraId="0B9C5E17" w14:textId="61909550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08D23ECC" w14:textId="77777777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965FAE" w14:paraId="4B79FE8F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0B95E6C9" w14:textId="64153D6E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19</w:t>
            </w:r>
          </w:p>
        </w:tc>
        <w:tc>
          <w:tcPr>
            <w:tcW w:w="6875" w:type="dxa"/>
            <w:vAlign w:val="center"/>
          </w:tcPr>
          <w:p w14:paraId="10C357CF" w14:textId="7B6C102E" w:rsidR="0030700E" w:rsidRPr="00965FAE" w:rsidRDefault="0030700E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Конвенцијата од Будимпешта не вклучува одредби за справување со меѓународната соработка на кривичната правда во областа на сајбер-криминалот</w:t>
            </w:r>
          </w:p>
        </w:tc>
        <w:tc>
          <w:tcPr>
            <w:tcW w:w="616" w:type="dxa"/>
            <w:vAlign w:val="center"/>
          </w:tcPr>
          <w:p w14:paraId="310C48D0" w14:textId="77777777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3F521846" w14:textId="02BD07B7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965FAE" w14:paraId="704EC618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67BE91E2" w14:textId="73C3E073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6875" w:type="dxa"/>
            <w:vAlign w:val="center"/>
          </w:tcPr>
          <w:p w14:paraId="14EF7A4C" w14:textId="03E1D2A8" w:rsidR="0030700E" w:rsidRPr="00965FAE" w:rsidRDefault="0030700E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Вториот дополнителен протокол ќе ја замени Конвенцијата од Будимпешта</w:t>
            </w:r>
          </w:p>
        </w:tc>
        <w:tc>
          <w:tcPr>
            <w:tcW w:w="616" w:type="dxa"/>
            <w:vAlign w:val="center"/>
          </w:tcPr>
          <w:p w14:paraId="42337E5D" w14:textId="3F0A0A3C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C839DEF" w14:textId="28DDAF4E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965FAE" w14:paraId="3CD2E69A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27909891" w14:textId="5C491A00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21</w:t>
            </w:r>
          </w:p>
        </w:tc>
        <w:tc>
          <w:tcPr>
            <w:tcW w:w="6875" w:type="dxa"/>
            <w:vAlign w:val="center"/>
          </w:tcPr>
          <w:p w14:paraId="7139CB3D" w14:textId="09CB0B48" w:rsidR="0030700E" w:rsidRPr="00965FAE" w:rsidRDefault="0030700E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Во рамките на Конвенцијата од Будимпешта,</w:t>
            </w:r>
            <w:r w:rsidRPr="00965FAE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Фејсбук треба да се смета како давател на услуги</w:t>
            </w:r>
          </w:p>
        </w:tc>
        <w:tc>
          <w:tcPr>
            <w:tcW w:w="616" w:type="dxa"/>
            <w:vAlign w:val="center"/>
          </w:tcPr>
          <w:p w14:paraId="5136D7D3" w14:textId="5B9B032D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0028C73" w14:textId="77777777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965FAE" w14:paraId="107E8236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40E1DB43" w14:textId="218C5019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6875" w:type="dxa"/>
            <w:vAlign w:val="center"/>
          </w:tcPr>
          <w:p w14:paraId="33A563E5" w14:textId="3BA965D1" w:rsidR="0030700E" w:rsidRPr="00965FAE" w:rsidRDefault="0030700E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Преносните податоци се релевантни за содржината на комуникацијата</w:t>
            </w:r>
          </w:p>
        </w:tc>
        <w:tc>
          <w:tcPr>
            <w:tcW w:w="616" w:type="dxa"/>
            <w:vAlign w:val="center"/>
          </w:tcPr>
          <w:p w14:paraId="6AF617C3" w14:textId="77777777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7DFA904B" w14:textId="64D5BCE6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965FAE" w14:paraId="077A9BE8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2A57ACBC" w14:textId="1231B638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23</w:t>
            </w:r>
          </w:p>
        </w:tc>
        <w:tc>
          <w:tcPr>
            <w:tcW w:w="6875" w:type="dxa"/>
            <w:vAlign w:val="center"/>
          </w:tcPr>
          <w:p w14:paraId="008A6B49" w14:textId="4B8518BC" w:rsidR="0030700E" w:rsidRPr="00965FAE" w:rsidRDefault="0030700E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Пресретнување на содржински податоци не е дозволено за време на кривична истрага</w:t>
            </w:r>
          </w:p>
        </w:tc>
        <w:tc>
          <w:tcPr>
            <w:tcW w:w="616" w:type="dxa"/>
            <w:vAlign w:val="center"/>
          </w:tcPr>
          <w:p w14:paraId="594291D4" w14:textId="77777777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69E168B3" w14:textId="76BC9E71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965FAE" w14:paraId="21BDAEAE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2A24B016" w14:textId="14C8094F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6875" w:type="dxa"/>
            <w:vAlign w:val="center"/>
          </w:tcPr>
          <w:p w14:paraId="5C840353" w14:textId="094571A9" w:rsidR="0030700E" w:rsidRPr="00965FAE" w:rsidRDefault="0030700E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Сајбер-криминалот секогаш се извршува во земјата на жртвата</w:t>
            </w:r>
          </w:p>
        </w:tc>
        <w:tc>
          <w:tcPr>
            <w:tcW w:w="616" w:type="dxa"/>
            <w:vAlign w:val="center"/>
          </w:tcPr>
          <w:p w14:paraId="4F805DFE" w14:textId="77777777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0AA2C71F" w14:textId="3D173B8E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0700E" w:rsidRPr="00965FAE" w14:paraId="1FEE97A8" w14:textId="77777777" w:rsidTr="0030700E"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4A818C7B" w14:textId="7BBAF050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25</w:t>
            </w:r>
          </w:p>
        </w:tc>
        <w:tc>
          <w:tcPr>
            <w:tcW w:w="6875" w:type="dxa"/>
            <w:vAlign w:val="center"/>
          </w:tcPr>
          <w:p w14:paraId="66F71AB4" w14:textId="7A9843DE" w:rsidR="0030700E" w:rsidRPr="00965FAE" w:rsidRDefault="0030700E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24/7 точката на контакт е задолжително воспоставена во сите земји што се страни во Конвенцијата од Будимпешта</w:t>
            </w:r>
          </w:p>
        </w:tc>
        <w:tc>
          <w:tcPr>
            <w:tcW w:w="616" w:type="dxa"/>
            <w:vAlign w:val="center"/>
          </w:tcPr>
          <w:p w14:paraId="30C86B4B" w14:textId="3F547CA5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3C8F869" w14:textId="77777777" w:rsidR="0030700E" w:rsidRPr="00965FAE" w:rsidRDefault="0030700E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</w:tbl>
    <w:p w14:paraId="235854F5" w14:textId="1D901BED" w:rsidR="003C409F" w:rsidRPr="00965FAE" w:rsidRDefault="003C409F" w:rsidP="00965FAE">
      <w:pPr>
        <w:spacing w:before="120" w:after="120" w:line="260" w:lineRule="atLeast"/>
        <w:rPr>
          <w:rFonts w:ascii="Verdana" w:hAnsi="Verdana"/>
          <w:lang w:val="en-US"/>
        </w:rPr>
      </w:pPr>
    </w:p>
    <w:p w14:paraId="3C8C1F3A" w14:textId="6696BC86" w:rsidR="0090148A" w:rsidRPr="00965FAE" w:rsidRDefault="0090148A" w:rsidP="00965FAE">
      <w:pPr>
        <w:spacing w:before="120" w:after="120" w:line="260" w:lineRule="atLeast"/>
        <w:rPr>
          <w:rFonts w:ascii="Verdana" w:hAnsi="Verdana"/>
          <w:lang w:val="en-US"/>
        </w:rPr>
      </w:pPr>
    </w:p>
    <w:p w14:paraId="3FCB5352" w14:textId="7648472E" w:rsidR="0090148A" w:rsidRPr="00965FAE" w:rsidRDefault="0090148A" w:rsidP="00965FAE">
      <w:pPr>
        <w:spacing w:before="120" w:after="120" w:line="260" w:lineRule="atLeast"/>
        <w:jc w:val="left"/>
        <w:rPr>
          <w:rFonts w:ascii="Verdana" w:hAnsi="Verdana"/>
          <w:lang w:val="en-US"/>
        </w:rPr>
      </w:pPr>
      <w:r w:rsidRPr="00965FAE">
        <w:rPr>
          <w:rFonts w:ascii="Verdana" w:hAnsi="Verdana"/>
          <w:lang w:val="en-US"/>
        </w:rPr>
        <w:br w:type="page"/>
      </w:r>
    </w:p>
    <w:p w14:paraId="1627FB51" w14:textId="37C4EDEB" w:rsidR="0090148A" w:rsidRPr="00965FAE" w:rsidRDefault="001F213A" w:rsidP="00965FAE">
      <w:pPr>
        <w:pStyle w:val="Heading1"/>
        <w:spacing w:before="120" w:line="260" w:lineRule="atLeast"/>
        <w:rPr>
          <w:rFonts w:ascii="Verdana" w:hAnsi="Verdana"/>
          <w:sz w:val="24"/>
          <w:szCs w:val="24"/>
          <w:lang w:val="en-US"/>
        </w:rPr>
      </w:pPr>
      <w:r w:rsidRPr="00965FAE">
        <w:rPr>
          <w:rFonts w:ascii="Verdana" w:hAnsi="Verdana"/>
          <w:sz w:val="24"/>
          <w:szCs w:val="24"/>
          <w:lang w:val="mk-MK"/>
        </w:rPr>
        <w:lastRenderedPageBreak/>
        <w:t>Одговори од почетната анкета</w:t>
      </w:r>
      <w:r w:rsidR="0090148A" w:rsidRPr="00965FAE">
        <w:rPr>
          <w:rFonts w:ascii="Verdana" w:hAnsi="Verdana"/>
          <w:sz w:val="24"/>
          <w:szCs w:val="24"/>
          <w:lang w:val="en-US"/>
        </w:rPr>
        <w:t xml:space="preserve"> </w:t>
      </w:r>
    </w:p>
    <w:p w14:paraId="16E10F6C" w14:textId="77777777" w:rsidR="0090148A" w:rsidRPr="00965FAE" w:rsidRDefault="0090148A" w:rsidP="00965FAE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en-US"/>
        </w:rPr>
      </w:pPr>
    </w:p>
    <w:p w14:paraId="5319502A" w14:textId="18E82F15" w:rsidR="0090148A" w:rsidRPr="00965FAE" w:rsidRDefault="001F213A" w:rsidP="00965FAE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en-US"/>
        </w:rPr>
      </w:pPr>
      <w:r w:rsidRPr="00965FAE">
        <w:rPr>
          <w:rFonts w:ascii="Verdana" w:eastAsia="Times New Roman" w:hAnsi="Verdana"/>
          <w:sz w:val="18"/>
          <w:szCs w:val="18"/>
          <w:lang w:val="mk-MK"/>
        </w:rPr>
        <w:t>Одговорете на следните прашања (ДА или НЕ):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"/>
        <w:gridCol w:w="6875"/>
        <w:gridCol w:w="616"/>
        <w:gridCol w:w="536"/>
      </w:tblGrid>
      <w:tr w:rsidR="00C675E6" w:rsidRPr="00965FAE" w14:paraId="70E69F7E" w14:textId="77777777" w:rsidTr="00560196"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25425D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F9ADC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94E926" w14:textId="1E6302E3" w:rsidR="0090148A" w:rsidRPr="00965FAE" w:rsidRDefault="001F213A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mk-MK"/>
              </w:rPr>
              <w:t>ДА</w:t>
            </w:r>
          </w:p>
        </w:tc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60C140FA" w14:textId="5772722A" w:rsidR="0090148A" w:rsidRPr="00965FAE" w:rsidRDefault="001F213A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mk-MK"/>
              </w:rPr>
              <w:t>НЕ</w:t>
            </w:r>
          </w:p>
        </w:tc>
      </w:tr>
      <w:tr w:rsidR="00C675E6" w:rsidRPr="00965FAE" w14:paraId="7001BCEF" w14:textId="77777777" w:rsidTr="00560196">
        <w:tc>
          <w:tcPr>
            <w:tcW w:w="42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19B75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20" w:type="dxa"/>
            <w:tcBorders>
              <w:top w:val="single" w:sz="4" w:space="0" w:color="auto"/>
            </w:tcBorders>
            <w:vAlign w:val="center"/>
          </w:tcPr>
          <w:p w14:paraId="3935CCEB" w14:textId="5C929BD5" w:rsidR="0090148A" w:rsidRPr="00965FAE" w:rsidRDefault="001F213A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Во компјутерскиот систем, податоците се складираат во CPU (Централна обработувачка единица/процесор)</w:t>
            </w:r>
          </w:p>
        </w:tc>
        <w:tc>
          <w:tcPr>
            <w:tcW w:w="617" w:type="dxa"/>
            <w:vAlign w:val="center"/>
          </w:tcPr>
          <w:p w14:paraId="60031F0C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72CAFABB" w14:textId="7F712DC4" w:rsidR="0090148A" w:rsidRPr="00965FAE" w:rsidRDefault="001F213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</w:tr>
      <w:tr w:rsidR="00C675E6" w:rsidRPr="00965FAE" w14:paraId="0EE03293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0DBA1756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6920" w:type="dxa"/>
            <w:vAlign w:val="center"/>
          </w:tcPr>
          <w:p w14:paraId="371DF11F" w14:textId="33F5ADEB" w:rsidR="0090148A" w:rsidRPr="00965FAE" w:rsidRDefault="001F213A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Microsoft Office е оперативен систем</w:t>
            </w:r>
          </w:p>
        </w:tc>
        <w:tc>
          <w:tcPr>
            <w:tcW w:w="617" w:type="dxa"/>
            <w:vAlign w:val="center"/>
          </w:tcPr>
          <w:p w14:paraId="12B7F28E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35E0DF38" w14:textId="731DD1A1" w:rsidR="0090148A" w:rsidRPr="00965FAE" w:rsidRDefault="001F213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</w:tr>
      <w:tr w:rsidR="00C675E6" w:rsidRPr="00965FAE" w14:paraId="69E3DAC2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A00F2F7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6920" w:type="dxa"/>
            <w:vAlign w:val="center"/>
          </w:tcPr>
          <w:p w14:paraId="2175C519" w14:textId="5A0015B5" w:rsidR="0090148A" w:rsidRPr="00965FAE" w:rsidRDefault="001F213A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213.43.112.45 е IP (Интернет протокол) адреса</w:t>
            </w:r>
          </w:p>
        </w:tc>
        <w:tc>
          <w:tcPr>
            <w:tcW w:w="617" w:type="dxa"/>
            <w:vAlign w:val="center"/>
          </w:tcPr>
          <w:p w14:paraId="3E1721FB" w14:textId="504DA349" w:rsidR="0090148A" w:rsidRPr="00965FAE" w:rsidRDefault="001F213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  <w:tc>
          <w:tcPr>
            <w:tcW w:w="536" w:type="dxa"/>
            <w:vAlign w:val="center"/>
          </w:tcPr>
          <w:p w14:paraId="187F621E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C675E6" w:rsidRPr="00965FAE" w14:paraId="4548D7EB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654C37B7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6920" w:type="dxa"/>
            <w:vAlign w:val="center"/>
          </w:tcPr>
          <w:p w14:paraId="38024F42" w14:textId="4D7DFBE3" w:rsidR="0090148A" w:rsidRPr="00965FAE" w:rsidRDefault="001F213A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Ковертот на електронска порака може да обезбеди докази за потеклото на пораката</w:t>
            </w:r>
          </w:p>
        </w:tc>
        <w:tc>
          <w:tcPr>
            <w:tcW w:w="617" w:type="dxa"/>
            <w:vAlign w:val="center"/>
          </w:tcPr>
          <w:p w14:paraId="4BA76068" w14:textId="75352188" w:rsidR="0090148A" w:rsidRPr="00965FAE" w:rsidRDefault="001F213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  <w:tc>
          <w:tcPr>
            <w:tcW w:w="536" w:type="dxa"/>
            <w:vAlign w:val="center"/>
          </w:tcPr>
          <w:p w14:paraId="6F2A4FEB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C675E6" w:rsidRPr="00965FAE" w14:paraId="72D5AE20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6901B6E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6920" w:type="dxa"/>
            <w:vAlign w:val="center"/>
          </w:tcPr>
          <w:p w14:paraId="31790242" w14:textId="12545818" w:rsidR="0090148A" w:rsidRPr="00965FAE" w:rsidRDefault="001F213A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Повеќе од 50% од светската популација ги користи социјалните медиуми</w:t>
            </w:r>
          </w:p>
        </w:tc>
        <w:tc>
          <w:tcPr>
            <w:tcW w:w="617" w:type="dxa"/>
            <w:vAlign w:val="center"/>
          </w:tcPr>
          <w:p w14:paraId="0A5879C4" w14:textId="48C44398" w:rsidR="0090148A" w:rsidRPr="00965FAE" w:rsidRDefault="001F213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  <w:tc>
          <w:tcPr>
            <w:tcW w:w="536" w:type="dxa"/>
            <w:vAlign w:val="center"/>
          </w:tcPr>
          <w:p w14:paraId="7F441B3B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C675E6" w:rsidRPr="00965FAE" w14:paraId="0B303820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0A860008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6920" w:type="dxa"/>
            <w:vAlign w:val="center"/>
          </w:tcPr>
          <w:p w14:paraId="51BBF6DE" w14:textId="2C6204DF" w:rsidR="0090148A" w:rsidRPr="00965FAE" w:rsidRDefault="001F213A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Конвенцијата од Будимпешта е единствениот меѓународен договор за сајбер-криминал и електронски докази</w:t>
            </w:r>
          </w:p>
        </w:tc>
        <w:tc>
          <w:tcPr>
            <w:tcW w:w="617" w:type="dxa"/>
            <w:vAlign w:val="center"/>
          </w:tcPr>
          <w:p w14:paraId="32FA72D3" w14:textId="4761B302" w:rsidR="0090148A" w:rsidRPr="00965FAE" w:rsidRDefault="001F213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  <w:tc>
          <w:tcPr>
            <w:tcW w:w="536" w:type="dxa"/>
            <w:vAlign w:val="center"/>
          </w:tcPr>
          <w:p w14:paraId="4D13C9C4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C675E6" w:rsidRPr="00965FAE" w14:paraId="4580D394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53E5E7E2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6920" w:type="dxa"/>
            <w:vAlign w:val="center"/>
          </w:tcPr>
          <w:p w14:paraId="35FDB526" w14:textId="0A1D1EF5" w:rsidR="0090148A" w:rsidRPr="00965FAE" w:rsidRDefault="001F213A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40% од земјите ширум светот се или страни, или потписнички или поканети да пристапат кон Конвенцијата од Будимпешта</w:t>
            </w:r>
          </w:p>
        </w:tc>
        <w:tc>
          <w:tcPr>
            <w:tcW w:w="617" w:type="dxa"/>
            <w:vAlign w:val="center"/>
          </w:tcPr>
          <w:p w14:paraId="611B49CB" w14:textId="1A395E92" w:rsidR="0090148A" w:rsidRPr="00965FAE" w:rsidRDefault="001F213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  <w:tc>
          <w:tcPr>
            <w:tcW w:w="536" w:type="dxa"/>
            <w:vAlign w:val="center"/>
          </w:tcPr>
          <w:p w14:paraId="6EEAEC86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C675E6" w:rsidRPr="00965FAE" w14:paraId="3C2E622A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A41BB30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6920" w:type="dxa"/>
            <w:vAlign w:val="center"/>
          </w:tcPr>
          <w:p w14:paraId="46B72C41" w14:textId="25EDB80B" w:rsidR="0090148A" w:rsidRPr="00965FAE" w:rsidRDefault="001F213A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DDoS (Дистрибуиран напад за одбивање услуга) е малициозен софтвер што се користи за кражба на дигитални идентитети</w:t>
            </w:r>
          </w:p>
        </w:tc>
        <w:tc>
          <w:tcPr>
            <w:tcW w:w="617" w:type="dxa"/>
            <w:vAlign w:val="center"/>
          </w:tcPr>
          <w:p w14:paraId="7C29915A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61BA1E6F" w14:textId="2BBA4FE5" w:rsidR="0090148A" w:rsidRPr="00965FAE" w:rsidRDefault="001F213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</w:tr>
      <w:tr w:rsidR="00C675E6" w:rsidRPr="00965FAE" w14:paraId="06EFADE4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5A78B6EE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6920" w:type="dxa"/>
            <w:vAlign w:val="center"/>
          </w:tcPr>
          <w:p w14:paraId="640EA1D9" w14:textId="2597CC20" w:rsidR="0090148A" w:rsidRPr="00965FAE" w:rsidRDefault="001F213A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Ботнет е мрежа на компромитирани компјутери кои се користат за малициозни цели</w:t>
            </w:r>
          </w:p>
        </w:tc>
        <w:tc>
          <w:tcPr>
            <w:tcW w:w="617" w:type="dxa"/>
            <w:vAlign w:val="center"/>
          </w:tcPr>
          <w:p w14:paraId="2063F66C" w14:textId="4B7EA97D" w:rsidR="0090148A" w:rsidRPr="00965FAE" w:rsidRDefault="001F213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  <w:tc>
          <w:tcPr>
            <w:tcW w:w="536" w:type="dxa"/>
            <w:vAlign w:val="center"/>
          </w:tcPr>
          <w:p w14:paraId="35F158FD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C675E6" w:rsidRPr="00965FAE" w14:paraId="61C76C10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33EEBE59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6920" w:type="dxa"/>
            <w:vAlign w:val="center"/>
          </w:tcPr>
          <w:p w14:paraId="690930D9" w14:textId="5538ED49" w:rsidR="0090148A" w:rsidRPr="00965FAE" w:rsidRDefault="001F213A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Деградација е напад на веб-страница што го менува визуелниот изглед на страната или веб-страницата</w:t>
            </w:r>
          </w:p>
        </w:tc>
        <w:tc>
          <w:tcPr>
            <w:tcW w:w="617" w:type="dxa"/>
            <w:vAlign w:val="center"/>
          </w:tcPr>
          <w:p w14:paraId="20A3F0D7" w14:textId="03F3F14D" w:rsidR="0090148A" w:rsidRPr="00965FAE" w:rsidRDefault="001F213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  <w:tc>
          <w:tcPr>
            <w:tcW w:w="536" w:type="dxa"/>
            <w:vAlign w:val="center"/>
          </w:tcPr>
          <w:p w14:paraId="4C5B332F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C675E6" w:rsidRPr="00965FAE" w14:paraId="2A133A87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3A89816C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11</w:t>
            </w:r>
          </w:p>
        </w:tc>
        <w:tc>
          <w:tcPr>
            <w:tcW w:w="6920" w:type="dxa"/>
            <w:vAlign w:val="center"/>
          </w:tcPr>
          <w:p w14:paraId="4836DD62" w14:textId="407CBA0A" w:rsidR="0090148A" w:rsidRPr="00965FAE" w:rsidRDefault="001F213A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Конвенцијата од Будимпешта ги криминилизира сексуалната експлоатација и злоупотреба на деца преку интернет</w:t>
            </w:r>
          </w:p>
        </w:tc>
        <w:tc>
          <w:tcPr>
            <w:tcW w:w="617" w:type="dxa"/>
            <w:vAlign w:val="center"/>
          </w:tcPr>
          <w:p w14:paraId="7BD7C793" w14:textId="0BF9EBC6" w:rsidR="0090148A" w:rsidRPr="00965FAE" w:rsidRDefault="001F213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  <w:tc>
          <w:tcPr>
            <w:tcW w:w="536" w:type="dxa"/>
            <w:vAlign w:val="center"/>
          </w:tcPr>
          <w:p w14:paraId="20103D7A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C675E6" w:rsidRPr="00965FAE" w14:paraId="329AA0BC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3EB91247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6920" w:type="dxa"/>
            <w:vAlign w:val="center"/>
          </w:tcPr>
          <w:p w14:paraId="5CFF0156" w14:textId="0DD6D21D" w:rsidR="0090148A" w:rsidRPr="00965FAE" w:rsidRDefault="001F213A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Клеветење преку интернет е кривично дело според Конвенцијата од Будимпешта</w:t>
            </w:r>
          </w:p>
        </w:tc>
        <w:tc>
          <w:tcPr>
            <w:tcW w:w="617" w:type="dxa"/>
            <w:vAlign w:val="center"/>
          </w:tcPr>
          <w:p w14:paraId="3DE32E63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F776641" w14:textId="05476B72" w:rsidR="0090148A" w:rsidRPr="00965FAE" w:rsidRDefault="001F213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</w:tr>
      <w:tr w:rsidR="00C675E6" w:rsidRPr="00965FAE" w14:paraId="3C42AE12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1150CF5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13</w:t>
            </w:r>
          </w:p>
        </w:tc>
        <w:tc>
          <w:tcPr>
            <w:tcW w:w="6920" w:type="dxa"/>
            <w:vAlign w:val="center"/>
          </w:tcPr>
          <w:p w14:paraId="4F9F09D7" w14:textId="1FF19DC7" w:rsidR="0090148A" w:rsidRPr="00965FAE" w:rsidRDefault="001F213A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highlight w:val="yellow"/>
                <w:lang w:val="mk-MK"/>
              </w:rPr>
              <w:t>Skimming и shimming</w:t>
            </w: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 xml:space="preserve"> се две форми на малвер</w:t>
            </w:r>
          </w:p>
        </w:tc>
        <w:tc>
          <w:tcPr>
            <w:tcW w:w="617" w:type="dxa"/>
            <w:vAlign w:val="center"/>
          </w:tcPr>
          <w:p w14:paraId="23495A3E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5017CDE5" w14:textId="133E98F6" w:rsidR="0090148A" w:rsidRPr="00965FAE" w:rsidRDefault="001F213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</w:tr>
      <w:tr w:rsidR="00C675E6" w:rsidRPr="00965FAE" w14:paraId="027AB5E1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651CC73F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6920" w:type="dxa"/>
            <w:vAlign w:val="center"/>
          </w:tcPr>
          <w:p w14:paraId="1C14AC82" w14:textId="637EDBA6" w:rsidR="0090148A" w:rsidRPr="00965FAE" w:rsidRDefault="001F213A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Сите понудени услуги на Дарквеб се нелегални</w:t>
            </w:r>
          </w:p>
        </w:tc>
        <w:tc>
          <w:tcPr>
            <w:tcW w:w="617" w:type="dxa"/>
            <w:vAlign w:val="center"/>
          </w:tcPr>
          <w:p w14:paraId="602AAAED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5FEC2CAC" w14:textId="14BD57AF" w:rsidR="0090148A" w:rsidRPr="00965FAE" w:rsidRDefault="001F213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</w:tr>
      <w:tr w:rsidR="00C675E6" w:rsidRPr="00965FAE" w14:paraId="35BDBD60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38A021BA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15</w:t>
            </w:r>
          </w:p>
        </w:tc>
        <w:tc>
          <w:tcPr>
            <w:tcW w:w="6920" w:type="dxa"/>
            <w:vAlign w:val="center"/>
          </w:tcPr>
          <w:p w14:paraId="723A9DC2" w14:textId="3ED98906" w:rsidR="0090148A" w:rsidRPr="00965FAE" w:rsidRDefault="001F213A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Електронски доказ е секоја информација што е генерирана, складирана или пренесена во дигитална форма што подоцна може да биде потребна за да се докаже или побие факт спорен во правна постапка</w:t>
            </w:r>
          </w:p>
        </w:tc>
        <w:tc>
          <w:tcPr>
            <w:tcW w:w="617" w:type="dxa"/>
            <w:vAlign w:val="center"/>
          </w:tcPr>
          <w:p w14:paraId="4DC30D5E" w14:textId="3A6A8AB7" w:rsidR="0090148A" w:rsidRPr="00965FAE" w:rsidRDefault="001F213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  <w:tc>
          <w:tcPr>
            <w:tcW w:w="536" w:type="dxa"/>
            <w:vAlign w:val="center"/>
          </w:tcPr>
          <w:p w14:paraId="4EE4AC95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C675E6" w:rsidRPr="00965FAE" w14:paraId="24CA205E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B16DF45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6920" w:type="dxa"/>
            <w:vAlign w:val="center"/>
          </w:tcPr>
          <w:p w14:paraId="47803A46" w14:textId="245858A9" w:rsidR="0090148A" w:rsidRPr="00965FAE" w:rsidRDefault="001F213A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Манипулирање со електронски докази е потешко од манипулирање со физички докази</w:t>
            </w:r>
          </w:p>
        </w:tc>
        <w:tc>
          <w:tcPr>
            <w:tcW w:w="617" w:type="dxa"/>
            <w:vAlign w:val="center"/>
          </w:tcPr>
          <w:p w14:paraId="1D4871F6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7F48BEBC" w14:textId="6C4E1E7D" w:rsidR="0090148A" w:rsidRPr="00965FAE" w:rsidRDefault="001F213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</w:tr>
      <w:tr w:rsidR="00C675E6" w:rsidRPr="00965FAE" w14:paraId="529B2D76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948898A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lastRenderedPageBreak/>
              <w:t>17</w:t>
            </w:r>
          </w:p>
        </w:tc>
        <w:tc>
          <w:tcPr>
            <w:tcW w:w="6920" w:type="dxa"/>
            <w:vAlign w:val="center"/>
          </w:tcPr>
          <w:p w14:paraId="6ED179B4" w14:textId="0BF48C1D" w:rsidR="0090148A" w:rsidRPr="00965FAE" w:rsidRDefault="001F213A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Сите електронски уреди потенцијално можат да бидат извори на електронски докази</w:t>
            </w:r>
          </w:p>
        </w:tc>
        <w:tc>
          <w:tcPr>
            <w:tcW w:w="617" w:type="dxa"/>
            <w:vAlign w:val="center"/>
          </w:tcPr>
          <w:p w14:paraId="7536D0EB" w14:textId="3FAFDAD3" w:rsidR="0090148A" w:rsidRPr="00965FAE" w:rsidRDefault="001F213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  <w:tc>
          <w:tcPr>
            <w:tcW w:w="536" w:type="dxa"/>
            <w:vAlign w:val="center"/>
          </w:tcPr>
          <w:p w14:paraId="52F9C22E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C675E6" w:rsidRPr="00965FAE" w14:paraId="364E2D63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62BDE09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6920" w:type="dxa"/>
            <w:vAlign w:val="center"/>
          </w:tcPr>
          <w:p w14:paraId="7BF1D4C2" w14:textId="586AA386" w:rsidR="0090148A" w:rsidRPr="00965FAE" w:rsidRDefault="001F213A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Конвенцијата од Будимпешта обезбедува алатки за справување со електронски докази</w:t>
            </w:r>
          </w:p>
        </w:tc>
        <w:tc>
          <w:tcPr>
            <w:tcW w:w="617" w:type="dxa"/>
            <w:vAlign w:val="center"/>
          </w:tcPr>
          <w:p w14:paraId="077C2059" w14:textId="0E10217A" w:rsidR="0090148A" w:rsidRPr="00965FAE" w:rsidRDefault="001F213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  <w:tc>
          <w:tcPr>
            <w:tcW w:w="536" w:type="dxa"/>
            <w:vAlign w:val="center"/>
          </w:tcPr>
          <w:p w14:paraId="3FF1B233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C675E6" w:rsidRPr="00965FAE" w14:paraId="4A06BEB4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0300727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19</w:t>
            </w:r>
          </w:p>
        </w:tc>
        <w:tc>
          <w:tcPr>
            <w:tcW w:w="6920" w:type="dxa"/>
            <w:vAlign w:val="center"/>
          </w:tcPr>
          <w:p w14:paraId="7D8F5B59" w14:textId="1BE0F7F9" w:rsidR="0090148A" w:rsidRPr="00965FAE" w:rsidRDefault="001F213A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Конвенцијата од Будимпешта не вклучува одредби за справување со меѓународната соработка на кривичната правда во областа на сајбер-криминалот</w:t>
            </w:r>
          </w:p>
        </w:tc>
        <w:tc>
          <w:tcPr>
            <w:tcW w:w="617" w:type="dxa"/>
            <w:vAlign w:val="center"/>
          </w:tcPr>
          <w:p w14:paraId="7FB07305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2F39733D" w14:textId="2095DD35" w:rsidR="0090148A" w:rsidRPr="00965FAE" w:rsidRDefault="001F213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</w:tr>
      <w:tr w:rsidR="00C675E6" w:rsidRPr="00965FAE" w14:paraId="7104CBC0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FCEED88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6920" w:type="dxa"/>
            <w:vAlign w:val="center"/>
          </w:tcPr>
          <w:p w14:paraId="407B7B0F" w14:textId="3053F440" w:rsidR="0090148A" w:rsidRPr="00965FAE" w:rsidRDefault="001F213A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Вториот дополнителен протокол ќе ја замени Конвенцијата од Будимпешта</w:t>
            </w:r>
          </w:p>
        </w:tc>
        <w:tc>
          <w:tcPr>
            <w:tcW w:w="617" w:type="dxa"/>
            <w:vAlign w:val="center"/>
          </w:tcPr>
          <w:p w14:paraId="5C2CC3A4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3C5A5893" w14:textId="1FCE055B" w:rsidR="0090148A" w:rsidRPr="00965FAE" w:rsidRDefault="001F213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</w:tr>
      <w:tr w:rsidR="00C675E6" w:rsidRPr="00965FAE" w14:paraId="133830BA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60098879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21</w:t>
            </w:r>
          </w:p>
        </w:tc>
        <w:tc>
          <w:tcPr>
            <w:tcW w:w="6920" w:type="dxa"/>
            <w:vAlign w:val="center"/>
          </w:tcPr>
          <w:p w14:paraId="68C57062" w14:textId="3DB04030" w:rsidR="0090148A" w:rsidRPr="00965FAE" w:rsidRDefault="001F213A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Во рамките на Конвенцијата од Будимпешта, Фејсбук треба да се смета како давател на услуги</w:t>
            </w:r>
          </w:p>
        </w:tc>
        <w:tc>
          <w:tcPr>
            <w:tcW w:w="617" w:type="dxa"/>
            <w:vAlign w:val="center"/>
          </w:tcPr>
          <w:p w14:paraId="7975450D" w14:textId="2D9B39E5" w:rsidR="0090148A" w:rsidRPr="00965FAE" w:rsidRDefault="001F213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  <w:tc>
          <w:tcPr>
            <w:tcW w:w="536" w:type="dxa"/>
            <w:vAlign w:val="center"/>
          </w:tcPr>
          <w:p w14:paraId="22E701AE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C675E6" w:rsidRPr="00965FAE" w14:paraId="77F222B3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6DB2121B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6920" w:type="dxa"/>
            <w:vAlign w:val="center"/>
          </w:tcPr>
          <w:p w14:paraId="636D7B09" w14:textId="3708D278" w:rsidR="0090148A" w:rsidRPr="00965FAE" w:rsidRDefault="001F213A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Преносните податоци се релевантни за содржината на комуникацијата</w:t>
            </w:r>
          </w:p>
        </w:tc>
        <w:tc>
          <w:tcPr>
            <w:tcW w:w="617" w:type="dxa"/>
            <w:vAlign w:val="center"/>
          </w:tcPr>
          <w:p w14:paraId="7A15F164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36DA8376" w14:textId="687F1BFC" w:rsidR="0090148A" w:rsidRPr="00965FAE" w:rsidRDefault="001F213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</w:tr>
      <w:tr w:rsidR="00C675E6" w:rsidRPr="00965FAE" w14:paraId="10655050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F2A2F41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23</w:t>
            </w:r>
          </w:p>
        </w:tc>
        <w:tc>
          <w:tcPr>
            <w:tcW w:w="6920" w:type="dxa"/>
            <w:vAlign w:val="center"/>
          </w:tcPr>
          <w:p w14:paraId="30639EC4" w14:textId="6F617CF1" w:rsidR="0090148A" w:rsidRPr="00965FAE" w:rsidRDefault="001F213A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Пресретнување на содржински податоци не е дозволено за време на кривична истрага</w:t>
            </w:r>
          </w:p>
        </w:tc>
        <w:tc>
          <w:tcPr>
            <w:tcW w:w="617" w:type="dxa"/>
            <w:vAlign w:val="center"/>
          </w:tcPr>
          <w:p w14:paraId="78CE89FC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26907F03" w14:textId="0A03270F" w:rsidR="0090148A" w:rsidRPr="00965FAE" w:rsidRDefault="001F213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</w:tr>
      <w:tr w:rsidR="00C675E6" w:rsidRPr="00965FAE" w14:paraId="32AED191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9C6C5B6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6920" w:type="dxa"/>
            <w:vAlign w:val="center"/>
          </w:tcPr>
          <w:p w14:paraId="799B96E1" w14:textId="35FE2784" w:rsidR="0090148A" w:rsidRPr="00965FAE" w:rsidRDefault="001F213A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Сајбер-криминалот секогаш се извршува во земјата на жртвата</w:t>
            </w:r>
          </w:p>
        </w:tc>
        <w:tc>
          <w:tcPr>
            <w:tcW w:w="617" w:type="dxa"/>
            <w:vAlign w:val="center"/>
          </w:tcPr>
          <w:p w14:paraId="60F825AE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2ACA6C70" w14:textId="723ECE37" w:rsidR="0090148A" w:rsidRPr="00965FAE" w:rsidRDefault="001F213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</w:tr>
      <w:tr w:rsidR="00C675E6" w:rsidRPr="00965FAE" w14:paraId="4E51E552" w14:textId="77777777" w:rsidTr="00560196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7AA6916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25</w:t>
            </w:r>
          </w:p>
        </w:tc>
        <w:tc>
          <w:tcPr>
            <w:tcW w:w="6920" w:type="dxa"/>
            <w:vAlign w:val="center"/>
          </w:tcPr>
          <w:p w14:paraId="5F8E60C9" w14:textId="6E79F6F5" w:rsidR="0090148A" w:rsidRPr="00965FAE" w:rsidRDefault="001F213A" w:rsidP="00965FAE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Точката 24/7 на контакт е задолжително воспоставена во сите земји што се страни во Конвенцијата од Будимпешта</w:t>
            </w:r>
          </w:p>
        </w:tc>
        <w:tc>
          <w:tcPr>
            <w:tcW w:w="617" w:type="dxa"/>
            <w:vAlign w:val="center"/>
          </w:tcPr>
          <w:p w14:paraId="7423D928" w14:textId="58041342" w:rsidR="0090148A" w:rsidRPr="00965FAE" w:rsidRDefault="001F213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  <w:r w:rsidRPr="00965FAE">
              <w:rPr>
                <w:rFonts w:ascii="Verdana" w:hAnsi="Verdana"/>
                <w:sz w:val="18"/>
                <w:szCs w:val="18"/>
                <w:lang w:val="mk-MK"/>
              </w:rPr>
              <w:t>Х</w:t>
            </w:r>
          </w:p>
        </w:tc>
        <w:tc>
          <w:tcPr>
            <w:tcW w:w="536" w:type="dxa"/>
            <w:vAlign w:val="center"/>
          </w:tcPr>
          <w:p w14:paraId="1E4EC114" w14:textId="77777777" w:rsidR="0090148A" w:rsidRPr="00965FAE" w:rsidRDefault="0090148A" w:rsidP="00965FAE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</w:tbl>
    <w:p w14:paraId="36D75873" w14:textId="77777777" w:rsidR="0090148A" w:rsidRPr="00965FAE" w:rsidRDefault="0090148A" w:rsidP="00965FAE">
      <w:pPr>
        <w:spacing w:before="120" w:after="120" w:line="260" w:lineRule="atLeast"/>
        <w:rPr>
          <w:rFonts w:ascii="Verdana" w:hAnsi="Verdana"/>
          <w:lang w:val="en-US"/>
        </w:rPr>
      </w:pPr>
    </w:p>
    <w:p w14:paraId="4DDF9A1C" w14:textId="77777777" w:rsidR="0090148A" w:rsidRPr="00965FAE" w:rsidRDefault="0090148A" w:rsidP="00965FAE">
      <w:pPr>
        <w:spacing w:before="120" w:after="120" w:line="260" w:lineRule="atLeast"/>
        <w:rPr>
          <w:rFonts w:ascii="Verdana" w:hAnsi="Verdana"/>
          <w:lang w:val="en-US"/>
        </w:rPr>
      </w:pPr>
    </w:p>
    <w:sectPr w:rsidR="0090148A" w:rsidRPr="00965FAE" w:rsidSect="00A36FF5">
      <w:footerReference w:type="default" r:id="rId8"/>
      <w:headerReference w:type="first" r:id="rId9"/>
      <w:footerReference w:type="first" r:id="rId10"/>
      <w:pgSz w:w="11906" w:h="16838" w:code="9"/>
      <w:pgMar w:top="1276" w:right="1701" w:bottom="1560" w:left="1701" w:header="426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A79C5F" w14:textId="77777777" w:rsidR="005E0EAE" w:rsidRDefault="005E0EAE" w:rsidP="00EB08CB">
      <w:pPr>
        <w:spacing w:after="0" w:line="240" w:lineRule="auto"/>
      </w:pPr>
      <w:r>
        <w:separator/>
      </w:r>
    </w:p>
    <w:p w14:paraId="7C2698E9" w14:textId="77777777" w:rsidR="005E0EAE" w:rsidRDefault="005E0EAE"/>
  </w:endnote>
  <w:endnote w:type="continuationSeparator" w:id="0">
    <w:p w14:paraId="7ACADA13" w14:textId="77777777" w:rsidR="005E0EAE" w:rsidRDefault="005E0EAE" w:rsidP="00EB08CB">
      <w:pPr>
        <w:spacing w:after="0" w:line="240" w:lineRule="auto"/>
      </w:pPr>
      <w:r>
        <w:continuationSeparator/>
      </w:r>
    </w:p>
    <w:p w14:paraId="531CF72C" w14:textId="77777777" w:rsidR="005E0EAE" w:rsidRDefault="005E0E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30106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069EB7" w14:textId="60ED9CC2" w:rsidR="00072750" w:rsidRDefault="000727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069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252C0156" w14:textId="77777777" w:rsidR="00072750" w:rsidRDefault="000727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93900" w14:textId="30D14E29" w:rsidR="005D0E99" w:rsidRDefault="00104B60" w:rsidP="005D0E99">
    <w:pPr>
      <w:pStyle w:val="Footer"/>
      <w:spacing w:before="240"/>
      <w:jc w:val="center"/>
    </w:pPr>
    <w:r>
      <w:rPr>
        <w:noProof/>
        <w:lang w:val="mk-MK" w:eastAsia="mk-MK"/>
      </w:rPr>
      <w:drawing>
        <wp:anchor distT="0" distB="0" distL="114300" distR="114300" simplePos="0" relativeHeight="251658240" behindDoc="1" locked="0" layoutInCell="1" allowOverlap="1" wp14:anchorId="68B053D5" wp14:editId="0B345118">
          <wp:simplePos x="0" y="0"/>
          <wp:positionH relativeFrom="column">
            <wp:posOffset>367665</wp:posOffset>
          </wp:positionH>
          <wp:positionV relativeFrom="paragraph">
            <wp:posOffset>-953135</wp:posOffset>
          </wp:positionV>
          <wp:extent cx="4657090" cy="780415"/>
          <wp:effectExtent l="0" t="0" r="0" b="635"/>
          <wp:wrapTopAndBottom/>
          <wp:docPr id="8" name="Picture 8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nded-EU-and-COE-Implemented-COE-quadri-EN_cropp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57090" cy="780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2479EA" w14:textId="77777777" w:rsidR="005E0EAE" w:rsidRDefault="005E0EAE" w:rsidP="00EB08CB">
      <w:pPr>
        <w:spacing w:after="0" w:line="240" w:lineRule="auto"/>
      </w:pPr>
      <w:r>
        <w:separator/>
      </w:r>
    </w:p>
    <w:p w14:paraId="2B65EB80" w14:textId="77777777" w:rsidR="005E0EAE" w:rsidRDefault="005E0EAE"/>
  </w:footnote>
  <w:footnote w:type="continuationSeparator" w:id="0">
    <w:p w14:paraId="5AC5250E" w14:textId="77777777" w:rsidR="005E0EAE" w:rsidRDefault="005E0EAE" w:rsidP="00EB08CB">
      <w:pPr>
        <w:spacing w:after="0" w:line="240" w:lineRule="auto"/>
      </w:pPr>
      <w:r>
        <w:continuationSeparator/>
      </w:r>
    </w:p>
    <w:p w14:paraId="582B7934" w14:textId="77777777" w:rsidR="005E0EAE" w:rsidRDefault="005E0E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F55093" w14:textId="77777777" w:rsidR="00713559" w:rsidRPr="00000197" w:rsidRDefault="00713559" w:rsidP="00713559">
    <w:pPr>
      <w:jc w:val="center"/>
      <w:rPr>
        <w:b/>
        <w:szCs w:val="18"/>
      </w:rPr>
    </w:pPr>
    <w:r w:rsidRPr="00000197">
      <w:rPr>
        <w:noProof/>
        <w:szCs w:val="18"/>
        <w:lang w:val="mk-MK" w:eastAsia="mk-MK"/>
      </w:rPr>
      <w:drawing>
        <wp:anchor distT="0" distB="0" distL="114300" distR="114300" simplePos="0" relativeHeight="251661312" behindDoc="0" locked="0" layoutInCell="1" allowOverlap="1" wp14:anchorId="052D47B8" wp14:editId="35251E5C">
          <wp:simplePos x="0" y="0"/>
          <wp:positionH relativeFrom="column">
            <wp:posOffset>-99060</wp:posOffset>
          </wp:positionH>
          <wp:positionV relativeFrom="paragraph">
            <wp:posOffset>-129540</wp:posOffset>
          </wp:positionV>
          <wp:extent cx="1224280" cy="1066800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28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0197">
      <w:rPr>
        <w:noProof/>
        <w:szCs w:val="18"/>
        <w:lang w:val="mk-MK" w:eastAsia="mk-M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C0A71F5" wp14:editId="67C2A93B">
              <wp:simplePos x="0" y="0"/>
              <wp:positionH relativeFrom="column">
                <wp:posOffset>-94615</wp:posOffset>
              </wp:positionH>
              <wp:positionV relativeFrom="paragraph">
                <wp:posOffset>-129540</wp:posOffset>
              </wp:positionV>
              <wp:extent cx="5686425" cy="1066800"/>
              <wp:effectExtent l="0" t="0" r="9525" b="0"/>
              <wp:wrapNone/>
              <wp:docPr id="1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5686425" cy="1066800"/>
                      </a:xfrm>
                      <a:prstGeom prst="rect">
                        <a:avLst/>
                      </a:prstGeom>
                      <a:solidFill>
                        <a:srgbClr val="2F618F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4E6E63F8" w14:textId="77777777" w:rsidR="00713559" w:rsidRPr="007B5138" w:rsidRDefault="00713559" w:rsidP="00713559">
                          <w:pPr>
                            <w:pStyle w:val="NormalWeb"/>
                            <w:spacing w:before="0" w:beforeAutospacing="0" w:after="120" w:afterAutospacing="0" w:line="260" w:lineRule="atLeast"/>
                            <w:ind w:left="1890"/>
                            <w:jc w:val="right"/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</w:pPr>
                          <w:r w:rsidRPr="007B5138"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  <w:t>iPROCEEDS-2</w:t>
                          </w:r>
                        </w:p>
                        <w:p w14:paraId="7BFE032C" w14:textId="77777777" w:rsidR="00713559" w:rsidRDefault="00713559" w:rsidP="00713559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 xml:space="preserve">Project of the European Union and the Council of Europe on </w:t>
                          </w:r>
                        </w:p>
                        <w:p w14:paraId="5ACCA645" w14:textId="77777777" w:rsidR="00713559" w:rsidRPr="007B5138" w:rsidRDefault="00713559" w:rsidP="00713559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>targeting crime proceeds on the Internet and securing electronic evidence in South East Europe and Turkey</w:t>
                          </w:r>
                        </w:p>
                        <w:p w14:paraId="7813857F" w14:textId="77777777" w:rsidR="00713559" w:rsidRPr="00A21C6E" w:rsidRDefault="00713559" w:rsidP="00713559">
                          <w:pPr>
                            <w:ind w:left="1980"/>
                            <w:jc w:val="center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6C0A71F5" id="Rectangle 14" o:spid="_x0000_s1029" style="position:absolute;left:0;text-align:left;margin-left:-7.45pt;margin-top:-10.2pt;width:447.75pt;height:8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Vd5wEAALADAAAOAAAAZHJzL2Uyb0RvYy54bWysU02P0zAQvSPxHyzfadKqjaqo6Qq1KpcV&#10;rFj4AVPH+RCOxxqbJv33jN10d4Eb4mLZnvGbN2+edw/TYMRFk+/RVnK5yKXQVmHd27aS37+dPmyl&#10;8AFsDQatruRVe/mwf/9uN7pSr7BDU2sSDGJ9ObpKdiG4Msu86vQAfoFOWw42SAMEPlKb1QQjow8m&#10;W+V5kY1ItSNU2nu+Pd6Ccp/wm0ar8KVpvA7CVJK5hbRSWs9xzfY7KFsC1/VqpgH/wGKA3nLRF6gj&#10;BBA/qf8LaugVoccmLBQOGTZNr3TqgbtZ5n9089yB06kXFse7F5n8/4NVny9PJPqaZ7eWwsLAM/rK&#10;qoFtjRZ8xwKNzpec9+yeKLbo3SOqH15YPHScpj8S4dhpqJnWMuZnvz2IBz8/nRoaIgT3LaY0hOvL&#10;EPQUhOLLTbEt1quNFIpjy7wotnkaUwbl/bkjHz5pHETcVJKYbxIfLo8+RAJQ3lMSYTR9feqNSQdq&#10;zwdD4gLsiNWpWG5PiTP39TbNWDFyfLPm4kIBO7MxEHg7ONbK21YKMC1bXgVKtS3GCslOsfYRfHer&#10;kWDnEsZGCjr5cqb6Kk/chek8zYqfsb7yaCiYA97MC1Z1yN6NJe8ysy1Sv7OFo+/entMwXj/a/hcA&#10;AAD//wMAUEsDBBQABgAIAAAAIQDrOGPk4gAAAAsBAAAPAAAAZHJzL2Rvd25yZXYueG1sTI/BToQw&#10;EIbvJr5DMybedttFgoiUjUF3NdFEXdd7l45ApC2hXUCf3vGkt5nMl3++P1/PpmMjDr51VsJqKYCh&#10;rZxubS1h/7ZZpMB8UFarzlmU8IUe1sXpSa4y7Sb7iuMu1IxCrM+UhCaEPuPcVw0a5ZeuR0u3DzcY&#10;FWgdaq4HNVG46XgkRMKNai19aFSPZYPV5+5oJDzfX5S3m6f3eYwf7x6+y5do2u63Up6fzTfXwALO&#10;4Q+GX31Sh4KcDu5otWedhMUqviKUhkjEwIhIU5EAOxAaXybAi5z/71D8AAAA//8DAFBLAQItABQA&#10;BgAIAAAAIQC2gziS/gAAAOEBAAATAAAAAAAAAAAAAAAAAAAAAABbQ29udGVudF9UeXBlc10ueG1s&#10;UEsBAi0AFAAGAAgAAAAhADj9If/WAAAAlAEAAAsAAAAAAAAAAAAAAAAALwEAAF9yZWxzLy5yZWxz&#10;UEsBAi0AFAAGAAgAAAAhAK2ihV3nAQAAsAMAAA4AAAAAAAAAAAAAAAAALgIAAGRycy9lMm9Eb2Mu&#10;eG1sUEsBAi0AFAAGAAgAAAAhAOs4Y+TiAAAACwEAAA8AAAAAAAAAAAAAAAAAQQQAAGRycy9kb3du&#10;cmV2LnhtbFBLBQYAAAAABAAEAPMAAABQBQAAAAA=&#10;" fillcolor="#2f618f" stroked="f" strokeweight="2pt">
              <v:textbox>
                <w:txbxContent>
                  <w:p w14:paraId="4E6E63F8" w14:textId="77777777" w:rsidR="00713559" w:rsidRPr="007B5138" w:rsidRDefault="00713559" w:rsidP="00713559">
                    <w:pPr>
                      <w:pStyle w:val="NormalWeb"/>
                      <w:spacing w:before="0" w:beforeAutospacing="0" w:after="120" w:afterAutospacing="0" w:line="260" w:lineRule="atLeast"/>
                      <w:ind w:left="1890"/>
                      <w:jc w:val="right"/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</w:pPr>
                    <w:r w:rsidRPr="007B5138"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  <w:t>iPROCEEDS-2</w:t>
                    </w:r>
                  </w:p>
                  <w:p w14:paraId="7BFE032C" w14:textId="77777777" w:rsidR="00713559" w:rsidRDefault="00713559" w:rsidP="00713559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 xml:space="preserve">Project of the European Union and the Council of Europe on </w:t>
                    </w:r>
                  </w:p>
                  <w:p w14:paraId="5ACCA645" w14:textId="77777777" w:rsidR="00713559" w:rsidRPr="007B5138" w:rsidRDefault="00713559" w:rsidP="00713559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>targeting crime proceeds on the Internet and securing electronic evidence in South East Europe and Turkey</w:t>
                    </w:r>
                  </w:p>
                  <w:p w14:paraId="7813857F" w14:textId="77777777" w:rsidR="00713559" w:rsidRPr="00A21C6E" w:rsidRDefault="00713559" w:rsidP="00713559">
                    <w:pPr>
                      <w:ind w:left="1980"/>
                      <w:jc w:val="center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2120DF8F" w14:textId="77777777" w:rsidR="00713559" w:rsidRDefault="00713559" w:rsidP="00713559">
    <w:pPr>
      <w:pStyle w:val="Header"/>
    </w:pPr>
  </w:p>
  <w:p w14:paraId="49D37716" w14:textId="7B7952AB" w:rsidR="005D0E99" w:rsidRDefault="005D0E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33ACF"/>
    <w:multiLevelType w:val="hybridMultilevel"/>
    <w:tmpl w:val="901E38D8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91A42"/>
    <w:multiLevelType w:val="hybridMultilevel"/>
    <w:tmpl w:val="C6A8D5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6445E"/>
    <w:multiLevelType w:val="hybridMultilevel"/>
    <w:tmpl w:val="3B105D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737AD"/>
    <w:multiLevelType w:val="hybridMultilevel"/>
    <w:tmpl w:val="68FE7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B1B48"/>
    <w:multiLevelType w:val="hybridMultilevel"/>
    <w:tmpl w:val="B22E29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CF306D"/>
    <w:multiLevelType w:val="hybridMultilevel"/>
    <w:tmpl w:val="179AD3F0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0A616B88"/>
    <w:multiLevelType w:val="hybridMultilevel"/>
    <w:tmpl w:val="1A0EFA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D66A29"/>
    <w:multiLevelType w:val="hybridMultilevel"/>
    <w:tmpl w:val="096843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6987F1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BE2123A"/>
    <w:multiLevelType w:val="hybridMultilevel"/>
    <w:tmpl w:val="DEBED8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ECC68FB"/>
    <w:multiLevelType w:val="hybridMultilevel"/>
    <w:tmpl w:val="4928079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57CC7"/>
    <w:multiLevelType w:val="hybridMultilevel"/>
    <w:tmpl w:val="7CB46512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3A2BF1"/>
    <w:multiLevelType w:val="hybridMultilevel"/>
    <w:tmpl w:val="4F68A7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A173FB"/>
    <w:multiLevelType w:val="hybridMultilevel"/>
    <w:tmpl w:val="48EAA9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0C01CE3"/>
    <w:multiLevelType w:val="hybridMultilevel"/>
    <w:tmpl w:val="ACF23FEE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20F926B7"/>
    <w:multiLevelType w:val="hybridMultilevel"/>
    <w:tmpl w:val="F780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EF2688"/>
    <w:multiLevelType w:val="hybridMultilevel"/>
    <w:tmpl w:val="08D8A812"/>
    <w:lvl w:ilvl="0" w:tplc="7B86493C">
      <w:start w:val="28"/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93C62"/>
    <w:multiLevelType w:val="hybridMultilevel"/>
    <w:tmpl w:val="8F704D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3CB1FF2"/>
    <w:multiLevelType w:val="hybridMultilevel"/>
    <w:tmpl w:val="6598E45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4CC23D7"/>
    <w:multiLevelType w:val="hybridMultilevel"/>
    <w:tmpl w:val="302C701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94980"/>
    <w:multiLevelType w:val="hybridMultilevel"/>
    <w:tmpl w:val="F79CC5BA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D38CB"/>
    <w:multiLevelType w:val="hybridMultilevel"/>
    <w:tmpl w:val="E7D8FAA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5D7C47"/>
    <w:multiLevelType w:val="hybridMultilevel"/>
    <w:tmpl w:val="FC2E3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4746AA"/>
    <w:multiLevelType w:val="hybridMultilevel"/>
    <w:tmpl w:val="47FACA1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42308D"/>
    <w:multiLevelType w:val="hybridMultilevel"/>
    <w:tmpl w:val="DE227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9E630A"/>
    <w:multiLevelType w:val="hybridMultilevel"/>
    <w:tmpl w:val="FE28FE18"/>
    <w:lvl w:ilvl="0" w:tplc="34529776"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0A1D9F"/>
    <w:multiLevelType w:val="hybridMultilevel"/>
    <w:tmpl w:val="20B643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AF343E"/>
    <w:multiLevelType w:val="hybridMultilevel"/>
    <w:tmpl w:val="B7D01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94DFD"/>
    <w:multiLevelType w:val="hybridMultilevel"/>
    <w:tmpl w:val="66CE6406"/>
    <w:lvl w:ilvl="0" w:tplc="0136C642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330641"/>
    <w:multiLevelType w:val="hybridMultilevel"/>
    <w:tmpl w:val="4AB09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C51EB7"/>
    <w:multiLevelType w:val="hybridMultilevel"/>
    <w:tmpl w:val="0274838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145DC4"/>
    <w:multiLevelType w:val="hybridMultilevel"/>
    <w:tmpl w:val="8A00BD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DB3E4D"/>
    <w:multiLevelType w:val="hybridMultilevel"/>
    <w:tmpl w:val="A592595A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2407E1"/>
    <w:multiLevelType w:val="hybridMultilevel"/>
    <w:tmpl w:val="EBD01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D92FCE"/>
    <w:multiLevelType w:val="hybridMultilevel"/>
    <w:tmpl w:val="722A1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9858BF"/>
    <w:multiLevelType w:val="hybridMultilevel"/>
    <w:tmpl w:val="9ADE9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186C2A"/>
    <w:multiLevelType w:val="hybridMultilevel"/>
    <w:tmpl w:val="A000BF3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C3E2338"/>
    <w:multiLevelType w:val="hybridMultilevel"/>
    <w:tmpl w:val="AB58C4C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DDB7F39"/>
    <w:multiLevelType w:val="hybridMultilevel"/>
    <w:tmpl w:val="0FF80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24873"/>
    <w:multiLevelType w:val="hybridMultilevel"/>
    <w:tmpl w:val="67BC231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3"/>
  </w:num>
  <w:num w:numId="3">
    <w:abstractNumId w:val="25"/>
  </w:num>
  <w:num w:numId="4">
    <w:abstractNumId w:val="37"/>
  </w:num>
  <w:num w:numId="5">
    <w:abstractNumId w:val="4"/>
  </w:num>
  <w:num w:numId="6">
    <w:abstractNumId w:val="34"/>
  </w:num>
  <w:num w:numId="7">
    <w:abstractNumId w:val="3"/>
  </w:num>
  <w:num w:numId="8">
    <w:abstractNumId w:val="21"/>
  </w:num>
  <w:num w:numId="9">
    <w:abstractNumId w:val="27"/>
  </w:num>
  <w:num w:numId="10">
    <w:abstractNumId w:val="38"/>
  </w:num>
  <w:num w:numId="11">
    <w:abstractNumId w:val="18"/>
  </w:num>
  <w:num w:numId="12">
    <w:abstractNumId w:val="9"/>
  </w:num>
  <w:num w:numId="13">
    <w:abstractNumId w:val="31"/>
  </w:num>
  <w:num w:numId="14">
    <w:abstractNumId w:val="22"/>
  </w:num>
  <w:num w:numId="15">
    <w:abstractNumId w:val="2"/>
  </w:num>
  <w:num w:numId="16">
    <w:abstractNumId w:val="6"/>
  </w:num>
  <w:num w:numId="17">
    <w:abstractNumId w:val="36"/>
  </w:num>
  <w:num w:numId="18">
    <w:abstractNumId w:val="16"/>
  </w:num>
  <w:num w:numId="19">
    <w:abstractNumId w:val="35"/>
  </w:num>
  <w:num w:numId="20">
    <w:abstractNumId w:val="17"/>
  </w:num>
  <w:num w:numId="21">
    <w:abstractNumId w:val="8"/>
  </w:num>
  <w:num w:numId="22">
    <w:abstractNumId w:val="7"/>
  </w:num>
  <w:num w:numId="23">
    <w:abstractNumId w:val="5"/>
  </w:num>
  <w:num w:numId="24">
    <w:abstractNumId w:val="13"/>
  </w:num>
  <w:num w:numId="25">
    <w:abstractNumId w:val="20"/>
  </w:num>
  <w:num w:numId="26">
    <w:abstractNumId w:val="0"/>
  </w:num>
  <w:num w:numId="27">
    <w:abstractNumId w:val="32"/>
  </w:num>
  <w:num w:numId="28">
    <w:abstractNumId w:val="24"/>
  </w:num>
  <w:num w:numId="29">
    <w:abstractNumId w:val="19"/>
  </w:num>
  <w:num w:numId="30">
    <w:abstractNumId w:val="10"/>
  </w:num>
  <w:num w:numId="31">
    <w:abstractNumId w:val="29"/>
  </w:num>
  <w:num w:numId="32">
    <w:abstractNumId w:val="15"/>
  </w:num>
  <w:num w:numId="33">
    <w:abstractNumId w:val="12"/>
  </w:num>
  <w:num w:numId="34">
    <w:abstractNumId w:val="26"/>
  </w:num>
  <w:num w:numId="35">
    <w:abstractNumId w:val="1"/>
  </w:num>
  <w:num w:numId="36">
    <w:abstractNumId w:val="23"/>
  </w:num>
  <w:num w:numId="37">
    <w:abstractNumId w:val="11"/>
  </w:num>
  <w:num w:numId="38">
    <w:abstractNumId w:val="28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98B"/>
    <w:rsid w:val="000014A6"/>
    <w:rsid w:val="00006144"/>
    <w:rsid w:val="00013276"/>
    <w:rsid w:val="00013BBE"/>
    <w:rsid w:val="00034EBE"/>
    <w:rsid w:val="00034FF6"/>
    <w:rsid w:val="0004566D"/>
    <w:rsid w:val="000540C5"/>
    <w:rsid w:val="00055427"/>
    <w:rsid w:val="000556FF"/>
    <w:rsid w:val="00056180"/>
    <w:rsid w:val="00056EDD"/>
    <w:rsid w:val="00060529"/>
    <w:rsid w:val="00060F19"/>
    <w:rsid w:val="00062250"/>
    <w:rsid w:val="000624B2"/>
    <w:rsid w:val="00072750"/>
    <w:rsid w:val="000800D4"/>
    <w:rsid w:val="000867B6"/>
    <w:rsid w:val="00087993"/>
    <w:rsid w:val="00090541"/>
    <w:rsid w:val="00092ECF"/>
    <w:rsid w:val="000A2C86"/>
    <w:rsid w:val="000A3120"/>
    <w:rsid w:val="000A4EC6"/>
    <w:rsid w:val="000B75F4"/>
    <w:rsid w:val="000B776A"/>
    <w:rsid w:val="000C02EB"/>
    <w:rsid w:val="000C1AD6"/>
    <w:rsid w:val="000C5B35"/>
    <w:rsid w:val="000D02C7"/>
    <w:rsid w:val="000D4E03"/>
    <w:rsid w:val="000F0351"/>
    <w:rsid w:val="000F0EDF"/>
    <w:rsid w:val="000F1E99"/>
    <w:rsid w:val="001034E2"/>
    <w:rsid w:val="00104B60"/>
    <w:rsid w:val="0010652D"/>
    <w:rsid w:val="00115AC5"/>
    <w:rsid w:val="001255FE"/>
    <w:rsid w:val="001269E5"/>
    <w:rsid w:val="0013204D"/>
    <w:rsid w:val="00135016"/>
    <w:rsid w:val="001366C6"/>
    <w:rsid w:val="00165229"/>
    <w:rsid w:val="001667F3"/>
    <w:rsid w:val="001730A4"/>
    <w:rsid w:val="00190B95"/>
    <w:rsid w:val="00192547"/>
    <w:rsid w:val="001A0239"/>
    <w:rsid w:val="001A7E73"/>
    <w:rsid w:val="001B349F"/>
    <w:rsid w:val="001B621D"/>
    <w:rsid w:val="001C3FF4"/>
    <w:rsid w:val="001D0C21"/>
    <w:rsid w:val="001D73A8"/>
    <w:rsid w:val="001E0AD0"/>
    <w:rsid w:val="001E3B38"/>
    <w:rsid w:val="001E66E3"/>
    <w:rsid w:val="001F213A"/>
    <w:rsid w:val="001F4AB7"/>
    <w:rsid w:val="001F4AFA"/>
    <w:rsid w:val="001F72B8"/>
    <w:rsid w:val="00214656"/>
    <w:rsid w:val="00214822"/>
    <w:rsid w:val="002163CA"/>
    <w:rsid w:val="00216AC5"/>
    <w:rsid w:val="00217DF1"/>
    <w:rsid w:val="00226386"/>
    <w:rsid w:val="002276FF"/>
    <w:rsid w:val="002306AC"/>
    <w:rsid w:val="00236C3A"/>
    <w:rsid w:val="00244695"/>
    <w:rsid w:val="00247B5B"/>
    <w:rsid w:val="0025121F"/>
    <w:rsid w:val="002516C6"/>
    <w:rsid w:val="0025721E"/>
    <w:rsid w:val="0026498F"/>
    <w:rsid w:val="00266188"/>
    <w:rsid w:val="00276182"/>
    <w:rsid w:val="00283273"/>
    <w:rsid w:val="002867BF"/>
    <w:rsid w:val="00294522"/>
    <w:rsid w:val="00294F91"/>
    <w:rsid w:val="002970F9"/>
    <w:rsid w:val="002A1606"/>
    <w:rsid w:val="002B19FD"/>
    <w:rsid w:val="002B3D4A"/>
    <w:rsid w:val="002B5030"/>
    <w:rsid w:val="002D6F52"/>
    <w:rsid w:val="002D7D42"/>
    <w:rsid w:val="002E01BF"/>
    <w:rsid w:val="002E6B39"/>
    <w:rsid w:val="0030321D"/>
    <w:rsid w:val="0030700E"/>
    <w:rsid w:val="00307FB0"/>
    <w:rsid w:val="003373AE"/>
    <w:rsid w:val="003444AF"/>
    <w:rsid w:val="003460CF"/>
    <w:rsid w:val="00346151"/>
    <w:rsid w:val="003521D9"/>
    <w:rsid w:val="00354F71"/>
    <w:rsid w:val="003618F5"/>
    <w:rsid w:val="00363EB8"/>
    <w:rsid w:val="00372D1B"/>
    <w:rsid w:val="00375AFF"/>
    <w:rsid w:val="0038191B"/>
    <w:rsid w:val="00381C1A"/>
    <w:rsid w:val="003836A6"/>
    <w:rsid w:val="003862CE"/>
    <w:rsid w:val="00393390"/>
    <w:rsid w:val="003A20E0"/>
    <w:rsid w:val="003B19BA"/>
    <w:rsid w:val="003B5860"/>
    <w:rsid w:val="003C04F6"/>
    <w:rsid w:val="003C409F"/>
    <w:rsid w:val="003C49E0"/>
    <w:rsid w:val="003C4A48"/>
    <w:rsid w:val="003D1E64"/>
    <w:rsid w:val="003D2CD1"/>
    <w:rsid w:val="003F1493"/>
    <w:rsid w:val="00404EF9"/>
    <w:rsid w:val="00407E28"/>
    <w:rsid w:val="00413859"/>
    <w:rsid w:val="00425401"/>
    <w:rsid w:val="00425435"/>
    <w:rsid w:val="00437BAE"/>
    <w:rsid w:val="0044292D"/>
    <w:rsid w:val="00446863"/>
    <w:rsid w:val="00450730"/>
    <w:rsid w:val="0045442C"/>
    <w:rsid w:val="0045543E"/>
    <w:rsid w:val="004568DA"/>
    <w:rsid w:val="00457341"/>
    <w:rsid w:val="0046365C"/>
    <w:rsid w:val="00463E93"/>
    <w:rsid w:val="00471609"/>
    <w:rsid w:val="00474129"/>
    <w:rsid w:val="00474DE8"/>
    <w:rsid w:val="004815EC"/>
    <w:rsid w:val="00481962"/>
    <w:rsid w:val="004846BC"/>
    <w:rsid w:val="00486D7A"/>
    <w:rsid w:val="00490D65"/>
    <w:rsid w:val="0049142F"/>
    <w:rsid w:val="00497011"/>
    <w:rsid w:val="00497A01"/>
    <w:rsid w:val="004A2046"/>
    <w:rsid w:val="004B5AD0"/>
    <w:rsid w:val="004C0763"/>
    <w:rsid w:val="004C5C15"/>
    <w:rsid w:val="004D58B1"/>
    <w:rsid w:val="004D6DEC"/>
    <w:rsid w:val="004E1CAC"/>
    <w:rsid w:val="004E4C93"/>
    <w:rsid w:val="004E704C"/>
    <w:rsid w:val="004F598B"/>
    <w:rsid w:val="00505E98"/>
    <w:rsid w:val="005068F4"/>
    <w:rsid w:val="00517167"/>
    <w:rsid w:val="005204FF"/>
    <w:rsid w:val="0052358D"/>
    <w:rsid w:val="0052382A"/>
    <w:rsid w:val="00532937"/>
    <w:rsid w:val="00533CFD"/>
    <w:rsid w:val="00536873"/>
    <w:rsid w:val="00536A4E"/>
    <w:rsid w:val="00542671"/>
    <w:rsid w:val="00542801"/>
    <w:rsid w:val="005522B3"/>
    <w:rsid w:val="00553040"/>
    <w:rsid w:val="00557CAB"/>
    <w:rsid w:val="005614DE"/>
    <w:rsid w:val="005615AA"/>
    <w:rsid w:val="005705E4"/>
    <w:rsid w:val="00571D2A"/>
    <w:rsid w:val="00574C4A"/>
    <w:rsid w:val="00580BFD"/>
    <w:rsid w:val="005906F6"/>
    <w:rsid w:val="00595DA9"/>
    <w:rsid w:val="00597F30"/>
    <w:rsid w:val="005A0E8C"/>
    <w:rsid w:val="005A1400"/>
    <w:rsid w:val="005A1EEA"/>
    <w:rsid w:val="005A69B3"/>
    <w:rsid w:val="005A6DBC"/>
    <w:rsid w:val="005B3753"/>
    <w:rsid w:val="005B7D1F"/>
    <w:rsid w:val="005C2709"/>
    <w:rsid w:val="005D0E99"/>
    <w:rsid w:val="005D5A17"/>
    <w:rsid w:val="005E0EAE"/>
    <w:rsid w:val="005E3840"/>
    <w:rsid w:val="005E4B25"/>
    <w:rsid w:val="005E7D64"/>
    <w:rsid w:val="005F4E0E"/>
    <w:rsid w:val="00611726"/>
    <w:rsid w:val="00612992"/>
    <w:rsid w:val="00616470"/>
    <w:rsid w:val="00623B5D"/>
    <w:rsid w:val="00623D41"/>
    <w:rsid w:val="00624201"/>
    <w:rsid w:val="00626E46"/>
    <w:rsid w:val="0063085D"/>
    <w:rsid w:val="00636C6A"/>
    <w:rsid w:val="006431C4"/>
    <w:rsid w:val="00643EE0"/>
    <w:rsid w:val="0065145D"/>
    <w:rsid w:val="006515F2"/>
    <w:rsid w:val="00653EF2"/>
    <w:rsid w:val="006552C7"/>
    <w:rsid w:val="006619EE"/>
    <w:rsid w:val="00661D14"/>
    <w:rsid w:val="00666239"/>
    <w:rsid w:val="00672AF0"/>
    <w:rsid w:val="00681EDC"/>
    <w:rsid w:val="0068528E"/>
    <w:rsid w:val="006908CA"/>
    <w:rsid w:val="00695627"/>
    <w:rsid w:val="00695CF8"/>
    <w:rsid w:val="00697990"/>
    <w:rsid w:val="006A62EE"/>
    <w:rsid w:val="006B01B6"/>
    <w:rsid w:val="006B114B"/>
    <w:rsid w:val="006D15F9"/>
    <w:rsid w:val="006D1D78"/>
    <w:rsid w:val="006D79F2"/>
    <w:rsid w:val="006E1B07"/>
    <w:rsid w:val="006E5DE2"/>
    <w:rsid w:val="00701D10"/>
    <w:rsid w:val="0070259E"/>
    <w:rsid w:val="00707486"/>
    <w:rsid w:val="007102F1"/>
    <w:rsid w:val="00711198"/>
    <w:rsid w:val="00713559"/>
    <w:rsid w:val="00714DED"/>
    <w:rsid w:val="00721CA4"/>
    <w:rsid w:val="00730D8F"/>
    <w:rsid w:val="00731641"/>
    <w:rsid w:val="00733938"/>
    <w:rsid w:val="0073417A"/>
    <w:rsid w:val="00761DFC"/>
    <w:rsid w:val="00767452"/>
    <w:rsid w:val="00770AF8"/>
    <w:rsid w:val="00776D2E"/>
    <w:rsid w:val="00792442"/>
    <w:rsid w:val="007958FC"/>
    <w:rsid w:val="007A1400"/>
    <w:rsid w:val="007A215B"/>
    <w:rsid w:val="007A753B"/>
    <w:rsid w:val="007B1BA4"/>
    <w:rsid w:val="007B70F9"/>
    <w:rsid w:val="007B7CCF"/>
    <w:rsid w:val="007C28EB"/>
    <w:rsid w:val="007C4D03"/>
    <w:rsid w:val="007C6FD7"/>
    <w:rsid w:val="007D2441"/>
    <w:rsid w:val="007D38AB"/>
    <w:rsid w:val="007D6461"/>
    <w:rsid w:val="007E4345"/>
    <w:rsid w:val="007E5784"/>
    <w:rsid w:val="007F05D7"/>
    <w:rsid w:val="007F77D8"/>
    <w:rsid w:val="00801CFA"/>
    <w:rsid w:val="0080788C"/>
    <w:rsid w:val="0081063F"/>
    <w:rsid w:val="008113A4"/>
    <w:rsid w:val="0081195B"/>
    <w:rsid w:val="00815AF2"/>
    <w:rsid w:val="008223AE"/>
    <w:rsid w:val="00826BDA"/>
    <w:rsid w:val="008304F2"/>
    <w:rsid w:val="008320F7"/>
    <w:rsid w:val="00835636"/>
    <w:rsid w:val="00836E67"/>
    <w:rsid w:val="00840635"/>
    <w:rsid w:val="00842E3F"/>
    <w:rsid w:val="0084306D"/>
    <w:rsid w:val="00844B71"/>
    <w:rsid w:val="00844C23"/>
    <w:rsid w:val="00846BBE"/>
    <w:rsid w:val="00852226"/>
    <w:rsid w:val="008701A6"/>
    <w:rsid w:val="00870859"/>
    <w:rsid w:val="0088135E"/>
    <w:rsid w:val="0088210F"/>
    <w:rsid w:val="00883A37"/>
    <w:rsid w:val="00891394"/>
    <w:rsid w:val="008A0484"/>
    <w:rsid w:val="008A1BBB"/>
    <w:rsid w:val="008A4213"/>
    <w:rsid w:val="008A75FF"/>
    <w:rsid w:val="008B50F1"/>
    <w:rsid w:val="008C075C"/>
    <w:rsid w:val="008C226A"/>
    <w:rsid w:val="008C62E6"/>
    <w:rsid w:val="008D10DF"/>
    <w:rsid w:val="008E2008"/>
    <w:rsid w:val="008E2281"/>
    <w:rsid w:val="0090148A"/>
    <w:rsid w:val="0091430A"/>
    <w:rsid w:val="00914F68"/>
    <w:rsid w:val="009161D4"/>
    <w:rsid w:val="00921667"/>
    <w:rsid w:val="00924BA0"/>
    <w:rsid w:val="0092733A"/>
    <w:rsid w:val="009329BC"/>
    <w:rsid w:val="00934692"/>
    <w:rsid w:val="00946ADB"/>
    <w:rsid w:val="0095442D"/>
    <w:rsid w:val="00954EC5"/>
    <w:rsid w:val="00965FAE"/>
    <w:rsid w:val="00966FD3"/>
    <w:rsid w:val="0097700F"/>
    <w:rsid w:val="00977961"/>
    <w:rsid w:val="00980F37"/>
    <w:rsid w:val="00981CFE"/>
    <w:rsid w:val="00990614"/>
    <w:rsid w:val="009B1228"/>
    <w:rsid w:val="009C1E99"/>
    <w:rsid w:val="009C5EB2"/>
    <w:rsid w:val="009C7AFF"/>
    <w:rsid w:val="009D0516"/>
    <w:rsid w:val="009D26CF"/>
    <w:rsid w:val="009D2F93"/>
    <w:rsid w:val="009E39EE"/>
    <w:rsid w:val="009F1FE4"/>
    <w:rsid w:val="009F6228"/>
    <w:rsid w:val="009F7454"/>
    <w:rsid w:val="00A01311"/>
    <w:rsid w:val="00A01594"/>
    <w:rsid w:val="00A066A0"/>
    <w:rsid w:val="00A113B2"/>
    <w:rsid w:val="00A11D1F"/>
    <w:rsid w:val="00A1280F"/>
    <w:rsid w:val="00A15AD1"/>
    <w:rsid w:val="00A1673C"/>
    <w:rsid w:val="00A27C4C"/>
    <w:rsid w:val="00A36F5B"/>
    <w:rsid w:val="00A36FF5"/>
    <w:rsid w:val="00A470A8"/>
    <w:rsid w:val="00A507F3"/>
    <w:rsid w:val="00A65F8B"/>
    <w:rsid w:val="00A75A76"/>
    <w:rsid w:val="00A82B4E"/>
    <w:rsid w:val="00A84408"/>
    <w:rsid w:val="00A92FB3"/>
    <w:rsid w:val="00A94784"/>
    <w:rsid w:val="00A94FC1"/>
    <w:rsid w:val="00AA21C1"/>
    <w:rsid w:val="00AA4A9F"/>
    <w:rsid w:val="00AC0B2E"/>
    <w:rsid w:val="00AC2AD3"/>
    <w:rsid w:val="00AD0EB2"/>
    <w:rsid w:val="00AD5F4B"/>
    <w:rsid w:val="00AE4C28"/>
    <w:rsid w:val="00AE5BCA"/>
    <w:rsid w:val="00AF4510"/>
    <w:rsid w:val="00AF624D"/>
    <w:rsid w:val="00B03E1F"/>
    <w:rsid w:val="00B06023"/>
    <w:rsid w:val="00B1025D"/>
    <w:rsid w:val="00B17085"/>
    <w:rsid w:val="00B1716E"/>
    <w:rsid w:val="00B2444A"/>
    <w:rsid w:val="00B27D4D"/>
    <w:rsid w:val="00B30BF5"/>
    <w:rsid w:val="00B36D17"/>
    <w:rsid w:val="00B54FD9"/>
    <w:rsid w:val="00B5564D"/>
    <w:rsid w:val="00B57544"/>
    <w:rsid w:val="00B60015"/>
    <w:rsid w:val="00B71BC3"/>
    <w:rsid w:val="00B71DF4"/>
    <w:rsid w:val="00B73A5C"/>
    <w:rsid w:val="00B809ED"/>
    <w:rsid w:val="00B86868"/>
    <w:rsid w:val="00B9080C"/>
    <w:rsid w:val="00B90888"/>
    <w:rsid w:val="00B909BE"/>
    <w:rsid w:val="00B95567"/>
    <w:rsid w:val="00BA5D9D"/>
    <w:rsid w:val="00BB0529"/>
    <w:rsid w:val="00BB1DE7"/>
    <w:rsid w:val="00BB247E"/>
    <w:rsid w:val="00BC12C8"/>
    <w:rsid w:val="00BC46C4"/>
    <w:rsid w:val="00BD32B8"/>
    <w:rsid w:val="00BD3D16"/>
    <w:rsid w:val="00BE0784"/>
    <w:rsid w:val="00BE103B"/>
    <w:rsid w:val="00BF0CE9"/>
    <w:rsid w:val="00BF0E52"/>
    <w:rsid w:val="00BF5726"/>
    <w:rsid w:val="00C00696"/>
    <w:rsid w:val="00C010E3"/>
    <w:rsid w:val="00C10750"/>
    <w:rsid w:val="00C129E6"/>
    <w:rsid w:val="00C31831"/>
    <w:rsid w:val="00C41A8F"/>
    <w:rsid w:val="00C5533D"/>
    <w:rsid w:val="00C57DF6"/>
    <w:rsid w:val="00C61010"/>
    <w:rsid w:val="00C675E6"/>
    <w:rsid w:val="00C67EA9"/>
    <w:rsid w:val="00C741EE"/>
    <w:rsid w:val="00C76A60"/>
    <w:rsid w:val="00C774F5"/>
    <w:rsid w:val="00C77DD8"/>
    <w:rsid w:val="00C806CE"/>
    <w:rsid w:val="00C80AD4"/>
    <w:rsid w:val="00C92FD8"/>
    <w:rsid w:val="00C94E56"/>
    <w:rsid w:val="00C97FCA"/>
    <w:rsid w:val="00CA506C"/>
    <w:rsid w:val="00CA79DA"/>
    <w:rsid w:val="00CC0021"/>
    <w:rsid w:val="00CC6F2C"/>
    <w:rsid w:val="00CD7CD2"/>
    <w:rsid w:val="00CE4BD4"/>
    <w:rsid w:val="00CF095C"/>
    <w:rsid w:val="00CF5BD7"/>
    <w:rsid w:val="00CF6A4C"/>
    <w:rsid w:val="00D01D1F"/>
    <w:rsid w:val="00D0359B"/>
    <w:rsid w:val="00D0615F"/>
    <w:rsid w:val="00D15AE6"/>
    <w:rsid w:val="00D22CC7"/>
    <w:rsid w:val="00D24A6E"/>
    <w:rsid w:val="00D2620A"/>
    <w:rsid w:val="00D2760A"/>
    <w:rsid w:val="00D3669B"/>
    <w:rsid w:val="00D413A6"/>
    <w:rsid w:val="00D47276"/>
    <w:rsid w:val="00D51598"/>
    <w:rsid w:val="00D56D05"/>
    <w:rsid w:val="00D57608"/>
    <w:rsid w:val="00D62D11"/>
    <w:rsid w:val="00D62E16"/>
    <w:rsid w:val="00D67762"/>
    <w:rsid w:val="00D72DE2"/>
    <w:rsid w:val="00D87183"/>
    <w:rsid w:val="00D9575F"/>
    <w:rsid w:val="00D95B78"/>
    <w:rsid w:val="00D95D41"/>
    <w:rsid w:val="00DA39E6"/>
    <w:rsid w:val="00DA6279"/>
    <w:rsid w:val="00DA7490"/>
    <w:rsid w:val="00DB0F94"/>
    <w:rsid w:val="00DB39CF"/>
    <w:rsid w:val="00DC41D0"/>
    <w:rsid w:val="00DD29DF"/>
    <w:rsid w:val="00DD3525"/>
    <w:rsid w:val="00DF2730"/>
    <w:rsid w:val="00E01274"/>
    <w:rsid w:val="00E151A4"/>
    <w:rsid w:val="00E2448A"/>
    <w:rsid w:val="00E248D7"/>
    <w:rsid w:val="00E26D19"/>
    <w:rsid w:val="00E27110"/>
    <w:rsid w:val="00E3783B"/>
    <w:rsid w:val="00E41CBC"/>
    <w:rsid w:val="00E46674"/>
    <w:rsid w:val="00E51873"/>
    <w:rsid w:val="00E52CC5"/>
    <w:rsid w:val="00E61380"/>
    <w:rsid w:val="00E63571"/>
    <w:rsid w:val="00E75311"/>
    <w:rsid w:val="00E81BFF"/>
    <w:rsid w:val="00E977DD"/>
    <w:rsid w:val="00EA466B"/>
    <w:rsid w:val="00EA756F"/>
    <w:rsid w:val="00EB08CB"/>
    <w:rsid w:val="00EB4032"/>
    <w:rsid w:val="00EB463A"/>
    <w:rsid w:val="00EB47E3"/>
    <w:rsid w:val="00EC05D2"/>
    <w:rsid w:val="00EC3C6D"/>
    <w:rsid w:val="00EC7248"/>
    <w:rsid w:val="00ED23C2"/>
    <w:rsid w:val="00ED3A78"/>
    <w:rsid w:val="00EF58C6"/>
    <w:rsid w:val="00EF65DB"/>
    <w:rsid w:val="00F12E16"/>
    <w:rsid w:val="00F141E9"/>
    <w:rsid w:val="00F14FC3"/>
    <w:rsid w:val="00F209BF"/>
    <w:rsid w:val="00F215F6"/>
    <w:rsid w:val="00F24267"/>
    <w:rsid w:val="00F2438F"/>
    <w:rsid w:val="00F32396"/>
    <w:rsid w:val="00F327AF"/>
    <w:rsid w:val="00F35AF7"/>
    <w:rsid w:val="00F4045D"/>
    <w:rsid w:val="00F45382"/>
    <w:rsid w:val="00F4581E"/>
    <w:rsid w:val="00F475E9"/>
    <w:rsid w:val="00F512CE"/>
    <w:rsid w:val="00F60773"/>
    <w:rsid w:val="00F652D5"/>
    <w:rsid w:val="00F65FDE"/>
    <w:rsid w:val="00F7617C"/>
    <w:rsid w:val="00F80F64"/>
    <w:rsid w:val="00F83C3B"/>
    <w:rsid w:val="00F915A5"/>
    <w:rsid w:val="00F93205"/>
    <w:rsid w:val="00FB060D"/>
    <w:rsid w:val="00FB10ED"/>
    <w:rsid w:val="00FB4505"/>
    <w:rsid w:val="00FB5F6C"/>
    <w:rsid w:val="00FC7AFE"/>
    <w:rsid w:val="00FD7A7A"/>
    <w:rsid w:val="00FE0001"/>
    <w:rsid w:val="00FE3063"/>
    <w:rsid w:val="00FE5BB0"/>
    <w:rsid w:val="00FF2E39"/>
    <w:rsid w:val="00FF459F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D073511"/>
  <w15:docId w15:val="{8B928ED8-2C71-F043-820A-7D14762D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B5D"/>
    <w:pPr>
      <w:jc w:val="both"/>
    </w:pPr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564D"/>
    <w:pPr>
      <w:keepNext/>
      <w:keepLines/>
      <w:spacing w:before="360" w:after="120"/>
      <w:outlineLvl w:val="0"/>
    </w:pPr>
    <w:rPr>
      <w:rFonts w:eastAsiaTheme="majorEastAsia" w:cstheme="majorBidi"/>
      <w:b/>
      <w:bCs/>
      <w:color w:val="2F618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0D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0D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F598B"/>
    <w:pPr>
      <w:spacing w:after="0" w:line="260" w:lineRule="atLeast"/>
      <w:ind w:left="720"/>
      <w:contextualSpacing/>
    </w:pPr>
    <w:rPr>
      <w:rFonts w:ascii="Verdana" w:eastAsia="Calibri" w:hAnsi="Verdana" w:cs="Times New Roman"/>
      <w:sz w:val="17"/>
    </w:rPr>
  </w:style>
  <w:style w:type="table" w:styleId="TableGrid">
    <w:name w:val="Table Grid"/>
    <w:basedOn w:val="TableNormal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F598B"/>
    <w:rPr>
      <w:rFonts w:ascii="Verdana" w:eastAsia="Calibri" w:hAnsi="Verdana" w:cs="Times New Roman"/>
      <w:sz w:val="17"/>
    </w:rPr>
  </w:style>
  <w:style w:type="table" w:customStyle="1" w:styleId="TableGrid1">
    <w:name w:val="Table Grid1"/>
    <w:basedOn w:val="TableNormal"/>
    <w:next w:val="TableGrid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8CB"/>
  </w:style>
  <w:style w:type="paragraph" w:styleId="Footer">
    <w:name w:val="footer"/>
    <w:basedOn w:val="Normal"/>
    <w:link w:val="Foot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8CB"/>
  </w:style>
  <w:style w:type="character" w:styleId="Hyperlink">
    <w:name w:val="Hyperlink"/>
    <w:basedOn w:val="DefaultParagraphFont"/>
    <w:uiPriority w:val="99"/>
    <w:unhideWhenUsed/>
    <w:rsid w:val="007A215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36F5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6F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36F5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D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159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en-US"/>
    </w:rPr>
  </w:style>
  <w:style w:type="character" w:customStyle="1" w:styleId="bullet1Char">
    <w:name w:val="bullet1 Char"/>
    <w:basedOn w:val="DefaultParagraphFont"/>
    <w:link w:val="bullet1"/>
    <w:locked/>
    <w:rsid w:val="00636C6A"/>
    <w:rPr>
      <w:rFonts w:ascii="Myriad Pro" w:hAnsi="Myriad Pro"/>
      <w:snapToGrid w:val="0"/>
      <w:sz w:val="20"/>
      <w:szCs w:val="20"/>
      <w:lang w:eastAsia="en-GB"/>
    </w:rPr>
  </w:style>
  <w:style w:type="paragraph" w:customStyle="1" w:styleId="bullet1">
    <w:name w:val="bullet1"/>
    <w:basedOn w:val="ListParagraph"/>
    <w:link w:val="bullet1Char"/>
    <w:qFormat/>
    <w:rsid w:val="00636C6A"/>
    <w:pPr>
      <w:numPr>
        <w:numId w:val="9"/>
      </w:numPr>
      <w:snapToGrid w:val="0"/>
    </w:pPr>
    <w:rPr>
      <w:rFonts w:ascii="Myriad Pro" w:eastAsiaTheme="minorHAnsi" w:hAnsi="Myriad Pro" w:cstheme="minorBidi"/>
      <w:snapToGrid w:val="0"/>
      <w:sz w:val="20"/>
      <w:szCs w:val="20"/>
      <w:lang w:eastAsia="en-GB"/>
    </w:rPr>
  </w:style>
  <w:style w:type="paragraph" w:styleId="NormalWeb">
    <w:name w:val="Normal (Web)"/>
    <w:basedOn w:val="Normal"/>
    <w:uiPriority w:val="99"/>
    <w:unhideWhenUsed/>
    <w:rsid w:val="00D061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5564D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color w:val="2F618F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564D"/>
    <w:rPr>
      <w:rFonts w:ascii="Myriad Pro" w:eastAsiaTheme="majorEastAsia" w:hAnsi="Myriad Pro" w:cstheme="majorBidi"/>
      <w:color w:val="2F618F"/>
      <w:spacing w:val="5"/>
      <w:kern w:val="28"/>
      <w:sz w:val="4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3B38"/>
    <w:pPr>
      <w:numPr>
        <w:ilvl w:val="1"/>
      </w:numPr>
      <w:spacing w:after="120" w:line="240" w:lineRule="auto"/>
      <w:jc w:val="center"/>
    </w:pPr>
    <w:rPr>
      <w:rFonts w:eastAsiaTheme="majorEastAsia" w:cstheme="majorBidi"/>
      <w:b/>
      <w:iCs/>
      <w:color w:val="2F618F"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E3B38"/>
    <w:rPr>
      <w:rFonts w:ascii="Myriad Pro" w:eastAsiaTheme="majorEastAsia" w:hAnsi="Myriad Pro" w:cstheme="majorBidi"/>
      <w:b/>
      <w:iCs/>
      <w:color w:val="2F618F"/>
      <w:spacing w:val="15"/>
      <w:sz w:val="28"/>
      <w:szCs w:val="24"/>
    </w:rPr>
  </w:style>
  <w:style w:type="character" w:styleId="Strong">
    <w:name w:val="Strong"/>
    <w:basedOn w:val="DefaultParagraphFont"/>
    <w:uiPriority w:val="22"/>
    <w:qFormat/>
    <w:rsid w:val="001E3B38"/>
    <w:rPr>
      <w:rFonts w:ascii="Myriad Pro" w:hAnsi="Myriad Pro"/>
      <w:b/>
      <w:bCs/>
      <w:color w:val="2F618F"/>
      <w:sz w:val="32"/>
    </w:rPr>
  </w:style>
  <w:style w:type="character" w:customStyle="1" w:styleId="Heading1Char">
    <w:name w:val="Heading 1 Char"/>
    <w:basedOn w:val="DefaultParagraphFont"/>
    <w:link w:val="Heading1"/>
    <w:uiPriority w:val="9"/>
    <w:rsid w:val="00B5564D"/>
    <w:rPr>
      <w:rFonts w:ascii="Myriad Pro" w:eastAsiaTheme="majorEastAsia" w:hAnsi="Myriad Pro" w:cstheme="majorBidi"/>
      <w:b/>
      <w:bCs/>
      <w:color w:val="2F618F"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749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D1E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E64"/>
    <w:pPr>
      <w:spacing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E64"/>
    <w:rPr>
      <w:sz w:val="20"/>
      <w:szCs w:val="20"/>
    </w:rPr>
  </w:style>
  <w:style w:type="paragraph" w:styleId="Revision">
    <w:name w:val="Revision"/>
    <w:hidden/>
    <w:uiPriority w:val="99"/>
    <w:semiHidden/>
    <w:rsid w:val="003D1E64"/>
    <w:pPr>
      <w:spacing w:after="0" w:line="240" w:lineRule="auto"/>
    </w:pPr>
    <w:rPr>
      <w:rFonts w:ascii="Myriad Pro" w:hAnsi="Myriad Pro"/>
    </w:rPr>
  </w:style>
  <w:style w:type="character" w:styleId="FollowedHyperlink">
    <w:name w:val="FollowedHyperlink"/>
    <w:basedOn w:val="DefaultParagraphFont"/>
    <w:uiPriority w:val="99"/>
    <w:semiHidden/>
    <w:unhideWhenUsed/>
    <w:rsid w:val="00A82B4E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06023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E98"/>
    <w:pPr>
      <w:jc w:val="both"/>
    </w:pPr>
    <w:rPr>
      <w:rFonts w:ascii="Myriad Pro" w:hAnsi="Myriad Pro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E98"/>
    <w:rPr>
      <w:rFonts w:ascii="Myriad Pro" w:hAnsi="Myriad Pro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90D6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90D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Spacing">
    <w:name w:val="No Spacing"/>
    <w:uiPriority w:val="1"/>
    <w:qFormat/>
    <w:rsid w:val="00490D65"/>
    <w:pPr>
      <w:spacing w:after="0" w:line="240" w:lineRule="auto"/>
      <w:jc w:val="both"/>
    </w:pPr>
    <w:rPr>
      <w:rFonts w:ascii="Myriad Pro" w:hAnsi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6E57A-90C5-4FB7-8B2B-A12A2F343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922</Words>
  <Characters>5256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Council of Europe</Company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 Steven David</dc:creator>
  <cp:lastModifiedBy>CEAUSU Diana</cp:lastModifiedBy>
  <cp:revision>15</cp:revision>
  <cp:lastPrinted>2020-05-27T13:44:00Z</cp:lastPrinted>
  <dcterms:created xsi:type="dcterms:W3CDTF">2020-10-15T15:28:00Z</dcterms:created>
  <dcterms:modified xsi:type="dcterms:W3CDTF">2021-07-05T06:13:00Z</dcterms:modified>
</cp:coreProperties>
</file>