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3DD02D" w14:textId="12D1A016" w:rsidR="00D82C18" w:rsidRPr="00907650" w:rsidRDefault="00B3608C" w:rsidP="00907650">
      <w:pPr>
        <w:spacing w:before="120" w:after="120" w:line="260" w:lineRule="atLeast"/>
        <w:rPr>
          <w:rFonts w:ascii="Verdana" w:hAnsi="Verdana"/>
        </w:rPr>
      </w:pPr>
      <w:r w:rsidRPr="00907650">
        <w:rPr>
          <w:rFonts w:ascii="Verdana" w:hAnsi="Verdana"/>
          <w:sz w:val="28"/>
        </w:rPr>
        <w:t xml:space="preserve">Лекција 2.5 </w:t>
      </w:r>
      <w:r w:rsidR="006F209A" w:rsidRPr="00907650">
        <w:rPr>
          <w:rFonts w:ascii="Verdana" w:hAnsi="Verdana"/>
          <w:sz w:val="28"/>
        </w:rPr>
        <w:t>Процесни</w:t>
      </w:r>
      <w:r w:rsidRPr="00907650">
        <w:rPr>
          <w:rFonts w:ascii="Verdana" w:hAnsi="Verdana"/>
          <w:sz w:val="28"/>
        </w:rPr>
        <w:t xml:space="preserve"> овластувања според Конвенцијата од Будимпешта - Дел 2</w:t>
      </w:r>
    </w:p>
    <w:p w14:paraId="1D0E3DC5" w14:textId="77777777" w:rsidR="00C115FC" w:rsidRPr="00907650" w:rsidRDefault="00C115FC" w:rsidP="00907650">
      <w:pPr>
        <w:spacing w:before="120" w:after="120" w:line="260" w:lineRule="atLeast"/>
        <w:ind w:left="360"/>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907650" w14:paraId="58A3485E" w14:textId="77777777" w:rsidTr="00F1574D">
        <w:trPr>
          <w:trHeight w:val="872"/>
        </w:trPr>
        <w:tc>
          <w:tcPr>
            <w:tcW w:w="6845" w:type="dxa"/>
            <w:gridSpan w:val="2"/>
            <w:shd w:val="clear" w:color="auto" w:fill="DEEAF6" w:themeFill="accent5" w:themeFillTint="33"/>
            <w:vAlign w:val="center"/>
          </w:tcPr>
          <w:p w14:paraId="0067FF35" w14:textId="3D7002DF" w:rsidR="00D82C18" w:rsidRPr="00907650" w:rsidRDefault="00C115FC" w:rsidP="00907650">
            <w:pPr>
              <w:spacing w:before="120" w:after="120" w:line="260" w:lineRule="atLeast"/>
              <w:rPr>
                <w:rFonts w:ascii="Verdana" w:hAnsi="Verdana"/>
                <w:sz w:val="22"/>
                <w:szCs w:val="22"/>
              </w:rPr>
            </w:pPr>
            <w:r w:rsidRPr="00907650">
              <w:rPr>
                <w:rFonts w:ascii="Verdana" w:hAnsi="Verdana"/>
                <w:sz w:val="22"/>
              </w:rPr>
              <w:t xml:space="preserve">Лекција 2.5 </w:t>
            </w:r>
            <w:r w:rsidR="006F209A" w:rsidRPr="00907650">
              <w:rPr>
                <w:rFonts w:ascii="Verdana" w:hAnsi="Verdana"/>
                <w:sz w:val="22"/>
              </w:rPr>
              <w:t>Процесни</w:t>
            </w:r>
            <w:r w:rsidRPr="00907650">
              <w:rPr>
                <w:rFonts w:ascii="Verdana" w:hAnsi="Verdana"/>
                <w:sz w:val="22"/>
              </w:rPr>
              <w:t xml:space="preserve"> овластувања според Конвенцијата од Будимпешта - Дел 2</w:t>
            </w:r>
          </w:p>
        </w:tc>
        <w:tc>
          <w:tcPr>
            <w:tcW w:w="2165" w:type="dxa"/>
            <w:shd w:val="clear" w:color="auto" w:fill="DEEAF6" w:themeFill="accent5" w:themeFillTint="33"/>
            <w:vAlign w:val="center"/>
          </w:tcPr>
          <w:p w14:paraId="30B631DA" w14:textId="24980FBA" w:rsidR="00D82C18" w:rsidRPr="00907650" w:rsidRDefault="00D82C18" w:rsidP="00907650">
            <w:pPr>
              <w:spacing w:before="120" w:after="120" w:line="260" w:lineRule="atLeast"/>
              <w:rPr>
                <w:rFonts w:ascii="Verdana" w:hAnsi="Verdana"/>
                <w:sz w:val="22"/>
                <w:szCs w:val="22"/>
              </w:rPr>
            </w:pPr>
            <w:r w:rsidRPr="00907650">
              <w:rPr>
                <w:rFonts w:ascii="Verdana" w:hAnsi="Verdana"/>
                <w:sz w:val="22"/>
              </w:rPr>
              <w:t xml:space="preserve">Времетраење: </w:t>
            </w:r>
            <w:r w:rsidRPr="00907650">
              <w:rPr>
                <w:rFonts w:ascii="Verdana" w:hAnsi="Verdana"/>
                <w:color w:val="000000" w:themeColor="text1"/>
                <w:sz w:val="22"/>
              </w:rPr>
              <w:t xml:space="preserve">90 минути </w:t>
            </w:r>
          </w:p>
        </w:tc>
      </w:tr>
      <w:tr w:rsidR="00E7344B" w:rsidRPr="00907650" w14:paraId="7C1107AB" w14:textId="77777777" w:rsidTr="00A439ED">
        <w:trPr>
          <w:trHeight w:val="1727"/>
        </w:trPr>
        <w:tc>
          <w:tcPr>
            <w:tcW w:w="9010" w:type="dxa"/>
            <w:gridSpan w:val="3"/>
            <w:vAlign w:val="center"/>
          </w:tcPr>
          <w:p w14:paraId="0B1C3404" w14:textId="53612A3F" w:rsidR="00E7344B" w:rsidRPr="00907650" w:rsidRDefault="00E7344B" w:rsidP="00907650">
            <w:pPr>
              <w:spacing w:before="120" w:after="120" w:line="260" w:lineRule="atLeast"/>
              <w:rPr>
                <w:rFonts w:ascii="Verdana" w:hAnsi="Verdana"/>
                <w:b/>
                <w:sz w:val="22"/>
                <w:szCs w:val="22"/>
              </w:rPr>
            </w:pPr>
            <w:r w:rsidRPr="00907650">
              <w:rPr>
                <w:rFonts w:ascii="Verdana" w:hAnsi="Verdana"/>
                <w:b/>
                <w:sz w:val="22"/>
              </w:rPr>
              <w:t xml:space="preserve">Потребни средства: </w:t>
            </w:r>
          </w:p>
          <w:p w14:paraId="060400D8" w14:textId="027C7A91" w:rsidR="000F7896" w:rsidRPr="00907650" w:rsidRDefault="000F7896" w:rsidP="00907650">
            <w:pPr>
              <w:pStyle w:val="bul1"/>
              <w:numPr>
                <w:ilvl w:val="0"/>
                <w:numId w:val="6"/>
              </w:numPr>
              <w:spacing w:before="120" w:after="120" w:line="260" w:lineRule="atLeast"/>
            </w:pPr>
            <w:r w:rsidRPr="00907650">
              <w:t>Персонален компјутер/</w:t>
            </w:r>
            <w:r w:rsidR="00E04460" w:rsidRPr="00907650">
              <w:t>Л</w:t>
            </w:r>
            <w:r w:rsidRPr="00907650">
              <w:t xml:space="preserve">аптоп опремен со софтверски верзии компатибилни со подготвените материјали </w:t>
            </w:r>
          </w:p>
          <w:p w14:paraId="62A10C2C" w14:textId="77777777" w:rsidR="000F7896" w:rsidRPr="00907650" w:rsidRDefault="000F7896" w:rsidP="00907650">
            <w:pPr>
              <w:pStyle w:val="bul1"/>
              <w:numPr>
                <w:ilvl w:val="0"/>
                <w:numId w:val="6"/>
              </w:numPr>
              <w:spacing w:before="120" w:after="120" w:line="260" w:lineRule="atLeast"/>
            </w:pPr>
            <w:r w:rsidRPr="00907650">
              <w:t xml:space="preserve">Интернет пристап (доколку е достапен) </w:t>
            </w:r>
          </w:p>
          <w:p w14:paraId="575CEC8B" w14:textId="7FC1824F" w:rsidR="000F7896" w:rsidRPr="00907650" w:rsidRDefault="000F7896" w:rsidP="00907650">
            <w:pPr>
              <w:pStyle w:val="bul1"/>
              <w:numPr>
                <w:ilvl w:val="0"/>
                <w:numId w:val="6"/>
              </w:numPr>
              <w:spacing w:before="120" w:after="120" w:line="260" w:lineRule="atLeast"/>
            </w:pPr>
            <w:r w:rsidRPr="00907650">
              <w:t xml:space="preserve">PowerPoint или друг софтвер за презентации </w:t>
            </w:r>
          </w:p>
          <w:p w14:paraId="14CF9EF0" w14:textId="1ED885BC" w:rsidR="000F7896" w:rsidRPr="00907650" w:rsidRDefault="000F7896" w:rsidP="00907650">
            <w:pPr>
              <w:pStyle w:val="bul1"/>
              <w:numPr>
                <w:ilvl w:val="0"/>
                <w:numId w:val="6"/>
              </w:numPr>
              <w:spacing w:before="120" w:after="120" w:line="260" w:lineRule="atLeast"/>
            </w:pPr>
            <w:r w:rsidRPr="00907650">
              <w:t>Копија од Конвенцијата од Будимпешта</w:t>
            </w:r>
          </w:p>
        </w:tc>
      </w:tr>
      <w:tr w:rsidR="00E7344B" w:rsidRPr="00907650" w14:paraId="635F2EFD" w14:textId="77777777" w:rsidTr="00907650">
        <w:trPr>
          <w:trHeight w:val="2501"/>
        </w:trPr>
        <w:tc>
          <w:tcPr>
            <w:tcW w:w="9010" w:type="dxa"/>
            <w:gridSpan w:val="3"/>
            <w:vAlign w:val="center"/>
          </w:tcPr>
          <w:p w14:paraId="34602AF3" w14:textId="77777777" w:rsidR="00A03CF0" w:rsidRPr="00907650" w:rsidRDefault="00A03CF0" w:rsidP="00907650">
            <w:pPr>
              <w:spacing w:before="120" w:after="120" w:line="260" w:lineRule="atLeast"/>
              <w:rPr>
                <w:rFonts w:ascii="Verdana" w:hAnsi="Verdana"/>
                <w:b/>
                <w:sz w:val="22"/>
                <w:szCs w:val="22"/>
              </w:rPr>
            </w:pPr>
            <w:r w:rsidRPr="00907650">
              <w:rPr>
                <w:rFonts w:ascii="Verdana" w:hAnsi="Verdana"/>
                <w:b/>
                <w:sz w:val="22"/>
              </w:rPr>
              <w:t xml:space="preserve">Цел на сесијата:  </w:t>
            </w:r>
          </w:p>
          <w:p w14:paraId="3FE58655" w14:textId="4720901D" w:rsidR="00A03CF0" w:rsidRPr="00907650" w:rsidRDefault="00BA7368" w:rsidP="00907650">
            <w:pPr>
              <w:spacing w:before="120" w:after="120" w:line="260" w:lineRule="atLeast"/>
              <w:jc w:val="both"/>
              <w:rPr>
                <w:rFonts w:ascii="Verdana" w:hAnsi="Verdana"/>
                <w:i/>
                <w:color w:val="FF0000"/>
                <w:sz w:val="18"/>
                <w:szCs w:val="18"/>
              </w:rPr>
            </w:pPr>
            <w:r w:rsidRPr="00907650">
              <w:rPr>
                <w:rFonts w:ascii="Verdana" w:hAnsi="Verdana"/>
                <w:sz w:val="18"/>
              </w:rPr>
              <w:t xml:space="preserve">Целта на оваа сесија е на учесниците да им се овозможи сеопфатно разбирање на елементите на </w:t>
            </w:r>
            <w:r w:rsidR="006F209A" w:rsidRPr="00907650">
              <w:rPr>
                <w:rFonts w:ascii="Verdana" w:hAnsi="Verdana"/>
                <w:sz w:val="18"/>
              </w:rPr>
              <w:t>процесни</w:t>
            </w:r>
            <w:r w:rsidRPr="00907650">
              <w:rPr>
                <w:rFonts w:ascii="Verdana" w:hAnsi="Verdana"/>
                <w:sz w:val="18"/>
              </w:rPr>
              <w:t xml:space="preserve">те овластувања поврзани со претрес и запленување на складирани компјутерски податоци, </w:t>
            </w:r>
            <w:r w:rsidR="00E04460" w:rsidRPr="00907650">
              <w:rPr>
                <w:rFonts w:ascii="Verdana" w:hAnsi="Verdana"/>
                <w:sz w:val="18"/>
              </w:rPr>
              <w:t>преземање податочен сообраќај</w:t>
            </w:r>
            <w:r w:rsidRPr="00907650">
              <w:rPr>
                <w:rFonts w:ascii="Verdana" w:hAnsi="Verdana"/>
                <w:sz w:val="18"/>
              </w:rPr>
              <w:t xml:space="preserve"> во реално време и </w:t>
            </w:r>
            <w:r w:rsidR="00E04460" w:rsidRPr="00907650">
              <w:rPr>
                <w:rFonts w:ascii="Verdana" w:hAnsi="Verdana"/>
                <w:sz w:val="18"/>
              </w:rPr>
              <w:t>следење</w:t>
            </w:r>
            <w:r w:rsidRPr="00907650">
              <w:rPr>
                <w:rFonts w:ascii="Verdana" w:hAnsi="Verdana"/>
                <w:sz w:val="18"/>
              </w:rPr>
              <w:t xml:space="preserve"> на содржински податоци, како и опсегот на јурисдикцијата на Конвенцијата од Будимпешта. Оваа сесија детално ги опфаќа сите елементи на член 19 (претрес и запленување), член 20 (</w:t>
            </w:r>
            <w:r w:rsidR="00E04460" w:rsidRPr="00907650">
              <w:rPr>
                <w:rFonts w:ascii="Verdana" w:hAnsi="Verdana"/>
                <w:sz w:val="18"/>
              </w:rPr>
              <w:t>преземање податочен сообраќај</w:t>
            </w:r>
            <w:r w:rsidRPr="00907650">
              <w:rPr>
                <w:rFonts w:ascii="Verdana" w:hAnsi="Verdana"/>
                <w:sz w:val="18"/>
              </w:rPr>
              <w:t xml:space="preserve"> во реално време), член 21 (</w:t>
            </w:r>
            <w:r w:rsidR="00E04460" w:rsidRPr="00907650">
              <w:rPr>
                <w:rFonts w:ascii="Verdana" w:hAnsi="Verdana"/>
                <w:sz w:val="18"/>
              </w:rPr>
              <w:t>следење</w:t>
            </w:r>
            <w:r w:rsidRPr="00907650">
              <w:rPr>
                <w:rFonts w:ascii="Verdana" w:hAnsi="Verdana"/>
                <w:sz w:val="18"/>
              </w:rPr>
              <w:t xml:space="preserve"> на содржински податоци) и член 22 (јурисдикција). </w:t>
            </w:r>
          </w:p>
        </w:tc>
      </w:tr>
      <w:tr w:rsidR="00A03CF0" w:rsidRPr="00907650" w14:paraId="1B5A80A7" w14:textId="77777777" w:rsidTr="00221092">
        <w:trPr>
          <w:trHeight w:val="53"/>
        </w:trPr>
        <w:tc>
          <w:tcPr>
            <w:tcW w:w="9010" w:type="dxa"/>
            <w:gridSpan w:val="3"/>
            <w:vAlign w:val="center"/>
          </w:tcPr>
          <w:p w14:paraId="51C5C5B8" w14:textId="77777777" w:rsidR="0099769B" w:rsidRPr="00907650" w:rsidRDefault="0099769B" w:rsidP="00907650">
            <w:pPr>
              <w:spacing w:before="120" w:after="120" w:line="260" w:lineRule="atLeast"/>
              <w:rPr>
                <w:rFonts w:ascii="Verdana" w:hAnsi="Verdana"/>
                <w:b/>
                <w:sz w:val="22"/>
                <w:szCs w:val="22"/>
              </w:rPr>
            </w:pPr>
            <w:r w:rsidRPr="00907650">
              <w:rPr>
                <w:rFonts w:ascii="Verdana" w:hAnsi="Verdana"/>
                <w:b/>
                <w:sz w:val="22"/>
              </w:rPr>
              <w:t>Цели:</w:t>
            </w:r>
          </w:p>
          <w:p w14:paraId="2B3F10F1" w14:textId="3B0DA443" w:rsidR="0099769B" w:rsidRPr="00907650" w:rsidRDefault="0099769B" w:rsidP="00907650">
            <w:pPr>
              <w:tabs>
                <w:tab w:val="left" w:pos="426"/>
                <w:tab w:val="left" w:pos="851"/>
              </w:tabs>
              <w:spacing w:before="120" w:after="120" w:line="260" w:lineRule="atLeast"/>
              <w:rPr>
                <w:rFonts w:ascii="Verdana" w:eastAsia="Times New Roman" w:hAnsi="Verdana" w:cs="Times New Roman"/>
                <w:sz w:val="18"/>
                <w:szCs w:val="18"/>
              </w:rPr>
            </w:pPr>
            <w:r w:rsidRPr="00907650">
              <w:rPr>
                <w:rFonts w:ascii="Verdana" w:hAnsi="Verdana"/>
                <w:sz w:val="18"/>
              </w:rPr>
              <w:t xml:space="preserve">На крајот на оваа сесија, </w:t>
            </w:r>
            <w:r w:rsidR="00E04460" w:rsidRPr="00907650">
              <w:rPr>
                <w:rFonts w:ascii="Verdana" w:hAnsi="Verdana"/>
                <w:sz w:val="18"/>
              </w:rPr>
              <w:t>претставници</w:t>
            </w:r>
            <w:r w:rsidRPr="00907650">
              <w:rPr>
                <w:rFonts w:ascii="Verdana" w:hAnsi="Verdana"/>
                <w:sz w:val="18"/>
              </w:rPr>
              <w:t>те ќе можат:</w:t>
            </w:r>
          </w:p>
          <w:p w14:paraId="2D79B303" w14:textId="5305F342" w:rsidR="00394E20" w:rsidRPr="00907650" w:rsidRDefault="00FC23CB" w:rsidP="00907650">
            <w:pPr>
              <w:pStyle w:val="bul1"/>
              <w:numPr>
                <w:ilvl w:val="0"/>
                <w:numId w:val="11"/>
              </w:numPr>
              <w:spacing w:before="120" w:after="120" w:line="260" w:lineRule="atLeast"/>
            </w:pPr>
            <w:r w:rsidRPr="00907650">
              <w:t xml:space="preserve">Да ги препознаат елементите на </w:t>
            </w:r>
            <w:r w:rsidR="006F209A" w:rsidRPr="00907650">
              <w:t>процесни</w:t>
            </w:r>
            <w:r w:rsidRPr="00907650">
              <w:t xml:space="preserve">те овластувања на:  </w:t>
            </w:r>
          </w:p>
          <w:p w14:paraId="30D53C2E" w14:textId="77777777" w:rsidR="00394E20" w:rsidRPr="00907650" w:rsidRDefault="0099769B" w:rsidP="00907650">
            <w:pPr>
              <w:pStyle w:val="bul1"/>
              <w:numPr>
                <w:ilvl w:val="0"/>
                <w:numId w:val="12"/>
              </w:numPr>
              <w:spacing w:before="120" w:after="120" w:line="260" w:lineRule="atLeast"/>
            </w:pPr>
            <w:r w:rsidRPr="00907650">
              <w:t xml:space="preserve">Вршењето претрес и запленувањето на складирани компјутерски податоци </w:t>
            </w:r>
          </w:p>
          <w:p w14:paraId="7F726C20" w14:textId="33C360D6" w:rsidR="00394E20" w:rsidRPr="00907650" w:rsidRDefault="00E04460" w:rsidP="00907650">
            <w:pPr>
              <w:pStyle w:val="bul1"/>
              <w:numPr>
                <w:ilvl w:val="0"/>
                <w:numId w:val="12"/>
              </w:numPr>
              <w:spacing w:before="120" w:after="120" w:line="260" w:lineRule="atLeast"/>
            </w:pPr>
            <w:r w:rsidRPr="00907650">
              <w:t>Преземање податочен сообраќај</w:t>
            </w:r>
            <w:r w:rsidR="0099769B" w:rsidRPr="00907650">
              <w:t xml:space="preserve"> во реално време</w:t>
            </w:r>
          </w:p>
          <w:p w14:paraId="63AB0966" w14:textId="7ADC7F8E" w:rsidR="0099769B" w:rsidRPr="00907650" w:rsidRDefault="00E04460" w:rsidP="00907650">
            <w:pPr>
              <w:pStyle w:val="bul1"/>
              <w:numPr>
                <w:ilvl w:val="0"/>
                <w:numId w:val="12"/>
              </w:numPr>
              <w:spacing w:before="120" w:after="120" w:line="260" w:lineRule="atLeast"/>
            </w:pPr>
            <w:r w:rsidRPr="00907650">
              <w:t>Следење</w:t>
            </w:r>
            <w:r w:rsidR="0099769B" w:rsidRPr="00907650">
              <w:t>то на содржински податоци</w:t>
            </w:r>
          </w:p>
          <w:p w14:paraId="61ABEAC5" w14:textId="33947EF9" w:rsidR="001E7389" w:rsidRPr="00907650" w:rsidRDefault="0099769B" w:rsidP="00907650">
            <w:pPr>
              <w:pStyle w:val="bul1"/>
              <w:numPr>
                <w:ilvl w:val="0"/>
                <w:numId w:val="11"/>
              </w:numPr>
              <w:spacing w:before="120" w:after="120" w:line="260" w:lineRule="atLeast"/>
            </w:pPr>
            <w:r w:rsidRPr="00907650">
              <w:t>Да го разберат опсегот на јурисдикција на Конвенцијата од Будимпешта.</w:t>
            </w:r>
          </w:p>
        </w:tc>
      </w:tr>
      <w:tr w:rsidR="005703B7" w:rsidRPr="00907650" w14:paraId="03110757" w14:textId="77777777" w:rsidTr="00907650">
        <w:trPr>
          <w:trHeight w:val="4490"/>
        </w:trPr>
        <w:tc>
          <w:tcPr>
            <w:tcW w:w="9010" w:type="dxa"/>
            <w:gridSpan w:val="3"/>
            <w:tcBorders>
              <w:bottom w:val="single" w:sz="4" w:space="0" w:color="auto"/>
            </w:tcBorders>
            <w:vAlign w:val="center"/>
          </w:tcPr>
          <w:p w14:paraId="7A064E85" w14:textId="77777777" w:rsidR="005703B7" w:rsidRPr="00907650" w:rsidRDefault="00E95703" w:rsidP="00907650">
            <w:pPr>
              <w:spacing w:before="120" w:after="120" w:line="260" w:lineRule="atLeast"/>
              <w:rPr>
                <w:rFonts w:ascii="Verdana" w:hAnsi="Verdana"/>
                <w:b/>
                <w:color w:val="000000" w:themeColor="text1"/>
                <w:sz w:val="22"/>
                <w:szCs w:val="22"/>
              </w:rPr>
            </w:pPr>
            <w:r w:rsidRPr="00907650">
              <w:rPr>
                <w:rFonts w:ascii="Verdana" w:hAnsi="Verdana"/>
                <w:b/>
                <w:color w:val="000000" w:themeColor="text1"/>
                <w:sz w:val="22"/>
              </w:rPr>
              <w:t>Упатство за обучувачи</w:t>
            </w:r>
          </w:p>
          <w:p w14:paraId="3D135B9C" w14:textId="72DE9EE0" w:rsidR="0099769B" w:rsidRPr="00907650" w:rsidRDefault="0099769B" w:rsidP="00907650">
            <w:pPr>
              <w:spacing w:before="120" w:after="120" w:line="260" w:lineRule="atLeast"/>
              <w:jc w:val="both"/>
              <w:rPr>
                <w:rFonts w:ascii="Verdana" w:hAnsi="Verdana"/>
                <w:sz w:val="18"/>
                <w:szCs w:val="18"/>
              </w:rPr>
            </w:pPr>
            <w:r w:rsidRPr="00907650">
              <w:rPr>
                <w:rFonts w:ascii="Verdana" w:hAnsi="Verdana"/>
                <w:sz w:val="18"/>
              </w:rPr>
              <w:t xml:space="preserve">Оваа сесија е подготвена за да им даде на учесниците сеопфатно разбирање на одредбите од процесното право наведени во Поглавје II Дел 2. Оваа сесија е поделена на четири дела, покрај воведот и заклучокот. Првиот дел го опфаќа претресот и запленувањето на складирани компјутерски податоци. Вториот дел го опфаќа </w:t>
            </w:r>
            <w:r w:rsidR="00FC6C1E" w:rsidRPr="00907650">
              <w:rPr>
                <w:rFonts w:ascii="Verdana" w:hAnsi="Verdana"/>
                <w:sz w:val="18"/>
              </w:rPr>
              <w:t>преземањето податочен сообраќај</w:t>
            </w:r>
            <w:r w:rsidRPr="00907650">
              <w:rPr>
                <w:rFonts w:ascii="Verdana" w:hAnsi="Verdana"/>
                <w:sz w:val="18"/>
              </w:rPr>
              <w:t xml:space="preserve"> во реално време. Третиот дел го опфаќа </w:t>
            </w:r>
            <w:r w:rsidR="00E04460" w:rsidRPr="00907650">
              <w:rPr>
                <w:rFonts w:ascii="Verdana" w:hAnsi="Verdana"/>
                <w:sz w:val="18"/>
              </w:rPr>
              <w:t>следење</w:t>
            </w:r>
            <w:r w:rsidRPr="00907650">
              <w:rPr>
                <w:rFonts w:ascii="Verdana" w:hAnsi="Verdana"/>
                <w:sz w:val="18"/>
              </w:rPr>
              <w:t xml:space="preserve">то на содржински податоци. Четвртиот дел го опфаќа опсегот на јурисдикција на Конвенцијата од Будимпешта. </w:t>
            </w:r>
          </w:p>
          <w:p w14:paraId="4F3DE3CE" w14:textId="77777777" w:rsidR="00FC23CB" w:rsidRPr="00907650" w:rsidRDefault="0099769B" w:rsidP="00907650">
            <w:pPr>
              <w:spacing w:before="120" w:after="120" w:line="260" w:lineRule="atLeast"/>
              <w:jc w:val="both"/>
              <w:rPr>
                <w:rFonts w:ascii="Verdana" w:hAnsi="Verdana"/>
                <w:sz w:val="18"/>
                <w:szCs w:val="18"/>
              </w:rPr>
            </w:pPr>
            <w:r w:rsidRPr="00907650">
              <w:rPr>
                <w:rFonts w:ascii="Verdana" w:hAnsi="Verdana"/>
                <w:sz w:val="18"/>
                <w:szCs w:val="18"/>
              </w:rPr>
              <w:t xml:space="preserve">Пред презентирањето на оваа сесија, се препорачува обучувачот да ги разгледа ставовите 184 – 239 од </w:t>
            </w:r>
            <w:hyperlink r:id="rId5" w:history="1">
              <w:r w:rsidRPr="00907650">
                <w:rPr>
                  <w:rStyle w:val="Hyperlink"/>
                  <w:rFonts w:ascii="Verdana" w:hAnsi="Verdana"/>
                  <w:sz w:val="18"/>
                  <w:szCs w:val="18"/>
                </w:rPr>
                <w:t>Извештајот за објаснување на конвенцијата за сајбер-криминал.</w:t>
              </w:r>
            </w:hyperlink>
          </w:p>
          <w:p w14:paraId="5EFF4BEF" w14:textId="1459421C" w:rsidR="00070C94" w:rsidRPr="00907650" w:rsidRDefault="00070C94" w:rsidP="00907650">
            <w:pPr>
              <w:spacing w:before="120" w:after="120" w:line="260" w:lineRule="atLeast"/>
              <w:jc w:val="both"/>
              <w:rPr>
                <w:rFonts w:ascii="Verdana" w:hAnsi="Verdana"/>
                <w:sz w:val="18"/>
                <w:szCs w:val="18"/>
              </w:rPr>
            </w:pPr>
            <w:r w:rsidRPr="00907650">
              <w:rPr>
                <w:rFonts w:ascii="Verdana" w:hAnsi="Verdana"/>
                <w:sz w:val="18"/>
                <w:szCs w:val="18"/>
              </w:rPr>
              <w:t>Обучувачот можеби ќе сака да поттикне дискусија за тоа како секоја од одредбите опфатени во оваа сесија се утврдени во домашното законодавство.</w:t>
            </w:r>
          </w:p>
        </w:tc>
      </w:tr>
      <w:tr w:rsidR="005A4E47" w:rsidRPr="00907650"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907650" w:rsidRDefault="005A4E47" w:rsidP="00907650">
            <w:pPr>
              <w:spacing w:before="120" w:after="120" w:line="260" w:lineRule="atLeast"/>
              <w:rPr>
                <w:rFonts w:ascii="Verdana" w:hAnsi="Verdana"/>
                <w:b/>
                <w:sz w:val="28"/>
                <w:szCs w:val="28"/>
              </w:rPr>
            </w:pPr>
            <w:r w:rsidRPr="00907650">
              <w:rPr>
                <w:rFonts w:ascii="Verdana" w:hAnsi="Verdana"/>
                <w:b/>
                <w:sz w:val="28"/>
              </w:rPr>
              <w:lastRenderedPageBreak/>
              <w:t>Содржина на лекцијата</w:t>
            </w:r>
          </w:p>
        </w:tc>
      </w:tr>
      <w:tr w:rsidR="00F1574D" w:rsidRPr="00907650" w14:paraId="57CC7AA4" w14:textId="77777777" w:rsidTr="00F1574D">
        <w:trPr>
          <w:trHeight w:val="629"/>
        </w:trPr>
        <w:tc>
          <w:tcPr>
            <w:tcW w:w="1525" w:type="dxa"/>
            <w:shd w:val="clear" w:color="auto" w:fill="D9E2F3" w:themeFill="accent1" w:themeFillTint="33"/>
            <w:vAlign w:val="center"/>
          </w:tcPr>
          <w:p w14:paraId="4538C338" w14:textId="77777777" w:rsidR="00D82C18" w:rsidRPr="00907650" w:rsidRDefault="00E13BE7" w:rsidP="00907650">
            <w:pPr>
              <w:spacing w:before="120" w:after="120" w:line="260" w:lineRule="atLeast"/>
              <w:jc w:val="center"/>
              <w:rPr>
                <w:rFonts w:ascii="Verdana" w:hAnsi="Verdana"/>
                <w:b/>
                <w:sz w:val="22"/>
                <w:szCs w:val="22"/>
              </w:rPr>
            </w:pPr>
            <w:r w:rsidRPr="00907650">
              <w:rPr>
                <w:rFonts w:ascii="Verdana" w:hAnsi="Verdana"/>
                <w:b/>
                <w:sz w:val="22"/>
              </w:rPr>
              <w:t>Број на слајдови</w:t>
            </w:r>
          </w:p>
        </w:tc>
        <w:tc>
          <w:tcPr>
            <w:tcW w:w="7485" w:type="dxa"/>
            <w:gridSpan w:val="2"/>
            <w:shd w:val="clear" w:color="auto" w:fill="D9E2F3" w:themeFill="accent1" w:themeFillTint="33"/>
            <w:vAlign w:val="center"/>
          </w:tcPr>
          <w:p w14:paraId="2DA616FC" w14:textId="77777777" w:rsidR="00D82C18" w:rsidRPr="00907650" w:rsidRDefault="00E13BE7" w:rsidP="00907650">
            <w:pPr>
              <w:spacing w:before="120" w:after="120" w:line="260" w:lineRule="atLeast"/>
              <w:rPr>
                <w:rFonts w:ascii="Verdana" w:hAnsi="Verdana"/>
                <w:b/>
                <w:sz w:val="22"/>
                <w:szCs w:val="22"/>
              </w:rPr>
            </w:pPr>
            <w:r w:rsidRPr="00907650">
              <w:rPr>
                <w:rFonts w:ascii="Verdana" w:hAnsi="Verdana"/>
                <w:b/>
                <w:sz w:val="22"/>
              </w:rPr>
              <w:t>Содржина</w:t>
            </w:r>
          </w:p>
        </w:tc>
      </w:tr>
      <w:tr w:rsidR="00F1574D" w:rsidRPr="00907650" w14:paraId="11A12D7E" w14:textId="77777777" w:rsidTr="000F04E4">
        <w:trPr>
          <w:trHeight w:val="591"/>
        </w:trPr>
        <w:tc>
          <w:tcPr>
            <w:tcW w:w="1525" w:type="dxa"/>
            <w:vAlign w:val="center"/>
          </w:tcPr>
          <w:p w14:paraId="67083237" w14:textId="207A1282" w:rsidR="00D82C18" w:rsidRPr="00907650" w:rsidRDefault="003630ED" w:rsidP="00907650">
            <w:pPr>
              <w:spacing w:before="120" w:after="120" w:line="260" w:lineRule="atLeast"/>
              <w:jc w:val="center"/>
              <w:rPr>
                <w:rFonts w:ascii="Verdana" w:hAnsi="Verdana"/>
                <w:sz w:val="18"/>
                <w:szCs w:val="18"/>
              </w:rPr>
            </w:pPr>
            <w:r w:rsidRPr="00907650">
              <w:rPr>
                <w:rFonts w:ascii="Verdana" w:hAnsi="Verdana"/>
                <w:sz w:val="18"/>
              </w:rPr>
              <w:t>1 до 4</w:t>
            </w:r>
          </w:p>
          <w:p w14:paraId="5A89CF27" w14:textId="6863FBB0" w:rsidR="00F1574D" w:rsidRPr="00907650" w:rsidRDefault="00F1574D" w:rsidP="00907650">
            <w:pPr>
              <w:spacing w:before="120" w:after="120" w:line="260" w:lineRule="atLeast"/>
              <w:jc w:val="center"/>
              <w:rPr>
                <w:rFonts w:ascii="Verdana" w:hAnsi="Verdana"/>
                <w:sz w:val="18"/>
                <w:szCs w:val="18"/>
              </w:rPr>
            </w:pPr>
            <w:r w:rsidRPr="00907650">
              <w:rPr>
                <w:rFonts w:ascii="Verdana" w:hAnsi="Verdana"/>
                <w:sz w:val="18"/>
              </w:rPr>
              <w:t>Задолжителни слајдови</w:t>
            </w:r>
          </w:p>
        </w:tc>
        <w:tc>
          <w:tcPr>
            <w:tcW w:w="7485" w:type="dxa"/>
            <w:gridSpan w:val="2"/>
            <w:vAlign w:val="center"/>
          </w:tcPr>
          <w:p w14:paraId="36345B59" w14:textId="4EFB5D9E" w:rsidR="00556D69" w:rsidRPr="00907650" w:rsidRDefault="00556D69" w:rsidP="00907650">
            <w:pPr>
              <w:spacing w:before="120" w:after="120" w:line="260" w:lineRule="atLeast"/>
              <w:jc w:val="both"/>
              <w:rPr>
                <w:rFonts w:ascii="Verdana" w:hAnsi="Verdana"/>
                <w:color w:val="000000" w:themeColor="text1"/>
                <w:sz w:val="18"/>
                <w:szCs w:val="18"/>
              </w:rPr>
            </w:pPr>
            <w:r w:rsidRPr="00907650">
              <w:rPr>
                <w:rFonts w:ascii="Verdana" w:hAnsi="Verdana"/>
                <w:color w:val="000000" w:themeColor="text1"/>
                <w:sz w:val="18"/>
              </w:rPr>
              <w:t xml:space="preserve">Почетните слајдови се воведот во сесијата и ги содржат дневниот ред и целите на сесијата. </w:t>
            </w:r>
          </w:p>
        </w:tc>
      </w:tr>
      <w:tr w:rsidR="00F1574D" w:rsidRPr="00907650" w14:paraId="65F07CB5" w14:textId="77777777" w:rsidTr="00F1574D">
        <w:trPr>
          <w:trHeight w:val="1880"/>
        </w:trPr>
        <w:tc>
          <w:tcPr>
            <w:tcW w:w="1525" w:type="dxa"/>
            <w:vAlign w:val="center"/>
          </w:tcPr>
          <w:p w14:paraId="56AF6365" w14:textId="3F730876" w:rsidR="00D82C18" w:rsidRPr="00907650" w:rsidRDefault="00C70C5C" w:rsidP="00907650">
            <w:pPr>
              <w:spacing w:before="120" w:after="120" w:line="260" w:lineRule="atLeast"/>
              <w:jc w:val="center"/>
              <w:rPr>
                <w:rFonts w:ascii="Verdana" w:hAnsi="Verdana"/>
                <w:sz w:val="18"/>
                <w:szCs w:val="18"/>
              </w:rPr>
            </w:pPr>
            <w:r w:rsidRPr="00907650">
              <w:rPr>
                <w:rFonts w:ascii="Verdana" w:hAnsi="Verdana"/>
                <w:sz w:val="18"/>
              </w:rPr>
              <w:t>5 до 18</w:t>
            </w:r>
          </w:p>
          <w:p w14:paraId="6F5AEB2D" w14:textId="242338E2" w:rsidR="00F1574D" w:rsidRPr="00907650" w:rsidRDefault="00BA7368" w:rsidP="00907650">
            <w:pPr>
              <w:spacing w:before="120" w:after="120" w:line="260" w:lineRule="atLeast"/>
              <w:jc w:val="center"/>
              <w:rPr>
                <w:rFonts w:ascii="Verdana" w:hAnsi="Verdana"/>
                <w:sz w:val="18"/>
                <w:szCs w:val="18"/>
              </w:rPr>
            </w:pPr>
            <w:r w:rsidRPr="00907650">
              <w:rPr>
                <w:rFonts w:ascii="Verdana" w:hAnsi="Verdana"/>
                <w:sz w:val="18"/>
              </w:rPr>
              <w:t>Задолжителни слајдови</w:t>
            </w:r>
          </w:p>
        </w:tc>
        <w:tc>
          <w:tcPr>
            <w:tcW w:w="7485" w:type="dxa"/>
            <w:gridSpan w:val="2"/>
            <w:vAlign w:val="center"/>
          </w:tcPr>
          <w:p w14:paraId="73838076" w14:textId="3569E243" w:rsidR="00E66317" w:rsidRPr="00907650" w:rsidRDefault="00E66317" w:rsidP="00907650">
            <w:pPr>
              <w:pStyle w:val="Subtitle"/>
              <w:spacing w:before="120" w:line="260" w:lineRule="atLeast"/>
              <w:rPr>
                <w:rFonts w:ascii="Verdana" w:eastAsia="Times New Roman" w:hAnsi="Verdana"/>
                <w:szCs w:val="18"/>
              </w:rPr>
            </w:pPr>
            <w:r w:rsidRPr="00907650">
              <w:rPr>
                <w:rFonts w:ascii="Verdana" w:hAnsi="Verdana"/>
              </w:rPr>
              <w:t xml:space="preserve">Овие слајдови ги објаснуваат </w:t>
            </w:r>
            <w:r w:rsidR="006F209A" w:rsidRPr="00907650">
              <w:rPr>
                <w:rFonts w:ascii="Verdana" w:hAnsi="Verdana"/>
              </w:rPr>
              <w:t>процесни</w:t>
            </w:r>
            <w:r w:rsidRPr="00907650">
              <w:rPr>
                <w:rFonts w:ascii="Verdana" w:hAnsi="Verdana"/>
              </w:rPr>
              <w:t xml:space="preserve">те законски одредби поврзани со претрес и запленување на складирани компјутерски податоци согласно член 19 од Конвенцијата од Будимпешта. </w:t>
            </w:r>
          </w:p>
          <w:p w14:paraId="16E41572" w14:textId="5D0A1C62" w:rsidR="00E66317" w:rsidRPr="00907650" w:rsidRDefault="00E66317" w:rsidP="00907650">
            <w:pPr>
              <w:pStyle w:val="Subtitle"/>
              <w:spacing w:before="120" w:line="260" w:lineRule="atLeast"/>
              <w:rPr>
                <w:rFonts w:ascii="Verdana" w:eastAsia="Times New Roman" w:hAnsi="Verdana"/>
                <w:szCs w:val="18"/>
              </w:rPr>
            </w:pPr>
            <w:r w:rsidRPr="00907650">
              <w:rPr>
                <w:rFonts w:ascii="Verdana" w:hAnsi="Verdana"/>
              </w:rPr>
              <w:t xml:space="preserve">Првата група слајдови дава резиме на овластувањата според член 19 од Конвенцијата од Будимпешта. Исто така, дадени се две студии на случај за да се покажат различни начини на кои се искористени овие овластувања, вклучително при запленување на уреди за складирање на физички податоци, правејќи ги компјутерските податоци недостапни. </w:t>
            </w:r>
          </w:p>
          <w:p w14:paraId="649FEA68" w14:textId="23CFB0D8" w:rsidR="00DD3B85" w:rsidRPr="00907650" w:rsidRDefault="00E66317" w:rsidP="00907650">
            <w:pPr>
              <w:pStyle w:val="Subtitle"/>
              <w:spacing w:before="120" w:line="260" w:lineRule="atLeast"/>
              <w:rPr>
                <w:rFonts w:ascii="Verdana" w:eastAsia="Times New Roman" w:hAnsi="Verdana"/>
                <w:szCs w:val="18"/>
              </w:rPr>
            </w:pPr>
            <w:r w:rsidRPr="00907650">
              <w:rPr>
                <w:rFonts w:ascii="Verdana" w:hAnsi="Verdana"/>
              </w:rPr>
              <w:t xml:space="preserve">Следната група слајдови е поделена во две колони. Колоната од левата страна го прикажува текстот од член 19 од Конвенцијата од Будимпешта со нагласен специфичен елемент, додека колумната од десната страна дава објаснување на нагласениот елемент. Се очекува обучувачот да го помине секој елемент, за да им обезбеди на </w:t>
            </w:r>
            <w:r w:rsidR="00E04460" w:rsidRPr="00907650">
              <w:rPr>
                <w:rFonts w:ascii="Verdana" w:hAnsi="Verdana"/>
              </w:rPr>
              <w:t>претставници</w:t>
            </w:r>
            <w:r w:rsidRPr="00907650">
              <w:rPr>
                <w:rFonts w:ascii="Verdana" w:hAnsi="Verdana"/>
              </w:rPr>
              <w:t>те сеопфатно разбирање од член 19 на Конвенцијата од Будимпешта.</w:t>
            </w:r>
          </w:p>
        </w:tc>
      </w:tr>
      <w:tr w:rsidR="00F1574D" w:rsidRPr="00907650" w14:paraId="15587DD6" w14:textId="77777777" w:rsidTr="00F1574D">
        <w:trPr>
          <w:trHeight w:val="1916"/>
        </w:trPr>
        <w:tc>
          <w:tcPr>
            <w:tcW w:w="1525" w:type="dxa"/>
            <w:vAlign w:val="center"/>
          </w:tcPr>
          <w:p w14:paraId="5EBB803A" w14:textId="070DD26F" w:rsidR="00556D69" w:rsidRPr="00907650" w:rsidRDefault="00150201" w:rsidP="00907650">
            <w:pPr>
              <w:spacing w:before="120" w:after="120" w:line="260" w:lineRule="atLeast"/>
              <w:jc w:val="center"/>
              <w:rPr>
                <w:rFonts w:ascii="Verdana" w:hAnsi="Verdana"/>
                <w:sz w:val="18"/>
                <w:szCs w:val="18"/>
              </w:rPr>
            </w:pPr>
            <w:r w:rsidRPr="00907650">
              <w:rPr>
                <w:rFonts w:ascii="Verdana" w:hAnsi="Verdana"/>
                <w:sz w:val="18"/>
              </w:rPr>
              <w:t>19 до 29</w:t>
            </w:r>
          </w:p>
          <w:p w14:paraId="65C32028" w14:textId="2E212042" w:rsidR="00F1574D" w:rsidRPr="00907650" w:rsidRDefault="006B3820" w:rsidP="00907650">
            <w:pPr>
              <w:spacing w:before="120" w:after="120" w:line="260" w:lineRule="atLeast"/>
              <w:jc w:val="center"/>
              <w:rPr>
                <w:rFonts w:ascii="Verdana" w:hAnsi="Verdana"/>
                <w:sz w:val="18"/>
                <w:szCs w:val="18"/>
              </w:rPr>
            </w:pPr>
            <w:r w:rsidRPr="00907650">
              <w:rPr>
                <w:rFonts w:ascii="Verdana" w:hAnsi="Verdana"/>
                <w:sz w:val="18"/>
              </w:rPr>
              <w:t>Задолжителни слајдови</w:t>
            </w:r>
          </w:p>
        </w:tc>
        <w:tc>
          <w:tcPr>
            <w:tcW w:w="7485" w:type="dxa"/>
            <w:gridSpan w:val="2"/>
            <w:vAlign w:val="center"/>
          </w:tcPr>
          <w:p w14:paraId="46AACDEB" w14:textId="00728318" w:rsidR="00E66317" w:rsidRPr="00907650" w:rsidRDefault="00E66317" w:rsidP="00907650">
            <w:pPr>
              <w:pStyle w:val="Subtitle"/>
              <w:spacing w:before="120" w:line="260" w:lineRule="atLeast"/>
              <w:rPr>
                <w:rFonts w:ascii="Verdana" w:eastAsia="Times New Roman" w:hAnsi="Verdana"/>
                <w:szCs w:val="18"/>
              </w:rPr>
            </w:pPr>
            <w:r w:rsidRPr="00907650">
              <w:rPr>
                <w:rFonts w:ascii="Verdana" w:hAnsi="Verdana"/>
              </w:rPr>
              <w:t>Овие слајдови ги објаснуваат проце</w:t>
            </w:r>
            <w:r w:rsidR="006F209A" w:rsidRPr="00907650">
              <w:rPr>
                <w:rFonts w:ascii="Verdana" w:hAnsi="Verdana"/>
              </w:rPr>
              <w:t>с</w:t>
            </w:r>
            <w:r w:rsidRPr="00907650">
              <w:rPr>
                <w:rFonts w:ascii="Verdana" w:hAnsi="Verdana"/>
              </w:rPr>
              <w:t xml:space="preserve">ните законски одредби поврзани со </w:t>
            </w:r>
            <w:r w:rsidR="00FC6C1E" w:rsidRPr="00907650">
              <w:rPr>
                <w:rFonts w:ascii="Verdana" w:hAnsi="Verdana"/>
              </w:rPr>
              <w:t>преземањето податочен сообраќај</w:t>
            </w:r>
            <w:r w:rsidRPr="00907650">
              <w:rPr>
                <w:rFonts w:ascii="Verdana" w:hAnsi="Verdana"/>
              </w:rPr>
              <w:t xml:space="preserve"> во реално време во според член 20 од Конвенцијата од Будимпешта. </w:t>
            </w:r>
          </w:p>
          <w:p w14:paraId="21AA9A06" w14:textId="7E68E365" w:rsidR="00E66317" w:rsidRPr="00907650" w:rsidRDefault="00E66317" w:rsidP="00907650">
            <w:pPr>
              <w:pStyle w:val="Subtitle"/>
              <w:spacing w:before="120" w:line="260" w:lineRule="atLeast"/>
              <w:rPr>
                <w:rFonts w:ascii="Verdana" w:eastAsia="Times New Roman" w:hAnsi="Verdana"/>
                <w:szCs w:val="18"/>
              </w:rPr>
            </w:pPr>
            <w:r w:rsidRPr="00907650">
              <w:rPr>
                <w:rFonts w:ascii="Verdana" w:hAnsi="Verdana"/>
              </w:rPr>
              <w:t xml:space="preserve">Првиот слајд дава резиме на овластувањата според член 20 од Конвенцијата од Будимпешта. </w:t>
            </w:r>
          </w:p>
          <w:p w14:paraId="09B58FC0" w14:textId="6E4290A5" w:rsidR="00C70C5C" w:rsidRPr="00907650" w:rsidRDefault="00E66317" w:rsidP="00907650">
            <w:pPr>
              <w:spacing w:before="120" w:after="120" w:line="260" w:lineRule="atLeast"/>
              <w:jc w:val="both"/>
              <w:rPr>
                <w:rFonts w:ascii="Verdana" w:hAnsi="Verdana"/>
              </w:rPr>
            </w:pPr>
            <w:r w:rsidRPr="00907650">
              <w:rPr>
                <w:rFonts w:ascii="Verdana" w:hAnsi="Verdana"/>
                <w:sz w:val="18"/>
              </w:rPr>
              <w:t xml:space="preserve">Следната група слајдови е поделена во две колони. Колоната од левата страна го прикажува текстот од член 20 од Конвенцијата од Будимпешта со нагласен специфичен елемент, додека колумната од десната страна дава објаснување на нагласениот елемент. Од обучувачот се очекува да го помине секој елемент, за да им обезбеди на </w:t>
            </w:r>
            <w:r w:rsidR="00E04460" w:rsidRPr="00907650">
              <w:rPr>
                <w:rFonts w:ascii="Verdana" w:hAnsi="Verdana"/>
                <w:sz w:val="18"/>
              </w:rPr>
              <w:t>претставници</w:t>
            </w:r>
            <w:r w:rsidRPr="00907650">
              <w:rPr>
                <w:rFonts w:ascii="Verdana" w:hAnsi="Verdana"/>
                <w:sz w:val="18"/>
              </w:rPr>
              <w:t>те сеопфатно разбирање на член 20 од Конвенцијата од Будимпешта.</w:t>
            </w:r>
          </w:p>
        </w:tc>
      </w:tr>
      <w:tr w:rsidR="00F1574D" w:rsidRPr="00907650" w14:paraId="4F010995" w14:textId="77777777" w:rsidTr="00F1574D">
        <w:trPr>
          <w:trHeight w:val="791"/>
        </w:trPr>
        <w:tc>
          <w:tcPr>
            <w:tcW w:w="1525" w:type="dxa"/>
            <w:vAlign w:val="center"/>
          </w:tcPr>
          <w:p w14:paraId="15E808BA" w14:textId="6D01DD51" w:rsidR="00556D69" w:rsidRPr="00907650" w:rsidRDefault="00150201" w:rsidP="00907650">
            <w:pPr>
              <w:spacing w:before="120" w:after="120" w:line="260" w:lineRule="atLeast"/>
              <w:jc w:val="center"/>
              <w:rPr>
                <w:rFonts w:ascii="Verdana" w:hAnsi="Verdana"/>
                <w:sz w:val="18"/>
                <w:szCs w:val="18"/>
              </w:rPr>
            </w:pPr>
            <w:r w:rsidRPr="00907650">
              <w:rPr>
                <w:rFonts w:ascii="Verdana" w:hAnsi="Verdana"/>
                <w:sz w:val="18"/>
              </w:rPr>
              <w:t>30 до 42</w:t>
            </w:r>
          </w:p>
          <w:p w14:paraId="48504862" w14:textId="307D4B02" w:rsidR="00C70C5C" w:rsidRPr="00907650" w:rsidRDefault="00C70C5C" w:rsidP="00907650">
            <w:pPr>
              <w:spacing w:before="120" w:after="120" w:line="260" w:lineRule="atLeast"/>
              <w:jc w:val="center"/>
              <w:rPr>
                <w:rFonts w:ascii="Verdana" w:hAnsi="Verdana"/>
                <w:sz w:val="18"/>
                <w:szCs w:val="18"/>
              </w:rPr>
            </w:pPr>
            <w:r w:rsidRPr="00907650">
              <w:rPr>
                <w:rFonts w:ascii="Verdana" w:hAnsi="Verdana"/>
                <w:sz w:val="18"/>
              </w:rPr>
              <w:t>Задолжителни слајдови</w:t>
            </w:r>
          </w:p>
        </w:tc>
        <w:tc>
          <w:tcPr>
            <w:tcW w:w="7485" w:type="dxa"/>
            <w:gridSpan w:val="2"/>
            <w:vAlign w:val="center"/>
          </w:tcPr>
          <w:p w14:paraId="2E234509" w14:textId="7C7A8BC0" w:rsidR="001737D1" w:rsidRPr="00907650" w:rsidRDefault="001737D1" w:rsidP="00907650">
            <w:pPr>
              <w:pStyle w:val="Subtitle"/>
              <w:spacing w:before="120" w:line="260" w:lineRule="atLeast"/>
              <w:rPr>
                <w:rFonts w:ascii="Verdana" w:eastAsia="Times New Roman" w:hAnsi="Verdana"/>
                <w:szCs w:val="18"/>
              </w:rPr>
            </w:pPr>
            <w:r w:rsidRPr="00907650">
              <w:rPr>
                <w:rFonts w:ascii="Verdana" w:hAnsi="Verdana"/>
              </w:rPr>
              <w:t xml:space="preserve">Овие слајдови ги објаснуваат </w:t>
            </w:r>
            <w:r w:rsidR="006F209A" w:rsidRPr="00907650">
              <w:rPr>
                <w:rFonts w:ascii="Verdana" w:hAnsi="Verdana"/>
              </w:rPr>
              <w:t>процесни</w:t>
            </w:r>
            <w:r w:rsidRPr="00907650">
              <w:rPr>
                <w:rFonts w:ascii="Verdana" w:hAnsi="Verdana"/>
              </w:rPr>
              <w:t xml:space="preserve">те законски одредби поврзани со </w:t>
            </w:r>
            <w:r w:rsidR="00E04460" w:rsidRPr="00907650">
              <w:rPr>
                <w:rFonts w:ascii="Verdana" w:hAnsi="Verdana"/>
              </w:rPr>
              <w:t>следење</w:t>
            </w:r>
            <w:r w:rsidRPr="00907650">
              <w:rPr>
                <w:rFonts w:ascii="Verdana" w:hAnsi="Verdana"/>
              </w:rPr>
              <w:t xml:space="preserve">то на содржински податоци според член 21 од Конвенцијата од Будимпешта. </w:t>
            </w:r>
          </w:p>
          <w:p w14:paraId="1A1C3008" w14:textId="52BDFB35" w:rsidR="001737D1" w:rsidRPr="00907650" w:rsidRDefault="001737D1" w:rsidP="00907650">
            <w:pPr>
              <w:pStyle w:val="Subtitle"/>
              <w:spacing w:before="120" w:line="260" w:lineRule="atLeast"/>
              <w:rPr>
                <w:rFonts w:ascii="Verdana" w:eastAsia="Times New Roman" w:hAnsi="Verdana"/>
                <w:szCs w:val="18"/>
              </w:rPr>
            </w:pPr>
            <w:r w:rsidRPr="00907650">
              <w:rPr>
                <w:rFonts w:ascii="Verdana" w:hAnsi="Verdana"/>
              </w:rPr>
              <w:t xml:space="preserve">Првата група слајдови дава резиме на овластувањата според член 21 од Конвенцијата од Будимпешта. Исто така дадена е студија на случај за </w:t>
            </w:r>
            <w:r w:rsidR="00E04460" w:rsidRPr="00907650">
              <w:rPr>
                <w:rFonts w:ascii="Verdana" w:hAnsi="Verdana"/>
              </w:rPr>
              <w:t>следење</w:t>
            </w:r>
            <w:r w:rsidRPr="00907650">
              <w:rPr>
                <w:rFonts w:ascii="Verdana" w:hAnsi="Verdana"/>
              </w:rPr>
              <w:t xml:space="preserve"> на содржински податоци во врска со криминална мрежа за разговори која била користена од десетици илјади криминалци. </w:t>
            </w:r>
          </w:p>
          <w:p w14:paraId="4AF5B3D7" w14:textId="3463E851" w:rsidR="00DD3B85" w:rsidRPr="00907650" w:rsidRDefault="001737D1" w:rsidP="00907650">
            <w:pPr>
              <w:spacing w:before="120" w:after="120" w:line="260" w:lineRule="atLeast"/>
              <w:jc w:val="both"/>
              <w:rPr>
                <w:rFonts w:ascii="Verdana" w:eastAsia="Times New Roman" w:hAnsi="Verdana" w:cstheme="majorBidi"/>
                <w:iCs/>
                <w:color w:val="000000" w:themeColor="text1"/>
                <w:sz w:val="18"/>
              </w:rPr>
            </w:pPr>
            <w:r w:rsidRPr="00907650">
              <w:rPr>
                <w:rFonts w:ascii="Verdana" w:hAnsi="Verdana"/>
                <w:sz w:val="18"/>
              </w:rPr>
              <w:t xml:space="preserve">Следната група слајдови е поделена во две колони. Колоната од левата страна го прикажува текстот од член 21 од Конвенцијата од Будимпешта со нагласен специфичен елемент, додека колумната од десната страна дава објаснување на нагласениот елемент. Се очекува обучувачот да го помине секој елемент, за да им обезбеди на </w:t>
            </w:r>
            <w:r w:rsidR="00E04460" w:rsidRPr="00907650">
              <w:rPr>
                <w:rFonts w:ascii="Verdana" w:hAnsi="Verdana"/>
                <w:sz w:val="18"/>
              </w:rPr>
              <w:t>претставници</w:t>
            </w:r>
            <w:r w:rsidRPr="00907650">
              <w:rPr>
                <w:rFonts w:ascii="Verdana" w:hAnsi="Verdana"/>
                <w:sz w:val="18"/>
              </w:rPr>
              <w:t>те сеопфатно разбирање на член 21 од Конвенцијата од Будимпешта.</w:t>
            </w:r>
          </w:p>
        </w:tc>
      </w:tr>
      <w:tr w:rsidR="00CA481B" w:rsidRPr="00907650" w14:paraId="3ECBAC2B" w14:textId="77777777" w:rsidTr="00F1574D">
        <w:trPr>
          <w:trHeight w:val="791"/>
        </w:trPr>
        <w:tc>
          <w:tcPr>
            <w:tcW w:w="1525" w:type="dxa"/>
            <w:vAlign w:val="center"/>
          </w:tcPr>
          <w:p w14:paraId="46472C8E" w14:textId="3DE64783" w:rsidR="00CA481B" w:rsidRPr="00907650" w:rsidRDefault="00150201" w:rsidP="00907650">
            <w:pPr>
              <w:spacing w:before="120" w:after="120" w:line="260" w:lineRule="atLeast"/>
              <w:jc w:val="center"/>
              <w:rPr>
                <w:rFonts w:ascii="Verdana" w:hAnsi="Verdana"/>
                <w:sz w:val="18"/>
                <w:szCs w:val="18"/>
              </w:rPr>
            </w:pPr>
            <w:r w:rsidRPr="00907650">
              <w:rPr>
                <w:rFonts w:ascii="Verdana" w:hAnsi="Verdana"/>
                <w:sz w:val="18"/>
              </w:rPr>
              <w:t xml:space="preserve">43 до 50 </w:t>
            </w:r>
          </w:p>
          <w:p w14:paraId="74E2783E" w14:textId="338530D5" w:rsidR="00CA481B" w:rsidRPr="00907650" w:rsidRDefault="00CA481B" w:rsidP="00907650">
            <w:pPr>
              <w:spacing w:before="120" w:after="120" w:line="260" w:lineRule="atLeast"/>
              <w:jc w:val="center"/>
              <w:rPr>
                <w:rFonts w:ascii="Verdana" w:hAnsi="Verdana"/>
                <w:sz w:val="18"/>
                <w:szCs w:val="18"/>
              </w:rPr>
            </w:pPr>
            <w:r w:rsidRPr="00907650">
              <w:rPr>
                <w:rFonts w:ascii="Verdana" w:hAnsi="Verdana"/>
                <w:sz w:val="18"/>
              </w:rPr>
              <w:lastRenderedPageBreak/>
              <w:t>Задолжителни слајдови</w:t>
            </w:r>
          </w:p>
        </w:tc>
        <w:tc>
          <w:tcPr>
            <w:tcW w:w="7485" w:type="dxa"/>
            <w:gridSpan w:val="2"/>
            <w:vAlign w:val="center"/>
          </w:tcPr>
          <w:p w14:paraId="7051C09D" w14:textId="440353EC" w:rsidR="00E27C71" w:rsidRPr="00907650" w:rsidRDefault="00E27C71" w:rsidP="00907650">
            <w:pPr>
              <w:pStyle w:val="Subtitle"/>
              <w:spacing w:before="120" w:line="260" w:lineRule="atLeast"/>
              <w:rPr>
                <w:rFonts w:ascii="Verdana" w:eastAsia="Times New Roman" w:hAnsi="Verdana"/>
                <w:szCs w:val="18"/>
              </w:rPr>
            </w:pPr>
            <w:r w:rsidRPr="00907650">
              <w:rPr>
                <w:rFonts w:ascii="Verdana" w:hAnsi="Verdana"/>
              </w:rPr>
              <w:lastRenderedPageBreak/>
              <w:t xml:space="preserve">Овие слајдови го објаснуваат опсегот на јурисдикцијата на Конвенцијата од Будимпешта како што е наведено во член 22. </w:t>
            </w:r>
          </w:p>
          <w:p w14:paraId="0B5729F2" w14:textId="4CF22B52" w:rsidR="00E27C71" w:rsidRPr="00907650" w:rsidRDefault="00E27C71" w:rsidP="00907650">
            <w:pPr>
              <w:pStyle w:val="Subtitle"/>
              <w:spacing w:before="120" w:line="260" w:lineRule="atLeast"/>
              <w:rPr>
                <w:rFonts w:ascii="Verdana" w:eastAsia="Times New Roman" w:hAnsi="Verdana"/>
                <w:szCs w:val="18"/>
              </w:rPr>
            </w:pPr>
            <w:r w:rsidRPr="00907650">
              <w:rPr>
                <w:rFonts w:ascii="Verdana" w:hAnsi="Verdana"/>
              </w:rPr>
              <w:lastRenderedPageBreak/>
              <w:t xml:space="preserve">Првиот слајд дава резиме на опсегот на јурисдикцијата според член 22 од Конвенцијата од Будимпешта. </w:t>
            </w:r>
          </w:p>
          <w:p w14:paraId="2F2BCFB2" w14:textId="21981FBC" w:rsidR="00CA481B" w:rsidRPr="00907650" w:rsidRDefault="00E27C71" w:rsidP="00907650">
            <w:pPr>
              <w:pStyle w:val="Subtitle"/>
              <w:spacing w:before="120" w:line="260" w:lineRule="atLeast"/>
              <w:rPr>
                <w:rFonts w:ascii="Verdana" w:eastAsia="Times New Roman" w:hAnsi="Verdana"/>
              </w:rPr>
            </w:pPr>
            <w:r w:rsidRPr="00907650">
              <w:rPr>
                <w:rFonts w:ascii="Verdana" w:hAnsi="Verdana"/>
              </w:rPr>
              <w:t xml:space="preserve">Следната група слајдови е поделена во две колони. Колоната од левата страна го прикажува текстот од член 22 од Конвенцијата од Будимпешта со нагласен специфичен елемент, додека колумната од десната страна дава објаснување на нагласениот елемент. Се очекува обучувачот да го помине секој елемент, за да им обезбеди на </w:t>
            </w:r>
            <w:r w:rsidR="00E04460" w:rsidRPr="00907650">
              <w:rPr>
                <w:rFonts w:ascii="Verdana" w:hAnsi="Verdana"/>
              </w:rPr>
              <w:t>претставници</w:t>
            </w:r>
            <w:r w:rsidRPr="00907650">
              <w:rPr>
                <w:rFonts w:ascii="Verdana" w:hAnsi="Verdana"/>
              </w:rPr>
              <w:t>те сеопфатно разбирање на член 22 од Конвенцијата од Будимпешта.</w:t>
            </w:r>
          </w:p>
        </w:tc>
      </w:tr>
      <w:tr w:rsidR="00CA481B" w:rsidRPr="00907650" w14:paraId="35503B3F" w14:textId="77777777" w:rsidTr="00F1574D">
        <w:trPr>
          <w:trHeight w:val="1259"/>
        </w:trPr>
        <w:tc>
          <w:tcPr>
            <w:tcW w:w="1525" w:type="dxa"/>
            <w:vAlign w:val="center"/>
          </w:tcPr>
          <w:p w14:paraId="5A87A945" w14:textId="12239A1B" w:rsidR="00CA481B" w:rsidRPr="00907650" w:rsidRDefault="00150201" w:rsidP="00907650">
            <w:pPr>
              <w:spacing w:before="120" w:after="120" w:line="260" w:lineRule="atLeast"/>
              <w:jc w:val="center"/>
              <w:rPr>
                <w:rFonts w:ascii="Verdana" w:hAnsi="Verdana"/>
                <w:sz w:val="18"/>
                <w:szCs w:val="18"/>
              </w:rPr>
            </w:pPr>
            <w:r w:rsidRPr="00907650">
              <w:rPr>
                <w:rFonts w:ascii="Verdana" w:hAnsi="Verdana"/>
                <w:sz w:val="18"/>
              </w:rPr>
              <w:lastRenderedPageBreak/>
              <w:t>51 до 52</w:t>
            </w:r>
          </w:p>
          <w:p w14:paraId="5DE9D224" w14:textId="2175AE8F" w:rsidR="00CA481B" w:rsidRPr="00907650" w:rsidRDefault="00CA481B" w:rsidP="00907650">
            <w:pPr>
              <w:spacing w:before="120" w:after="120" w:line="260" w:lineRule="atLeast"/>
              <w:jc w:val="center"/>
              <w:rPr>
                <w:rFonts w:ascii="Verdana" w:hAnsi="Verdana"/>
                <w:sz w:val="18"/>
                <w:szCs w:val="18"/>
              </w:rPr>
            </w:pPr>
            <w:r w:rsidRPr="00907650">
              <w:rPr>
                <w:rFonts w:ascii="Verdana" w:hAnsi="Verdana"/>
                <w:sz w:val="18"/>
              </w:rPr>
              <w:t>Важни слајдови</w:t>
            </w:r>
          </w:p>
        </w:tc>
        <w:tc>
          <w:tcPr>
            <w:tcW w:w="7485" w:type="dxa"/>
            <w:gridSpan w:val="2"/>
            <w:vAlign w:val="center"/>
          </w:tcPr>
          <w:p w14:paraId="6E2FA816" w14:textId="5F3F2040" w:rsidR="00CA481B" w:rsidRPr="00907650" w:rsidRDefault="00221092" w:rsidP="00907650">
            <w:pPr>
              <w:pStyle w:val="Subtitle"/>
              <w:spacing w:before="120" w:line="260" w:lineRule="atLeast"/>
              <w:rPr>
                <w:rFonts w:ascii="Verdana" w:hAnsi="Verdana"/>
              </w:rPr>
            </w:pPr>
            <w:r w:rsidRPr="00907650">
              <w:rPr>
                <w:rFonts w:ascii="Verdana" w:hAnsi="Verdana"/>
              </w:rPr>
              <w:t xml:space="preserve">Обучувачот треба да ги повтори целите на сесијата заедно со </w:t>
            </w:r>
            <w:r w:rsidR="00E04460" w:rsidRPr="00907650">
              <w:rPr>
                <w:rFonts w:ascii="Verdana" w:hAnsi="Verdana"/>
              </w:rPr>
              <w:t>претставници</w:t>
            </w:r>
            <w:r w:rsidRPr="00907650">
              <w:rPr>
                <w:rFonts w:ascii="Verdana" w:hAnsi="Verdana"/>
              </w:rPr>
              <w:t>те и да им даде можност да постават какви било прашања во врска со материјалите опфатени во овој модул.</w:t>
            </w:r>
          </w:p>
        </w:tc>
      </w:tr>
      <w:tr w:rsidR="00CA481B" w:rsidRPr="00907650" w14:paraId="2ECF09B7" w14:textId="77777777" w:rsidTr="00F1574D">
        <w:trPr>
          <w:trHeight w:val="890"/>
        </w:trPr>
        <w:tc>
          <w:tcPr>
            <w:tcW w:w="9010" w:type="dxa"/>
            <w:gridSpan w:val="3"/>
            <w:vAlign w:val="center"/>
          </w:tcPr>
          <w:p w14:paraId="55ED1F4B" w14:textId="77777777" w:rsidR="00CA481B" w:rsidRPr="00907650" w:rsidRDefault="00CA481B" w:rsidP="00907650">
            <w:pPr>
              <w:spacing w:before="120" w:after="120" w:line="260" w:lineRule="atLeast"/>
              <w:rPr>
                <w:rFonts w:ascii="Verdana" w:hAnsi="Verdana"/>
                <w:b/>
                <w:sz w:val="22"/>
                <w:szCs w:val="22"/>
              </w:rPr>
            </w:pPr>
            <w:r w:rsidRPr="00907650">
              <w:rPr>
                <w:rFonts w:ascii="Verdana" w:hAnsi="Verdana"/>
                <w:b/>
                <w:sz w:val="22"/>
              </w:rPr>
              <w:t>Практични вежби</w:t>
            </w:r>
          </w:p>
          <w:p w14:paraId="04D65D89" w14:textId="53DBD58E" w:rsidR="00CA481B" w:rsidRPr="00907650" w:rsidRDefault="00CA481B" w:rsidP="00907650">
            <w:pPr>
              <w:spacing w:before="120" w:after="120" w:line="260" w:lineRule="atLeast"/>
              <w:rPr>
                <w:rFonts w:ascii="Verdana" w:hAnsi="Verdana"/>
                <w:sz w:val="18"/>
                <w:szCs w:val="18"/>
              </w:rPr>
            </w:pPr>
            <w:r w:rsidRPr="00907650">
              <w:rPr>
                <w:rFonts w:ascii="Verdana" w:hAnsi="Verdana"/>
                <w:color w:val="000000" w:themeColor="text1"/>
                <w:sz w:val="18"/>
              </w:rPr>
              <w:t>Нема практични вежби поврзани со оваа лекција.</w:t>
            </w:r>
          </w:p>
        </w:tc>
      </w:tr>
      <w:tr w:rsidR="00CA481B" w:rsidRPr="00907650" w14:paraId="603967A2" w14:textId="77777777" w:rsidTr="00F1574D">
        <w:tc>
          <w:tcPr>
            <w:tcW w:w="9010" w:type="dxa"/>
            <w:gridSpan w:val="3"/>
            <w:vAlign w:val="center"/>
          </w:tcPr>
          <w:p w14:paraId="57B48D1E" w14:textId="77777777" w:rsidR="00CA481B" w:rsidRPr="00907650" w:rsidRDefault="00CA481B" w:rsidP="00907650">
            <w:pPr>
              <w:spacing w:before="120" w:after="120" w:line="260" w:lineRule="atLeast"/>
              <w:rPr>
                <w:rFonts w:ascii="Verdana" w:hAnsi="Verdana"/>
                <w:b/>
                <w:sz w:val="22"/>
                <w:szCs w:val="22"/>
              </w:rPr>
            </w:pPr>
            <w:r w:rsidRPr="00907650">
              <w:rPr>
                <w:rFonts w:ascii="Verdana" w:hAnsi="Verdana"/>
                <w:b/>
                <w:sz w:val="22"/>
              </w:rPr>
              <w:t>Проценка/Проверување на знаење</w:t>
            </w:r>
          </w:p>
          <w:p w14:paraId="4496975B" w14:textId="1B3740FD" w:rsidR="00CA481B" w:rsidRPr="00907650" w:rsidRDefault="00CA481B" w:rsidP="00907650">
            <w:pPr>
              <w:spacing w:before="120" w:after="120" w:line="260" w:lineRule="atLeast"/>
              <w:rPr>
                <w:rFonts w:ascii="Verdana" w:hAnsi="Verdana"/>
                <w:sz w:val="18"/>
                <w:szCs w:val="18"/>
              </w:rPr>
            </w:pPr>
            <w:r w:rsidRPr="00907650">
              <w:rPr>
                <w:rFonts w:ascii="Verdana" w:hAnsi="Verdana"/>
                <w:color w:val="000000" w:themeColor="text1"/>
                <w:sz w:val="18"/>
              </w:rPr>
              <w:t>За оваа сесија не е потребна проверка или проценка на знаењето.</w:t>
            </w:r>
          </w:p>
        </w:tc>
      </w:tr>
    </w:tbl>
    <w:p w14:paraId="15498912" w14:textId="77777777" w:rsidR="00D82C18" w:rsidRPr="00907650" w:rsidRDefault="00D82C18" w:rsidP="00907650">
      <w:pPr>
        <w:spacing w:before="120" w:after="120" w:line="260" w:lineRule="atLeast"/>
        <w:rPr>
          <w:rFonts w:ascii="Verdana" w:hAnsi="Verdana"/>
        </w:rPr>
      </w:pPr>
    </w:p>
    <w:sectPr w:rsidR="00D82C18" w:rsidRPr="00907650"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45266B2"/>
    <w:multiLevelType w:val="hybridMultilevel"/>
    <w:tmpl w:val="F43057EC"/>
    <w:lvl w:ilvl="0" w:tplc="77BA8D6C">
      <w:start w:val="1"/>
      <w:numFmt w:val="bullet"/>
      <w:lvlText w:val="•"/>
      <w:lvlJc w:val="left"/>
      <w:pPr>
        <w:tabs>
          <w:tab w:val="num" w:pos="720"/>
        </w:tabs>
        <w:ind w:left="720" w:hanging="360"/>
      </w:pPr>
      <w:rPr>
        <w:rFonts w:ascii="Arial" w:hAnsi="Arial" w:hint="default"/>
      </w:rPr>
    </w:lvl>
    <w:lvl w:ilvl="1" w:tplc="D4CAFFD8" w:tentative="1">
      <w:start w:val="1"/>
      <w:numFmt w:val="bullet"/>
      <w:lvlText w:val="•"/>
      <w:lvlJc w:val="left"/>
      <w:pPr>
        <w:tabs>
          <w:tab w:val="num" w:pos="1440"/>
        </w:tabs>
        <w:ind w:left="1440" w:hanging="360"/>
      </w:pPr>
      <w:rPr>
        <w:rFonts w:ascii="Arial" w:hAnsi="Arial" w:hint="default"/>
      </w:rPr>
    </w:lvl>
    <w:lvl w:ilvl="2" w:tplc="9A60BDC4" w:tentative="1">
      <w:start w:val="1"/>
      <w:numFmt w:val="bullet"/>
      <w:lvlText w:val="•"/>
      <w:lvlJc w:val="left"/>
      <w:pPr>
        <w:tabs>
          <w:tab w:val="num" w:pos="2160"/>
        </w:tabs>
        <w:ind w:left="2160" w:hanging="360"/>
      </w:pPr>
      <w:rPr>
        <w:rFonts w:ascii="Arial" w:hAnsi="Arial" w:hint="default"/>
      </w:rPr>
    </w:lvl>
    <w:lvl w:ilvl="3" w:tplc="A2A2899C" w:tentative="1">
      <w:start w:val="1"/>
      <w:numFmt w:val="bullet"/>
      <w:lvlText w:val="•"/>
      <w:lvlJc w:val="left"/>
      <w:pPr>
        <w:tabs>
          <w:tab w:val="num" w:pos="2880"/>
        </w:tabs>
        <w:ind w:left="2880" w:hanging="360"/>
      </w:pPr>
      <w:rPr>
        <w:rFonts w:ascii="Arial" w:hAnsi="Arial" w:hint="default"/>
      </w:rPr>
    </w:lvl>
    <w:lvl w:ilvl="4" w:tplc="9E3C0E0E" w:tentative="1">
      <w:start w:val="1"/>
      <w:numFmt w:val="bullet"/>
      <w:lvlText w:val="•"/>
      <w:lvlJc w:val="left"/>
      <w:pPr>
        <w:tabs>
          <w:tab w:val="num" w:pos="3600"/>
        </w:tabs>
        <w:ind w:left="3600" w:hanging="360"/>
      </w:pPr>
      <w:rPr>
        <w:rFonts w:ascii="Arial" w:hAnsi="Arial" w:hint="default"/>
      </w:rPr>
    </w:lvl>
    <w:lvl w:ilvl="5" w:tplc="7EB463FE" w:tentative="1">
      <w:start w:val="1"/>
      <w:numFmt w:val="bullet"/>
      <w:lvlText w:val="•"/>
      <w:lvlJc w:val="left"/>
      <w:pPr>
        <w:tabs>
          <w:tab w:val="num" w:pos="4320"/>
        </w:tabs>
        <w:ind w:left="4320" w:hanging="360"/>
      </w:pPr>
      <w:rPr>
        <w:rFonts w:ascii="Arial" w:hAnsi="Arial" w:hint="default"/>
      </w:rPr>
    </w:lvl>
    <w:lvl w:ilvl="6" w:tplc="95B26F08" w:tentative="1">
      <w:start w:val="1"/>
      <w:numFmt w:val="bullet"/>
      <w:lvlText w:val="•"/>
      <w:lvlJc w:val="left"/>
      <w:pPr>
        <w:tabs>
          <w:tab w:val="num" w:pos="5040"/>
        </w:tabs>
        <w:ind w:left="5040" w:hanging="360"/>
      </w:pPr>
      <w:rPr>
        <w:rFonts w:ascii="Arial" w:hAnsi="Arial" w:hint="default"/>
      </w:rPr>
    </w:lvl>
    <w:lvl w:ilvl="7" w:tplc="F188970C" w:tentative="1">
      <w:start w:val="1"/>
      <w:numFmt w:val="bullet"/>
      <w:lvlText w:val="•"/>
      <w:lvlJc w:val="left"/>
      <w:pPr>
        <w:tabs>
          <w:tab w:val="num" w:pos="5760"/>
        </w:tabs>
        <w:ind w:left="5760" w:hanging="360"/>
      </w:pPr>
      <w:rPr>
        <w:rFonts w:ascii="Arial" w:hAnsi="Arial" w:hint="default"/>
      </w:rPr>
    </w:lvl>
    <w:lvl w:ilvl="8" w:tplc="1FFED9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848348D"/>
    <w:multiLevelType w:val="hybridMultilevel"/>
    <w:tmpl w:val="A1FA8F48"/>
    <w:lvl w:ilvl="0" w:tplc="289649DA">
      <w:start w:val="1"/>
      <w:numFmt w:val="bullet"/>
      <w:lvlText w:val="•"/>
      <w:lvlJc w:val="left"/>
      <w:pPr>
        <w:tabs>
          <w:tab w:val="num" w:pos="720"/>
        </w:tabs>
        <w:ind w:left="720" w:hanging="360"/>
      </w:pPr>
      <w:rPr>
        <w:rFonts w:ascii="Arial" w:hAnsi="Arial" w:hint="default"/>
      </w:rPr>
    </w:lvl>
    <w:lvl w:ilvl="1" w:tplc="92D47924">
      <w:numFmt w:val="none"/>
      <w:lvlText w:val=""/>
      <w:lvlJc w:val="left"/>
      <w:pPr>
        <w:tabs>
          <w:tab w:val="num" w:pos="360"/>
        </w:tabs>
      </w:pPr>
    </w:lvl>
    <w:lvl w:ilvl="2" w:tplc="BCA2276A" w:tentative="1">
      <w:start w:val="1"/>
      <w:numFmt w:val="bullet"/>
      <w:lvlText w:val="•"/>
      <w:lvlJc w:val="left"/>
      <w:pPr>
        <w:tabs>
          <w:tab w:val="num" w:pos="2160"/>
        </w:tabs>
        <w:ind w:left="2160" w:hanging="360"/>
      </w:pPr>
      <w:rPr>
        <w:rFonts w:ascii="Arial" w:hAnsi="Arial" w:hint="default"/>
      </w:rPr>
    </w:lvl>
    <w:lvl w:ilvl="3" w:tplc="960A76CA" w:tentative="1">
      <w:start w:val="1"/>
      <w:numFmt w:val="bullet"/>
      <w:lvlText w:val="•"/>
      <w:lvlJc w:val="left"/>
      <w:pPr>
        <w:tabs>
          <w:tab w:val="num" w:pos="2880"/>
        </w:tabs>
        <w:ind w:left="2880" w:hanging="360"/>
      </w:pPr>
      <w:rPr>
        <w:rFonts w:ascii="Arial" w:hAnsi="Arial" w:hint="default"/>
      </w:rPr>
    </w:lvl>
    <w:lvl w:ilvl="4" w:tplc="C32E3644" w:tentative="1">
      <w:start w:val="1"/>
      <w:numFmt w:val="bullet"/>
      <w:lvlText w:val="•"/>
      <w:lvlJc w:val="left"/>
      <w:pPr>
        <w:tabs>
          <w:tab w:val="num" w:pos="3600"/>
        </w:tabs>
        <w:ind w:left="3600" w:hanging="360"/>
      </w:pPr>
      <w:rPr>
        <w:rFonts w:ascii="Arial" w:hAnsi="Arial" w:hint="default"/>
      </w:rPr>
    </w:lvl>
    <w:lvl w:ilvl="5" w:tplc="57D4F21C" w:tentative="1">
      <w:start w:val="1"/>
      <w:numFmt w:val="bullet"/>
      <w:lvlText w:val="•"/>
      <w:lvlJc w:val="left"/>
      <w:pPr>
        <w:tabs>
          <w:tab w:val="num" w:pos="4320"/>
        </w:tabs>
        <w:ind w:left="4320" w:hanging="360"/>
      </w:pPr>
      <w:rPr>
        <w:rFonts w:ascii="Arial" w:hAnsi="Arial" w:hint="default"/>
      </w:rPr>
    </w:lvl>
    <w:lvl w:ilvl="6" w:tplc="A9D033E2" w:tentative="1">
      <w:start w:val="1"/>
      <w:numFmt w:val="bullet"/>
      <w:lvlText w:val="•"/>
      <w:lvlJc w:val="left"/>
      <w:pPr>
        <w:tabs>
          <w:tab w:val="num" w:pos="5040"/>
        </w:tabs>
        <w:ind w:left="5040" w:hanging="360"/>
      </w:pPr>
      <w:rPr>
        <w:rFonts w:ascii="Arial" w:hAnsi="Arial" w:hint="default"/>
      </w:rPr>
    </w:lvl>
    <w:lvl w:ilvl="7" w:tplc="DE9A7116" w:tentative="1">
      <w:start w:val="1"/>
      <w:numFmt w:val="bullet"/>
      <w:lvlText w:val="•"/>
      <w:lvlJc w:val="left"/>
      <w:pPr>
        <w:tabs>
          <w:tab w:val="num" w:pos="5760"/>
        </w:tabs>
        <w:ind w:left="5760" w:hanging="360"/>
      </w:pPr>
      <w:rPr>
        <w:rFonts w:ascii="Arial" w:hAnsi="Arial" w:hint="default"/>
      </w:rPr>
    </w:lvl>
    <w:lvl w:ilvl="8" w:tplc="E91C5FA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E2058DF"/>
    <w:multiLevelType w:val="hybridMultilevel"/>
    <w:tmpl w:val="FE9681DE"/>
    <w:lvl w:ilvl="0" w:tplc="0A8AC048">
      <w:start w:val="1"/>
      <w:numFmt w:val="lowerLetter"/>
      <w:lvlText w:val="%1)"/>
      <w:lvlJc w:val="left"/>
      <w:pPr>
        <w:ind w:left="1080" w:hanging="360"/>
      </w:pPr>
      <w:rPr>
        <w:rFonts w:hint="default"/>
      </w:rPr>
    </w:lvl>
    <w:lvl w:ilvl="1" w:tplc="20000019" w:tentative="1">
      <w:start w:val="1"/>
      <w:numFmt w:val="lowerLetter"/>
      <w:lvlText w:val="%2."/>
      <w:lvlJc w:val="left"/>
      <w:pPr>
        <w:ind w:left="1800" w:hanging="360"/>
      </w:pPr>
    </w:lvl>
    <w:lvl w:ilvl="2" w:tplc="2000001B" w:tentative="1">
      <w:start w:val="1"/>
      <w:numFmt w:val="lowerRoman"/>
      <w:lvlText w:val="%3."/>
      <w:lvlJc w:val="right"/>
      <w:pPr>
        <w:ind w:left="2520" w:hanging="180"/>
      </w:pPr>
    </w:lvl>
    <w:lvl w:ilvl="3" w:tplc="2000000F" w:tentative="1">
      <w:start w:val="1"/>
      <w:numFmt w:val="decimal"/>
      <w:lvlText w:val="%4."/>
      <w:lvlJc w:val="left"/>
      <w:pPr>
        <w:ind w:left="3240" w:hanging="360"/>
      </w:pPr>
    </w:lvl>
    <w:lvl w:ilvl="4" w:tplc="20000019" w:tentative="1">
      <w:start w:val="1"/>
      <w:numFmt w:val="lowerLetter"/>
      <w:lvlText w:val="%5."/>
      <w:lvlJc w:val="left"/>
      <w:pPr>
        <w:ind w:left="3960" w:hanging="360"/>
      </w:pPr>
    </w:lvl>
    <w:lvl w:ilvl="5" w:tplc="2000001B" w:tentative="1">
      <w:start w:val="1"/>
      <w:numFmt w:val="lowerRoman"/>
      <w:lvlText w:val="%6."/>
      <w:lvlJc w:val="right"/>
      <w:pPr>
        <w:ind w:left="4680" w:hanging="180"/>
      </w:pPr>
    </w:lvl>
    <w:lvl w:ilvl="6" w:tplc="2000000F" w:tentative="1">
      <w:start w:val="1"/>
      <w:numFmt w:val="decimal"/>
      <w:lvlText w:val="%7."/>
      <w:lvlJc w:val="left"/>
      <w:pPr>
        <w:ind w:left="5400" w:hanging="360"/>
      </w:pPr>
    </w:lvl>
    <w:lvl w:ilvl="7" w:tplc="20000019" w:tentative="1">
      <w:start w:val="1"/>
      <w:numFmt w:val="lowerLetter"/>
      <w:lvlText w:val="%8."/>
      <w:lvlJc w:val="left"/>
      <w:pPr>
        <w:ind w:left="6120" w:hanging="360"/>
      </w:pPr>
    </w:lvl>
    <w:lvl w:ilvl="8" w:tplc="2000001B" w:tentative="1">
      <w:start w:val="1"/>
      <w:numFmt w:val="lowerRoman"/>
      <w:lvlText w:val="%9."/>
      <w:lvlJc w:val="right"/>
      <w:pPr>
        <w:ind w:left="6840" w:hanging="180"/>
      </w:p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8E26929"/>
    <w:multiLevelType w:val="hybridMultilevel"/>
    <w:tmpl w:val="EF72A95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6"/>
  </w:num>
  <w:num w:numId="4">
    <w:abstractNumId w:val="4"/>
  </w:num>
  <w:num w:numId="5">
    <w:abstractNumId w:val="5"/>
  </w:num>
  <w:num w:numId="6">
    <w:abstractNumId w:val="12"/>
  </w:num>
  <w:num w:numId="7">
    <w:abstractNumId w:val="2"/>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1"/>
  </w:num>
  <w:num w:numId="10">
    <w:abstractNumId w:val="1"/>
  </w:num>
  <w:num w:numId="11">
    <w:abstractNumId w:val="10"/>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04EF1"/>
    <w:rsid w:val="000160F1"/>
    <w:rsid w:val="00051376"/>
    <w:rsid w:val="00070C94"/>
    <w:rsid w:val="000C40EE"/>
    <w:rsid w:val="000D0409"/>
    <w:rsid w:val="000F04E4"/>
    <w:rsid w:val="000F7896"/>
    <w:rsid w:val="00150201"/>
    <w:rsid w:val="001737D1"/>
    <w:rsid w:val="001D2D02"/>
    <w:rsid w:val="001D603D"/>
    <w:rsid w:val="001E7389"/>
    <w:rsid w:val="00207B05"/>
    <w:rsid w:val="00221092"/>
    <w:rsid w:val="00271010"/>
    <w:rsid w:val="002E27B4"/>
    <w:rsid w:val="002E3ECE"/>
    <w:rsid w:val="002F3B54"/>
    <w:rsid w:val="00314D32"/>
    <w:rsid w:val="0034224C"/>
    <w:rsid w:val="00342639"/>
    <w:rsid w:val="003453F7"/>
    <w:rsid w:val="003630ED"/>
    <w:rsid w:val="00372572"/>
    <w:rsid w:val="003A435F"/>
    <w:rsid w:val="003F6587"/>
    <w:rsid w:val="00437AF3"/>
    <w:rsid w:val="00450007"/>
    <w:rsid w:val="00457DD3"/>
    <w:rsid w:val="00491C99"/>
    <w:rsid w:val="004B5101"/>
    <w:rsid w:val="004B7351"/>
    <w:rsid w:val="00514FE0"/>
    <w:rsid w:val="00556D69"/>
    <w:rsid w:val="005703B7"/>
    <w:rsid w:val="00573D00"/>
    <w:rsid w:val="005A4E47"/>
    <w:rsid w:val="005D4432"/>
    <w:rsid w:val="006527C6"/>
    <w:rsid w:val="00671ADF"/>
    <w:rsid w:val="006B0B52"/>
    <w:rsid w:val="006B3820"/>
    <w:rsid w:val="006F209A"/>
    <w:rsid w:val="0075334E"/>
    <w:rsid w:val="007678A6"/>
    <w:rsid w:val="00775CE6"/>
    <w:rsid w:val="007E3B3E"/>
    <w:rsid w:val="00844FBF"/>
    <w:rsid w:val="008817F1"/>
    <w:rsid w:val="008A4C93"/>
    <w:rsid w:val="008C3900"/>
    <w:rsid w:val="008E3FE7"/>
    <w:rsid w:val="00906F18"/>
    <w:rsid w:val="00907650"/>
    <w:rsid w:val="00951791"/>
    <w:rsid w:val="00956062"/>
    <w:rsid w:val="0099769B"/>
    <w:rsid w:val="009B4375"/>
    <w:rsid w:val="009D1DB1"/>
    <w:rsid w:val="009E1390"/>
    <w:rsid w:val="009E3827"/>
    <w:rsid w:val="009F336B"/>
    <w:rsid w:val="00A03CF0"/>
    <w:rsid w:val="00A31A58"/>
    <w:rsid w:val="00A342ED"/>
    <w:rsid w:val="00A4110D"/>
    <w:rsid w:val="00A439ED"/>
    <w:rsid w:val="00A55067"/>
    <w:rsid w:val="00A734A5"/>
    <w:rsid w:val="00A76996"/>
    <w:rsid w:val="00A94D8B"/>
    <w:rsid w:val="00AA5742"/>
    <w:rsid w:val="00AC1380"/>
    <w:rsid w:val="00AC45A8"/>
    <w:rsid w:val="00B3608C"/>
    <w:rsid w:val="00B807DF"/>
    <w:rsid w:val="00BA7368"/>
    <w:rsid w:val="00C115FC"/>
    <w:rsid w:val="00C541A2"/>
    <w:rsid w:val="00C70C5C"/>
    <w:rsid w:val="00C83397"/>
    <w:rsid w:val="00CA481B"/>
    <w:rsid w:val="00CB02C4"/>
    <w:rsid w:val="00CB3026"/>
    <w:rsid w:val="00CC1F79"/>
    <w:rsid w:val="00D82C18"/>
    <w:rsid w:val="00DD3B85"/>
    <w:rsid w:val="00E04460"/>
    <w:rsid w:val="00E13BE7"/>
    <w:rsid w:val="00E27C71"/>
    <w:rsid w:val="00E66317"/>
    <w:rsid w:val="00E7344B"/>
    <w:rsid w:val="00E95703"/>
    <w:rsid w:val="00F1574D"/>
    <w:rsid w:val="00F504D6"/>
    <w:rsid w:val="00F62A15"/>
    <w:rsid w:val="00F955B5"/>
    <w:rsid w:val="00FA5D5D"/>
    <w:rsid w:val="00FB24E8"/>
    <w:rsid w:val="00FB6DE5"/>
    <w:rsid w:val="00FC23CB"/>
    <w:rsid w:val="00FC3D65"/>
    <w:rsid w:val="00FC6C1E"/>
    <w:rsid w:val="00FE45CA"/>
    <w:rsid w:val="00FF2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F20326E9-F316-4B3A-9582-EFEC2E12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mk-M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mk-MK"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character" w:styleId="UnresolvedMention">
    <w:name w:val="Unresolved Mention"/>
    <w:basedOn w:val="DefaultParagraphFont"/>
    <w:uiPriority w:val="99"/>
    <w:semiHidden/>
    <w:unhideWhenUsed/>
    <w:rsid w:val="00FF29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400814">
      <w:bodyDiv w:val="1"/>
      <w:marLeft w:val="0"/>
      <w:marRight w:val="0"/>
      <w:marTop w:val="0"/>
      <w:marBottom w:val="0"/>
      <w:divBdr>
        <w:top w:val="none" w:sz="0" w:space="0" w:color="auto"/>
        <w:left w:val="none" w:sz="0" w:space="0" w:color="auto"/>
        <w:bottom w:val="none" w:sz="0" w:space="0" w:color="auto"/>
        <w:right w:val="none" w:sz="0" w:space="0" w:color="auto"/>
      </w:divBdr>
    </w:div>
    <w:div w:id="1269236215">
      <w:bodyDiv w:val="1"/>
      <w:marLeft w:val="0"/>
      <w:marRight w:val="0"/>
      <w:marTop w:val="0"/>
      <w:marBottom w:val="0"/>
      <w:divBdr>
        <w:top w:val="none" w:sz="0" w:space="0" w:color="auto"/>
        <w:left w:val="none" w:sz="0" w:space="0" w:color="auto"/>
        <w:bottom w:val="none" w:sz="0" w:space="0" w:color="auto"/>
        <w:right w:val="none" w:sz="0" w:space="0" w:color="auto"/>
      </w:divBdr>
      <w:divsChild>
        <w:div w:id="1448968158">
          <w:marLeft w:val="547"/>
          <w:marRight w:val="0"/>
          <w:marTop w:val="134"/>
          <w:marBottom w:val="0"/>
          <w:divBdr>
            <w:top w:val="none" w:sz="0" w:space="0" w:color="auto"/>
            <w:left w:val="none" w:sz="0" w:space="0" w:color="auto"/>
            <w:bottom w:val="none" w:sz="0" w:space="0" w:color="auto"/>
            <w:right w:val="none" w:sz="0" w:space="0" w:color="auto"/>
          </w:divBdr>
        </w:div>
        <w:div w:id="1467234423">
          <w:marLeft w:val="547"/>
          <w:marRight w:val="0"/>
          <w:marTop w:val="134"/>
          <w:marBottom w:val="0"/>
          <w:divBdr>
            <w:top w:val="none" w:sz="0" w:space="0" w:color="auto"/>
            <w:left w:val="none" w:sz="0" w:space="0" w:color="auto"/>
            <w:bottom w:val="none" w:sz="0" w:space="0" w:color="auto"/>
            <w:right w:val="none" w:sz="0" w:space="0" w:color="auto"/>
          </w:divBdr>
        </w:div>
        <w:div w:id="1050835902">
          <w:marLeft w:val="547"/>
          <w:marRight w:val="0"/>
          <w:marTop w:val="134"/>
          <w:marBottom w:val="0"/>
          <w:divBdr>
            <w:top w:val="none" w:sz="0" w:space="0" w:color="auto"/>
            <w:left w:val="none" w:sz="0" w:space="0" w:color="auto"/>
            <w:bottom w:val="none" w:sz="0" w:space="0" w:color="auto"/>
            <w:right w:val="none" w:sz="0" w:space="0" w:color="auto"/>
          </w:divBdr>
        </w:div>
        <w:div w:id="583953175">
          <w:marLeft w:val="547"/>
          <w:marRight w:val="0"/>
          <w:marTop w:val="134"/>
          <w:marBottom w:val="0"/>
          <w:divBdr>
            <w:top w:val="none" w:sz="0" w:space="0" w:color="auto"/>
            <w:left w:val="none" w:sz="0" w:space="0" w:color="auto"/>
            <w:bottom w:val="none" w:sz="0" w:space="0" w:color="auto"/>
            <w:right w:val="none" w:sz="0" w:space="0" w:color="auto"/>
          </w:divBdr>
        </w:div>
        <w:div w:id="820655025">
          <w:marLeft w:val="547"/>
          <w:marRight w:val="0"/>
          <w:marTop w:val="134"/>
          <w:marBottom w:val="0"/>
          <w:divBdr>
            <w:top w:val="none" w:sz="0" w:space="0" w:color="auto"/>
            <w:left w:val="none" w:sz="0" w:space="0" w:color="auto"/>
            <w:bottom w:val="none" w:sz="0" w:space="0" w:color="auto"/>
            <w:right w:val="none" w:sz="0" w:space="0" w:color="auto"/>
          </w:divBdr>
        </w:div>
        <w:div w:id="1969164461">
          <w:marLeft w:val="547"/>
          <w:marRight w:val="0"/>
          <w:marTop w:val="134"/>
          <w:marBottom w:val="0"/>
          <w:divBdr>
            <w:top w:val="none" w:sz="0" w:space="0" w:color="auto"/>
            <w:left w:val="none" w:sz="0" w:space="0" w:color="auto"/>
            <w:bottom w:val="none" w:sz="0" w:space="0" w:color="auto"/>
            <w:right w:val="none" w:sz="0" w:space="0" w:color="auto"/>
          </w:divBdr>
        </w:div>
      </w:divsChild>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48558121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m.coe.int/16800cce5b"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867</Words>
  <Characters>4946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7</cp:revision>
  <dcterms:created xsi:type="dcterms:W3CDTF">2020-10-14T12:57:00Z</dcterms:created>
  <dcterms:modified xsi:type="dcterms:W3CDTF">2021-05-10T07:42:00Z</dcterms:modified>
</cp:coreProperties>
</file>