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0E3A" w14:textId="77777777" w:rsidR="00055EC3" w:rsidRPr="00BD2B3F" w:rsidRDefault="00055EC3" w:rsidP="00055EC3">
      <w:pPr>
        <w:rPr>
          <w:lang w:val="fr-FR"/>
        </w:rPr>
      </w:pPr>
    </w:p>
    <w:p w14:paraId="2F4458CF" w14:textId="026BA66E" w:rsidR="00055EC3" w:rsidRPr="00BD2B3F" w:rsidRDefault="00AC22AF" w:rsidP="00055EC3">
      <w:pPr>
        <w:pStyle w:val="Heading1"/>
        <w:jc w:val="center"/>
        <w:rPr>
          <w:lang w:val="fr-FR"/>
        </w:rPr>
      </w:pPr>
      <w:bookmarkStart w:id="0" w:name="_Toc124342047"/>
      <w:r w:rsidRPr="00BD2B3F">
        <w:rPr>
          <w:lang w:val="fr-FR"/>
        </w:rPr>
        <w:t xml:space="preserve">Mise en </w:t>
      </w:r>
      <w:r w:rsidR="00833DFB" w:rsidRPr="00BD2B3F">
        <w:rPr>
          <w:lang w:val="fr-FR"/>
        </w:rPr>
        <w:t>œuvre</w:t>
      </w:r>
      <w:r w:rsidRPr="00BD2B3F">
        <w:rPr>
          <w:lang w:val="fr-FR"/>
        </w:rPr>
        <w:t xml:space="preserve"> du programme des Cités interculturelles par les villes participantes</w:t>
      </w:r>
      <w:bookmarkEnd w:id="0"/>
    </w:p>
    <w:p w14:paraId="6C0FD3BD" w14:textId="3675E117" w:rsidR="00055EC3" w:rsidRPr="00BD2B3F" w:rsidRDefault="00CB1059" w:rsidP="00055EC3">
      <w:pPr>
        <w:pStyle w:val="Heading1"/>
        <w:jc w:val="center"/>
        <w:rPr>
          <w:smallCaps/>
          <w:lang w:val="fr-FR"/>
        </w:rPr>
      </w:pPr>
      <w:bookmarkStart w:id="1" w:name="_Toc124169752"/>
      <w:bookmarkStart w:id="2" w:name="_Toc124342048"/>
      <w:r w:rsidRPr="00BD2B3F">
        <w:rPr>
          <w:smallCaps/>
          <w:lang w:val="fr-FR"/>
        </w:rPr>
        <w:t xml:space="preserve">Guide </w:t>
      </w:r>
      <w:bookmarkEnd w:id="1"/>
      <w:r w:rsidR="00AC22AF" w:rsidRPr="00BD2B3F">
        <w:rPr>
          <w:smallCaps/>
          <w:lang w:val="fr-FR"/>
        </w:rPr>
        <w:t>et mod</w:t>
      </w:r>
      <w:r w:rsidR="00833DFB" w:rsidRPr="00BD2B3F">
        <w:rPr>
          <w:smallCaps/>
          <w:lang w:val="fr-FR"/>
        </w:rPr>
        <w:t>è</w:t>
      </w:r>
      <w:r w:rsidR="00AC22AF" w:rsidRPr="00BD2B3F">
        <w:rPr>
          <w:smallCaps/>
          <w:lang w:val="fr-FR"/>
        </w:rPr>
        <w:t>le pour la collecte de bonnes pratiques</w:t>
      </w:r>
      <w:bookmarkEnd w:id="2"/>
    </w:p>
    <w:p w14:paraId="25D5AB6E" w14:textId="761D73A0" w:rsidR="00AC22AF" w:rsidRPr="00BD2B3F" w:rsidRDefault="00AC22AF" w:rsidP="00AC22AF">
      <w:pPr>
        <w:spacing w:after="0" w:line="240" w:lineRule="auto"/>
        <w:rPr>
          <w:rFonts w:ascii="Calibri" w:hAnsi="Calibri"/>
          <w:szCs w:val="28"/>
          <w:lang w:val="fr-FR"/>
        </w:rPr>
      </w:pPr>
      <w:r w:rsidRPr="00BD2B3F">
        <w:rPr>
          <w:rFonts w:ascii="Calibri" w:hAnsi="Calibri"/>
          <w:szCs w:val="28"/>
          <w:lang w:val="fr-FR"/>
        </w:rPr>
        <w:t>Les bonnes pratiques sont un outil d'apprentissage essentiel du programme des Cités interculturelles (</w:t>
      </w:r>
      <w:r w:rsidRPr="00BD2B3F">
        <w:rPr>
          <w:rFonts w:ascii="Calibri" w:hAnsi="Calibri"/>
          <w:szCs w:val="28"/>
          <w:lang w:val="fr-FR"/>
        </w:rPr>
        <w:t>ICC</w:t>
      </w:r>
      <w:r w:rsidRPr="00BD2B3F">
        <w:rPr>
          <w:rFonts w:ascii="Calibri" w:hAnsi="Calibri"/>
          <w:szCs w:val="28"/>
          <w:lang w:val="fr-FR"/>
        </w:rPr>
        <w:t xml:space="preserve">). Elles sont collectées pour présenter et reproduire les pratiques innovantes et les actions réussies testées par les villes participantes dans le </w:t>
      </w:r>
      <w:r w:rsidR="00BD2B3F" w:rsidRPr="00BD2B3F">
        <w:rPr>
          <w:rFonts w:ascii="Calibri" w:hAnsi="Calibri"/>
          <w:szCs w:val="28"/>
          <w:lang w:val="fr-FR"/>
        </w:rPr>
        <w:t xml:space="preserve">cadre du </w:t>
      </w:r>
      <w:r w:rsidRPr="00BD2B3F">
        <w:rPr>
          <w:rFonts w:ascii="Calibri" w:hAnsi="Calibri"/>
          <w:szCs w:val="28"/>
          <w:lang w:val="fr-FR"/>
        </w:rPr>
        <w:t xml:space="preserve">développement et </w:t>
      </w:r>
      <w:r w:rsidR="00BD2B3F" w:rsidRPr="00BD2B3F">
        <w:rPr>
          <w:rFonts w:ascii="Calibri" w:hAnsi="Calibri"/>
          <w:szCs w:val="28"/>
          <w:lang w:val="fr-FR"/>
        </w:rPr>
        <w:t xml:space="preserve">de </w:t>
      </w:r>
      <w:r w:rsidRPr="00BD2B3F">
        <w:rPr>
          <w:rFonts w:ascii="Calibri" w:hAnsi="Calibri"/>
          <w:szCs w:val="28"/>
          <w:lang w:val="fr-FR"/>
        </w:rPr>
        <w:t xml:space="preserve">la mise en œuvre de leurs politiques interculturelles. Conformément à la déclaration d'intention signée pour rejoindre le programme </w:t>
      </w:r>
      <w:r w:rsidRPr="00BD2B3F">
        <w:rPr>
          <w:rFonts w:ascii="Calibri" w:hAnsi="Calibri"/>
          <w:szCs w:val="28"/>
          <w:lang w:val="fr-FR"/>
        </w:rPr>
        <w:t>ICC</w:t>
      </w:r>
      <w:r w:rsidRPr="00BD2B3F">
        <w:rPr>
          <w:rFonts w:ascii="Calibri" w:hAnsi="Calibri"/>
          <w:szCs w:val="28"/>
          <w:lang w:val="fr-FR"/>
        </w:rPr>
        <w:t xml:space="preserve">, les villes membres ont </w:t>
      </w:r>
      <w:r w:rsidRPr="00BD2B3F">
        <w:rPr>
          <w:rFonts w:ascii="Calibri" w:hAnsi="Calibri"/>
          <w:b/>
          <w:bCs/>
          <w:szCs w:val="28"/>
          <w:lang w:val="fr-FR"/>
        </w:rPr>
        <w:t>l'obligation de rendre compte régulièrement de leurs bonnes pratiques</w:t>
      </w:r>
      <w:r w:rsidRPr="00BD2B3F">
        <w:rPr>
          <w:rFonts w:ascii="Calibri" w:hAnsi="Calibri"/>
          <w:szCs w:val="28"/>
          <w:lang w:val="fr-FR"/>
        </w:rPr>
        <w:t>.</w:t>
      </w:r>
    </w:p>
    <w:p w14:paraId="111E56AF" w14:textId="77777777" w:rsidR="00AC22AF" w:rsidRPr="00BD2B3F" w:rsidRDefault="00AC22AF" w:rsidP="00AC22AF">
      <w:pPr>
        <w:spacing w:after="0" w:line="240" w:lineRule="auto"/>
        <w:rPr>
          <w:rFonts w:ascii="Calibri" w:hAnsi="Calibri"/>
          <w:szCs w:val="28"/>
          <w:lang w:val="fr-FR"/>
        </w:rPr>
      </w:pPr>
    </w:p>
    <w:sdt>
      <w:sdtPr>
        <w:rPr>
          <w:rFonts w:asciiTheme="minorHAnsi" w:eastAsiaTheme="minorHAnsi" w:hAnsiTheme="minorHAnsi" w:cstheme="minorBidi"/>
          <w:color w:val="auto"/>
          <w:sz w:val="22"/>
          <w:szCs w:val="22"/>
          <w:lang w:eastAsia="en-US"/>
        </w:rPr>
        <w:id w:val="-827819447"/>
        <w:docPartObj>
          <w:docPartGallery w:val="Table of Contents"/>
          <w:docPartUnique/>
        </w:docPartObj>
      </w:sdtPr>
      <w:sdtEndPr>
        <w:rPr>
          <w:b/>
          <w:bCs/>
        </w:rPr>
      </w:sdtEndPr>
      <w:sdtContent>
        <w:p w14:paraId="7E19EC58" w14:textId="3450E2AF" w:rsidR="00CB1059" w:rsidRPr="00BD2B3F" w:rsidRDefault="00CB1059">
          <w:pPr>
            <w:pStyle w:val="TOCHeading"/>
          </w:pPr>
          <w:r w:rsidRPr="00BD2B3F">
            <w:t>Table des matières</w:t>
          </w:r>
        </w:p>
        <w:p w14:paraId="0784E9FF" w14:textId="7413CF42" w:rsidR="00BD2B3F" w:rsidRDefault="00CB1059">
          <w:pPr>
            <w:pStyle w:val="TOC1"/>
            <w:tabs>
              <w:tab w:val="right" w:leader="dot" w:pos="8494"/>
            </w:tabs>
            <w:rPr>
              <w:rFonts w:eastAsiaTheme="minorEastAsia"/>
              <w:noProof/>
              <w:lang w:val="fr-FR" w:eastAsia="fr-FR"/>
            </w:rPr>
          </w:pPr>
          <w:r w:rsidRPr="00BD2B3F">
            <w:rPr>
              <w:lang w:val="fr-FR"/>
            </w:rPr>
            <w:fldChar w:fldCharType="begin"/>
          </w:r>
          <w:r w:rsidRPr="00BD2B3F">
            <w:rPr>
              <w:lang w:val="fr-FR"/>
            </w:rPr>
            <w:instrText xml:space="preserve"> TOC \o "1-3" \h \z \u </w:instrText>
          </w:r>
          <w:r w:rsidRPr="00BD2B3F">
            <w:rPr>
              <w:lang w:val="fr-FR"/>
            </w:rPr>
            <w:fldChar w:fldCharType="separate"/>
          </w:r>
          <w:hyperlink w:anchor="_Toc124342047" w:history="1">
            <w:r w:rsidR="00BD2B3F" w:rsidRPr="00B66AB1">
              <w:rPr>
                <w:rStyle w:val="Hyperlink"/>
                <w:noProof/>
                <w:lang w:val="fr-FR"/>
              </w:rPr>
              <w:t>Mise en œuvre du programme des Cités interculturelles par les villes participantes</w:t>
            </w:r>
            <w:r w:rsidR="00BD2B3F">
              <w:rPr>
                <w:noProof/>
                <w:webHidden/>
              </w:rPr>
              <w:tab/>
            </w:r>
            <w:r w:rsidR="00BD2B3F">
              <w:rPr>
                <w:noProof/>
                <w:webHidden/>
              </w:rPr>
              <w:fldChar w:fldCharType="begin"/>
            </w:r>
            <w:r w:rsidR="00BD2B3F">
              <w:rPr>
                <w:noProof/>
                <w:webHidden/>
              </w:rPr>
              <w:instrText xml:space="preserve"> PAGEREF _Toc124342047 \h </w:instrText>
            </w:r>
            <w:r w:rsidR="00BD2B3F">
              <w:rPr>
                <w:noProof/>
                <w:webHidden/>
              </w:rPr>
            </w:r>
            <w:r w:rsidR="00BD2B3F">
              <w:rPr>
                <w:noProof/>
                <w:webHidden/>
              </w:rPr>
              <w:fldChar w:fldCharType="separate"/>
            </w:r>
            <w:r w:rsidR="00BD2B3F">
              <w:rPr>
                <w:noProof/>
                <w:webHidden/>
              </w:rPr>
              <w:t>1</w:t>
            </w:r>
            <w:r w:rsidR="00BD2B3F">
              <w:rPr>
                <w:noProof/>
                <w:webHidden/>
              </w:rPr>
              <w:fldChar w:fldCharType="end"/>
            </w:r>
          </w:hyperlink>
        </w:p>
        <w:p w14:paraId="11117EA2" w14:textId="33F9B725" w:rsidR="00BD2B3F" w:rsidRDefault="00BD2B3F">
          <w:pPr>
            <w:pStyle w:val="TOC1"/>
            <w:tabs>
              <w:tab w:val="right" w:leader="dot" w:pos="8494"/>
            </w:tabs>
            <w:rPr>
              <w:rFonts w:eastAsiaTheme="minorEastAsia"/>
              <w:noProof/>
              <w:lang w:val="fr-FR" w:eastAsia="fr-FR"/>
            </w:rPr>
          </w:pPr>
          <w:hyperlink w:anchor="_Toc124342048" w:history="1">
            <w:r w:rsidRPr="00B66AB1">
              <w:rPr>
                <w:rStyle w:val="Hyperlink"/>
                <w:smallCaps/>
                <w:noProof/>
                <w:lang w:val="fr-FR"/>
              </w:rPr>
              <w:t>Guide et modèle pour la collecte de bonnes pratiques</w:t>
            </w:r>
            <w:r>
              <w:rPr>
                <w:noProof/>
                <w:webHidden/>
              </w:rPr>
              <w:tab/>
            </w:r>
            <w:r>
              <w:rPr>
                <w:noProof/>
                <w:webHidden/>
              </w:rPr>
              <w:fldChar w:fldCharType="begin"/>
            </w:r>
            <w:r>
              <w:rPr>
                <w:noProof/>
                <w:webHidden/>
              </w:rPr>
              <w:instrText xml:space="preserve"> PAGEREF _Toc124342048 \h </w:instrText>
            </w:r>
            <w:r>
              <w:rPr>
                <w:noProof/>
                <w:webHidden/>
              </w:rPr>
            </w:r>
            <w:r>
              <w:rPr>
                <w:noProof/>
                <w:webHidden/>
              </w:rPr>
              <w:fldChar w:fldCharType="separate"/>
            </w:r>
            <w:r>
              <w:rPr>
                <w:noProof/>
                <w:webHidden/>
              </w:rPr>
              <w:t>1</w:t>
            </w:r>
            <w:r>
              <w:rPr>
                <w:noProof/>
                <w:webHidden/>
              </w:rPr>
              <w:fldChar w:fldCharType="end"/>
            </w:r>
          </w:hyperlink>
        </w:p>
        <w:p w14:paraId="6733B9A8" w14:textId="695720AA" w:rsidR="00BD2B3F" w:rsidRDefault="00BD2B3F">
          <w:pPr>
            <w:pStyle w:val="TOC2"/>
            <w:tabs>
              <w:tab w:val="right" w:leader="dot" w:pos="8494"/>
            </w:tabs>
            <w:rPr>
              <w:rFonts w:eastAsiaTheme="minorEastAsia"/>
              <w:noProof/>
              <w:lang w:val="fr-FR" w:eastAsia="fr-FR"/>
            </w:rPr>
          </w:pPr>
          <w:hyperlink w:anchor="_Toc124342049" w:history="1">
            <w:r w:rsidRPr="00B66AB1">
              <w:rPr>
                <w:rStyle w:val="Hyperlink"/>
                <w:noProof/>
                <w:lang w:val="fr-FR"/>
              </w:rPr>
              <w:t>Comment reconnaître une bonne pratique?</w:t>
            </w:r>
            <w:r>
              <w:rPr>
                <w:noProof/>
                <w:webHidden/>
              </w:rPr>
              <w:tab/>
            </w:r>
            <w:r>
              <w:rPr>
                <w:noProof/>
                <w:webHidden/>
              </w:rPr>
              <w:fldChar w:fldCharType="begin"/>
            </w:r>
            <w:r>
              <w:rPr>
                <w:noProof/>
                <w:webHidden/>
              </w:rPr>
              <w:instrText xml:space="preserve"> PAGEREF _Toc124342049 \h </w:instrText>
            </w:r>
            <w:r>
              <w:rPr>
                <w:noProof/>
                <w:webHidden/>
              </w:rPr>
            </w:r>
            <w:r>
              <w:rPr>
                <w:noProof/>
                <w:webHidden/>
              </w:rPr>
              <w:fldChar w:fldCharType="separate"/>
            </w:r>
            <w:r>
              <w:rPr>
                <w:noProof/>
                <w:webHidden/>
              </w:rPr>
              <w:t>2</w:t>
            </w:r>
            <w:r>
              <w:rPr>
                <w:noProof/>
                <w:webHidden/>
              </w:rPr>
              <w:fldChar w:fldCharType="end"/>
            </w:r>
          </w:hyperlink>
        </w:p>
        <w:p w14:paraId="466653B3" w14:textId="751B208D" w:rsidR="00BD2B3F" w:rsidRDefault="00BD2B3F">
          <w:pPr>
            <w:pStyle w:val="TOC2"/>
            <w:tabs>
              <w:tab w:val="right" w:leader="dot" w:pos="8494"/>
            </w:tabs>
            <w:rPr>
              <w:rFonts w:eastAsiaTheme="minorEastAsia"/>
              <w:noProof/>
              <w:lang w:val="fr-FR" w:eastAsia="fr-FR"/>
            </w:rPr>
          </w:pPr>
          <w:hyperlink w:anchor="_Toc124342050" w:history="1">
            <w:r w:rsidRPr="00B66AB1">
              <w:rPr>
                <w:rStyle w:val="Hyperlink"/>
                <w:noProof/>
                <w:lang w:val="fr-FR"/>
              </w:rPr>
              <w:t>Lignes directrices pour rendre compte de bonnes pratiques</w:t>
            </w:r>
            <w:r>
              <w:rPr>
                <w:noProof/>
                <w:webHidden/>
              </w:rPr>
              <w:tab/>
            </w:r>
            <w:r>
              <w:rPr>
                <w:noProof/>
                <w:webHidden/>
              </w:rPr>
              <w:fldChar w:fldCharType="begin"/>
            </w:r>
            <w:r>
              <w:rPr>
                <w:noProof/>
                <w:webHidden/>
              </w:rPr>
              <w:instrText xml:space="preserve"> PAGEREF _Toc124342050 \h </w:instrText>
            </w:r>
            <w:r>
              <w:rPr>
                <w:noProof/>
                <w:webHidden/>
              </w:rPr>
            </w:r>
            <w:r>
              <w:rPr>
                <w:noProof/>
                <w:webHidden/>
              </w:rPr>
              <w:fldChar w:fldCharType="separate"/>
            </w:r>
            <w:r>
              <w:rPr>
                <w:noProof/>
                <w:webHidden/>
              </w:rPr>
              <w:t>2</w:t>
            </w:r>
            <w:r>
              <w:rPr>
                <w:noProof/>
                <w:webHidden/>
              </w:rPr>
              <w:fldChar w:fldCharType="end"/>
            </w:r>
          </w:hyperlink>
        </w:p>
        <w:p w14:paraId="5EA5C28E" w14:textId="50DE5F29" w:rsidR="00BD2B3F" w:rsidRDefault="00BD2B3F">
          <w:pPr>
            <w:pStyle w:val="TOC2"/>
            <w:tabs>
              <w:tab w:val="right" w:leader="dot" w:pos="8494"/>
            </w:tabs>
            <w:rPr>
              <w:rFonts w:eastAsiaTheme="minorEastAsia"/>
              <w:noProof/>
              <w:lang w:val="fr-FR" w:eastAsia="fr-FR"/>
            </w:rPr>
          </w:pPr>
          <w:hyperlink w:anchor="_Toc124342051" w:history="1">
            <w:r w:rsidRPr="00B66AB1">
              <w:rPr>
                <w:rStyle w:val="Hyperlink"/>
                <w:noProof/>
                <w:lang w:val="fr-FR"/>
              </w:rPr>
              <w:t>Domaines d’action</w:t>
            </w:r>
            <w:r>
              <w:rPr>
                <w:noProof/>
                <w:webHidden/>
              </w:rPr>
              <w:tab/>
            </w:r>
            <w:r>
              <w:rPr>
                <w:noProof/>
                <w:webHidden/>
              </w:rPr>
              <w:fldChar w:fldCharType="begin"/>
            </w:r>
            <w:r>
              <w:rPr>
                <w:noProof/>
                <w:webHidden/>
              </w:rPr>
              <w:instrText xml:space="preserve"> PAGEREF _Toc124342051 \h </w:instrText>
            </w:r>
            <w:r>
              <w:rPr>
                <w:noProof/>
                <w:webHidden/>
              </w:rPr>
            </w:r>
            <w:r>
              <w:rPr>
                <w:noProof/>
                <w:webHidden/>
              </w:rPr>
              <w:fldChar w:fldCharType="separate"/>
            </w:r>
            <w:r>
              <w:rPr>
                <w:noProof/>
                <w:webHidden/>
              </w:rPr>
              <w:t>2</w:t>
            </w:r>
            <w:r>
              <w:rPr>
                <w:noProof/>
                <w:webHidden/>
              </w:rPr>
              <w:fldChar w:fldCharType="end"/>
            </w:r>
          </w:hyperlink>
        </w:p>
        <w:p w14:paraId="1825BB33" w14:textId="71C61E8B" w:rsidR="00BD2B3F" w:rsidRDefault="00BD2B3F">
          <w:pPr>
            <w:pStyle w:val="TOC2"/>
            <w:tabs>
              <w:tab w:val="right" w:leader="dot" w:pos="8494"/>
            </w:tabs>
            <w:rPr>
              <w:rFonts w:eastAsiaTheme="minorEastAsia"/>
              <w:noProof/>
              <w:lang w:val="fr-FR" w:eastAsia="fr-FR"/>
            </w:rPr>
          </w:pPr>
          <w:hyperlink w:anchor="_Toc124342052" w:history="1">
            <w:r w:rsidRPr="00B66AB1">
              <w:rPr>
                <w:rStyle w:val="Hyperlink"/>
                <w:noProof/>
                <w:lang w:val="fr-FR"/>
              </w:rPr>
              <w:t>Exemple de rapport de bonne pratique</w:t>
            </w:r>
            <w:r>
              <w:rPr>
                <w:noProof/>
                <w:webHidden/>
              </w:rPr>
              <w:tab/>
            </w:r>
            <w:r>
              <w:rPr>
                <w:noProof/>
                <w:webHidden/>
              </w:rPr>
              <w:fldChar w:fldCharType="begin"/>
            </w:r>
            <w:r>
              <w:rPr>
                <w:noProof/>
                <w:webHidden/>
              </w:rPr>
              <w:instrText xml:space="preserve"> PAGEREF _Toc124342052 \h </w:instrText>
            </w:r>
            <w:r>
              <w:rPr>
                <w:noProof/>
                <w:webHidden/>
              </w:rPr>
            </w:r>
            <w:r>
              <w:rPr>
                <w:noProof/>
                <w:webHidden/>
              </w:rPr>
              <w:fldChar w:fldCharType="separate"/>
            </w:r>
            <w:r>
              <w:rPr>
                <w:noProof/>
                <w:webHidden/>
              </w:rPr>
              <w:t>6</w:t>
            </w:r>
            <w:r>
              <w:rPr>
                <w:noProof/>
                <w:webHidden/>
              </w:rPr>
              <w:fldChar w:fldCharType="end"/>
            </w:r>
          </w:hyperlink>
        </w:p>
        <w:p w14:paraId="7A8B3F6F" w14:textId="47D30B0D" w:rsidR="00BD2B3F" w:rsidRDefault="00BD2B3F">
          <w:pPr>
            <w:pStyle w:val="TOC1"/>
            <w:tabs>
              <w:tab w:val="right" w:leader="dot" w:pos="8494"/>
            </w:tabs>
            <w:rPr>
              <w:rFonts w:eastAsiaTheme="minorEastAsia"/>
              <w:noProof/>
              <w:lang w:val="fr-FR" w:eastAsia="fr-FR"/>
            </w:rPr>
          </w:pPr>
          <w:hyperlink w:anchor="_Toc124342053" w:history="1">
            <w:r w:rsidRPr="00B66AB1">
              <w:rPr>
                <w:rStyle w:val="Hyperlink"/>
                <w:noProof/>
                <w:lang w:val="fr-FR"/>
              </w:rPr>
              <w:t>Modèle de rapport</w:t>
            </w:r>
            <w:r>
              <w:rPr>
                <w:noProof/>
                <w:webHidden/>
              </w:rPr>
              <w:tab/>
            </w:r>
            <w:r>
              <w:rPr>
                <w:noProof/>
                <w:webHidden/>
              </w:rPr>
              <w:fldChar w:fldCharType="begin"/>
            </w:r>
            <w:r>
              <w:rPr>
                <w:noProof/>
                <w:webHidden/>
              </w:rPr>
              <w:instrText xml:space="preserve"> PAGEREF _Toc124342053 \h </w:instrText>
            </w:r>
            <w:r>
              <w:rPr>
                <w:noProof/>
                <w:webHidden/>
              </w:rPr>
            </w:r>
            <w:r>
              <w:rPr>
                <w:noProof/>
                <w:webHidden/>
              </w:rPr>
              <w:fldChar w:fldCharType="separate"/>
            </w:r>
            <w:r>
              <w:rPr>
                <w:noProof/>
                <w:webHidden/>
              </w:rPr>
              <w:t>8</w:t>
            </w:r>
            <w:r>
              <w:rPr>
                <w:noProof/>
                <w:webHidden/>
              </w:rPr>
              <w:fldChar w:fldCharType="end"/>
            </w:r>
          </w:hyperlink>
        </w:p>
        <w:p w14:paraId="438CF90F" w14:textId="4B0D7019" w:rsidR="00CB1059" w:rsidRPr="00BD2B3F" w:rsidRDefault="00CB1059">
          <w:pPr>
            <w:rPr>
              <w:lang w:val="fr-FR"/>
            </w:rPr>
          </w:pPr>
          <w:r w:rsidRPr="00BD2B3F">
            <w:rPr>
              <w:b/>
              <w:bCs/>
              <w:lang w:val="fr-FR"/>
            </w:rPr>
            <w:fldChar w:fldCharType="end"/>
          </w:r>
        </w:p>
      </w:sdtContent>
    </w:sdt>
    <w:p w14:paraId="6F2998F5" w14:textId="77777777" w:rsidR="00CB1059" w:rsidRPr="00BD2B3F" w:rsidRDefault="00CB1059" w:rsidP="00055EC3">
      <w:pPr>
        <w:spacing w:after="0" w:line="240" w:lineRule="auto"/>
        <w:rPr>
          <w:rFonts w:ascii="Calibri" w:hAnsi="Calibri"/>
          <w:b/>
          <w:bCs/>
          <w:szCs w:val="28"/>
          <w:lang w:val="fr-FR"/>
        </w:rPr>
      </w:pPr>
    </w:p>
    <w:p w14:paraId="155CE86B" w14:textId="284D1F53" w:rsidR="00055EC3" w:rsidRPr="00BD2B3F" w:rsidRDefault="00055EC3" w:rsidP="00055EC3">
      <w:pPr>
        <w:spacing w:after="0" w:line="240" w:lineRule="auto"/>
        <w:rPr>
          <w:rFonts w:ascii="Calibri" w:hAnsi="Calibri"/>
          <w:b/>
          <w:bCs/>
          <w:szCs w:val="28"/>
          <w:lang w:val="fr-FR"/>
        </w:rPr>
      </w:pPr>
    </w:p>
    <w:p w14:paraId="1D0315C9" w14:textId="77777777" w:rsidR="00CB1059" w:rsidRPr="00BD2B3F" w:rsidRDefault="00CB1059">
      <w:pPr>
        <w:spacing w:after="160" w:line="259" w:lineRule="auto"/>
        <w:jc w:val="left"/>
        <w:rPr>
          <w:rFonts w:eastAsiaTheme="majorEastAsia" w:cstheme="minorHAnsi"/>
          <w:b/>
          <w:color w:val="20478A"/>
          <w:lang w:val="fr-FR"/>
        </w:rPr>
      </w:pPr>
      <w:r w:rsidRPr="00BD2B3F">
        <w:rPr>
          <w:rFonts w:cstheme="minorHAnsi"/>
          <w:lang w:val="fr-FR"/>
        </w:rPr>
        <w:br w:type="page"/>
      </w:r>
    </w:p>
    <w:p w14:paraId="31B76D73" w14:textId="0DA3BFC0" w:rsidR="00055EC3" w:rsidRPr="00BD2B3F" w:rsidRDefault="00AC22AF" w:rsidP="00055EC3">
      <w:pPr>
        <w:pStyle w:val="Heading2"/>
        <w:rPr>
          <w:rFonts w:cstheme="minorHAnsi"/>
          <w:szCs w:val="22"/>
          <w:lang w:val="fr-FR"/>
        </w:rPr>
      </w:pPr>
      <w:bookmarkStart w:id="3" w:name="_Toc124342049"/>
      <w:r w:rsidRPr="00BD2B3F">
        <w:rPr>
          <w:rFonts w:cstheme="minorHAnsi"/>
          <w:szCs w:val="22"/>
          <w:lang w:val="fr-FR"/>
        </w:rPr>
        <w:lastRenderedPageBreak/>
        <w:t>Comment reconnaître une bonne pratique</w:t>
      </w:r>
      <w:r w:rsidR="00055EC3" w:rsidRPr="00BD2B3F">
        <w:rPr>
          <w:rFonts w:cstheme="minorHAnsi"/>
          <w:szCs w:val="22"/>
          <w:lang w:val="fr-FR"/>
        </w:rPr>
        <w:t>?</w:t>
      </w:r>
      <w:bookmarkEnd w:id="3"/>
    </w:p>
    <w:p w14:paraId="2DFCB009" w14:textId="2B1A6C4E" w:rsidR="00055EC3" w:rsidRPr="00BD2B3F" w:rsidRDefault="00AC22AF" w:rsidP="00055EC3">
      <w:pPr>
        <w:spacing w:after="0" w:line="240" w:lineRule="auto"/>
        <w:rPr>
          <w:rFonts w:cstheme="minorHAnsi"/>
          <w:lang w:val="fr-FR"/>
        </w:rPr>
      </w:pPr>
      <w:r w:rsidRPr="00BD2B3F">
        <w:rPr>
          <w:rFonts w:cstheme="minorHAnsi"/>
          <w:lang w:val="fr-FR"/>
        </w:rPr>
        <w:t xml:space="preserve">Une bonne pratique </w:t>
      </w:r>
      <w:r w:rsidR="00055EC3" w:rsidRPr="00BD2B3F">
        <w:rPr>
          <w:rFonts w:cstheme="minorHAnsi"/>
          <w:lang w:val="fr-FR"/>
        </w:rPr>
        <w:t>:</w:t>
      </w:r>
    </w:p>
    <w:p w14:paraId="052525B8" w14:textId="77777777" w:rsidR="00055EC3" w:rsidRPr="00BD2B3F" w:rsidRDefault="00055EC3" w:rsidP="00055EC3">
      <w:pPr>
        <w:spacing w:after="0" w:line="240" w:lineRule="auto"/>
        <w:rPr>
          <w:rFonts w:cstheme="minorHAnsi"/>
          <w:lang w:val="fr-FR"/>
        </w:rPr>
      </w:pPr>
    </w:p>
    <w:p w14:paraId="0369C320" w14:textId="48D6EC2F" w:rsidR="00055EC3" w:rsidRPr="00BD2B3F" w:rsidRDefault="00833DFB" w:rsidP="00055EC3">
      <w:pPr>
        <w:pStyle w:val="ListParagraph"/>
        <w:numPr>
          <w:ilvl w:val="0"/>
          <w:numId w:val="5"/>
        </w:numPr>
        <w:spacing w:after="200" w:line="276" w:lineRule="auto"/>
        <w:rPr>
          <w:rFonts w:cstheme="minorHAnsi"/>
          <w:lang w:val="fr-FR"/>
        </w:rPr>
      </w:pPr>
      <w:r w:rsidRPr="00BD2B3F">
        <w:rPr>
          <w:rFonts w:cstheme="minorHAnsi"/>
          <w:u w:val="single"/>
          <w:lang w:val="fr-FR"/>
        </w:rPr>
        <w:t>Est c</w:t>
      </w:r>
      <w:r w:rsidR="00AC22AF" w:rsidRPr="00BD2B3F">
        <w:rPr>
          <w:rFonts w:cstheme="minorHAnsi"/>
          <w:u w:val="single"/>
          <w:lang w:val="fr-FR"/>
        </w:rPr>
        <w:t>iblée</w:t>
      </w:r>
      <w:r w:rsidR="00055EC3" w:rsidRPr="00BD2B3F">
        <w:rPr>
          <w:rFonts w:cstheme="minorHAnsi"/>
          <w:lang w:val="fr-FR"/>
        </w:rPr>
        <w:t xml:space="preserve">: </w:t>
      </w:r>
      <w:r w:rsidRPr="00BD2B3F">
        <w:rPr>
          <w:rFonts w:cstheme="minorHAnsi"/>
          <w:lang w:val="fr-FR"/>
        </w:rPr>
        <w:t>elle vise à réduire les inégalités, contribue à faire comprendre que la diversité est un avantage collectif, renforce et favorise la participation active des citoyen</w:t>
      </w:r>
      <w:r w:rsidRPr="00BD2B3F">
        <w:rPr>
          <w:rFonts w:cstheme="minorHAnsi"/>
          <w:lang w:val="fr-FR"/>
        </w:rPr>
        <w:t>-ne-</w:t>
      </w:r>
      <w:r w:rsidRPr="00BD2B3F">
        <w:rPr>
          <w:rFonts w:cstheme="minorHAnsi"/>
          <w:lang w:val="fr-FR"/>
        </w:rPr>
        <w:t xml:space="preserve">s, et améliore le bien-être, la confiance, le sentiment d'appartenance et l'inclusion des </w:t>
      </w:r>
      <w:r w:rsidRPr="00BD2B3F">
        <w:rPr>
          <w:rFonts w:cstheme="minorHAnsi"/>
          <w:lang w:val="fr-FR"/>
        </w:rPr>
        <w:t>personnes nouvellement arrivées</w:t>
      </w:r>
      <w:r w:rsidRPr="00BD2B3F">
        <w:rPr>
          <w:rFonts w:cstheme="minorHAnsi"/>
          <w:lang w:val="fr-FR"/>
        </w:rPr>
        <w:t xml:space="preserve"> dans la société.</w:t>
      </w:r>
    </w:p>
    <w:p w14:paraId="0B6F50DC" w14:textId="590EC9B9" w:rsidR="00055EC3" w:rsidRPr="00BD2B3F" w:rsidRDefault="00833DFB" w:rsidP="00055EC3">
      <w:pPr>
        <w:pStyle w:val="ListParagraph"/>
        <w:numPr>
          <w:ilvl w:val="0"/>
          <w:numId w:val="5"/>
        </w:numPr>
        <w:spacing w:after="200" w:line="276" w:lineRule="auto"/>
        <w:rPr>
          <w:rFonts w:cstheme="minorHAnsi"/>
          <w:lang w:val="fr-FR"/>
        </w:rPr>
      </w:pPr>
      <w:r w:rsidRPr="00BD2B3F">
        <w:rPr>
          <w:rFonts w:cstheme="minorHAnsi"/>
          <w:u w:val="single"/>
          <w:lang w:val="fr-FR"/>
        </w:rPr>
        <w:t>Répond aux besoins</w:t>
      </w:r>
      <w:r w:rsidR="00055EC3" w:rsidRPr="00BD2B3F">
        <w:rPr>
          <w:rFonts w:cstheme="minorHAnsi"/>
          <w:lang w:val="fr-FR"/>
        </w:rPr>
        <w:t xml:space="preserve">: </w:t>
      </w:r>
      <w:r w:rsidRPr="00BD2B3F">
        <w:rPr>
          <w:rFonts w:cstheme="minorHAnsi"/>
          <w:lang w:val="fr-FR"/>
        </w:rPr>
        <w:t>elle</w:t>
      </w:r>
      <w:r w:rsidRPr="00BD2B3F">
        <w:rPr>
          <w:rFonts w:cstheme="minorHAnsi"/>
          <w:lang w:val="fr-FR"/>
        </w:rPr>
        <w:t xml:space="preserve"> </w:t>
      </w:r>
      <w:r w:rsidR="00BD2B3F" w:rsidRPr="00BD2B3F">
        <w:rPr>
          <w:rFonts w:cstheme="minorHAnsi"/>
          <w:lang w:val="fr-FR"/>
        </w:rPr>
        <w:t xml:space="preserve">a pour point de départ les </w:t>
      </w:r>
      <w:r w:rsidRPr="00BD2B3F">
        <w:rPr>
          <w:rFonts w:cstheme="minorHAnsi"/>
          <w:lang w:val="fr-FR"/>
        </w:rPr>
        <w:t>besoin</w:t>
      </w:r>
      <w:r w:rsidR="00BD2B3F" w:rsidRPr="00BD2B3F">
        <w:rPr>
          <w:rFonts w:cstheme="minorHAnsi"/>
          <w:lang w:val="fr-FR"/>
        </w:rPr>
        <w:t>s</w:t>
      </w:r>
      <w:r w:rsidRPr="00BD2B3F">
        <w:rPr>
          <w:rFonts w:cstheme="minorHAnsi"/>
          <w:lang w:val="fr-FR"/>
        </w:rPr>
        <w:t xml:space="preserve"> et </w:t>
      </w:r>
      <w:r w:rsidR="00BD2B3F" w:rsidRPr="00BD2B3F">
        <w:rPr>
          <w:rFonts w:cstheme="minorHAnsi"/>
          <w:lang w:val="fr-FR"/>
        </w:rPr>
        <w:t xml:space="preserve">les </w:t>
      </w:r>
      <w:r w:rsidRPr="00BD2B3F">
        <w:rPr>
          <w:rFonts w:cstheme="minorHAnsi"/>
          <w:lang w:val="fr-FR"/>
        </w:rPr>
        <w:t xml:space="preserve">circonstances </w:t>
      </w:r>
      <w:r w:rsidR="00BD2B3F" w:rsidRPr="00BD2B3F">
        <w:rPr>
          <w:rFonts w:cstheme="minorHAnsi"/>
          <w:lang w:val="fr-FR"/>
        </w:rPr>
        <w:t>liées à l’</w:t>
      </w:r>
      <w:r w:rsidRPr="00BD2B3F">
        <w:rPr>
          <w:rFonts w:cstheme="minorHAnsi"/>
          <w:lang w:val="fr-FR"/>
        </w:rPr>
        <w:t xml:space="preserve">intégration </w:t>
      </w:r>
      <w:r w:rsidRPr="00BD2B3F">
        <w:rPr>
          <w:rFonts w:cstheme="minorHAnsi"/>
          <w:lang w:val="fr-FR"/>
        </w:rPr>
        <w:t xml:space="preserve">des </w:t>
      </w:r>
      <w:r w:rsidRPr="00BD2B3F">
        <w:rPr>
          <w:rFonts w:cstheme="minorHAnsi"/>
          <w:lang w:val="fr-FR"/>
        </w:rPr>
        <w:t xml:space="preserve">personnes </w:t>
      </w:r>
      <w:r w:rsidRPr="00BD2B3F">
        <w:rPr>
          <w:rFonts w:cstheme="minorHAnsi"/>
          <w:lang w:val="fr-FR"/>
        </w:rPr>
        <w:t>immigrant</w:t>
      </w:r>
      <w:r w:rsidRPr="00BD2B3F">
        <w:rPr>
          <w:rFonts w:cstheme="minorHAnsi"/>
          <w:lang w:val="fr-FR"/>
        </w:rPr>
        <w:t>e</w:t>
      </w:r>
      <w:r w:rsidRPr="00BD2B3F">
        <w:rPr>
          <w:rFonts w:cstheme="minorHAnsi"/>
          <w:lang w:val="fr-FR"/>
        </w:rPr>
        <w:t>s et de la société dans son ensemble.</w:t>
      </w:r>
    </w:p>
    <w:p w14:paraId="487DBE2B" w14:textId="40FB87A6" w:rsidR="00055EC3" w:rsidRPr="00BD2B3F" w:rsidRDefault="00833DFB" w:rsidP="00055EC3">
      <w:pPr>
        <w:pStyle w:val="ListParagraph"/>
        <w:numPr>
          <w:ilvl w:val="0"/>
          <w:numId w:val="5"/>
        </w:numPr>
        <w:spacing w:after="200" w:line="276" w:lineRule="auto"/>
        <w:rPr>
          <w:rFonts w:cstheme="minorHAnsi"/>
          <w:lang w:val="fr-FR"/>
        </w:rPr>
      </w:pPr>
      <w:r w:rsidRPr="00BD2B3F">
        <w:rPr>
          <w:rFonts w:cstheme="minorHAnsi"/>
          <w:u w:val="single"/>
          <w:lang w:val="fr-FR"/>
        </w:rPr>
        <w:t>Est sensible au contexte</w:t>
      </w:r>
      <w:r w:rsidR="00055EC3" w:rsidRPr="00BD2B3F">
        <w:rPr>
          <w:rFonts w:cstheme="minorHAnsi"/>
          <w:lang w:val="fr-FR"/>
        </w:rPr>
        <w:t xml:space="preserve">: </w:t>
      </w:r>
      <w:r w:rsidRPr="00BD2B3F">
        <w:rPr>
          <w:rFonts w:cstheme="minorHAnsi"/>
          <w:lang w:val="fr-FR"/>
        </w:rPr>
        <w:t>elle tient également compte des conditions difficiles et des atouts locaux spécifiques.</w:t>
      </w:r>
    </w:p>
    <w:p w14:paraId="1AF564F2" w14:textId="46F69A64" w:rsidR="00055EC3" w:rsidRPr="00BD2B3F" w:rsidRDefault="00833DFB" w:rsidP="00055EC3">
      <w:pPr>
        <w:pStyle w:val="ListParagraph"/>
        <w:numPr>
          <w:ilvl w:val="0"/>
          <w:numId w:val="5"/>
        </w:numPr>
        <w:spacing w:after="200" w:line="276" w:lineRule="auto"/>
        <w:rPr>
          <w:rFonts w:cstheme="minorHAnsi"/>
          <w:lang w:val="fr-FR"/>
        </w:rPr>
      </w:pPr>
      <w:r w:rsidRPr="00BD2B3F">
        <w:rPr>
          <w:rFonts w:cstheme="minorHAnsi"/>
          <w:u w:val="single"/>
          <w:lang w:val="fr-FR"/>
        </w:rPr>
        <w:t>A un impact important</w:t>
      </w:r>
      <w:r w:rsidR="00055EC3" w:rsidRPr="00BD2B3F">
        <w:rPr>
          <w:rFonts w:cstheme="minorHAnsi"/>
          <w:lang w:val="fr-FR"/>
        </w:rPr>
        <w:t xml:space="preserve">: </w:t>
      </w:r>
      <w:r w:rsidRPr="00BD2B3F">
        <w:rPr>
          <w:rFonts w:cstheme="minorHAnsi"/>
          <w:lang w:val="fr-FR"/>
        </w:rPr>
        <w:t xml:space="preserve">elle </w:t>
      </w:r>
      <w:r w:rsidRPr="00BD2B3F">
        <w:rPr>
          <w:rFonts w:cstheme="minorHAnsi"/>
          <w:lang w:val="fr-FR"/>
        </w:rPr>
        <w:t>produit de meilleurs résultats qu'auparavant du point de vue du bénéficiaire, notamment parce qu'</w:t>
      </w:r>
      <w:r w:rsidRPr="00BD2B3F">
        <w:rPr>
          <w:rFonts w:cstheme="minorHAnsi"/>
          <w:lang w:val="fr-FR"/>
        </w:rPr>
        <w:t>el</w:t>
      </w:r>
      <w:r w:rsidRPr="00BD2B3F">
        <w:rPr>
          <w:rFonts w:cstheme="minorHAnsi"/>
          <w:lang w:val="fr-FR"/>
        </w:rPr>
        <w:t>l</w:t>
      </w:r>
      <w:r w:rsidRPr="00BD2B3F">
        <w:rPr>
          <w:rFonts w:cstheme="minorHAnsi"/>
          <w:lang w:val="fr-FR"/>
        </w:rPr>
        <w:t>e</w:t>
      </w:r>
      <w:r w:rsidRPr="00BD2B3F">
        <w:rPr>
          <w:rFonts w:cstheme="minorHAnsi"/>
          <w:lang w:val="fr-FR"/>
        </w:rPr>
        <w:t xml:space="preserve"> implique un large éventail de parties prenantes, s'appuie sur des acteurs et des canaux qui peuvent servir de multiplicateurs (</w:t>
      </w:r>
      <w:r w:rsidRPr="00BD2B3F">
        <w:rPr>
          <w:rFonts w:cstheme="minorHAnsi"/>
          <w:lang w:val="fr-FR"/>
        </w:rPr>
        <w:t xml:space="preserve">à la fois </w:t>
      </w:r>
      <w:r w:rsidRPr="00BD2B3F">
        <w:rPr>
          <w:rFonts w:cstheme="minorHAnsi"/>
          <w:lang w:val="fr-FR"/>
        </w:rPr>
        <w:t>des messages clés et de la méthodologie) et renforce la capacité des parties prenantes à poursuivre l'action après la fin du projet.</w:t>
      </w:r>
    </w:p>
    <w:p w14:paraId="532E4BEA" w14:textId="5101756A" w:rsidR="00055EC3" w:rsidRPr="00BD2B3F" w:rsidRDefault="00833DFB" w:rsidP="00055EC3">
      <w:pPr>
        <w:pStyle w:val="ListParagraph"/>
        <w:numPr>
          <w:ilvl w:val="0"/>
          <w:numId w:val="5"/>
        </w:numPr>
        <w:spacing w:after="200" w:line="276" w:lineRule="auto"/>
        <w:rPr>
          <w:rFonts w:cstheme="minorHAnsi"/>
          <w:lang w:val="fr-FR"/>
        </w:rPr>
      </w:pPr>
      <w:r w:rsidRPr="00BD2B3F">
        <w:rPr>
          <w:rFonts w:cstheme="minorHAnsi"/>
          <w:u w:val="single"/>
          <w:lang w:val="fr-FR"/>
        </w:rPr>
        <w:t>Peut être modélisée</w:t>
      </w:r>
      <w:r w:rsidR="00055EC3" w:rsidRPr="00BD2B3F">
        <w:rPr>
          <w:rFonts w:cstheme="minorHAnsi"/>
          <w:lang w:val="fr-FR"/>
        </w:rPr>
        <w:t xml:space="preserve">: </w:t>
      </w:r>
      <w:r w:rsidR="00BD2B3F" w:rsidRPr="00BD2B3F">
        <w:rPr>
          <w:rFonts w:cstheme="minorHAnsi"/>
          <w:lang w:val="fr-FR"/>
        </w:rPr>
        <w:t xml:space="preserve">elle contient des éléments et des processus essentiels clairement définis qui permettent d'atteindre un objectif souhaitable pour l'ensemble de la société </w:t>
      </w:r>
      <w:r w:rsidR="00BD2B3F" w:rsidRPr="00BD2B3F">
        <w:rPr>
          <w:rFonts w:cstheme="minorHAnsi"/>
          <w:lang w:val="fr-FR"/>
        </w:rPr>
        <w:t xml:space="preserve">qui est </w:t>
      </w:r>
      <w:r w:rsidR="00BD2B3F" w:rsidRPr="00BD2B3F">
        <w:rPr>
          <w:rFonts w:cstheme="minorHAnsi"/>
          <w:lang w:val="fr-FR"/>
        </w:rPr>
        <w:t>considérée comme une société diversifiée.</w:t>
      </w:r>
    </w:p>
    <w:p w14:paraId="0A5F77A1" w14:textId="41618929" w:rsidR="00055EC3" w:rsidRPr="00BD2B3F" w:rsidRDefault="00833DFB" w:rsidP="00055EC3">
      <w:pPr>
        <w:pStyle w:val="ListParagraph"/>
        <w:numPr>
          <w:ilvl w:val="0"/>
          <w:numId w:val="5"/>
        </w:numPr>
        <w:spacing w:after="200" w:line="276" w:lineRule="auto"/>
        <w:rPr>
          <w:rFonts w:cstheme="minorHAnsi"/>
          <w:lang w:val="fr-FR"/>
        </w:rPr>
      </w:pPr>
      <w:r w:rsidRPr="00BD2B3F">
        <w:rPr>
          <w:rFonts w:cstheme="minorHAnsi"/>
          <w:u w:val="single"/>
          <w:lang w:val="fr-FR"/>
        </w:rPr>
        <w:t>Peut être généralisée</w:t>
      </w:r>
      <w:r w:rsidR="00055EC3" w:rsidRPr="00BD2B3F">
        <w:rPr>
          <w:rFonts w:cstheme="minorHAnsi"/>
          <w:lang w:val="fr-FR"/>
        </w:rPr>
        <w:t xml:space="preserve">: </w:t>
      </w:r>
      <w:r w:rsidR="00BD2B3F" w:rsidRPr="00BD2B3F">
        <w:rPr>
          <w:rFonts w:cstheme="minorHAnsi"/>
          <w:lang w:val="fr-FR"/>
        </w:rPr>
        <w:t>le projet est susceptible de produire des effets similaires lorsqu'il est introduit dans d'autres environnements opérationnels similaires et/ou d'être facilement adapté à d'autres contextes.</w:t>
      </w:r>
    </w:p>
    <w:p w14:paraId="4F1DB291" w14:textId="30C89742" w:rsidR="002A6770" w:rsidRPr="00BD2B3F" w:rsidRDefault="00AC22AF" w:rsidP="002A6770">
      <w:pPr>
        <w:pStyle w:val="Heading2"/>
        <w:rPr>
          <w:rFonts w:cstheme="minorHAnsi"/>
          <w:szCs w:val="22"/>
          <w:lang w:val="fr-FR"/>
        </w:rPr>
      </w:pPr>
      <w:bookmarkStart w:id="4" w:name="_Toc124342050"/>
      <w:r w:rsidRPr="00BD2B3F">
        <w:rPr>
          <w:rFonts w:cstheme="minorHAnsi"/>
          <w:szCs w:val="22"/>
          <w:lang w:val="fr-FR"/>
        </w:rPr>
        <w:t>Lignes directrices pour rendre compte de bonnes pratiques</w:t>
      </w:r>
      <w:bookmarkEnd w:id="4"/>
    </w:p>
    <w:p w14:paraId="14B54F4F" w14:textId="77777777" w:rsidR="002A6770" w:rsidRPr="00BD2B3F" w:rsidRDefault="002A6770" w:rsidP="002A6770">
      <w:pPr>
        <w:numPr>
          <w:ilvl w:val="0"/>
          <w:numId w:val="4"/>
        </w:numPr>
        <w:spacing w:before="100" w:beforeAutospacing="1" w:after="100" w:afterAutospacing="1" w:line="240" w:lineRule="auto"/>
        <w:rPr>
          <w:rFonts w:eastAsia="Times New Roman" w:cstheme="minorHAnsi"/>
          <w:lang w:val="fr-FR" w:eastAsia="en-GB"/>
        </w:rPr>
      </w:pPr>
      <w:r w:rsidRPr="00BD2B3F">
        <w:rPr>
          <w:rFonts w:eastAsia="Times New Roman" w:cstheme="minorHAnsi"/>
          <w:u w:val="single"/>
          <w:lang w:val="fr-FR" w:eastAsia="en-GB"/>
        </w:rPr>
        <w:t>L'information doit être brève et précise : elle doit être simple et efficace !</w:t>
      </w:r>
    </w:p>
    <w:p w14:paraId="07793808" w14:textId="4D14B0BA" w:rsidR="002A6770" w:rsidRPr="00BD2B3F" w:rsidRDefault="002A6770" w:rsidP="002A6770">
      <w:pPr>
        <w:numPr>
          <w:ilvl w:val="0"/>
          <w:numId w:val="4"/>
        </w:numPr>
        <w:spacing w:before="100" w:beforeAutospacing="1" w:after="100" w:afterAutospacing="1" w:line="240" w:lineRule="auto"/>
        <w:rPr>
          <w:rFonts w:eastAsia="Times New Roman" w:cstheme="minorHAnsi"/>
          <w:lang w:val="fr-FR" w:eastAsia="en-GB"/>
        </w:rPr>
      </w:pPr>
      <w:r w:rsidRPr="00BD2B3F">
        <w:rPr>
          <w:rFonts w:eastAsia="Times New Roman" w:cstheme="minorHAnsi"/>
          <w:lang w:val="fr-FR" w:eastAsia="en-GB"/>
        </w:rPr>
        <w:t>Identifie</w:t>
      </w:r>
      <w:r w:rsidR="00BD2B3F" w:rsidRPr="00BD2B3F">
        <w:rPr>
          <w:rFonts w:eastAsia="Times New Roman" w:cstheme="minorHAnsi"/>
          <w:lang w:val="fr-FR" w:eastAsia="en-GB"/>
        </w:rPr>
        <w:t>z</w:t>
      </w:r>
      <w:r w:rsidRPr="00BD2B3F">
        <w:rPr>
          <w:rFonts w:eastAsia="Times New Roman" w:cstheme="minorHAnsi"/>
          <w:lang w:val="fr-FR" w:eastAsia="en-GB"/>
        </w:rPr>
        <w:t xml:space="preserve"> les principaux défis que l'action visait à résoudre, le(s) objectif(s) poursuivi(s) par l'action, ses points clés, ainsi que les principa</w:t>
      </w:r>
      <w:r w:rsidRPr="00BD2B3F">
        <w:rPr>
          <w:rFonts w:eastAsia="Times New Roman" w:cstheme="minorHAnsi"/>
          <w:lang w:val="fr-FR" w:eastAsia="en-GB"/>
        </w:rPr>
        <w:t>les</w:t>
      </w:r>
      <w:r w:rsidRPr="00BD2B3F">
        <w:rPr>
          <w:rFonts w:eastAsia="Times New Roman" w:cstheme="minorHAnsi"/>
          <w:lang w:val="fr-FR" w:eastAsia="en-GB"/>
        </w:rPr>
        <w:t xml:space="preserve"> </w:t>
      </w:r>
      <w:r w:rsidRPr="00BD2B3F">
        <w:rPr>
          <w:rFonts w:eastAsia="Times New Roman" w:cstheme="minorHAnsi"/>
          <w:lang w:val="fr-FR" w:eastAsia="en-GB"/>
        </w:rPr>
        <w:t>réalisations</w:t>
      </w:r>
      <w:r w:rsidRPr="00BD2B3F">
        <w:rPr>
          <w:rFonts w:eastAsia="Times New Roman" w:cstheme="minorHAnsi"/>
          <w:lang w:val="fr-FR" w:eastAsia="en-GB"/>
        </w:rPr>
        <w:t xml:space="preserve"> et </w:t>
      </w:r>
      <w:r w:rsidRPr="00BD2B3F">
        <w:rPr>
          <w:rFonts w:eastAsia="Times New Roman" w:cstheme="minorHAnsi"/>
          <w:lang w:val="fr-FR" w:eastAsia="en-GB"/>
        </w:rPr>
        <w:t xml:space="preserve">les </w:t>
      </w:r>
      <w:r w:rsidRPr="00BD2B3F">
        <w:rPr>
          <w:rFonts w:eastAsia="Times New Roman" w:cstheme="minorHAnsi"/>
          <w:lang w:val="fr-FR" w:eastAsia="en-GB"/>
        </w:rPr>
        <w:t>résultats.</w:t>
      </w:r>
    </w:p>
    <w:p w14:paraId="2586C044" w14:textId="6738C20C" w:rsidR="002A6770" w:rsidRPr="00BD2B3F" w:rsidRDefault="002A6770" w:rsidP="002A6770">
      <w:pPr>
        <w:numPr>
          <w:ilvl w:val="0"/>
          <w:numId w:val="4"/>
        </w:numPr>
        <w:spacing w:before="100" w:beforeAutospacing="1" w:after="100" w:afterAutospacing="1" w:line="240" w:lineRule="auto"/>
        <w:rPr>
          <w:rFonts w:eastAsia="Times New Roman" w:cstheme="minorHAnsi"/>
          <w:lang w:val="fr-FR" w:eastAsia="en-GB"/>
        </w:rPr>
      </w:pPr>
      <w:r w:rsidRPr="00BD2B3F">
        <w:rPr>
          <w:rFonts w:eastAsia="Times New Roman" w:cstheme="minorHAnsi"/>
          <w:lang w:val="fr-FR" w:eastAsia="en-GB"/>
        </w:rPr>
        <w:t xml:space="preserve">Expliquez de manière claire, ciblée et concise comment l'action a été mise en œuvre. </w:t>
      </w:r>
    </w:p>
    <w:p w14:paraId="3D8AA454" w14:textId="77777777" w:rsidR="002A6770" w:rsidRPr="00BD2B3F" w:rsidRDefault="002A6770" w:rsidP="002A6770">
      <w:pPr>
        <w:numPr>
          <w:ilvl w:val="0"/>
          <w:numId w:val="4"/>
        </w:numPr>
        <w:spacing w:before="100" w:beforeAutospacing="1" w:after="100" w:afterAutospacing="1" w:line="240" w:lineRule="auto"/>
        <w:rPr>
          <w:rFonts w:eastAsia="Times New Roman" w:cstheme="minorHAnsi"/>
          <w:lang w:val="fr-FR" w:eastAsia="en-GB"/>
        </w:rPr>
      </w:pPr>
      <w:r w:rsidRPr="00BD2B3F">
        <w:rPr>
          <w:rFonts w:eastAsia="Times New Roman" w:cstheme="minorHAnsi"/>
          <w:lang w:val="fr-FR" w:eastAsia="en-GB"/>
        </w:rPr>
        <w:t>Rédigez votre texte en gardant à l'esprit que vos pratiques peuvent inspirer les autres et ont vocation à être reproduites.</w:t>
      </w:r>
    </w:p>
    <w:p w14:paraId="0ACF0A21" w14:textId="79A8AADE" w:rsidR="002A6770" w:rsidRPr="00BD2B3F" w:rsidRDefault="002A6770" w:rsidP="002A6770">
      <w:pPr>
        <w:numPr>
          <w:ilvl w:val="0"/>
          <w:numId w:val="4"/>
        </w:numPr>
        <w:spacing w:before="100" w:beforeAutospacing="1" w:after="100" w:afterAutospacing="1" w:line="240" w:lineRule="auto"/>
        <w:rPr>
          <w:rFonts w:eastAsia="Times New Roman" w:cstheme="minorHAnsi"/>
          <w:lang w:val="fr-FR" w:eastAsia="en-GB"/>
        </w:rPr>
      </w:pPr>
      <w:r w:rsidRPr="00BD2B3F">
        <w:rPr>
          <w:rFonts w:eastAsia="Times New Roman" w:cstheme="minorHAnsi"/>
          <w:lang w:val="fr-FR" w:eastAsia="en-GB"/>
        </w:rPr>
        <w:t xml:space="preserve">Évitez de décrire la ville : il existe déjà une description de la ville sur </w:t>
      </w:r>
      <w:r w:rsidR="00BD2B3F" w:rsidRPr="00BD2B3F">
        <w:rPr>
          <w:rFonts w:eastAsia="Times New Roman" w:cstheme="minorHAnsi"/>
          <w:lang w:val="fr-FR" w:eastAsia="en-GB"/>
        </w:rPr>
        <w:t>le site web du programme ICC.</w:t>
      </w:r>
    </w:p>
    <w:p w14:paraId="5AA900E7" w14:textId="56B00820" w:rsidR="002A6770" w:rsidRPr="00BD2B3F" w:rsidRDefault="002A6770" w:rsidP="002A6770">
      <w:pPr>
        <w:numPr>
          <w:ilvl w:val="0"/>
          <w:numId w:val="4"/>
        </w:numPr>
        <w:spacing w:before="100" w:beforeAutospacing="1" w:after="100" w:afterAutospacing="1" w:line="240" w:lineRule="auto"/>
        <w:rPr>
          <w:rFonts w:eastAsia="Times New Roman" w:cstheme="minorHAnsi"/>
          <w:lang w:val="fr-FR" w:eastAsia="en-GB"/>
        </w:rPr>
      </w:pPr>
      <w:r w:rsidRPr="00BD2B3F">
        <w:rPr>
          <w:rFonts w:eastAsia="Times New Roman" w:cstheme="minorHAnsi"/>
          <w:lang w:val="fr-FR" w:eastAsia="en-GB"/>
        </w:rPr>
        <w:t>Complétez votre rapport par toute référence appropriée à des sources d'information en ligne (web, publications, etc.)</w:t>
      </w:r>
      <w:r w:rsidR="00BD2B3F" w:rsidRPr="00BD2B3F">
        <w:rPr>
          <w:rFonts w:eastAsia="Times New Roman" w:cstheme="minorHAnsi"/>
          <w:lang w:val="fr-FR" w:eastAsia="en-GB"/>
        </w:rPr>
        <w:t>.</w:t>
      </w:r>
    </w:p>
    <w:p w14:paraId="75E6075C" w14:textId="439DB07F" w:rsidR="002A6770" w:rsidRPr="00BD2B3F" w:rsidRDefault="002A6770" w:rsidP="002A6770">
      <w:pPr>
        <w:numPr>
          <w:ilvl w:val="0"/>
          <w:numId w:val="4"/>
        </w:numPr>
        <w:spacing w:before="100" w:beforeAutospacing="1" w:after="100" w:afterAutospacing="1" w:line="240" w:lineRule="auto"/>
        <w:rPr>
          <w:rFonts w:cstheme="minorHAnsi"/>
          <w:b/>
          <w:smallCaps/>
          <w:lang w:val="fr-FR"/>
        </w:rPr>
      </w:pPr>
      <w:r w:rsidRPr="00BD2B3F">
        <w:rPr>
          <w:rFonts w:eastAsia="Times New Roman" w:cstheme="minorHAnsi"/>
          <w:lang w:val="fr-FR" w:eastAsia="en-GB"/>
        </w:rPr>
        <w:t>Utilisez la liste des domaines d'action ci-dessous à titre de référence</w:t>
      </w:r>
      <w:r w:rsidRPr="00BD2B3F">
        <w:rPr>
          <w:rFonts w:eastAsia="Times New Roman" w:cstheme="minorHAnsi"/>
          <w:lang w:val="fr-FR" w:eastAsia="en-GB"/>
        </w:rPr>
        <w:t> :</w:t>
      </w:r>
    </w:p>
    <w:p w14:paraId="3F320971" w14:textId="054018C9" w:rsidR="003F013D" w:rsidRPr="00BD2B3F" w:rsidRDefault="002A6770" w:rsidP="00CB1059">
      <w:pPr>
        <w:pStyle w:val="Heading2"/>
        <w:rPr>
          <w:rFonts w:cstheme="minorHAnsi"/>
          <w:szCs w:val="22"/>
          <w:lang w:val="fr-FR"/>
        </w:rPr>
      </w:pPr>
      <w:bookmarkStart w:id="5" w:name="_Toc124342051"/>
      <w:r w:rsidRPr="00BD2B3F">
        <w:rPr>
          <w:rFonts w:cstheme="minorHAnsi"/>
          <w:szCs w:val="22"/>
          <w:lang w:val="fr-FR"/>
        </w:rPr>
        <w:t>Domaines d’action</w:t>
      </w:r>
      <w:bookmarkEnd w:id="5"/>
    </w:p>
    <w:p w14:paraId="0EC9CD6D" w14:textId="77777777" w:rsidR="00BD2B3F" w:rsidRPr="00BD2B3F" w:rsidRDefault="00BD2B3F" w:rsidP="006E67F3">
      <w:pPr>
        <w:pStyle w:val="ListParagraph"/>
        <w:numPr>
          <w:ilvl w:val="0"/>
          <w:numId w:val="2"/>
        </w:numPr>
        <w:spacing w:after="200" w:line="276" w:lineRule="auto"/>
        <w:rPr>
          <w:rFonts w:cstheme="minorHAnsi"/>
          <w:lang w:val="fr-FR"/>
        </w:rPr>
      </w:pPr>
      <w:r w:rsidRPr="00BD2B3F">
        <w:rPr>
          <w:rFonts w:cstheme="minorHAnsi"/>
          <w:b/>
          <w:bCs/>
          <w:lang w:val="fr-FR"/>
        </w:rPr>
        <w:t>Leadership et engagement politique</w:t>
      </w:r>
      <w:r w:rsidR="003F013D" w:rsidRPr="00BD2B3F">
        <w:rPr>
          <w:rFonts w:cstheme="minorHAnsi"/>
          <w:lang w:val="fr-FR"/>
        </w:rPr>
        <w:t xml:space="preserve">: </w:t>
      </w:r>
      <w:r w:rsidRPr="00BD2B3F">
        <w:rPr>
          <w:rFonts w:cstheme="minorHAnsi"/>
          <w:lang w:val="fr-FR"/>
        </w:rPr>
        <w:t xml:space="preserve">par exemple: </w:t>
      </w:r>
      <w:r w:rsidRPr="00BD2B3F">
        <w:rPr>
          <w:rFonts w:cstheme="minorHAnsi"/>
          <w:lang w:val="fr-FR"/>
        </w:rPr>
        <w:t>déclaration(s) politique(s) du</w:t>
      </w:r>
      <w:r w:rsidRPr="00BD2B3F">
        <w:rPr>
          <w:rFonts w:cstheme="minorHAnsi"/>
          <w:lang w:val="fr-FR"/>
        </w:rPr>
        <w:t xml:space="preserve"> (de la)</w:t>
      </w:r>
      <w:r w:rsidRPr="00BD2B3F">
        <w:rPr>
          <w:rFonts w:cstheme="minorHAnsi"/>
          <w:lang w:val="fr-FR"/>
        </w:rPr>
        <w:t xml:space="preserve"> maire ; budget dédié aux politiques interculturelles ; conception et mise en œuvre de stratégies/plans d'action interculturels ; discours public ; compétence interculturelle des institutions publiques ; investissement dans une initiative visant à transformer le système ; mécanismes de coopération interservices ; politiques de recrutement d'un personnel diversifié dans les services municipaux ; </w:t>
      </w:r>
      <w:r w:rsidRPr="00BD2B3F">
        <w:rPr>
          <w:rFonts w:cstheme="minorHAnsi"/>
          <w:lang w:val="fr-FR"/>
        </w:rPr>
        <w:lastRenderedPageBreak/>
        <w:t>politique/processus/structures visant à réaliser une évaluation préalable de la nature interculturelle des projets à financer ; etc.</w:t>
      </w:r>
    </w:p>
    <w:p w14:paraId="27370EA6" w14:textId="73994443" w:rsidR="003F013D" w:rsidRPr="00BD2B3F" w:rsidRDefault="003F013D" w:rsidP="006E67F3">
      <w:pPr>
        <w:pStyle w:val="ListParagraph"/>
        <w:numPr>
          <w:ilvl w:val="0"/>
          <w:numId w:val="2"/>
        </w:numPr>
        <w:spacing w:after="200" w:line="276" w:lineRule="auto"/>
        <w:rPr>
          <w:rFonts w:cstheme="minorHAnsi"/>
          <w:lang w:val="fr-FR"/>
        </w:rPr>
      </w:pPr>
      <w:r w:rsidRPr="00BD2B3F">
        <w:rPr>
          <w:rFonts w:cstheme="minorHAnsi"/>
          <w:b/>
          <w:bCs/>
          <w:lang w:val="fr-FR"/>
        </w:rPr>
        <w:t xml:space="preserve">Communication </w:t>
      </w:r>
      <w:r w:rsidR="00BD2B3F" w:rsidRPr="00BD2B3F">
        <w:rPr>
          <w:rFonts w:cstheme="minorHAnsi"/>
          <w:b/>
          <w:bCs/>
          <w:lang w:val="fr-FR"/>
        </w:rPr>
        <w:t>et sensibilité du public à la valeur de l’interculturalité</w:t>
      </w:r>
      <w:r w:rsidRPr="00BD2B3F">
        <w:rPr>
          <w:rFonts w:cstheme="minorHAnsi"/>
          <w:lang w:val="fr-FR"/>
        </w:rPr>
        <w:t xml:space="preserve">: </w:t>
      </w:r>
      <w:r w:rsidR="00BD2B3F" w:rsidRPr="00BD2B3F">
        <w:rPr>
          <w:rFonts w:cstheme="minorHAnsi"/>
          <w:lang w:val="fr-FR"/>
        </w:rPr>
        <w:t xml:space="preserve">par exemple : </w:t>
      </w:r>
      <w:r w:rsidR="00BD2B3F" w:rsidRPr="00BD2B3F">
        <w:rPr>
          <w:rFonts w:cstheme="minorHAnsi"/>
          <w:lang w:val="fr-FR"/>
        </w:rPr>
        <w:t>projets, plans d'action, processus, outils, formations sur l</w:t>
      </w:r>
      <w:r w:rsidR="00BD2B3F" w:rsidRPr="00BD2B3F">
        <w:rPr>
          <w:rFonts w:cstheme="minorHAnsi"/>
          <w:lang w:val="fr-FR"/>
        </w:rPr>
        <w:t>a compréhension</w:t>
      </w:r>
      <w:r w:rsidR="00BD2B3F" w:rsidRPr="00BD2B3F">
        <w:rPr>
          <w:rFonts w:cstheme="minorHAnsi"/>
          <w:lang w:val="fr-FR"/>
        </w:rPr>
        <w:t xml:space="preserve"> </w:t>
      </w:r>
      <w:r w:rsidR="00BD2B3F" w:rsidRPr="00BD2B3F">
        <w:rPr>
          <w:rFonts w:cstheme="minorHAnsi"/>
          <w:lang w:val="fr-FR"/>
        </w:rPr>
        <w:t>de l’interculturalité</w:t>
      </w:r>
      <w:r w:rsidR="00BD2B3F" w:rsidRPr="00BD2B3F">
        <w:rPr>
          <w:rFonts w:cstheme="minorHAnsi"/>
          <w:lang w:val="fr-FR"/>
        </w:rPr>
        <w:t>, le développement d'une culture de l'inclusion et de l'interculturalité, l'antiracisme, l'anti</w:t>
      </w:r>
      <w:r w:rsidR="00BD2B3F" w:rsidRPr="00BD2B3F">
        <w:rPr>
          <w:rFonts w:cstheme="minorHAnsi"/>
          <w:lang w:val="fr-FR"/>
        </w:rPr>
        <w:t>-</w:t>
      </w:r>
      <w:r w:rsidR="00BD2B3F" w:rsidRPr="00BD2B3F">
        <w:rPr>
          <w:rFonts w:cstheme="minorHAnsi"/>
          <w:lang w:val="fr-FR"/>
        </w:rPr>
        <w:t>discrimination, l'avantage de la diversité, la communication sur les médias sociaux, etc. ; formation à la sensibilisation interculturelle pour le département de la communication ; communication inclusive et récits alternatifs ; coopération avec les médias ; campagnes de sensibilisation ; prix spéciaux/</w:t>
      </w:r>
      <w:r w:rsidR="00BD2B3F" w:rsidRPr="00BD2B3F">
        <w:rPr>
          <w:rFonts w:cstheme="minorHAnsi"/>
          <w:lang w:val="fr-FR"/>
        </w:rPr>
        <w:t>cérémonies</w:t>
      </w:r>
      <w:r w:rsidR="00BD2B3F" w:rsidRPr="00BD2B3F">
        <w:rPr>
          <w:rFonts w:cstheme="minorHAnsi"/>
          <w:lang w:val="fr-FR"/>
        </w:rPr>
        <w:t xml:space="preserve"> sur la mise en valeur des contributions des citoyen</w:t>
      </w:r>
      <w:r w:rsidR="00BD2B3F" w:rsidRPr="00BD2B3F">
        <w:rPr>
          <w:rFonts w:cstheme="minorHAnsi"/>
          <w:lang w:val="fr-FR"/>
        </w:rPr>
        <w:t>-ne-</w:t>
      </w:r>
      <w:r w:rsidR="00BD2B3F" w:rsidRPr="00BD2B3F">
        <w:rPr>
          <w:rFonts w:cstheme="minorHAnsi"/>
          <w:lang w:val="fr-FR"/>
        </w:rPr>
        <w:t>s à l'interculturalité ; enquêtes d'opinion ; recherches et publications sur la diversité dans la ville et son impact ; sites web/applications officiels communiquant sur l'interculturalité ; mécanismes pour atteindre divers groupes ; etc.</w:t>
      </w:r>
    </w:p>
    <w:p w14:paraId="0639B52C" w14:textId="42131DA7" w:rsidR="003F013D" w:rsidRPr="00BD2B3F" w:rsidRDefault="003F013D" w:rsidP="006E67F3">
      <w:pPr>
        <w:pStyle w:val="ListParagraph"/>
        <w:numPr>
          <w:ilvl w:val="0"/>
          <w:numId w:val="2"/>
        </w:numPr>
        <w:spacing w:after="200" w:line="276" w:lineRule="auto"/>
        <w:rPr>
          <w:rFonts w:cstheme="minorHAnsi"/>
          <w:lang w:val="fr-FR"/>
        </w:rPr>
      </w:pPr>
      <w:r w:rsidRPr="00BD2B3F">
        <w:rPr>
          <w:rFonts w:cstheme="minorHAnsi"/>
          <w:b/>
          <w:bCs/>
          <w:lang w:val="fr-FR"/>
        </w:rPr>
        <w:t xml:space="preserve">Anti-discrimination </w:t>
      </w:r>
      <w:r w:rsidR="00BD2B3F" w:rsidRPr="00BD2B3F">
        <w:rPr>
          <w:rFonts w:cstheme="minorHAnsi"/>
          <w:b/>
          <w:bCs/>
          <w:lang w:val="fr-FR"/>
        </w:rPr>
        <w:t>et égalité</w:t>
      </w:r>
      <w:r w:rsidRPr="00BD2B3F">
        <w:rPr>
          <w:rFonts w:cstheme="minorHAnsi"/>
          <w:lang w:val="fr-FR"/>
        </w:rPr>
        <w:t xml:space="preserve">: </w:t>
      </w:r>
      <w:r w:rsidR="00BD2B3F" w:rsidRPr="00BD2B3F">
        <w:rPr>
          <w:rFonts w:cstheme="minorHAnsi"/>
          <w:lang w:val="fr-FR"/>
        </w:rPr>
        <w:t>par exemple :</w:t>
      </w:r>
      <w:r w:rsidR="00BD2B3F" w:rsidRPr="00BD2B3F">
        <w:rPr>
          <w:rFonts w:cstheme="minorHAnsi"/>
          <w:lang w:val="fr-FR"/>
        </w:rPr>
        <w:t xml:space="preserve"> projets, plans d'action, processus, outils, formations sur l'anti-discrimination et/ou l'égalité ; campagnes de sensibilisation ; collecte et analyse de données ; organismes de promotion de l'égalité ; suivi des rapports des médias ; le cas échéant : législation/déclarations ; </w:t>
      </w:r>
      <w:r w:rsidR="00BD2B3F" w:rsidRPr="00BD2B3F">
        <w:rPr>
          <w:rFonts w:cstheme="minorHAnsi"/>
          <w:lang w:val="fr-FR"/>
        </w:rPr>
        <w:t>etc.</w:t>
      </w:r>
      <w:r w:rsidR="00BD2B3F" w:rsidRPr="00BD2B3F">
        <w:rPr>
          <w:rFonts w:cstheme="minorHAnsi"/>
          <w:lang w:val="fr-FR"/>
        </w:rPr>
        <w:t xml:space="preserve"> :</w:t>
      </w:r>
      <w:r w:rsidR="00BD2B3F" w:rsidRPr="00BD2B3F">
        <w:rPr>
          <w:rFonts w:cstheme="minorHAnsi"/>
          <w:lang w:val="fr-FR"/>
        </w:rPr>
        <w:t xml:space="preserve"> pouvant couvrir des domaines spécifiques tels que :</w:t>
      </w:r>
    </w:p>
    <w:p w14:paraId="6EE81BAB" w14:textId="7507E06A" w:rsidR="003F013D" w:rsidRPr="00BD2B3F" w:rsidRDefault="00BD2B3F" w:rsidP="006E67F3">
      <w:pPr>
        <w:pStyle w:val="ListParagraph"/>
        <w:numPr>
          <w:ilvl w:val="1"/>
          <w:numId w:val="2"/>
        </w:numPr>
        <w:spacing w:after="200" w:line="276" w:lineRule="auto"/>
        <w:rPr>
          <w:rFonts w:cstheme="minorHAnsi"/>
          <w:lang w:val="fr-FR"/>
        </w:rPr>
      </w:pPr>
      <w:r w:rsidRPr="00BD2B3F">
        <w:rPr>
          <w:rFonts w:cstheme="minorHAnsi"/>
          <w:u w:val="single"/>
          <w:lang w:val="fr-FR"/>
        </w:rPr>
        <w:t>Genre et intersectionnalité</w:t>
      </w:r>
      <w:r w:rsidR="003F013D" w:rsidRPr="00BD2B3F">
        <w:rPr>
          <w:rFonts w:cstheme="minorHAnsi"/>
          <w:lang w:val="fr-FR"/>
        </w:rPr>
        <w:t xml:space="preserve"> (</w:t>
      </w:r>
      <w:r w:rsidRPr="00BD2B3F">
        <w:rPr>
          <w:rFonts w:cstheme="minorHAnsi"/>
          <w:lang w:val="fr-FR"/>
        </w:rPr>
        <w:t xml:space="preserve">par exemple: </w:t>
      </w:r>
      <w:r w:rsidRPr="00BD2B3F">
        <w:rPr>
          <w:rFonts w:cstheme="minorHAnsi"/>
          <w:lang w:val="fr-FR"/>
        </w:rPr>
        <w:t xml:space="preserve">intégration </w:t>
      </w:r>
      <w:r w:rsidRPr="00BD2B3F">
        <w:rPr>
          <w:rFonts w:cstheme="minorHAnsi"/>
          <w:lang w:val="fr-FR"/>
        </w:rPr>
        <w:t xml:space="preserve">transversale </w:t>
      </w:r>
      <w:r w:rsidRPr="00BD2B3F">
        <w:rPr>
          <w:rFonts w:cstheme="minorHAnsi"/>
          <w:lang w:val="fr-FR"/>
        </w:rPr>
        <w:t>des questions de genre et d'interculturalité ; autonomisation des femmes migrantes ; programmes/projets pour l'inclusion interculturelle des personnes LGBTI ; campagnes de sensibilisation ; programmes d'emploi ; coopération avec la société civile et les ONG ; etc.</w:t>
      </w:r>
      <w:r w:rsidR="003F013D" w:rsidRPr="00BD2B3F">
        <w:rPr>
          <w:rFonts w:cstheme="minorHAnsi"/>
          <w:lang w:val="fr-FR"/>
        </w:rPr>
        <w:t>)</w:t>
      </w:r>
    </w:p>
    <w:p w14:paraId="5AE42616" w14:textId="5FCE9B22" w:rsidR="00BD2B3F" w:rsidRPr="00BD2B3F" w:rsidRDefault="00BD2B3F" w:rsidP="00BD2B3F">
      <w:pPr>
        <w:pStyle w:val="ListParagraph"/>
        <w:numPr>
          <w:ilvl w:val="1"/>
          <w:numId w:val="2"/>
        </w:numPr>
        <w:spacing w:after="200" w:line="276" w:lineRule="auto"/>
        <w:rPr>
          <w:rFonts w:cstheme="minorHAnsi"/>
          <w:lang w:val="fr-FR"/>
        </w:rPr>
      </w:pPr>
      <w:r w:rsidRPr="00BD2B3F">
        <w:rPr>
          <w:rFonts w:cstheme="minorHAnsi"/>
          <w:u w:val="single"/>
          <w:lang w:val="fr-FR"/>
        </w:rPr>
        <w:t>Roms et Gens du Voyage</w:t>
      </w:r>
      <w:r w:rsidR="003F013D" w:rsidRPr="00BD2B3F">
        <w:rPr>
          <w:rFonts w:cstheme="minorHAnsi"/>
          <w:lang w:val="fr-FR"/>
        </w:rPr>
        <w:t xml:space="preserve"> (</w:t>
      </w:r>
      <w:r w:rsidRPr="00BD2B3F">
        <w:rPr>
          <w:rFonts w:cstheme="minorHAnsi"/>
          <w:lang w:val="fr-FR"/>
        </w:rPr>
        <w:t>par exemple</w:t>
      </w:r>
      <w:r w:rsidRPr="00BD2B3F">
        <w:rPr>
          <w:rFonts w:cstheme="minorHAnsi"/>
          <w:lang w:val="fr-FR"/>
        </w:rPr>
        <w:t> :</w:t>
      </w:r>
      <w:r w:rsidRPr="00BD2B3F">
        <w:rPr>
          <w:rFonts w:cstheme="minorHAnsi"/>
          <w:lang w:val="fr-FR"/>
        </w:rPr>
        <w:t xml:space="preserve"> faciliter l'accès aux droits sociaux et aux services publics ; </w:t>
      </w:r>
      <w:r w:rsidRPr="00BD2B3F">
        <w:rPr>
          <w:rFonts w:cstheme="minorHAnsi"/>
          <w:lang w:val="fr-FR"/>
        </w:rPr>
        <w:t>antitsiganisme</w:t>
      </w:r>
      <w:r w:rsidRPr="00BD2B3F">
        <w:rPr>
          <w:rFonts w:cstheme="minorHAnsi"/>
          <w:lang w:val="fr-FR"/>
        </w:rPr>
        <w:t xml:space="preserve"> et sensibilisation ; médiateur</w:t>
      </w:r>
      <w:r w:rsidRPr="00BD2B3F">
        <w:rPr>
          <w:rFonts w:cstheme="minorHAnsi"/>
          <w:lang w:val="fr-FR"/>
        </w:rPr>
        <w:t>-trice-</w:t>
      </w:r>
      <w:r w:rsidRPr="00BD2B3F">
        <w:rPr>
          <w:rFonts w:cstheme="minorHAnsi"/>
          <w:lang w:val="fr-FR"/>
        </w:rPr>
        <w:t xml:space="preserve">s </w:t>
      </w:r>
      <w:r w:rsidRPr="00BD2B3F">
        <w:rPr>
          <w:rFonts w:cstheme="minorHAnsi"/>
          <w:lang w:val="fr-FR"/>
        </w:rPr>
        <w:t>R</w:t>
      </w:r>
      <w:r w:rsidRPr="00BD2B3F">
        <w:rPr>
          <w:rFonts w:cstheme="minorHAnsi"/>
          <w:lang w:val="fr-FR"/>
        </w:rPr>
        <w:t>oms ; déségrégation scolaire ; réseaux d'employabilité ; inclusion sociale ; participation politique ; campagnes de communication ; etc.</w:t>
      </w:r>
      <w:r w:rsidR="003F013D" w:rsidRPr="00BD2B3F">
        <w:rPr>
          <w:rFonts w:cstheme="minorHAnsi"/>
          <w:lang w:val="fr-FR"/>
        </w:rPr>
        <w:t>)</w:t>
      </w:r>
    </w:p>
    <w:p w14:paraId="01443B24" w14:textId="316A5A16" w:rsidR="00BD2B3F" w:rsidRPr="00BD2B3F" w:rsidRDefault="00BD2B3F" w:rsidP="00BD2B3F">
      <w:pPr>
        <w:pStyle w:val="ListParagraph"/>
        <w:numPr>
          <w:ilvl w:val="1"/>
          <w:numId w:val="2"/>
        </w:numPr>
        <w:spacing w:after="0" w:line="276" w:lineRule="auto"/>
        <w:rPr>
          <w:rFonts w:cstheme="minorHAnsi"/>
          <w:lang w:val="fr-FR"/>
        </w:rPr>
      </w:pPr>
      <w:r w:rsidRPr="00BD2B3F">
        <w:rPr>
          <w:rFonts w:cstheme="minorHAnsi"/>
          <w:u w:val="single"/>
          <w:lang w:val="fr-FR"/>
        </w:rPr>
        <w:t>Jeunesse</w:t>
      </w:r>
      <w:r w:rsidR="003F013D" w:rsidRPr="00BD2B3F">
        <w:rPr>
          <w:rFonts w:cstheme="minorHAnsi"/>
          <w:lang w:val="fr-FR"/>
        </w:rPr>
        <w:t xml:space="preserve"> (</w:t>
      </w:r>
      <w:r w:rsidRPr="00BD2B3F">
        <w:rPr>
          <w:rFonts w:cstheme="minorHAnsi"/>
          <w:lang w:val="fr-FR"/>
        </w:rPr>
        <w:t>par exemple</w:t>
      </w:r>
      <w:r w:rsidRPr="00BD2B3F">
        <w:rPr>
          <w:rFonts w:cstheme="minorHAnsi"/>
          <w:lang w:val="fr-FR"/>
        </w:rPr>
        <w:t> :</w:t>
      </w:r>
      <w:r w:rsidRPr="00BD2B3F">
        <w:rPr>
          <w:rFonts w:cstheme="minorHAnsi"/>
          <w:lang w:val="fr-FR"/>
        </w:rPr>
        <w:t xml:space="preserve"> programmes d'éducation aux droits </w:t>
      </w:r>
      <w:r w:rsidRPr="00BD2B3F">
        <w:rPr>
          <w:rFonts w:cstheme="minorHAnsi"/>
          <w:lang w:val="fr-FR"/>
        </w:rPr>
        <w:t>humains</w:t>
      </w:r>
      <w:r w:rsidRPr="00BD2B3F">
        <w:rPr>
          <w:rFonts w:cstheme="minorHAnsi"/>
          <w:lang w:val="fr-FR"/>
        </w:rPr>
        <w:t>, éducation à la citoyenneté démocratique, participation active, autonomisation des jeunes, etc.)</w:t>
      </w:r>
      <w:r w:rsidRPr="00BD2B3F">
        <w:rPr>
          <w:rFonts w:cstheme="minorHAnsi"/>
          <w:lang w:val="fr-FR"/>
        </w:rPr>
        <w:t xml:space="preserve"> </w:t>
      </w:r>
    </w:p>
    <w:p w14:paraId="353A22F0" w14:textId="3D9D2794" w:rsidR="003F013D" w:rsidRPr="00BD2B3F" w:rsidRDefault="00BD2B3F" w:rsidP="00BD2B3F">
      <w:pPr>
        <w:pStyle w:val="ListParagraph"/>
        <w:numPr>
          <w:ilvl w:val="0"/>
          <w:numId w:val="2"/>
        </w:numPr>
        <w:spacing w:after="200" w:line="276" w:lineRule="auto"/>
        <w:rPr>
          <w:rFonts w:cstheme="minorHAnsi"/>
          <w:lang w:val="fr-FR"/>
        </w:rPr>
      </w:pPr>
      <w:r w:rsidRPr="00BD2B3F">
        <w:rPr>
          <w:rFonts w:cstheme="minorHAnsi"/>
          <w:b/>
          <w:bCs/>
          <w:lang w:val="fr-FR"/>
        </w:rPr>
        <w:t>Stratégies et campagnes a</w:t>
      </w:r>
      <w:r w:rsidR="003F013D" w:rsidRPr="00BD2B3F">
        <w:rPr>
          <w:rFonts w:cstheme="minorHAnsi"/>
          <w:b/>
          <w:bCs/>
          <w:lang w:val="fr-FR"/>
        </w:rPr>
        <w:t>nti-rum</w:t>
      </w:r>
      <w:r w:rsidRPr="00BD2B3F">
        <w:rPr>
          <w:rFonts w:cstheme="minorHAnsi"/>
          <w:b/>
          <w:bCs/>
          <w:lang w:val="fr-FR"/>
        </w:rPr>
        <w:t>e</w:t>
      </w:r>
      <w:r w:rsidR="003F013D" w:rsidRPr="00BD2B3F">
        <w:rPr>
          <w:rFonts w:cstheme="minorHAnsi"/>
          <w:b/>
          <w:bCs/>
          <w:lang w:val="fr-FR"/>
        </w:rPr>
        <w:t>ur</w:t>
      </w:r>
      <w:r w:rsidR="003F013D" w:rsidRPr="00BD2B3F">
        <w:rPr>
          <w:rFonts w:cstheme="minorHAnsi"/>
          <w:lang w:val="fr-FR"/>
        </w:rPr>
        <w:t xml:space="preserve">, </w:t>
      </w:r>
      <w:r w:rsidRPr="00BD2B3F">
        <w:rPr>
          <w:rFonts w:cstheme="minorHAnsi"/>
          <w:lang w:val="fr-FR"/>
        </w:rPr>
        <w:t>et actions de lutte contre les discours  et crimes de haine;</w:t>
      </w:r>
    </w:p>
    <w:p w14:paraId="125B26D5" w14:textId="074441A5" w:rsidR="003F013D" w:rsidRPr="00BD2B3F" w:rsidRDefault="003F013D" w:rsidP="006E67F3">
      <w:pPr>
        <w:pStyle w:val="ListParagraph"/>
        <w:numPr>
          <w:ilvl w:val="0"/>
          <w:numId w:val="2"/>
        </w:numPr>
        <w:spacing w:after="200" w:line="276" w:lineRule="auto"/>
        <w:rPr>
          <w:rFonts w:cstheme="minorHAnsi"/>
          <w:lang w:val="fr-FR"/>
        </w:rPr>
      </w:pPr>
      <w:r w:rsidRPr="00BD2B3F">
        <w:rPr>
          <w:rFonts w:cstheme="minorHAnsi"/>
          <w:b/>
          <w:bCs/>
          <w:lang w:val="fr-FR"/>
        </w:rPr>
        <w:t>Education</w:t>
      </w:r>
      <w:r w:rsidRPr="00BD2B3F">
        <w:rPr>
          <w:rFonts w:cstheme="minorHAnsi"/>
          <w:lang w:val="fr-FR"/>
        </w:rPr>
        <w:t xml:space="preserve">: </w:t>
      </w:r>
      <w:r w:rsidR="00BD2B3F" w:rsidRPr="00BD2B3F">
        <w:rPr>
          <w:rFonts w:cstheme="minorHAnsi"/>
          <w:lang w:val="fr-FR"/>
        </w:rPr>
        <w:t>par exemple:</w:t>
      </w:r>
      <w:r w:rsidRPr="00BD2B3F">
        <w:rPr>
          <w:rFonts w:cstheme="minorHAnsi"/>
          <w:lang w:val="fr-FR"/>
        </w:rPr>
        <w:t xml:space="preserve"> </w:t>
      </w:r>
      <w:r w:rsidR="00BD2B3F" w:rsidRPr="00BD2B3F">
        <w:rPr>
          <w:rFonts w:cstheme="minorHAnsi"/>
          <w:lang w:val="fr-FR"/>
        </w:rPr>
        <w:t xml:space="preserve">éducation/projets interculturels ; projets éducatifs dans les bibliothèques/musées ; centres de soutien pour promouvoir les compétences et l'interaction interculturelles ; éducation aux droits </w:t>
      </w:r>
      <w:r w:rsidR="00BD2B3F" w:rsidRPr="00BD2B3F">
        <w:rPr>
          <w:rFonts w:cstheme="minorHAnsi"/>
          <w:lang w:val="fr-FR"/>
        </w:rPr>
        <w:t>humains</w:t>
      </w:r>
      <w:r w:rsidR="00BD2B3F" w:rsidRPr="00BD2B3F">
        <w:rPr>
          <w:rFonts w:cstheme="minorHAnsi"/>
          <w:lang w:val="fr-FR"/>
        </w:rPr>
        <w:t xml:space="preserve"> ; activités interculturelles après l'école ; formation d</w:t>
      </w:r>
      <w:r w:rsidR="00BD2B3F" w:rsidRPr="00BD2B3F">
        <w:rPr>
          <w:rFonts w:cstheme="minorHAnsi"/>
          <w:lang w:val="fr-FR"/>
        </w:rPr>
        <w:t>u corps enseignant</w:t>
      </w:r>
      <w:r w:rsidR="00BD2B3F" w:rsidRPr="00BD2B3F">
        <w:rPr>
          <w:rFonts w:cstheme="minorHAnsi"/>
          <w:lang w:val="fr-FR"/>
        </w:rPr>
        <w:t xml:space="preserve"> à la compétence interculturelle ; activités pour impliquer les parents ; coopération avec les universités ; éducation informelle/extra-scolaire ; programme d'études interculturel ; efforts pour recruter un personnel diversifié ; etc.</w:t>
      </w:r>
    </w:p>
    <w:p w14:paraId="4DED8475" w14:textId="2A2EFBFF" w:rsidR="003F013D" w:rsidRPr="00BD2B3F" w:rsidRDefault="00BD2B3F" w:rsidP="006E67F3">
      <w:pPr>
        <w:pStyle w:val="ListParagraph"/>
        <w:numPr>
          <w:ilvl w:val="0"/>
          <w:numId w:val="2"/>
        </w:numPr>
        <w:spacing w:after="200" w:line="276" w:lineRule="auto"/>
        <w:rPr>
          <w:rFonts w:cstheme="minorHAnsi"/>
          <w:lang w:val="fr-FR"/>
        </w:rPr>
      </w:pPr>
      <w:r w:rsidRPr="00BD2B3F">
        <w:rPr>
          <w:rFonts w:cstheme="minorHAnsi"/>
          <w:b/>
          <w:bCs/>
          <w:lang w:val="fr-FR"/>
        </w:rPr>
        <w:t>Espace public</w:t>
      </w:r>
      <w:r w:rsidR="003F013D" w:rsidRPr="00BD2B3F">
        <w:rPr>
          <w:rFonts w:cstheme="minorHAnsi"/>
          <w:lang w:val="fr-FR"/>
        </w:rPr>
        <w:t xml:space="preserve">: </w:t>
      </w:r>
      <w:r w:rsidRPr="00BD2B3F">
        <w:rPr>
          <w:rFonts w:cstheme="minorHAnsi"/>
          <w:lang w:val="fr-FR"/>
        </w:rPr>
        <w:t xml:space="preserve">par exemple : </w:t>
      </w:r>
      <w:r w:rsidRPr="00BD2B3F">
        <w:rPr>
          <w:rFonts w:cstheme="minorHAnsi"/>
          <w:lang w:val="fr-FR"/>
        </w:rPr>
        <w:t xml:space="preserve">urbanisme interculturel pour une interaction accrue ; urbanisme durable et inclusif ; participation à la conception ou au renouvellement de l'espace public ; actions et les politiques de lutte contre la discrimination ; jardinage interculturel ; transports publics inclusifs ; </w:t>
      </w:r>
      <w:r w:rsidRPr="00BD2B3F">
        <w:rPr>
          <w:rFonts w:cstheme="minorHAnsi"/>
          <w:lang w:val="fr-FR"/>
        </w:rPr>
        <w:t>re</w:t>
      </w:r>
      <w:r w:rsidRPr="00BD2B3F">
        <w:rPr>
          <w:rFonts w:cstheme="minorHAnsi"/>
          <w:lang w:val="fr-FR"/>
        </w:rPr>
        <w:t>définition des quartiers avec les citoyen</w:t>
      </w:r>
      <w:r w:rsidRPr="00BD2B3F">
        <w:rPr>
          <w:rFonts w:cstheme="minorHAnsi"/>
          <w:lang w:val="fr-FR"/>
        </w:rPr>
        <w:t>-</w:t>
      </w:r>
      <w:r w:rsidRPr="00BD2B3F">
        <w:rPr>
          <w:rFonts w:cstheme="minorHAnsi"/>
          <w:lang w:val="fr-FR"/>
        </w:rPr>
        <w:lastRenderedPageBreak/>
        <w:t>ne-</w:t>
      </w:r>
      <w:r w:rsidRPr="00BD2B3F">
        <w:rPr>
          <w:rFonts w:cstheme="minorHAnsi"/>
          <w:lang w:val="fr-FR"/>
        </w:rPr>
        <w:t xml:space="preserve">s ; innovation locale ; urbanisme tactique ; </w:t>
      </w:r>
      <w:r w:rsidRPr="00BD2B3F">
        <w:rPr>
          <w:rFonts w:cstheme="minorHAnsi"/>
          <w:lang w:val="fr-FR"/>
        </w:rPr>
        <w:t xml:space="preserve">« </w:t>
      </w:r>
      <w:r w:rsidRPr="00BD2B3F">
        <w:rPr>
          <w:rFonts w:cstheme="minorHAnsi"/>
          <w:lang w:val="fr-FR"/>
        </w:rPr>
        <w:t>placemaking</w:t>
      </w:r>
      <w:r w:rsidRPr="00BD2B3F">
        <w:rPr>
          <w:rFonts w:cstheme="minorHAnsi"/>
          <w:lang w:val="fr-FR"/>
        </w:rPr>
        <w:t> »</w:t>
      </w:r>
      <w:r w:rsidRPr="00BD2B3F">
        <w:rPr>
          <w:rFonts w:cstheme="minorHAnsi"/>
          <w:lang w:val="fr-FR"/>
        </w:rPr>
        <w:t xml:space="preserve"> ; déségrégation des quartiers ; etc</w:t>
      </w:r>
      <w:r w:rsidRPr="00BD2B3F">
        <w:rPr>
          <w:rFonts w:cstheme="minorHAnsi"/>
          <w:lang w:val="fr-FR"/>
        </w:rPr>
        <w:t>.</w:t>
      </w:r>
    </w:p>
    <w:p w14:paraId="2BFF567F" w14:textId="0DF02CD6" w:rsidR="003F013D" w:rsidRPr="00BD2B3F" w:rsidRDefault="00BD2B3F" w:rsidP="00BD2B3F">
      <w:pPr>
        <w:pStyle w:val="ListParagraph"/>
        <w:numPr>
          <w:ilvl w:val="0"/>
          <w:numId w:val="2"/>
        </w:numPr>
        <w:rPr>
          <w:rFonts w:cstheme="minorHAnsi"/>
          <w:lang w:val="fr-FR"/>
        </w:rPr>
      </w:pPr>
      <w:r w:rsidRPr="00BD2B3F">
        <w:rPr>
          <w:rFonts w:cstheme="minorHAnsi"/>
          <w:b/>
          <w:bCs/>
          <w:lang w:val="fr-FR"/>
        </w:rPr>
        <w:t>Services publics</w:t>
      </w:r>
      <w:r w:rsidR="003F013D" w:rsidRPr="00BD2B3F">
        <w:rPr>
          <w:rFonts w:cstheme="minorHAnsi"/>
          <w:lang w:val="fr-FR"/>
        </w:rPr>
        <w:t xml:space="preserve">: </w:t>
      </w:r>
      <w:r w:rsidRPr="00BD2B3F">
        <w:rPr>
          <w:rFonts w:cstheme="minorHAnsi"/>
          <w:lang w:val="fr-FR"/>
        </w:rPr>
        <w:t>par exemple:</w:t>
      </w:r>
      <w:r w:rsidR="003F013D" w:rsidRPr="00BD2B3F">
        <w:rPr>
          <w:rFonts w:cstheme="minorHAnsi"/>
          <w:lang w:val="fr-FR"/>
        </w:rPr>
        <w:t xml:space="preserve"> </w:t>
      </w:r>
      <w:r w:rsidRPr="00BD2B3F">
        <w:rPr>
          <w:rFonts w:cstheme="minorHAnsi"/>
          <w:lang w:val="fr-FR"/>
        </w:rPr>
        <w:t>recrutement de personnel diversifié ; services multilingues ; formations aux compétences interculturelles pour les fonctionnaires chargé</w:t>
      </w:r>
      <w:r w:rsidRPr="00BD2B3F">
        <w:rPr>
          <w:rFonts w:cstheme="minorHAnsi"/>
          <w:lang w:val="fr-FR"/>
        </w:rPr>
        <w:t>-e-</w:t>
      </w:r>
      <w:r w:rsidRPr="00BD2B3F">
        <w:rPr>
          <w:rFonts w:cstheme="minorHAnsi"/>
          <w:lang w:val="fr-FR"/>
        </w:rPr>
        <w:t>s de fournir des services aux citoyen</w:t>
      </w:r>
      <w:r w:rsidRPr="00BD2B3F">
        <w:rPr>
          <w:rFonts w:cstheme="minorHAnsi"/>
          <w:lang w:val="fr-FR"/>
        </w:rPr>
        <w:t>-ne-</w:t>
      </w:r>
      <w:r w:rsidRPr="00BD2B3F">
        <w:rPr>
          <w:rFonts w:cstheme="minorHAnsi"/>
          <w:lang w:val="fr-FR"/>
        </w:rPr>
        <w:t>s ; sensibilisation et campagnes ; traduction d'informations ; facilitation de l'accès et prévention de la discrimination ; etc</w:t>
      </w:r>
      <w:r w:rsidRPr="00BD2B3F">
        <w:rPr>
          <w:rFonts w:cstheme="minorHAnsi"/>
          <w:lang w:val="fr-FR"/>
        </w:rPr>
        <w:t xml:space="preserve">. : </w:t>
      </w:r>
      <w:bookmarkStart w:id="6" w:name="_Hlk124341668"/>
      <w:r w:rsidRPr="00BD2B3F">
        <w:rPr>
          <w:rFonts w:cstheme="minorHAnsi"/>
          <w:lang w:val="fr-FR"/>
        </w:rPr>
        <w:t>pouvant couvrir des domaines spécifiques tels que :</w:t>
      </w:r>
      <w:bookmarkEnd w:id="6"/>
    </w:p>
    <w:p w14:paraId="736E1AE3" w14:textId="6F1880E6" w:rsidR="00BD2B3F" w:rsidRPr="00BD2B3F" w:rsidRDefault="00BD2B3F" w:rsidP="00BD2B3F">
      <w:pPr>
        <w:pStyle w:val="ListParagraph"/>
        <w:numPr>
          <w:ilvl w:val="1"/>
          <w:numId w:val="2"/>
        </w:numPr>
        <w:spacing w:after="200" w:line="276" w:lineRule="auto"/>
        <w:rPr>
          <w:rFonts w:cstheme="minorHAnsi"/>
          <w:lang w:val="fr-FR"/>
        </w:rPr>
      </w:pPr>
      <w:r w:rsidRPr="00BD2B3F">
        <w:rPr>
          <w:rFonts w:cstheme="minorHAnsi"/>
          <w:u w:val="single"/>
          <w:lang w:val="fr-FR"/>
        </w:rPr>
        <w:t>Santé, aide sociale et aide aux familles</w:t>
      </w:r>
      <w:r w:rsidRPr="00BD2B3F">
        <w:rPr>
          <w:rFonts w:cstheme="minorHAnsi"/>
          <w:lang w:val="fr-FR"/>
        </w:rPr>
        <w:t xml:space="preserve"> (par exemple</w:t>
      </w:r>
      <w:r w:rsidRPr="00BD2B3F">
        <w:rPr>
          <w:rFonts w:cstheme="minorHAnsi"/>
          <w:lang w:val="fr-FR"/>
        </w:rPr>
        <w:t xml:space="preserve"> : </w:t>
      </w:r>
      <w:r w:rsidRPr="00BD2B3F">
        <w:rPr>
          <w:rFonts w:cstheme="minorHAnsi"/>
          <w:lang w:val="fr-FR"/>
        </w:rPr>
        <w:t>accès à la santé, aide sociale, compétence interculturelle pour le</w:t>
      </w:r>
      <w:r w:rsidRPr="00BD2B3F">
        <w:rPr>
          <w:rFonts w:cstheme="minorHAnsi"/>
          <w:lang w:val="fr-FR"/>
        </w:rPr>
        <w:t xml:space="preserve"> personnel</w:t>
      </w:r>
      <w:r w:rsidRPr="00BD2B3F">
        <w:rPr>
          <w:rFonts w:cstheme="minorHAnsi"/>
          <w:lang w:val="fr-FR"/>
        </w:rPr>
        <w:t xml:space="preserve"> des hôpitaux publics, aide aux familles, etc.)</w:t>
      </w:r>
    </w:p>
    <w:p w14:paraId="620A7564" w14:textId="6F5CA4E7" w:rsidR="00BD2B3F" w:rsidRPr="00BD2B3F" w:rsidRDefault="00BD2B3F" w:rsidP="00BD2B3F">
      <w:pPr>
        <w:pStyle w:val="ListParagraph"/>
        <w:numPr>
          <w:ilvl w:val="1"/>
          <w:numId w:val="2"/>
        </w:numPr>
        <w:spacing w:after="200" w:line="276" w:lineRule="auto"/>
        <w:rPr>
          <w:rFonts w:cstheme="minorHAnsi"/>
          <w:u w:val="single"/>
          <w:lang w:val="fr-FR"/>
        </w:rPr>
      </w:pPr>
      <w:r w:rsidRPr="00BD2B3F">
        <w:rPr>
          <w:rFonts w:cstheme="minorHAnsi"/>
          <w:u w:val="single"/>
          <w:lang w:val="fr-FR"/>
        </w:rPr>
        <w:t>Logement durable</w:t>
      </w:r>
    </w:p>
    <w:p w14:paraId="21E2A2A5" w14:textId="780A62CB" w:rsidR="00BD2B3F" w:rsidRPr="00BD2B3F" w:rsidRDefault="00BD2B3F" w:rsidP="00BD2B3F">
      <w:pPr>
        <w:pStyle w:val="ListParagraph"/>
        <w:numPr>
          <w:ilvl w:val="1"/>
          <w:numId w:val="2"/>
        </w:numPr>
        <w:spacing w:after="200" w:line="276" w:lineRule="auto"/>
        <w:rPr>
          <w:rFonts w:cstheme="minorHAnsi"/>
          <w:lang w:val="fr-FR"/>
        </w:rPr>
      </w:pPr>
      <w:r w:rsidRPr="00BD2B3F">
        <w:rPr>
          <w:rFonts w:cstheme="minorHAnsi"/>
          <w:u w:val="single"/>
          <w:lang w:val="fr-FR"/>
        </w:rPr>
        <w:t>Sécurité</w:t>
      </w:r>
      <w:r w:rsidRPr="00BD2B3F">
        <w:rPr>
          <w:rFonts w:cstheme="minorHAnsi"/>
          <w:lang w:val="fr-FR"/>
        </w:rPr>
        <w:t xml:space="preserve"> (par exemple : compétence interculturelle de la police ; espace public et aménagement urbain pour des quartiers plus sûrs ; médiation interculturelle ; prévention des conflits ; éducation aux droits </w:t>
      </w:r>
      <w:r w:rsidRPr="00BD2B3F">
        <w:rPr>
          <w:rFonts w:cstheme="minorHAnsi"/>
          <w:lang w:val="fr-FR"/>
        </w:rPr>
        <w:t>humains</w:t>
      </w:r>
      <w:r w:rsidRPr="00BD2B3F">
        <w:rPr>
          <w:rFonts w:cstheme="minorHAnsi"/>
          <w:lang w:val="fr-FR"/>
        </w:rPr>
        <w:t xml:space="preserve"> ; police de proximité ; prévention de l'extrémisme ; etc.)</w:t>
      </w:r>
    </w:p>
    <w:p w14:paraId="6F2F0154" w14:textId="50F1BE97" w:rsidR="00BD2B3F" w:rsidRPr="00BD2B3F" w:rsidRDefault="00BD2B3F" w:rsidP="006E67F3">
      <w:pPr>
        <w:pStyle w:val="ListParagraph"/>
        <w:numPr>
          <w:ilvl w:val="0"/>
          <w:numId w:val="2"/>
        </w:numPr>
        <w:spacing w:after="200" w:line="276" w:lineRule="auto"/>
        <w:rPr>
          <w:rFonts w:cstheme="minorHAnsi"/>
          <w:lang w:val="fr-FR"/>
        </w:rPr>
      </w:pPr>
      <w:r w:rsidRPr="00BD2B3F">
        <w:rPr>
          <w:rFonts w:cstheme="minorHAnsi"/>
          <w:b/>
          <w:bCs/>
          <w:lang w:val="fr-FR"/>
        </w:rPr>
        <w:t>Entreprise/emploi et diversité</w:t>
      </w:r>
      <w:r w:rsidR="003F013D" w:rsidRPr="00BD2B3F">
        <w:rPr>
          <w:rFonts w:cstheme="minorHAnsi"/>
          <w:lang w:val="fr-FR"/>
        </w:rPr>
        <w:t xml:space="preserve">: </w:t>
      </w:r>
      <w:r w:rsidRPr="00BD2B3F">
        <w:rPr>
          <w:rFonts w:cstheme="minorHAnsi"/>
          <w:lang w:val="fr-FR"/>
        </w:rPr>
        <w:t>p</w:t>
      </w:r>
      <w:r w:rsidRPr="00BD2B3F">
        <w:rPr>
          <w:rFonts w:cstheme="minorHAnsi"/>
          <w:lang w:val="fr-FR"/>
        </w:rPr>
        <w:t>ar exemple</w:t>
      </w:r>
      <w:r w:rsidRPr="00BD2B3F">
        <w:rPr>
          <w:rFonts w:cstheme="minorHAnsi"/>
          <w:lang w:val="fr-FR"/>
        </w:rPr>
        <w:t> :</w:t>
      </w:r>
      <w:r w:rsidRPr="00BD2B3F">
        <w:rPr>
          <w:rFonts w:cstheme="minorHAnsi"/>
          <w:lang w:val="fr-FR"/>
        </w:rPr>
        <w:t xml:space="preserve"> programmes d'employabilité ; partenariat avec des entreprises privées ou la société civile ; emploi indépendant et esprit d'entreprise ; accès aux prêts ; incubateurs d'entreprises ; innovation sociale ; accès aux marchés publics pour entreprises </w:t>
      </w:r>
      <w:r w:rsidRPr="00BD2B3F">
        <w:rPr>
          <w:rFonts w:cstheme="minorHAnsi"/>
          <w:lang w:val="fr-FR"/>
        </w:rPr>
        <w:t>diverses</w:t>
      </w:r>
      <w:r w:rsidRPr="00BD2B3F">
        <w:rPr>
          <w:rFonts w:cstheme="minorHAnsi"/>
          <w:lang w:val="fr-FR"/>
        </w:rPr>
        <w:t>; reconnaissance des compétences et des qualifications ; formation professionnelle et développement de carrière ; diversité de la main-d'œuvre et renforcement des capacités ; etc.</w:t>
      </w:r>
    </w:p>
    <w:p w14:paraId="16DF1BD2" w14:textId="3BF03974" w:rsidR="00BD2B3F" w:rsidRPr="00BD2B3F" w:rsidRDefault="00BD2B3F" w:rsidP="00BD2B3F">
      <w:pPr>
        <w:pStyle w:val="ListParagraph"/>
        <w:numPr>
          <w:ilvl w:val="0"/>
          <w:numId w:val="2"/>
        </w:numPr>
        <w:spacing w:after="200" w:line="276" w:lineRule="auto"/>
        <w:rPr>
          <w:rFonts w:cstheme="minorHAnsi"/>
          <w:lang w:val="fr-FR"/>
        </w:rPr>
      </w:pPr>
      <w:r w:rsidRPr="00BD2B3F">
        <w:rPr>
          <w:rFonts w:cstheme="minorHAnsi"/>
          <w:b/>
          <w:bCs/>
          <w:lang w:val="fr-FR"/>
        </w:rPr>
        <w:t>Vie culturelle et sociale, loisirs et héritage</w:t>
      </w:r>
      <w:r w:rsidR="006E67F3" w:rsidRPr="00BD2B3F">
        <w:rPr>
          <w:rFonts w:cstheme="minorHAnsi"/>
          <w:b/>
          <w:bCs/>
          <w:lang w:val="fr-FR"/>
        </w:rPr>
        <w:t>:</w:t>
      </w:r>
      <w:r w:rsidR="003F013D" w:rsidRPr="00BD2B3F">
        <w:rPr>
          <w:rFonts w:cstheme="minorHAnsi"/>
          <w:lang w:val="fr-FR"/>
        </w:rPr>
        <w:t xml:space="preserve"> </w:t>
      </w:r>
      <w:r w:rsidRPr="00BD2B3F">
        <w:rPr>
          <w:rFonts w:cstheme="minorHAnsi"/>
          <w:lang w:val="fr-FR"/>
        </w:rPr>
        <w:t>p</w:t>
      </w:r>
      <w:r w:rsidRPr="00BD2B3F">
        <w:rPr>
          <w:rFonts w:cstheme="minorHAnsi"/>
          <w:lang w:val="fr-FR"/>
        </w:rPr>
        <w:t>ar exemple</w:t>
      </w:r>
      <w:r w:rsidRPr="00BD2B3F">
        <w:rPr>
          <w:rFonts w:cstheme="minorHAnsi"/>
          <w:lang w:val="fr-FR"/>
        </w:rPr>
        <w:t xml:space="preserve"> : </w:t>
      </w:r>
      <w:r w:rsidRPr="00BD2B3F">
        <w:rPr>
          <w:rFonts w:cstheme="minorHAnsi"/>
          <w:lang w:val="fr-FR"/>
        </w:rPr>
        <w:t>reconnaissance publique de la diversité du patrimoine ; processus visant à garantir une programmation diversifiée des activités culturelles dans les théâtres publics, musées, etc. ; festivals interculturels et les journées interculturelles ; activités artistiques visant à promouvoir l</w:t>
      </w:r>
      <w:r w:rsidRPr="00BD2B3F">
        <w:rPr>
          <w:rFonts w:cstheme="minorHAnsi"/>
          <w:lang w:val="fr-FR"/>
        </w:rPr>
        <w:t>a compréhension de</w:t>
      </w:r>
      <w:r w:rsidRPr="00BD2B3F">
        <w:rPr>
          <w:rFonts w:cstheme="minorHAnsi"/>
          <w:lang w:val="fr-FR"/>
        </w:rPr>
        <w:t xml:space="preserve"> </w:t>
      </w:r>
      <w:r w:rsidRPr="00BD2B3F">
        <w:rPr>
          <w:rFonts w:cstheme="minorHAnsi"/>
          <w:lang w:val="fr-FR"/>
        </w:rPr>
        <w:t>l’</w:t>
      </w:r>
      <w:r w:rsidRPr="00BD2B3F">
        <w:rPr>
          <w:rFonts w:cstheme="minorHAnsi"/>
          <w:lang w:val="fr-FR"/>
        </w:rPr>
        <w:t>intercultur</w:t>
      </w:r>
      <w:r w:rsidRPr="00BD2B3F">
        <w:rPr>
          <w:rFonts w:cstheme="minorHAnsi"/>
          <w:lang w:val="fr-FR"/>
        </w:rPr>
        <w:t>alité</w:t>
      </w:r>
      <w:r w:rsidRPr="00BD2B3F">
        <w:rPr>
          <w:rFonts w:cstheme="minorHAnsi"/>
          <w:lang w:val="fr-FR"/>
        </w:rPr>
        <w:t xml:space="preserve"> et la participation des jeunes ; sport et loisirs ; patrimoine urbain ; </w:t>
      </w:r>
      <w:r w:rsidRPr="00BD2B3F">
        <w:rPr>
          <w:rFonts w:cstheme="minorHAnsi"/>
          <w:lang w:val="fr-FR"/>
        </w:rPr>
        <w:t>usage interculturel</w:t>
      </w:r>
      <w:r w:rsidRPr="00BD2B3F">
        <w:rPr>
          <w:rFonts w:cstheme="minorHAnsi"/>
          <w:lang w:val="fr-FR"/>
        </w:rPr>
        <w:t xml:space="preserve"> des bibliothèques et des musées publics ; etc. </w:t>
      </w:r>
    </w:p>
    <w:p w14:paraId="60F92270" w14:textId="58357BE6" w:rsidR="00BD2B3F" w:rsidRPr="00BD2B3F" w:rsidRDefault="00BD2B3F" w:rsidP="00BD2B3F">
      <w:pPr>
        <w:pStyle w:val="ListParagraph"/>
        <w:numPr>
          <w:ilvl w:val="1"/>
          <w:numId w:val="2"/>
        </w:numPr>
        <w:spacing w:after="200" w:line="276" w:lineRule="auto"/>
        <w:rPr>
          <w:rFonts w:cstheme="minorHAnsi"/>
          <w:lang w:val="fr-FR"/>
        </w:rPr>
      </w:pPr>
      <w:r w:rsidRPr="00BD2B3F">
        <w:rPr>
          <w:rFonts w:cstheme="minorHAnsi"/>
          <w:u w:val="single"/>
          <w:lang w:val="fr-FR"/>
        </w:rPr>
        <w:t>Dialogue interreligieux</w:t>
      </w:r>
      <w:r w:rsidR="00FD7F0B" w:rsidRPr="00BD2B3F">
        <w:rPr>
          <w:rFonts w:cstheme="minorHAnsi"/>
          <w:lang w:val="fr-FR"/>
        </w:rPr>
        <w:t xml:space="preserve">: </w:t>
      </w:r>
      <w:r w:rsidRPr="00BD2B3F">
        <w:rPr>
          <w:rFonts w:cstheme="minorHAnsi"/>
          <w:lang w:val="fr-FR"/>
        </w:rPr>
        <w:t xml:space="preserve">conseils interreligieux ; médiation ; lieux de culte ; mesures </w:t>
      </w:r>
      <w:r w:rsidRPr="00BD2B3F">
        <w:rPr>
          <w:rFonts w:cstheme="minorHAnsi"/>
          <w:lang w:val="fr-FR"/>
        </w:rPr>
        <w:t>d’</w:t>
      </w:r>
      <w:r w:rsidRPr="00BD2B3F">
        <w:rPr>
          <w:rFonts w:cstheme="minorHAnsi"/>
          <w:lang w:val="fr-FR"/>
        </w:rPr>
        <w:t>anti-discrimination ; prévention de l'extrémisme religieux ; etc.</w:t>
      </w:r>
    </w:p>
    <w:p w14:paraId="783B7C95" w14:textId="77777777" w:rsidR="00BD2B3F" w:rsidRPr="00BD2B3F" w:rsidRDefault="00BD2B3F" w:rsidP="00BD2B3F">
      <w:pPr>
        <w:pStyle w:val="ListParagraph"/>
        <w:numPr>
          <w:ilvl w:val="0"/>
          <w:numId w:val="2"/>
        </w:numPr>
        <w:spacing w:after="200" w:line="276" w:lineRule="auto"/>
        <w:rPr>
          <w:rFonts w:cstheme="minorHAnsi"/>
          <w:b/>
          <w:bCs/>
          <w:lang w:val="fr-FR"/>
        </w:rPr>
      </w:pPr>
      <w:r w:rsidRPr="00BD2B3F">
        <w:rPr>
          <w:rFonts w:cstheme="minorHAnsi"/>
          <w:b/>
          <w:bCs/>
          <w:lang w:val="fr-FR"/>
        </w:rPr>
        <w:t xml:space="preserve">Médiation interculturelle et résolution des conflits : </w:t>
      </w:r>
      <w:r w:rsidRPr="00BD2B3F">
        <w:rPr>
          <w:rFonts w:cstheme="minorHAnsi"/>
          <w:lang w:val="fr-FR"/>
        </w:rPr>
        <w:t>services publics de médiation ; médiateur</w:t>
      </w:r>
      <w:r w:rsidRPr="00BD2B3F">
        <w:rPr>
          <w:rFonts w:cstheme="minorHAnsi"/>
          <w:lang w:val="fr-FR"/>
        </w:rPr>
        <w:t>-trice-</w:t>
      </w:r>
      <w:r w:rsidRPr="00BD2B3F">
        <w:rPr>
          <w:rFonts w:cstheme="minorHAnsi"/>
          <w:lang w:val="fr-FR"/>
        </w:rPr>
        <w:t xml:space="preserve">s </w:t>
      </w:r>
      <w:r w:rsidRPr="00BD2B3F">
        <w:rPr>
          <w:rFonts w:cstheme="minorHAnsi"/>
          <w:lang w:val="fr-FR"/>
        </w:rPr>
        <w:t>R</w:t>
      </w:r>
      <w:r w:rsidRPr="00BD2B3F">
        <w:rPr>
          <w:rFonts w:cstheme="minorHAnsi"/>
          <w:lang w:val="fr-FR"/>
        </w:rPr>
        <w:t>oms ; compétence interculturelle ; dialogue interreligieux ; etc.</w:t>
      </w:r>
    </w:p>
    <w:p w14:paraId="4D2EE124" w14:textId="2540BF7F" w:rsidR="00BD2B3F" w:rsidRPr="00BD2B3F" w:rsidRDefault="00BD2B3F" w:rsidP="00BD2B3F">
      <w:pPr>
        <w:pStyle w:val="ListParagraph"/>
        <w:numPr>
          <w:ilvl w:val="0"/>
          <w:numId w:val="2"/>
        </w:numPr>
        <w:spacing w:after="0" w:line="276" w:lineRule="auto"/>
        <w:rPr>
          <w:rFonts w:cstheme="minorHAnsi"/>
          <w:b/>
          <w:bCs/>
          <w:lang w:val="fr-FR"/>
        </w:rPr>
      </w:pPr>
      <w:r w:rsidRPr="00BD2B3F">
        <w:rPr>
          <w:rFonts w:cstheme="minorHAnsi"/>
          <w:b/>
          <w:bCs/>
          <w:lang w:val="fr-FR"/>
        </w:rPr>
        <w:t xml:space="preserve">Langue : </w:t>
      </w:r>
      <w:r w:rsidRPr="00BD2B3F">
        <w:rPr>
          <w:rFonts w:cstheme="minorHAnsi"/>
          <w:lang w:val="fr-FR"/>
        </w:rPr>
        <w:t xml:space="preserve">promotion du multilinguisme ; cours de langue pour les </w:t>
      </w:r>
      <w:r w:rsidRPr="00BD2B3F">
        <w:rPr>
          <w:rFonts w:cstheme="minorHAnsi"/>
          <w:lang w:val="fr-FR"/>
        </w:rPr>
        <w:t>personnes nouvellement arrivées</w:t>
      </w:r>
      <w:r w:rsidRPr="00BD2B3F">
        <w:rPr>
          <w:rFonts w:cstheme="minorHAnsi"/>
          <w:lang w:val="fr-FR"/>
        </w:rPr>
        <w:t xml:space="preserve"> ; visibilité, reconnaissance en tant que ressources et enseignement des langues minoritaires/</w:t>
      </w:r>
      <w:r w:rsidRPr="00BD2B3F">
        <w:rPr>
          <w:rFonts w:cstheme="minorHAnsi"/>
          <w:lang w:val="fr-FR"/>
        </w:rPr>
        <w:t>des personnes migrantes</w:t>
      </w:r>
      <w:r w:rsidRPr="00BD2B3F">
        <w:rPr>
          <w:rFonts w:cstheme="minorHAnsi"/>
          <w:lang w:val="fr-FR"/>
        </w:rPr>
        <w:t>; disponibilité des informations relatives aux services publics en plusieurs langues, etc.</w:t>
      </w:r>
    </w:p>
    <w:p w14:paraId="1A800CC7" w14:textId="1F9263D1" w:rsidR="00BD2B3F" w:rsidRPr="00BD2B3F" w:rsidRDefault="00BD2B3F" w:rsidP="00BD2B3F">
      <w:pPr>
        <w:pStyle w:val="ListParagraph"/>
        <w:numPr>
          <w:ilvl w:val="0"/>
          <w:numId w:val="2"/>
        </w:numPr>
        <w:spacing w:after="200" w:line="276" w:lineRule="auto"/>
        <w:rPr>
          <w:rFonts w:cstheme="minorHAnsi"/>
          <w:lang w:val="fr-FR"/>
        </w:rPr>
      </w:pPr>
      <w:r w:rsidRPr="00BD2B3F">
        <w:rPr>
          <w:rFonts w:cstheme="minorHAnsi"/>
          <w:b/>
          <w:bCs/>
          <w:lang w:val="fr-FR"/>
        </w:rPr>
        <w:t>Perspective internationale</w:t>
      </w:r>
      <w:r w:rsidRPr="00BD2B3F">
        <w:rPr>
          <w:rFonts w:cstheme="minorHAnsi"/>
          <w:lang w:val="fr-FR"/>
        </w:rPr>
        <w:t xml:space="preserve"> : coopération avec la diaspora ; politiques visant à encourager la coopération et les échanges internationaux ; connexions internationales et programmes de jumelage ; programmes visant à attirer les étudiant</w:t>
      </w:r>
      <w:r w:rsidRPr="00BD2B3F">
        <w:rPr>
          <w:rFonts w:cstheme="minorHAnsi"/>
          <w:lang w:val="fr-FR"/>
        </w:rPr>
        <w:t>-e-</w:t>
      </w:r>
      <w:r w:rsidRPr="00BD2B3F">
        <w:rPr>
          <w:rFonts w:cstheme="minorHAnsi"/>
          <w:lang w:val="fr-FR"/>
        </w:rPr>
        <w:t>s étranger</w:t>
      </w:r>
      <w:r w:rsidRPr="00BD2B3F">
        <w:rPr>
          <w:rFonts w:cstheme="minorHAnsi"/>
          <w:lang w:val="fr-FR"/>
        </w:rPr>
        <w:t>-ère-</w:t>
      </w:r>
      <w:r w:rsidRPr="00BD2B3F">
        <w:rPr>
          <w:rFonts w:cstheme="minorHAnsi"/>
          <w:lang w:val="fr-FR"/>
        </w:rPr>
        <w:t>s ; etc.</w:t>
      </w:r>
    </w:p>
    <w:p w14:paraId="3D76FAF2" w14:textId="317BE6E9" w:rsidR="00BD2B3F" w:rsidRPr="00BD2B3F" w:rsidRDefault="00BD2B3F" w:rsidP="00BD2B3F">
      <w:pPr>
        <w:pStyle w:val="ListParagraph"/>
        <w:numPr>
          <w:ilvl w:val="0"/>
          <w:numId w:val="2"/>
        </w:numPr>
        <w:spacing w:after="0" w:line="276" w:lineRule="auto"/>
        <w:rPr>
          <w:rFonts w:cstheme="minorHAnsi"/>
          <w:lang w:val="fr-FR"/>
        </w:rPr>
      </w:pPr>
      <w:r w:rsidRPr="00BD2B3F">
        <w:rPr>
          <w:rFonts w:cstheme="minorHAnsi"/>
          <w:b/>
          <w:bCs/>
          <w:lang w:val="fr-FR"/>
        </w:rPr>
        <w:t xml:space="preserve">Veille et compétence </w:t>
      </w:r>
      <w:r w:rsidRPr="00BD2B3F">
        <w:rPr>
          <w:rFonts w:cstheme="minorHAnsi"/>
          <w:b/>
          <w:bCs/>
          <w:lang w:val="fr-FR"/>
        </w:rPr>
        <w:t>interculturelle</w:t>
      </w:r>
      <w:r w:rsidRPr="00BD2B3F">
        <w:rPr>
          <w:rFonts w:cstheme="minorHAnsi"/>
          <w:lang w:val="fr-FR"/>
        </w:rPr>
        <w:t xml:space="preserve"> : par exemple</w:t>
      </w:r>
      <w:r w:rsidRPr="00BD2B3F">
        <w:rPr>
          <w:rFonts w:cstheme="minorHAnsi"/>
          <w:lang w:val="fr-FR"/>
        </w:rPr>
        <w:t xml:space="preserve"> : </w:t>
      </w:r>
      <w:r w:rsidRPr="00BD2B3F">
        <w:rPr>
          <w:rFonts w:cstheme="minorHAnsi"/>
          <w:lang w:val="fr-FR"/>
        </w:rPr>
        <w:t>suivi et cartographie de la diversité des villes ; compétence interculturelle d</w:t>
      </w:r>
      <w:r w:rsidRPr="00BD2B3F">
        <w:rPr>
          <w:rFonts w:cstheme="minorHAnsi"/>
          <w:lang w:val="fr-FR"/>
        </w:rPr>
        <w:t>u personnel public et élu</w:t>
      </w:r>
      <w:r w:rsidRPr="00BD2B3F">
        <w:rPr>
          <w:rFonts w:cstheme="minorHAnsi"/>
          <w:lang w:val="fr-FR"/>
        </w:rPr>
        <w:t>; intégration de l'interculturel dans les politiques publiques ; etc.</w:t>
      </w:r>
    </w:p>
    <w:p w14:paraId="1885E8CA" w14:textId="1171F71A" w:rsidR="00BD2B3F" w:rsidRPr="00BD2B3F" w:rsidRDefault="00BD2B3F" w:rsidP="00BD2B3F">
      <w:pPr>
        <w:pStyle w:val="ListParagraph"/>
        <w:numPr>
          <w:ilvl w:val="0"/>
          <w:numId w:val="2"/>
        </w:numPr>
        <w:spacing w:after="200" w:line="276" w:lineRule="auto"/>
        <w:rPr>
          <w:rFonts w:cstheme="minorHAnsi"/>
          <w:lang w:val="fr-FR"/>
        </w:rPr>
      </w:pPr>
      <w:r w:rsidRPr="00BD2B3F">
        <w:rPr>
          <w:rFonts w:cstheme="minorHAnsi"/>
          <w:b/>
          <w:bCs/>
          <w:lang w:val="fr-FR"/>
        </w:rPr>
        <w:t xml:space="preserve">Accueil des </w:t>
      </w:r>
      <w:r w:rsidRPr="00BD2B3F">
        <w:rPr>
          <w:rFonts w:cstheme="minorHAnsi"/>
          <w:b/>
          <w:bCs/>
          <w:lang w:val="fr-FR"/>
        </w:rPr>
        <w:t>personnes nouvellement arrivées</w:t>
      </w:r>
      <w:r w:rsidRPr="00BD2B3F">
        <w:rPr>
          <w:rFonts w:cstheme="minorHAnsi"/>
          <w:b/>
          <w:bCs/>
          <w:lang w:val="fr-FR"/>
        </w:rPr>
        <w:t xml:space="preserve"> : </w:t>
      </w:r>
      <w:r w:rsidRPr="00BD2B3F">
        <w:rPr>
          <w:rFonts w:cstheme="minorHAnsi"/>
          <w:lang w:val="fr-FR"/>
        </w:rPr>
        <w:t>par exemple</w:t>
      </w:r>
      <w:r w:rsidRPr="00BD2B3F">
        <w:rPr>
          <w:rFonts w:cstheme="minorHAnsi"/>
          <w:lang w:val="fr-FR"/>
        </w:rPr>
        <w:t> :</w:t>
      </w:r>
      <w:r w:rsidRPr="00BD2B3F">
        <w:rPr>
          <w:rFonts w:cstheme="minorHAnsi"/>
          <w:lang w:val="fr-FR"/>
        </w:rPr>
        <w:t xml:space="preserve"> programmes d'intégration comportant des éléments interculturels ; programmes d'accueil ; projets </w:t>
      </w:r>
      <w:r w:rsidRPr="00BD2B3F">
        <w:rPr>
          <w:rFonts w:cstheme="minorHAnsi"/>
          <w:lang w:val="fr-FR"/>
        </w:rPr>
        <w:lastRenderedPageBreak/>
        <w:t>visant l'inclusion interculturelle des mineur</w:t>
      </w:r>
      <w:r w:rsidRPr="00BD2B3F">
        <w:rPr>
          <w:rFonts w:cstheme="minorHAnsi"/>
          <w:lang w:val="fr-FR"/>
        </w:rPr>
        <w:t>-e-</w:t>
      </w:r>
      <w:r w:rsidRPr="00BD2B3F">
        <w:rPr>
          <w:rFonts w:cstheme="minorHAnsi"/>
          <w:lang w:val="fr-FR"/>
        </w:rPr>
        <w:t>s non accompagné</w:t>
      </w:r>
      <w:r w:rsidRPr="00BD2B3F">
        <w:rPr>
          <w:rFonts w:cstheme="minorHAnsi"/>
          <w:lang w:val="fr-FR"/>
        </w:rPr>
        <w:t>-e-</w:t>
      </w:r>
      <w:r w:rsidRPr="00BD2B3F">
        <w:rPr>
          <w:rFonts w:cstheme="minorHAnsi"/>
          <w:lang w:val="fr-FR"/>
        </w:rPr>
        <w:t xml:space="preserve">s ; facilitation des permis de séjour et de travail ; regroupement familial ; réseaux de solidarité ; </w:t>
      </w:r>
      <w:r w:rsidRPr="00BD2B3F">
        <w:rPr>
          <w:rFonts w:cstheme="minorHAnsi"/>
          <w:lang w:val="fr-FR"/>
        </w:rPr>
        <w:t>etc.</w:t>
      </w:r>
      <w:r w:rsidRPr="00BD2B3F">
        <w:rPr>
          <w:rFonts w:cstheme="minorHAnsi"/>
          <w:lang w:val="fr-FR"/>
        </w:rPr>
        <w:t xml:space="preserve"> :</w:t>
      </w:r>
      <w:r w:rsidRPr="00BD2B3F">
        <w:rPr>
          <w:rFonts w:cstheme="minorHAnsi"/>
          <w:lang w:val="fr-FR"/>
        </w:rPr>
        <w:t xml:space="preserve"> visant en particulier</w:t>
      </w:r>
      <w:r w:rsidRPr="00BD2B3F">
        <w:rPr>
          <w:rFonts w:cstheme="minorHAnsi"/>
          <w:lang w:val="fr-FR"/>
        </w:rPr>
        <w:t>:</w:t>
      </w:r>
    </w:p>
    <w:p w14:paraId="64403CCF" w14:textId="77A48636" w:rsidR="00BD2B3F" w:rsidRPr="00BD2B3F" w:rsidRDefault="00BD2B3F" w:rsidP="00BD2B3F">
      <w:pPr>
        <w:pStyle w:val="ListParagraph"/>
        <w:numPr>
          <w:ilvl w:val="1"/>
          <w:numId w:val="2"/>
        </w:numPr>
        <w:spacing w:after="200" w:line="276" w:lineRule="auto"/>
        <w:rPr>
          <w:rFonts w:cstheme="minorHAnsi"/>
          <w:u w:val="single"/>
          <w:lang w:val="fr-FR"/>
        </w:rPr>
      </w:pPr>
      <w:r w:rsidRPr="00BD2B3F">
        <w:rPr>
          <w:rFonts w:cstheme="minorHAnsi"/>
          <w:u w:val="single"/>
          <w:lang w:val="fr-FR"/>
        </w:rPr>
        <w:t>Personnes r</w:t>
      </w:r>
      <w:r w:rsidRPr="00BD2B3F">
        <w:rPr>
          <w:rFonts w:cstheme="minorHAnsi"/>
          <w:u w:val="single"/>
          <w:lang w:val="fr-FR"/>
        </w:rPr>
        <w:t>éfugié</w:t>
      </w:r>
      <w:r w:rsidRPr="00BD2B3F">
        <w:rPr>
          <w:rFonts w:cstheme="minorHAnsi"/>
          <w:u w:val="single"/>
          <w:lang w:val="fr-FR"/>
        </w:rPr>
        <w:t>e</w:t>
      </w:r>
      <w:r w:rsidRPr="00BD2B3F">
        <w:rPr>
          <w:rFonts w:cstheme="minorHAnsi"/>
          <w:u w:val="single"/>
          <w:lang w:val="fr-FR"/>
        </w:rPr>
        <w:t>s</w:t>
      </w:r>
    </w:p>
    <w:p w14:paraId="0F69D095" w14:textId="1B49D68C" w:rsidR="00BD2B3F" w:rsidRPr="00BD2B3F" w:rsidRDefault="00BD2B3F" w:rsidP="00BD2B3F">
      <w:pPr>
        <w:pStyle w:val="ListParagraph"/>
        <w:numPr>
          <w:ilvl w:val="1"/>
          <w:numId w:val="2"/>
        </w:numPr>
        <w:spacing w:after="200" w:line="276" w:lineRule="auto"/>
        <w:rPr>
          <w:rFonts w:cstheme="minorHAnsi"/>
          <w:u w:val="single"/>
          <w:lang w:val="fr-FR"/>
        </w:rPr>
      </w:pPr>
      <w:r w:rsidRPr="00BD2B3F">
        <w:rPr>
          <w:rFonts w:cstheme="minorHAnsi"/>
          <w:u w:val="single"/>
          <w:lang w:val="fr-FR"/>
        </w:rPr>
        <w:t>Personnes m</w:t>
      </w:r>
      <w:r w:rsidRPr="00BD2B3F">
        <w:rPr>
          <w:rFonts w:cstheme="minorHAnsi"/>
          <w:u w:val="single"/>
          <w:lang w:val="fr-FR"/>
        </w:rPr>
        <w:t>igrant</w:t>
      </w:r>
      <w:r w:rsidRPr="00BD2B3F">
        <w:rPr>
          <w:rFonts w:cstheme="minorHAnsi"/>
          <w:u w:val="single"/>
          <w:lang w:val="fr-FR"/>
        </w:rPr>
        <w:t>e</w:t>
      </w:r>
      <w:r w:rsidRPr="00BD2B3F">
        <w:rPr>
          <w:rFonts w:cstheme="minorHAnsi"/>
          <w:u w:val="single"/>
          <w:lang w:val="fr-FR"/>
        </w:rPr>
        <w:t>s</w:t>
      </w:r>
    </w:p>
    <w:p w14:paraId="69738F83" w14:textId="11517903" w:rsidR="00BD2B3F" w:rsidRPr="00BD2B3F" w:rsidRDefault="00BD2B3F" w:rsidP="00BD2B3F">
      <w:pPr>
        <w:pStyle w:val="ListParagraph"/>
        <w:numPr>
          <w:ilvl w:val="1"/>
          <w:numId w:val="2"/>
        </w:numPr>
        <w:spacing w:after="0" w:line="276" w:lineRule="auto"/>
        <w:rPr>
          <w:rFonts w:cstheme="minorHAnsi"/>
          <w:u w:val="single"/>
          <w:lang w:val="fr-FR"/>
        </w:rPr>
      </w:pPr>
      <w:r w:rsidRPr="00BD2B3F">
        <w:rPr>
          <w:rFonts w:cstheme="minorHAnsi"/>
          <w:u w:val="single"/>
          <w:lang w:val="fr-FR"/>
        </w:rPr>
        <w:t>S</w:t>
      </w:r>
      <w:r w:rsidRPr="00BD2B3F">
        <w:rPr>
          <w:rFonts w:cstheme="minorHAnsi"/>
          <w:u w:val="single"/>
          <w:lang w:val="fr-FR"/>
        </w:rPr>
        <w:t>ociété en général</w:t>
      </w:r>
    </w:p>
    <w:p w14:paraId="115574F3" w14:textId="4C4D35CD" w:rsidR="00BD2B3F" w:rsidRPr="00BD2B3F" w:rsidRDefault="00BD2B3F" w:rsidP="00BD2B3F">
      <w:pPr>
        <w:pStyle w:val="ListParagraph"/>
        <w:numPr>
          <w:ilvl w:val="0"/>
          <w:numId w:val="2"/>
        </w:numPr>
        <w:spacing w:after="0" w:line="276" w:lineRule="auto"/>
        <w:rPr>
          <w:rFonts w:cstheme="minorHAnsi"/>
          <w:lang w:val="fr-FR"/>
        </w:rPr>
      </w:pPr>
      <w:r w:rsidRPr="00BD2B3F">
        <w:rPr>
          <w:rFonts w:cstheme="minorHAnsi"/>
          <w:b/>
          <w:bCs/>
          <w:lang w:val="fr-FR"/>
        </w:rPr>
        <w:t>Participation publique et politique</w:t>
      </w:r>
      <w:r w:rsidRPr="00BD2B3F">
        <w:rPr>
          <w:rFonts w:cstheme="minorHAnsi"/>
          <w:lang w:val="fr-FR"/>
        </w:rPr>
        <w:t xml:space="preserve"> : par exemple</w:t>
      </w:r>
      <w:r w:rsidRPr="00BD2B3F">
        <w:rPr>
          <w:rFonts w:cstheme="minorHAnsi"/>
          <w:lang w:val="fr-FR"/>
        </w:rPr>
        <w:t> :</w:t>
      </w:r>
      <w:r w:rsidRPr="00BD2B3F">
        <w:rPr>
          <w:rFonts w:cstheme="minorHAnsi"/>
          <w:lang w:val="fr-FR"/>
        </w:rPr>
        <w:t xml:space="preserve"> conseils interculturels, conseils de jeunes, assemblées </w:t>
      </w:r>
      <w:r w:rsidRPr="00BD2B3F">
        <w:rPr>
          <w:rFonts w:cstheme="minorHAnsi"/>
          <w:lang w:val="fr-FR"/>
        </w:rPr>
        <w:t>citoyennes</w:t>
      </w:r>
      <w:r w:rsidRPr="00BD2B3F">
        <w:rPr>
          <w:rFonts w:cstheme="minorHAnsi"/>
          <w:lang w:val="fr-FR"/>
        </w:rPr>
        <w:t>, budget participatif, réseaux de participation, consultations publiques, accès au droit de vote, campagnes de sensibilisation, outils informatiques et plateformes en ligne, soutien à la société civile, etc.</w:t>
      </w:r>
    </w:p>
    <w:p w14:paraId="4C18437E" w14:textId="122FAFD7" w:rsidR="00CB1059" w:rsidRPr="00BD2B3F" w:rsidRDefault="00BD2B3F" w:rsidP="00BD2B3F">
      <w:pPr>
        <w:pStyle w:val="ListParagraph"/>
        <w:numPr>
          <w:ilvl w:val="0"/>
          <w:numId w:val="2"/>
        </w:numPr>
        <w:spacing w:after="0" w:line="276" w:lineRule="auto"/>
        <w:rPr>
          <w:rFonts w:eastAsiaTheme="majorEastAsia" w:cstheme="minorHAnsi"/>
          <w:b/>
          <w:color w:val="20478A"/>
          <w:lang w:val="fr-FR"/>
        </w:rPr>
      </w:pPr>
      <w:r w:rsidRPr="00BD2B3F">
        <w:rPr>
          <w:rFonts w:cstheme="minorHAnsi"/>
          <w:b/>
          <w:bCs/>
          <w:lang w:val="fr-FR"/>
        </w:rPr>
        <w:t>Interaction</w:t>
      </w:r>
      <w:r w:rsidRPr="00BD2B3F">
        <w:rPr>
          <w:rFonts w:cstheme="minorHAnsi"/>
          <w:lang w:val="fr-FR"/>
        </w:rPr>
        <w:t xml:space="preserve"> : toutes les mesures, projets et politiques facilitant une interaction interculturelle significative et la confiance sociale.</w:t>
      </w:r>
      <w:r w:rsidRPr="00BD2B3F">
        <w:rPr>
          <w:rFonts w:cstheme="minorHAnsi"/>
          <w:b/>
          <w:bCs/>
          <w:lang w:val="fr-FR"/>
        </w:rPr>
        <w:t xml:space="preserve"> </w:t>
      </w:r>
      <w:r w:rsidR="00CB1059" w:rsidRPr="00BD2B3F">
        <w:rPr>
          <w:rFonts w:cstheme="minorHAnsi"/>
          <w:lang w:val="fr-FR"/>
        </w:rPr>
        <w:br w:type="page"/>
      </w:r>
    </w:p>
    <w:p w14:paraId="2A614999" w14:textId="4388B667" w:rsidR="00CB1059" w:rsidRPr="00BD2B3F" w:rsidRDefault="002A6770" w:rsidP="00CB1059">
      <w:pPr>
        <w:pStyle w:val="Heading2"/>
        <w:rPr>
          <w:rFonts w:cstheme="minorHAnsi"/>
          <w:szCs w:val="22"/>
          <w:lang w:val="fr-FR"/>
        </w:rPr>
      </w:pPr>
      <w:bookmarkStart w:id="7" w:name="_Toc124342052"/>
      <w:r w:rsidRPr="00BD2B3F">
        <w:rPr>
          <w:rFonts w:cstheme="minorHAnsi"/>
          <w:szCs w:val="22"/>
          <w:lang w:val="fr-FR"/>
        </w:rPr>
        <w:lastRenderedPageBreak/>
        <w:t>Exemple de rapport de bonne pratique</w:t>
      </w:r>
      <w:bookmarkEnd w:id="7"/>
    </w:p>
    <w:p w14:paraId="71514EAB" w14:textId="670C4FF0" w:rsidR="00CB1059" w:rsidRPr="00BD2B3F" w:rsidRDefault="002A6770" w:rsidP="00CB1059">
      <w:pPr>
        <w:rPr>
          <w:rFonts w:cstheme="minorHAnsi"/>
          <w:b/>
          <w:bCs/>
          <w:lang w:val="fr-FR"/>
        </w:rPr>
      </w:pPr>
      <w:r w:rsidRPr="00BD2B3F">
        <w:rPr>
          <w:rFonts w:cstheme="minorHAnsi"/>
          <w:b/>
          <w:bCs/>
          <w:lang w:val="fr-FR"/>
        </w:rPr>
        <w:t>Coordonnées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664"/>
      </w:tblGrid>
      <w:tr w:rsidR="00CB1059" w:rsidRPr="00BD2B3F" w14:paraId="006D7FCC" w14:textId="77777777" w:rsidTr="00CB1059">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743D906" w14:textId="2FBE74F8" w:rsidR="00CB1059" w:rsidRPr="00BD2B3F" w:rsidRDefault="002A6770" w:rsidP="00FD2BEA">
            <w:pPr>
              <w:rPr>
                <w:rFonts w:cstheme="minorHAnsi"/>
                <w:lang w:val="fr-FR" w:eastAsia="fr-FR"/>
              </w:rPr>
            </w:pPr>
            <w:r w:rsidRPr="00BD2B3F">
              <w:rPr>
                <w:rFonts w:cstheme="minorHAnsi"/>
                <w:lang w:val="fr-FR" w:eastAsia="fr-FR"/>
              </w:rPr>
              <w:t>Ville</w:t>
            </w:r>
            <w:r w:rsidR="00CB1059" w:rsidRPr="00BD2B3F">
              <w:rPr>
                <w:rFonts w:cstheme="minorHAnsi"/>
                <w:lang w:val="fr-FR" w:eastAsia="fr-FR"/>
              </w:rPr>
              <w:t>:</w:t>
            </w:r>
          </w:p>
        </w:tc>
        <w:tc>
          <w:tcPr>
            <w:tcW w:w="5664" w:type="dxa"/>
            <w:tcBorders>
              <w:top w:val="single" w:sz="4" w:space="0" w:color="auto"/>
              <w:left w:val="single" w:sz="4" w:space="0" w:color="auto"/>
              <w:bottom w:val="single" w:sz="4" w:space="0" w:color="auto"/>
              <w:right w:val="single" w:sz="4" w:space="0" w:color="auto"/>
            </w:tcBorders>
            <w:hideMark/>
          </w:tcPr>
          <w:p w14:paraId="60E9B264" w14:textId="7DC02F49" w:rsidR="00CB1059" w:rsidRPr="00BD2B3F" w:rsidRDefault="00BD2B3F" w:rsidP="00FD2BEA">
            <w:pPr>
              <w:rPr>
                <w:rFonts w:cstheme="minorHAnsi"/>
                <w:bCs/>
                <w:i/>
                <w:iCs/>
                <w:lang w:val="fr-FR" w:eastAsia="fr-FR"/>
              </w:rPr>
            </w:pPr>
            <w:r w:rsidRPr="00BD2B3F">
              <w:rPr>
                <w:rFonts w:cstheme="minorHAnsi"/>
                <w:bCs/>
                <w:i/>
                <w:iCs/>
                <w:lang w:val="fr-FR" w:eastAsia="fr-FR"/>
              </w:rPr>
              <w:t>Bergen</w:t>
            </w:r>
          </w:p>
        </w:tc>
      </w:tr>
      <w:tr w:rsidR="00CB1059" w:rsidRPr="00BD2B3F" w14:paraId="7B65CEEB" w14:textId="77777777" w:rsidTr="00CB1059">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CC63F2" w14:textId="34D738E8" w:rsidR="00CB1059" w:rsidRPr="00BD2B3F" w:rsidRDefault="002A6770" w:rsidP="00FD2BEA">
            <w:pPr>
              <w:rPr>
                <w:rFonts w:cstheme="minorHAnsi"/>
                <w:lang w:val="fr-FR" w:eastAsia="fr-FR"/>
              </w:rPr>
            </w:pPr>
            <w:r w:rsidRPr="00BD2B3F">
              <w:rPr>
                <w:rFonts w:cstheme="minorHAnsi"/>
                <w:lang w:val="fr-FR" w:eastAsia="fr-FR"/>
              </w:rPr>
              <w:t>Département</w:t>
            </w:r>
            <w:r w:rsidR="00CB1059" w:rsidRPr="00BD2B3F">
              <w:rPr>
                <w:rFonts w:cstheme="minorHAnsi"/>
                <w:lang w:val="fr-FR" w:eastAsia="fr-FR"/>
              </w:rPr>
              <w:t>:</w:t>
            </w:r>
          </w:p>
        </w:tc>
        <w:tc>
          <w:tcPr>
            <w:tcW w:w="5664" w:type="dxa"/>
            <w:tcBorders>
              <w:top w:val="single" w:sz="4" w:space="0" w:color="auto"/>
              <w:left w:val="single" w:sz="4" w:space="0" w:color="auto"/>
              <w:bottom w:val="single" w:sz="4" w:space="0" w:color="auto"/>
              <w:right w:val="single" w:sz="4" w:space="0" w:color="auto"/>
            </w:tcBorders>
            <w:hideMark/>
          </w:tcPr>
          <w:p w14:paraId="5322DC2F" w14:textId="22F3670F" w:rsidR="00CB1059" w:rsidRPr="00BD2B3F" w:rsidRDefault="00BD2B3F" w:rsidP="00FD2BEA">
            <w:pPr>
              <w:rPr>
                <w:rFonts w:cstheme="minorHAnsi"/>
                <w:i/>
                <w:iCs/>
                <w:lang w:val="fr-FR" w:eastAsia="fr-FR"/>
              </w:rPr>
            </w:pPr>
            <w:r w:rsidRPr="00BD2B3F">
              <w:rPr>
                <w:rFonts w:cstheme="minorHAnsi"/>
                <w:i/>
                <w:iCs/>
                <w:lang w:val="fr-FR" w:eastAsia="fr-FR"/>
              </w:rPr>
              <w:t>N/A</w:t>
            </w:r>
          </w:p>
        </w:tc>
      </w:tr>
      <w:tr w:rsidR="00CB1059" w:rsidRPr="00BD2B3F" w14:paraId="680C27BC" w14:textId="77777777" w:rsidTr="00CB1059">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C01824" w14:textId="6D7C59B0" w:rsidR="00CB1059" w:rsidRPr="00BD2B3F" w:rsidRDefault="002A6770" w:rsidP="00FD2BEA">
            <w:pPr>
              <w:rPr>
                <w:rFonts w:cstheme="minorHAnsi"/>
                <w:lang w:val="fr-FR" w:eastAsia="fr-FR"/>
              </w:rPr>
            </w:pPr>
            <w:r w:rsidRPr="00BD2B3F">
              <w:rPr>
                <w:rFonts w:cstheme="minorHAnsi"/>
                <w:lang w:val="fr-FR" w:eastAsia="fr-FR"/>
              </w:rPr>
              <w:t>Date du formulaire</w:t>
            </w:r>
            <w:r w:rsidR="00CB1059" w:rsidRPr="00BD2B3F">
              <w:rPr>
                <w:rFonts w:cstheme="minorHAnsi"/>
                <w:lang w:val="fr-FR" w:eastAsia="fr-FR"/>
              </w:rPr>
              <w:t>:</w:t>
            </w:r>
          </w:p>
        </w:tc>
        <w:tc>
          <w:tcPr>
            <w:tcW w:w="5664" w:type="dxa"/>
            <w:tcBorders>
              <w:top w:val="single" w:sz="4" w:space="0" w:color="auto"/>
              <w:left w:val="single" w:sz="4" w:space="0" w:color="auto"/>
              <w:bottom w:val="single" w:sz="4" w:space="0" w:color="auto"/>
              <w:right w:val="single" w:sz="4" w:space="0" w:color="auto"/>
            </w:tcBorders>
            <w:hideMark/>
          </w:tcPr>
          <w:p w14:paraId="636ADFD6" w14:textId="27E2E020" w:rsidR="00CB1059" w:rsidRPr="00BD2B3F" w:rsidRDefault="00BD2B3F" w:rsidP="00FD2BEA">
            <w:pPr>
              <w:rPr>
                <w:rFonts w:cstheme="minorHAnsi"/>
                <w:i/>
                <w:iCs/>
                <w:lang w:val="fr-FR" w:eastAsia="fr-FR"/>
              </w:rPr>
            </w:pPr>
            <w:r w:rsidRPr="00BD2B3F">
              <w:rPr>
                <w:rFonts w:cstheme="minorHAnsi"/>
                <w:i/>
                <w:iCs/>
                <w:lang w:val="fr-FR" w:eastAsia="fr-FR"/>
              </w:rPr>
              <w:t>N/A</w:t>
            </w:r>
          </w:p>
          <w:p w14:paraId="161A0EE1" w14:textId="77777777" w:rsidR="00CB1059" w:rsidRPr="00BD2B3F" w:rsidRDefault="00CB1059" w:rsidP="00FD2BEA">
            <w:pPr>
              <w:rPr>
                <w:rFonts w:cstheme="minorHAnsi"/>
                <w:i/>
                <w:iCs/>
                <w:lang w:val="fr-FR" w:eastAsia="fr-FR"/>
              </w:rPr>
            </w:pPr>
          </w:p>
          <w:p w14:paraId="00B98411" w14:textId="77777777" w:rsidR="00CB1059" w:rsidRPr="00BD2B3F" w:rsidRDefault="00CB1059" w:rsidP="00FD2BEA">
            <w:pPr>
              <w:rPr>
                <w:rFonts w:cstheme="minorHAnsi"/>
                <w:i/>
                <w:iCs/>
                <w:lang w:val="fr-FR" w:eastAsia="fr-FR"/>
              </w:rPr>
            </w:pPr>
          </w:p>
        </w:tc>
      </w:tr>
      <w:tr w:rsidR="00CB1059" w:rsidRPr="00BD2B3F" w14:paraId="42BBB1D6" w14:textId="77777777" w:rsidTr="00CB1059">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5D53E8" w14:textId="2E3826A8" w:rsidR="00CB1059" w:rsidRPr="00BD2B3F" w:rsidRDefault="002A6770" w:rsidP="00FD2BEA">
            <w:pPr>
              <w:rPr>
                <w:rFonts w:cstheme="minorHAnsi"/>
                <w:lang w:val="fr-FR" w:eastAsia="fr-FR"/>
              </w:rPr>
            </w:pPr>
            <w:r w:rsidRPr="00BD2B3F">
              <w:rPr>
                <w:rFonts w:cstheme="minorHAnsi"/>
                <w:lang w:val="fr-FR" w:eastAsia="fr-FR"/>
              </w:rPr>
              <w:t>Personne de contact:</w:t>
            </w:r>
          </w:p>
        </w:tc>
        <w:tc>
          <w:tcPr>
            <w:tcW w:w="5664" w:type="dxa"/>
            <w:tcBorders>
              <w:top w:val="single" w:sz="4" w:space="0" w:color="auto"/>
              <w:left w:val="single" w:sz="4" w:space="0" w:color="auto"/>
              <w:bottom w:val="single" w:sz="4" w:space="0" w:color="auto"/>
              <w:right w:val="single" w:sz="4" w:space="0" w:color="auto"/>
            </w:tcBorders>
          </w:tcPr>
          <w:p w14:paraId="5868ACD8" w14:textId="5A4C49A4" w:rsidR="00CB1059" w:rsidRPr="00BD2B3F" w:rsidRDefault="00BD2B3F" w:rsidP="00FD2BEA">
            <w:pPr>
              <w:rPr>
                <w:rFonts w:cstheme="minorHAnsi"/>
                <w:i/>
                <w:iCs/>
                <w:lang w:val="fr-FR" w:eastAsia="fr-FR"/>
              </w:rPr>
            </w:pPr>
            <w:r w:rsidRPr="00BD2B3F">
              <w:rPr>
                <w:rFonts w:cstheme="minorHAnsi"/>
                <w:i/>
                <w:iCs/>
                <w:lang w:val="fr-FR" w:eastAsia="fr-FR"/>
              </w:rPr>
              <w:t>N/A</w:t>
            </w:r>
          </w:p>
        </w:tc>
      </w:tr>
    </w:tbl>
    <w:p w14:paraId="3F87EEAB" w14:textId="77777777" w:rsidR="002A6770" w:rsidRPr="00BD2B3F" w:rsidRDefault="002A6770" w:rsidP="00CB1059">
      <w:pPr>
        <w:rPr>
          <w:rFonts w:cstheme="minorHAnsi"/>
          <w:b/>
          <w:bCs/>
          <w:lang w:val="fr-FR"/>
        </w:rPr>
      </w:pPr>
      <w:bookmarkStart w:id="8" w:name="_Toc124169758"/>
    </w:p>
    <w:bookmarkEnd w:id="8"/>
    <w:p w14:paraId="35A230A4" w14:textId="4FCC5C15" w:rsidR="00CB1059" w:rsidRPr="00BD2B3F" w:rsidRDefault="002A6770" w:rsidP="00CB1059">
      <w:pPr>
        <w:rPr>
          <w:rFonts w:cstheme="minorHAnsi"/>
          <w:b/>
          <w:bCs/>
          <w:lang w:val="fr-FR"/>
        </w:rPr>
      </w:pPr>
      <w:r w:rsidRPr="00BD2B3F">
        <w:rPr>
          <w:rFonts w:cstheme="minorHAnsi"/>
          <w:b/>
          <w:bCs/>
          <w:lang w:val="fr-FR"/>
        </w:rPr>
        <w:t>Bonne pratique</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5698"/>
      </w:tblGrid>
      <w:tr w:rsidR="00CB1059" w:rsidRPr="00BD2B3F" w14:paraId="5FC28904" w14:textId="77777777" w:rsidTr="00FD2BE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30CB83" w14:textId="2276D7D5" w:rsidR="00CB1059" w:rsidRPr="00BD2B3F" w:rsidRDefault="002A6770" w:rsidP="00FD2BEA">
            <w:pPr>
              <w:rPr>
                <w:rFonts w:cstheme="minorHAnsi"/>
                <w:lang w:val="fr-FR" w:eastAsia="fr-FR"/>
              </w:rPr>
            </w:pPr>
            <w:r w:rsidRPr="00BD2B3F">
              <w:rPr>
                <w:rFonts w:cstheme="minorHAnsi"/>
                <w:lang w:val="fr-FR" w:eastAsia="fr-FR"/>
              </w:rPr>
              <w:t>Titre</w:t>
            </w:r>
            <w:r w:rsidR="00CB1059" w:rsidRPr="00BD2B3F">
              <w:rPr>
                <w:rFonts w:cstheme="minorHAnsi"/>
                <w:lang w:val="fr-FR" w:eastAsia="fr-FR"/>
              </w:rPr>
              <w:t> :</w:t>
            </w:r>
          </w:p>
        </w:tc>
        <w:tc>
          <w:tcPr>
            <w:tcW w:w="5698" w:type="dxa"/>
            <w:tcBorders>
              <w:top w:val="single" w:sz="4" w:space="0" w:color="auto"/>
              <w:left w:val="single" w:sz="4" w:space="0" w:color="auto"/>
              <w:bottom w:val="single" w:sz="4" w:space="0" w:color="auto"/>
              <w:right w:val="single" w:sz="4" w:space="0" w:color="auto"/>
            </w:tcBorders>
            <w:hideMark/>
          </w:tcPr>
          <w:p w14:paraId="2CFC2274" w14:textId="45A0B473" w:rsidR="00CB1059" w:rsidRPr="00BD2B3F" w:rsidRDefault="00BD2B3F" w:rsidP="00FD2BEA">
            <w:pPr>
              <w:rPr>
                <w:rFonts w:cstheme="minorHAnsi"/>
                <w:b/>
                <w:i/>
                <w:iCs/>
                <w:lang w:val="fr-FR" w:eastAsia="fr-FR"/>
              </w:rPr>
            </w:pPr>
            <w:r w:rsidRPr="00BD2B3F">
              <w:rPr>
                <w:rFonts w:cstheme="minorHAnsi"/>
                <w:i/>
                <w:iCs/>
                <w:lang w:val="fr-FR"/>
              </w:rPr>
              <w:t>Projet de recherche sur le racisme structurel</w:t>
            </w:r>
          </w:p>
        </w:tc>
      </w:tr>
      <w:tr w:rsidR="00CB1059" w:rsidRPr="00BD2B3F" w14:paraId="61750E6C" w14:textId="77777777" w:rsidTr="00FD2BE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0F463B" w14:textId="3E1A5688" w:rsidR="00CB1059" w:rsidRPr="00BD2B3F" w:rsidRDefault="002A6770" w:rsidP="00FD2BEA">
            <w:pPr>
              <w:rPr>
                <w:rFonts w:cstheme="minorHAnsi"/>
                <w:lang w:val="fr-FR" w:eastAsia="fr-FR"/>
              </w:rPr>
            </w:pPr>
            <w:r w:rsidRPr="00BD2B3F">
              <w:rPr>
                <w:rFonts w:cstheme="minorHAnsi"/>
                <w:lang w:val="fr-FR" w:eastAsia="fr-FR"/>
              </w:rPr>
              <w:t>Principal domaine d’action</w:t>
            </w:r>
            <w:r w:rsidR="00CB1059" w:rsidRPr="00BD2B3F">
              <w:rPr>
                <w:rFonts w:cstheme="minorHAnsi"/>
                <w:lang w:val="fr-FR" w:eastAsia="fr-FR"/>
              </w:rPr>
              <w:t>:</w:t>
            </w:r>
          </w:p>
        </w:tc>
        <w:tc>
          <w:tcPr>
            <w:tcW w:w="5698" w:type="dxa"/>
            <w:tcBorders>
              <w:top w:val="single" w:sz="4" w:space="0" w:color="auto"/>
              <w:left w:val="single" w:sz="4" w:space="0" w:color="auto"/>
              <w:bottom w:val="single" w:sz="4" w:space="0" w:color="auto"/>
              <w:right w:val="single" w:sz="4" w:space="0" w:color="auto"/>
            </w:tcBorders>
            <w:hideMark/>
          </w:tcPr>
          <w:p w14:paraId="76060EDC" w14:textId="41A65921" w:rsidR="00CB1059" w:rsidRPr="00BD2B3F" w:rsidRDefault="00BD2B3F" w:rsidP="00FD2BEA">
            <w:pPr>
              <w:rPr>
                <w:rFonts w:cstheme="minorHAnsi"/>
                <w:b/>
                <w:i/>
                <w:lang w:val="fr-FR" w:eastAsia="fr-FR"/>
              </w:rPr>
            </w:pPr>
            <w:r w:rsidRPr="00BD2B3F">
              <w:rPr>
                <w:rFonts w:cstheme="minorHAnsi"/>
                <w:bCs/>
                <w:i/>
                <w:lang w:val="fr-FR" w:eastAsia="fr-FR"/>
              </w:rPr>
              <w:t>Anti-discrimination et égalité</w:t>
            </w:r>
            <w:r w:rsidR="00CB1059" w:rsidRPr="00BD2B3F">
              <w:rPr>
                <w:rFonts w:cstheme="minorHAnsi"/>
                <w:bCs/>
                <w:i/>
                <w:lang w:val="fr-FR" w:eastAsia="fr-FR"/>
              </w:rPr>
              <w:t>; (intelligence</w:t>
            </w:r>
            <w:r w:rsidRPr="00BD2B3F">
              <w:rPr>
                <w:rFonts w:cstheme="minorHAnsi"/>
                <w:bCs/>
                <w:i/>
                <w:lang w:val="fr-FR" w:eastAsia="fr-FR"/>
              </w:rPr>
              <w:t xml:space="preserve"> interculturelle</w:t>
            </w:r>
            <w:r w:rsidR="00CB1059" w:rsidRPr="00BD2B3F">
              <w:rPr>
                <w:rFonts w:cstheme="minorHAnsi"/>
                <w:bCs/>
                <w:i/>
                <w:lang w:val="fr-FR" w:eastAsia="fr-FR"/>
              </w:rPr>
              <w:t>)</w:t>
            </w:r>
          </w:p>
        </w:tc>
      </w:tr>
      <w:tr w:rsidR="00CB1059" w:rsidRPr="00BD2B3F" w14:paraId="50572CED" w14:textId="77777777" w:rsidTr="00FD2BE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B732DA" w14:textId="37C563F8" w:rsidR="00CB1059" w:rsidRPr="00BD2B3F" w:rsidRDefault="002A6770" w:rsidP="00FD2BEA">
            <w:pPr>
              <w:rPr>
                <w:rFonts w:cstheme="minorHAnsi"/>
                <w:lang w:val="fr-FR" w:eastAsia="fr-FR"/>
              </w:rPr>
            </w:pPr>
            <w:r w:rsidRPr="00BD2B3F">
              <w:rPr>
                <w:rFonts w:cstheme="minorHAnsi"/>
                <w:lang w:val="fr-FR" w:eastAsia="fr-FR"/>
              </w:rPr>
              <w:t>Principal objectif</w:t>
            </w:r>
            <w:r w:rsidR="00CB1059" w:rsidRPr="00BD2B3F">
              <w:rPr>
                <w:rFonts w:cstheme="minorHAnsi"/>
                <w:lang w:val="fr-FR" w:eastAsia="fr-FR"/>
              </w:rPr>
              <w:t>:</w:t>
            </w:r>
          </w:p>
        </w:tc>
        <w:tc>
          <w:tcPr>
            <w:tcW w:w="5698" w:type="dxa"/>
            <w:tcBorders>
              <w:top w:val="single" w:sz="4" w:space="0" w:color="auto"/>
              <w:left w:val="single" w:sz="4" w:space="0" w:color="auto"/>
              <w:bottom w:val="single" w:sz="4" w:space="0" w:color="auto"/>
              <w:right w:val="single" w:sz="4" w:space="0" w:color="auto"/>
            </w:tcBorders>
            <w:hideMark/>
          </w:tcPr>
          <w:p w14:paraId="2926CB6F" w14:textId="0ACB8203" w:rsidR="00CB1059" w:rsidRPr="00BD2B3F" w:rsidRDefault="00BD2B3F" w:rsidP="00CB1059">
            <w:pPr>
              <w:spacing w:after="200" w:line="276" w:lineRule="auto"/>
              <w:rPr>
                <w:rFonts w:cstheme="minorHAnsi"/>
                <w:bCs/>
                <w:i/>
                <w:lang w:val="fr-FR"/>
              </w:rPr>
            </w:pPr>
            <w:r w:rsidRPr="00BD2B3F">
              <w:rPr>
                <w:rFonts w:cstheme="minorHAnsi"/>
                <w:bCs/>
                <w:i/>
                <w:lang w:val="fr-FR" w:eastAsia="fr-FR"/>
              </w:rPr>
              <w:t>Susciter</w:t>
            </w:r>
            <w:r w:rsidRPr="00BD2B3F">
              <w:rPr>
                <w:rFonts w:cstheme="minorHAnsi"/>
                <w:bCs/>
                <w:i/>
                <w:lang w:val="fr-FR"/>
              </w:rPr>
              <w:t xml:space="preserve"> le débat, la compréhension et l’action par des recherches sur le racisme structurel à Bergen (Norvège)</w:t>
            </w:r>
          </w:p>
        </w:tc>
      </w:tr>
      <w:tr w:rsidR="00CB1059" w:rsidRPr="00BD2B3F" w14:paraId="5714ACE5" w14:textId="77777777" w:rsidTr="00FD2BE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636481" w14:textId="1BBD67A3" w:rsidR="00CB1059" w:rsidRPr="00BD2B3F" w:rsidRDefault="002A6770" w:rsidP="00FD2BEA">
            <w:pPr>
              <w:rPr>
                <w:rFonts w:cstheme="minorHAnsi"/>
                <w:lang w:val="fr-FR" w:eastAsia="fr-FR"/>
              </w:rPr>
            </w:pPr>
            <w:r w:rsidRPr="00BD2B3F">
              <w:rPr>
                <w:rFonts w:cstheme="minorHAnsi"/>
                <w:lang w:val="fr-FR" w:eastAsia="fr-FR"/>
              </w:rPr>
              <w:t>Période de mise en œuvre</w:t>
            </w:r>
            <w:r w:rsidR="00CB1059" w:rsidRPr="00BD2B3F">
              <w:rPr>
                <w:rFonts w:cstheme="minorHAnsi"/>
                <w:lang w:val="fr-FR" w:eastAsia="fr-FR"/>
              </w:rPr>
              <w:t> :</w:t>
            </w:r>
          </w:p>
        </w:tc>
        <w:tc>
          <w:tcPr>
            <w:tcW w:w="5698" w:type="dxa"/>
            <w:tcBorders>
              <w:top w:val="single" w:sz="4" w:space="0" w:color="auto"/>
              <w:left w:val="single" w:sz="4" w:space="0" w:color="auto"/>
              <w:bottom w:val="single" w:sz="4" w:space="0" w:color="auto"/>
              <w:right w:val="single" w:sz="4" w:space="0" w:color="auto"/>
            </w:tcBorders>
            <w:hideMark/>
          </w:tcPr>
          <w:p w14:paraId="6F136B9F" w14:textId="0E86C0CE" w:rsidR="00CB1059" w:rsidRPr="00BD2B3F" w:rsidRDefault="00BD2B3F" w:rsidP="00FD2BEA">
            <w:pPr>
              <w:rPr>
                <w:rFonts w:cstheme="minorHAnsi"/>
                <w:i/>
                <w:lang w:val="fr-FR" w:eastAsia="fr-FR"/>
              </w:rPr>
            </w:pPr>
            <w:r w:rsidRPr="00BD2B3F">
              <w:rPr>
                <w:rFonts w:cstheme="minorHAnsi"/>
                <w:i/>
                <w:lang w:val="fr-FR" w:eastAsia="fr-FR"/>
              </w:rPr>
              <w:t>2020-2021</w:t>
            </w:r>
          </w:p>
        </w:tc>
      </w:tr>
    </w:tbl>
    <w:p w14:paraId="4F39AA07" w14:textId="77777777" w:rsidR="00CB1059" w:rsidRPr="00BD2B3F" w:rsidRDefault="00CB1059" w:rsidP="00CB1059">
      <w:pPr>
        <w:spacing w:line="240" w:lineRule="auto"/>
        <w:rPr>
          <w:rFonts w:cstheme="minorHAnsi"/>
          <w:lang w:val="fr-FR"/>
        </w:rPr>
      </w:pPr>
    </w:p>
    <w:p w14:paraId="723CAA67" w14:textId="06A1A96F" w:rsidR="00CB1059" w:rsidRPr="00BD2B3F" w:rsidRDefault="002A6770" w:rsidP="00CB1059">
      <w:pPr>
        <w:rPr>
          <w:rFonts w:cstheme="minorHAnsi"/>
          <w:b/>
          <w:bCs/>
          <w:lang w:val="fr-FR"/>
        </w:rPr>
      </w:pPr>
      <w:r w:rsidRPr="00BD2B3F">
        <w:rPr>
          <w:rFonts w:cstheme="minorHAnsi"/>
          <w:b/>
          <w:bCs/>
          <w:lang w:val="fr-FR"/>
        </w:rPr>
        <w:t>Description de la bonne pratique</w:t>
      </w:r>
    </w:p>
    <w:p w14:paraId="13F293B0" w14:textId="77777777" w:rsidR="00BD2B3F" w:rsidRPr="00BD2B3F" w:rsidRDefault="00BD2B3F" w:rsidP="00BD2B3F">
      <w:pPr>
        <w:rPr>
          <w:rFonts w:cstheme="minorHAnsi"/>
          <w:i/>
          <w:lang w:val="fr-FR"/>
        </w:rPr>
      </w:pPr>
      <w:r w:rsidRPr="00BD2B3F">
        <w:rPr>
          <w:rFonts w:cstheme="minorHAnsi"/>
          <w:b/>
          <w:i/>
          <w:lang w:val="fr-FR"/>
        </w:rPr>
        <w:t xml:space="preserve">But : </w:t>
      </w:r>
      <w:r w:rsidRPr="00BD2B3F">
        <w:rPr>
          <w:rFonts w:cstheme="minorHAnsi"/>
          <w:i/>
          <w:lang w:val="fr-FR"/>
        </w:rPr>
        <w:t>un projet de recherche a été entrepris par la municipalité de Bergen pour savoir comment la population issue de minorités ethniques se sentait traitée par les services municipaux et jugeait sa qualité de vie à Bergen. La municipalité souhaitait entendre les témoignages et les critiques des personnes concernées.</w:t>
      </w:r>
    </w:p>
    <w:p w14:paraId="5C188A26" w14:textId="77777777" w:rsidR="00BD2B3F" w:rsidRPr="00BD2B3F" w:rsidRDefault="00BD2B3F" w:rsidP="00BD2B3F">
      <w:pPr>
        <w:rPr>
          <w:rFonts w:cstheme="minorHAnsi"/>
          <w:i/>
          <w:lang w:val="fr-FR"/>
        </w:rPr>
      </w:pPr>
      <w:r w:rsidRPr="00BD2B3F">
        <w:rPr>
          <w:rFonts w:cstheme="minorHAnsi"/>
          <w:b/>
          <w:i/>
          <w:lang w:val="fr-FR"/>
        </w:rPr>
        <w:t xml:space="preserve">Point de départ : </w:t>
      </w:r>
      <w:r w:rsidRPr="00BD2B3F">
        <w:rPr>
          <w:rFonts w:cstheme="minorHAnsi"/>
          <w:i/>
          <w:lang w:val="fr-FR"/>
        </w:rPr>
        <w:t>le premier moteur de ce projet était l’engagement politique. La municipalité, via son département Diversité et égalité, travaillait aussi avec la communauté musulmane sur son expérience de l’islamophobie, ce qui a constitué une incitation supplémentaire. L’existence même d’un département Diversité et égalité a joué un rôle important.</w:t>
      </w:r>
    </w:p>
    <w:p w14:paraId="3478AB06" w14:textId="77777777" w:rsidR="00BD2B3F" w:rsidRPr="00BD2B3F" w:rsidRDefault="00BD2B3F" w:rsidP="00BD2B3F">
      <w:pPr>
        <w:rPr>
          <w:rFonts w:cstheme="minorHAnsi"/>
          <w:i/>
          <w:lang w:val="fr-FR"/>
        </w:rPr>
      </w:pPr>
      <w:r w:rsidRPr="00BD2B3F">
        <w:rPr>
          <w:rFonts w:cstheme="minorHAnsi"/>
          <w:b/>
          <w:i/>
          <w:lang w:val="fr-FR"/>
        </w:rPr>
        <w:t xml:space="preserve">Processus : </w:t>
      </w:r>
      <w:r w:rsidRPr="00BD2B3F">
        <w:rPr>
          <w:rFonts w:cstheme="minorHAnsi"/>
          <w:i/>
          <w:lang w:val="fr-FR"/>
        </w:rPr>
        <w:t>la mesure clé a consisté à faire appel à une équipe de recherche extérieure, expérimentée dans le domaine du racisme structurel. Ces connaissances préalables ont été importantes pour l’efficacité du projet. Sur la base des résultats de recherche, des actions ont été menées avec la participation de la société civile et des minorités ethniques.</w:t>
      </w:r>
    </w:p>
    <w:p w14:paraId="1445C925" w14:textId="77777777" w:rsidR="00BD2B3F" w:rsidRPr="00BD2B3F" w:rsidRDefault="00BD2B3F" w:rsidP="00BD2B3F">
      <w:pPr>
        <w:rPr>
          <w:rFonts w:cstheme="minorHAnsi"/>
          <w:i/>
          <w:lang w:val="fr-FR"/>
        </w:rPr>
      </w:pPr>
      <w:r w:rsidRPr="00BD2B3F">
        <w:rPr>
          <w:rFonts w:cstheme="minorHAnsi"/>
          <w:i/>
          <w:lang w:val="fr-FR"/>
        </w:rPr>
        <w:t>Les recherches ont eu un volet qualitatif, sous forme d’entretiens individuels avec un petit nombre de personnes membres de minorités ethniques. Ces récits à la première personne sur la vie à Bergen et les relations avec les services municipaux ont compté parmi les éléments du rapport final qui ont pesé sur les politiques. Il s’est avéré que les services éducatifs étaient une source d’inquiétude particulière. Sur le plan quantitatif, les recherches comportaient aussi une enquête auprès de quelque 400 personnes appartenant à des minorités ethniques. Ici, ce sont l’emploi et le marché locatif qui sont ressortis comme particulièrement problématiques.</w:t>
      </w:r>
    </w:p>
    <w:p w14:paraId="54423A40" w14:textId="77777777" w:rsidR="00BD2B3F" w:rsidRPr="00BD2B3F" w:rsidRDefault="00BD2B3F" w:rsidP="00BD2B3F">
      <w:pPr>
        <w:rPr>
          <w:rFonts w:cstheme="minorHAnsi"/>
          <w:i/>
          <w:lang w:val="fr-FR"/>
        </w:rPr>
      </w:pPr>
      <w:r w:rsidRPr="00BD2B3F">
        <w:rPr>
          <w:rFonts w:cstheme="minorHAnsi"/>
          <w:i/>
          <w:lang w:val="fr-FR"/>
        </w:rPr>
        <w:t>La méthode choisie n’est pas allée sans difficultés. La pandémie de covid-19 a obligé l’équipe à renoncer aux entretiens en groupe. Les considérations de protection des données ont empêché d’accéder aux données qui auraient rendu l’enquête vraiment représentative ; de ce fait, il s’est avéré que les personnes interrogées avaient un niveau d’études supérieur à la moyenne.</w:t>
      </w:r>
    </w:p>
    <w:p w14:paraId="0BC190BB" w14:textId="77777777" w:rsidR="00BD2B3F" w:rsidRPr="00BD2B3F" w:rsidRDefault="00BD2B3F" w:rsidP="00BD2B3F">
      <w:pPr>
        <w:rPr>
          <w:rFonts w:cstheme="minorHAnsi"/>
          <w:i/>
          <w:lang w:val="fr-FR"/>
        </w:rPr>
      </w:pPr>
      <w:r w:rsidRPr="00BD2B3F">
        <w:rPr>
          <w:rFonts w:cstheme="minorHAnsi"/>
          <w:i/>
          <w:lang w:val="fr-FR"/>
        </w:rPr>
        <w:t xml:space="preserve">La distinction entre formes individuelles et systémiques de discrimination n’a pas été facile à établir. Cependant, l’expérience de l’équipe de recherche en matière de racisme structurel lui a </w:t>
      </w:r>
      <w:r w:rsidRPr="00BD2B3F">
        <w:rPr>
          <w:rFonts w:cstheme="minorHAnsi"/>
          <w:i/>
          <w:lang w:val="fr-FR"/>
        </w:rPr>
        <w:lastRenderedPageBreak/>
        <w:t>permis d’identifier, en analysant les entretiens et les réponses à l’enquête, des types de racisme relevant davantage d’une forme systémique.</w:t>
      </w:r>
    </w:p>
    <w:p w14:paraId="1BDA037E" w14:textId="77777777" w:rsidR="00BD2B3F" w:rsidRPr="00BD2B3F" w:rsidRDefault="00BD2B3F" w:rsidP="00BD2B3F">
      <w:pPr>
        <w:rPr>
          <w:rFonts w:cstheme="minorHAnsi"/>
          <w:i/>
          <w:lang w:val="fr-FR"/>
        </w:rPr>
      </w:pPr>
      <w:r w:rsidRPr="00BD2B3F">
        <w:rPr>
          <w:rFonts w:cstheme="minorHAnsi"/>
          <w:i/>
          <w:lang w:val="fr-FR"/>
        </w:rPr>
        <w:t>Le fait que la recherche soit explicitement consacrée au racisme structurel reflétait l’engagement politique à traiter ce problème et suscitait la confiance, ce qui a encouragé la participation des personnes de minorités ethniques.</w:t>
      </w:r>
    </w:p>
    <w:p w14:paraId="15C4BD09" w14:textId="77777777" w:rsidR="00BD2B3F" w:rsidRPr="00BD2B3F" w:rsidRDefault="00BD2B3F" w:rsidP="00BD2B3F">
      <w:pPr>
        <w:rPr>
          <w:rFonts w:cstheme="minorHAnsi"/>
          <w:i/>
          <w:lang w:val="fr-FR"/>
        </w:rPr>
      </w:pPr>
      <w:r w:rsidRPr="00BD2B3F">
        <w:rPr>
          <w:rFonts w:cstheme="minorHAnsi"/>
          <w:b/>
          <w:i/>
          <w:lang w:val="fr-FR"/>
        </w:rPr>
        <w:t xml:space="preserve">Impact : </w:t>
      </w:r>
      <w:r w:rsidRPr="00BD2B3F">
        <w:rPr>
          <w:rFonts w:cstheme="minorHAnsi"/>
          <w:i/>
          <w:lang w:val="fr-FR"/>
        </w:rPr>
        <w:t>le rapport de recherche a suscité un débat. Les élu-e-s du conseil municipal l’ont pris au sérieux, et plusieurs réunions publiques sur le rapport ont été organisées. Le rapport a aussi fait l’objet d’une bonne couverture médiatique.</w:t>
      </w:r>
    </w:p>
    <w:p w14:paraId="3794C7F4" w14:textId="77777777" w:rsidR="00BD2B3F" w:rsidRPr="00BD2B3F" w:rsidRDefault="00BD2B3F" w:rsidP="00BD2B3F">
      <w:pPr>
        <w:rPr>
          <w:rFonts w:cstheme="minorHAnsi"/>
          <w:i/>
          <w:lang w:val="fr-FR"/>
        </w:rPr>
      </w:pPr>
      <w:r w:rsidRPr="00BD2B3F">
        <w:rPr>
          <w:rFonts w:cstheme="minorHAnsi"/>
          <w:i/>
          <w:lang w:val="fr-FR"/>
        </w:rPr>
        <w:t>Le rapport a permis de comprendre le racisme structurel et fait aujourd’hui figure de référence sur le sujet. Il comportait un chapitre théorique qui expliquait, en termes accessibles, le sens du concept de racisme structurel dans le contexte norvégien. Sur cette base, les responsables municipaux ont pu traduire le concept en plans et en actions.</w:t>
      </w:r>
    </w:p>
    <w:p w14:paraId="61C7B2A1" w14:textId="77777777" w:rsidR="00BD2B3F" w:rsidRPr="00BD2B3F" w:rsidRDefault="00BD2B3F" w:rsidP="00BD2B3F">
      <w:pPr>
        <w:rPr>
          <w:rFonts w:cstheme="minorHAnsi"/>
          <w:i/>
          <w:lang w:val="fr-FR"/>
        </w:rPr>
      </w:pPr>
      <w:r w:rsidRPr="00BD2B3F">
        <w:rPr>
          <w:rFonts w:cstheme="minorHAnsi"/>
          <w:i/>
          <w:lang w:val="fr-FR"/>
        </w:rPr>
        <w:t>Le rapport de recherche a suscité et continue de susciter des actions. Un plan d’action sur la discrimination et la haine rencontrées par les personnes musulmanes a été publié. Des financements ont été alloués au secteur éducatif pour qu’il lutte de manière plus globale contre le racisme, en sensibilisant les enseignant-e-s sur le sujet et en les équipant pour y répondre. Plusieurs ONG, représentant différents groupes minoritaires, se sont alliées et ont reçu des financements qui leur ont permis d’ouvrir un bureau où l’on peut facilement venir signaler des cas de discrimination.</w:t>
      </w:r>
    </w:p>
    <w:p w14:paraId="6BE90A67" w14:textId="451CC645" w:rsidR="00CB1059" w:rsidRPr="00BD2B3F" w:rsidRDefault="00BD2B3F" w:rsidP="00BD2B3F">
      <w:pPr>
        <w:spacing w:after="160" w:line="259" w:lineRule="auto"/>
        <w:rPr>
          <w:rFonts w:eastAsiaTheme="majorEastAsia" w:cstheme="minorHAnsi"/>
          <w:b/>
          <w:color w:val="20478A"/>
          <w:lang w:val="fr-FR"/>
        </w:rPr>
      </w:pPr>
      <w:r w:rsidRPr="00BD2B3F">
        <w:rPr>
          <w:rFonts w:cstheme="minorHAnsi"/>
          <w:b/>
          <w:bCs/>
          <w:i/>
          <w:lang w:val="fr-FR"/>
        </w:rPr>
        <w:t>Principaux documents de référence :</w:t>
      </w:r>
      <w:r w:rsidRPr="00BD2B3F">
        <w:rPr>
          <w:rFonts w:cstheme="minorHAnsi"/>
          <w:i/>
          <w:lang w:val="fr-FR"/>
        </w:rPr>
        <w:t xml:space="preserve"> Sindre Bangstad, Edvard Nergård Larsen et Lise B. Grung, </w:t>
      </w:r>
      <w:hyperlink r:id="rId7" w:history="1">
        <w:r w:rsidRPr="00BD2B3F">
          <w:rPr>
            <w:rStyle w:val="Hyperlink"/>
            <w:rFonts w:cstheme="minorHAnsi"/>
            <w:i/>
            <w:lang w:val="fr-FR"/>
          </w:rPr>
          <w:t xml:space="preserve">Structural Racism </w:t>
        </w:r>
        <w:r w:rsidRPr="00BD2B3F">
          <w:rPr>
            <w:rStyle w:val="Hyperlink"/>
            <w:rFonts w:cstheme="minorHAnsi"/>
            <w:i/>
            <w:lang w:val="fr-FR"/>
          </w:rPr>
          <w:t xml:space="preserve">in </w:t>
        </w:r>
        <w:r w:rsidRPr="00BD2B3F">
          <w:rPr>
            <w:rStyle w:val="Hyperlink"/>
            <w:rFonts w:cstheme="minorHAnsi"/>
            <w:i/>
            <w:lang w:val="fr-FR"/>
          </w:rPr>
          <w:t>Bergen</w:t>
        </w:r>
      </w:hyperlink>
      <w:r w:rsidRPr="00BD2B3F">
        <w:rPr>
          <w:rFonts w:cstheme="minorHAnsi"/>
          <w:i/>
          <w:lang w:val="fr-FR"/>
        </w:rPr>
        <w:t>, rapport 2021/09, Vista Analysis et KIFO, 2021 (en norvégien).</w:t>
      </w:r>
      <w:r w:rsidR="00CB1059" w:rsidRPr="00BD2B3F">
        <w:rPr>
          <w:rFonts w:cstheme="minorHAnsi"/>
          <w:lang w:val="fr-FR"/>
        </w:rPr>
        <w:br w:type="page"/>
      </w:r>
    </w:p>
    <w:p w14:paraId="59C4CB93" w14:textId="51880504" w:rsidR="006E67F3" w:rsidRPr="00BD2B3F" w:rsidRDefault="002A6770" w:rsidP="00CB1059">
      <w:pPr>
        <w:pStyle w:val="Heading1"/>
        <w:rPr>
          <w:rFonts w:cstheme="minorHAnsi"/>
          <w:sz w:val="22"/>
          <w:szCs w:val="22"/>
          <w:lang w:val="fr-FR"/>
        </w:rPr>
      </w:pPr>
      <w:bookmarkStart w:id="9" w:name="_Toc124342053"/>
      <w:r w:rsidRPr="00BD2B3F">
        <w:rPr>
          <w:rFonts w:cstheme="minorHAnsi"/>
          <w:sz w:val="22"/>
          <w:szCs w:val="22"/>
          <w:lang w:val="fr-FR"/>
        </w:rPr>
        <w:lastRenderedPageBreak/>
        <w:t>Modèle de rapport</w:t>
      </w:r>
      <w:bookmarkEnd w:id="9"/>
    </w:p>
    <w:p w14:paraId="7884995D" w14:textId="77777777" w:rsidR="002A6770" w:rsidRPr="00BD2B3F" w:rsidRDefault="002A6770" w:rsidP="002A6770">
      <w:pPr>
        <w:rPr>
          <w:rFonts w:cstheme="minorHAnsi"/>
          <w:b/>
          <w:bCs/>
          <w:lang w:val="fr-FR"/>
        </w:rPr>
      </w:pPr>
      <w:r w:rsidRPr="00BD2B3F">
        <w:rPr>
          <w:rFonts w:cstheme="minorHAnsi"/>
          <w:b/>
          <w:bCs/>
          <w:lang w:val="fr-FR"/>
        </w:rPr>
        <w:t>Coordonnées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664"/>
      </w:tblGrid>
      <w:tr w:rsidR="002A6770" w:rsidRPr="00BD2B3F" w14:paraId="0BA330C2" w14:textId="77777777" w:rsidTr="00D3366A">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FC6ED0" w14:textId="77777777" w:rsidR="002A6770" w:rsidRPr="00BD2B3F" w:rsidRDefault="002A6770" w:rsidP="00D3366A">
            <w:pPr>
              <w:rPr>
                <w:rFonts w:cstheme="minorHAnsi"/>
                <w:lang w:val="fr-FR" w:eastAsia="fr-FR"/>
              </w:rPr>
            </w:pPr>
            <w:r w:rsidRPr="00BD2B3F">
              <w:rPr>
                <w:rFonts w:cstheme="minorHAnsi"/>
                <w:lang w:val="fr-FR" w:eastAsia="fr-FR"/>
              </w:rPr>
              <w:t>Ville:</w:t>
            </w:r>
          </w:p>
        </w:tc>
        <w:tc>
          <w:tcPr>
            <w:tcW w:w="5664" w:type="dxa"/>
            <w:tcBorders>
              <w:top w:val="single" w:sz="4" w:space="0" w:color="auto"/>
              <w:left w:val="single" w:sz="4" w:space="0" w:color="auto"/>
              <w:bottom w:val="single" w:sz="4" w:space="0" w:color="auto"/>
              <w:right w:val="single" w:sz="4" w:space="0" w:color="auto"/>
            </w:tcBorders>
            <w:hideMark/>
          </w:tcPr>
          <w:p w14:paraId="1C33D5F1" w14:textId="77777777" w:rsidR="002A6770" w:rsidRPr="00BD2B3F" w:rsidRDefault="002A6770" w:rsidP="00D3366A">
            <w:pPr>
              <w:rPr>
                <w:rFonts w:cstheme="minorHAnsi"/>
                <w:b/>
                <w:lang w:val="fr-FR" w:eastAsia="fr-FR"/>
              </w:rPr>
            </w:pPr>
          </w:p>
        </w:tc>
      </w:tr>
      <w:tr w:rsidR="002A6770" w:rsidRPr="00BD2B3F" w14:paraId="67265A4A" w14:textId="77777777" w:rsidTr="00D3366A">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922A6B" w14:textId="77777777" w:rsidR="002A6770" w:rsidRPr="00BD2B3F" w:rsidRDefault="002A6770" w:rsidP="00D3366A">
            <w:pPr>
              <w:rPr>
                <w:rFonts w:cstheme="minorHAnsi"/>
                <w:lang w:val="fr-FR" w:eastAsia="fr-FR"/>
              </w:rPr>
            </w:pPr>
            <w:r w:rsidRPr="00BD2B3F">
              <w:rPr>
                <w:rFonts w:cstheme="minorHAnsi"/>
                <w:lang w:val="fr-FR" w:eastAsia="fr-FR"/>
              </w:rPr>
              <w:t>Département:</w:t>
            </w:r>
          </w:p>
        </w:tc>
        <w:tc>
          <w:tcPr>
            <w:tcW w:w="5664" w:type="dxa"/>
            <w:tcBorders>
              <w:top w:val="single" w:sz="4" w:space="0" w:color="auto"/>
              <w:left w:val="single" w:sz="4" w:space="0" w:color="auto"/>
              <w:bottom w:val="single" w:sz="4" w:space="0" w:color="auto"/>
              <w:right w:val="single" w:sz="4" w:space="0" w:color="auto"/>
            </w:tcBorders>
            <w:hideMark/>
          </w:tcPr>
          <w:p w14:paraId="1871F73B" w14:textId="77777777" w:rsidR="002A6770" w:rsidRPr="00BD2B3F" w:rsidRDefault="002A6770" w:rsidP="00D3366A">
            <w:pPr>
              <w:rPr>
                <w:rFonts w:cstheme="minorHAnsi"/>
                <w:lang w:val="fr-FR" w:eastAsia="fr-FR"/>
              </w:rPr>
            </w:pPr>
          </w:p>
        </w:tc>
      </w:tr>
      <w:tr w:rsidR="002A6770" w:rsidRPr="00BD2B3F" w14:paraId="1126E044" w14:textId="77777777" w:rsidTr="00D3366A">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62AA24" w14:textId="77777777" w:rsidR="002A6770" w:rsidRPr="00BD2B3F" w:rsidRDefault="002A6770" w:rsidP="002A6770">
            <w:pPr>
              <w:rPr>
                <w:rFonts w:cstheme="minorHAnsi"/>
                <w:lang w:val="fr-FR" w:eastAsia="fr-FR"/>
              </w:rPr>
            </w:pPr>
            <w:r w:rsidRPr="00BD2B3F">
              <w:rPr>
                <w:rFonts w:cstheme="minorHAnsi"/>
                <w:lang w:val="fr-FR" w:eastAsia="fr-FR"/>
              </w:rPr>
              <w:t>Date du formulaire:</w:t>
            </w:r>
          </w:p>
        </w:tc>
        <w:tc>
          <w:tcPr>
            <w:tcW w:w="5664" w:type="dxa"/>
            <w:tcBorders>
              <w:top w:val="single" w:sz="4" w:space="0" w:color="auto"/>
              <w:left w:val="single" w:sz="4" w:space="0" w:color="auto"/>
              <w:bottom w:val="single" w:sz="4" w:space="0" w:color="auto"/>
              <w:right w:val="single" w:sz="4" w:space="0" w:color="auto"/>
            </w:tcBorders>
            <w:hideMark/>
          </w:tcPr>
          <w:p w14:paraId="00CC70B7" w14:textId="77777777" w:rsidR="002A6770" w:rsidRPr="00BD2B3F" w:rsidRDefault="002A6770" w:rsidP="002A6770">
            <w:pPr>
              <w:rPr>
                <w:rFonts w:cstheme="minorHAnsi"/>
                <w:lang w:val="fr-FR" w:eastAsia="fr-FR"/>
              </w:rPr>
            </w:pPr>
            <w:r w:rsidRPr="00BD2B3F">
              <w:rPr>
                <w:rFonts w:cstheme="minorHAnsi"/>
                <w:lang w:val="fr-FR" w:eastAsia="fr-FR"/>
              </w:rPr>
              <w:t>JJ/MM/YYYY</w:t>
            </w:r>
          </w:p>
          <w:p w14:paraId="3E0CC684" w14:textId="77777777" w:rsidR="002A6770" w:rsidRPr="00BD2B3F" w:rsidRDefault="002A6770" w:rsidP="002A6770">
            <w:pPr>
              <w:rPr>
                <w:rFonts w:cstheme="minorHAnsi"/>
                <w:lang w:val="fr-FR" w:eastAsia="fr-FR"/>
              </w:rPr>
            </w:pPr>
          </w:p>
          <w:p w14:paraId="5138F549" w14:textId="77777777" w:rsidR="002A6770" w:rsidRPr="00BD2B3F" w:rsidRDefault="002A6770" w:rsidP="002A6770">
            <w:pPr>
              <w:rPr>
                <w:rFonts w:cstheme="minorHAnsi"/>
                <w:lang w:val="fr-FR" w:eastAsia="fr-FR"/>
              </w:rPr>
            </w:pPr>
          </w:p>
        </w:tc>
      </w:tr>
      <w:tr w:rsidR="002A6770" w:rsidRPr="00BD2B3F" w14:paraId="7FCE7CF7" w14:textId="77777777" w:rsidTr="00D3366A">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765604" w14:textId="0B288BFA" w:rsidR="002A6770" w:rsidRPr="00BD2B3F" w:rsidRDefault="002A6770" w:rsidP="002A6770">
            <w:pPr>
              <w:rPr>
                <w:rFonts w:cstheme="minorHAnsi"/>
                <w:lang w:val="fr-FR" w:eastAsia="fr-FR"/>
              </w:rPr>
            </w:pPr>
            <w:r w:rsidRPr="00BD2B3F">
              <w:rPr>
                <w:rFonts w:cstheme="minorHAnsi"/>
                <w:lang w:val="fr-FR" w:eastAsia="fr-FR"/>
              </w:rPr>
              <w:t>Personne de contact</w:t>
            </w:r>
            <w:r w:rsidRPr="00BD2B3F">
              <w:rPr>
                <w:rFonts w:cstheme="minorHAnsi"/>
                <w:lang w:val="fr-FR" w:eastAsia="fr-FR"/>
              </w:rPr>
              <w:t>:</w:t>
            </w:r>
          </w:p>
        </w:tc>
        <w:tc>
          <w:tcPr>
            <w:tcW w:w="5664" w:type="dxa"/>
            <w:tcBorders>
              <w:top w:val="single" w:sz="4" w:space="0" w:color="auto"/>
              <w:left w:val="single" w:sz="4" w:space="0" w:color="auto"/>
              <w:bottom w:val="single" w:sz="4" w:space="0" w:color="auto"/>
              <w:right w:val="single" w:sz="4" w:space="0" w:color="auto"/>
            </w:tcBorders>
          </w:tcPr>
          <w:p w14:paraId="25CE8B9B" w14:textId="77777777" w:rsidR="002A6770" w:rsidRPr="00BD2B3F" w:rsidRDefault="002A6770" w:rsidP="002A6770">
            <w:pPr>
              <w:rPr>
                <w:rFonts w:cstheme="minorHAnsi"/>
                <w:lang w:val="fr-FR" w:eastAsia="fr-FR"/>
              </w:rPr>
            </w:pPr>
          </w:p>
        </w:tc>
      </w:tr>
    </w:tbl>
    <w:p w14:paraId="2F9D10C2" w14:textId="77777777" w:rsidR="002A6770" w:rsidRPr="00BD2B3F" w:rsidRDefault="002A6770" w:rsidP="002A6770">
      <w:pPr>
        <w:rPr>
          <w:rFonts w:cstheme="minorHAnsi"/>
          <w:b/>
          <w:bCs/>
          <w:lang w:val="fr-FR"/>
        </w:rPr>
      </w:pPr>
    </w:p>
    <w:p w14:paraId="3798B439" w14:textId="77777777" w:rsidR="002A6770" w:rsidRPr="00BD2B3F" w:rsidRDefault="002A6770" w:rsidP="002A6770">
      <w:pPr>
        <w:rPr>
          <w:rFonts w:cstheme="minorHAnsi"/>
          <w:b/>
          <w:bCs/>
          <w:lang w:val="fr-FR"/>
        </w:rPr>
      </w:pPr>
      <w:r w:rsidRPr="00BD2B3F">
        <w:rPr>
          <w:rFonts w:cstheme="minorHAnsi"/>
          <w:b/>
          <w:bCs/>
          <w:lang w:val="fr-FR"/>
        </w:rPr>
        <w:t>Bonne pratique</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5698"/>
      </w:tblGrid>
      <w:tr w:rsidR="002A6770" w:rsidRPr="00BD2B3F" w14:paraId="5DD95B5B" w14:textId="77777777" w:rsidTr="00D3366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46CF10" w14:textId="77777777" w:rsidR="002A6770" w:rsidRPr="00BD2B3F" w:rsidRDefault="002A6770" w:rsidP="00D3366A">
            <w:pPr>
              <w:rPr>
                <w:rFonts w:cstheme="minorHAnsi"/>
                <w:lang w:val="fr-FR" w:eastAsia="fr-FR"/>
              </w:rPr>
            </w:pPr>
            <w:r w:rsidRPr="00BD2B3F">
              <w:rPr>
                <w:rFonts w:cstheme="minorHAnsi"/>
                <w:lang w:val="fr-FR" w:eastAsia="fr-FR"/>
              </w:rPr>
              <w:t>Titre :</w:t>
            </w:r>
          </w:p>
        </w:tc>
        <w:tc>
          <w:tcPr>
            <w:tcW w:w="5698" w:type="dxa"/>
            <w:tcBorders>
              <w:top w:val="single" w:sz="4" w:space="0" w:color="auto"/>
              <w:left w:val="single" w:sz="4" w:space="0" w:color="auto"/>
              <w:bottom w:val="single" w:sz="4" w:space="0" w:color="auto"/>
              <w:right w:val="single" w:sz="4" w:space="0" w:color="auto"/>
            </w:tcBorders>
            <w:hideMark/>
          </w:tcPr>
          <w:p w14:paraId="4F828947" w14:textId="6AAB55AC" w:rsidR="002A6770" w:rsidRPr="00BD2B3F" w:rsidRDefault="002A6770" w:rsidP="00D3366A">
            <w:pPr>
              <w:rPr>
                <w:rFonts w:cstheme="minorHAnsi"/>
                <w:b/>
                <w:i/>
                <w:iCs/>
                <w:lang w:val="fr-FR" w:eastAsia="fr-FR"/>
              </w:rPr>
            </w:pPr>
          </w:p>
        </w:tc>
      </w:tr>
      <w:tr w:rsidR="002A6770" w:rsidRPr="00BD2B3F" w14:paraId="2B5F7BC1" w14:textId="77777777" w:rsidTr="00D3366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92A7D8" w14:textId="77777777" w:rsidR="002A6770" w:rsidRPr="00BD2B3F" w:rsidRDefault="002A6770" w:rsidP="00D3366A">
            <w:pPr>
              <w:rPr>
                <w:rFonts w:cstheme="minorHAnsi"/>
                <w:lang w:val="fr-FR" w:eastAsia="fr-FR"/>
              </w:rPr>
            </w:pPr>
            <w:r w:rsidRPr="00BD2B3F">
              <w:rPr>
                <w:rFonts w:cstheme="minorHAnsi"/>
                <w:lang w:val="fr-FR" w:eastAsia="fr-FR"/>
              </w:rPr>
              <w:t>Principal domaine d’action:</w:t>
            </w:r>
          </w:p>
        </w:tc>
        <w:tc>
          <w:tcPr>
            <w:tcW w:w="5698" w:type="dxa"/>
            <w:tcBorders>
              <w:top w:val="single" w:sz="4" w:space="0" w:color="auto"/>
              <w:left w:val="single" w:sz="4" w:space="0" w:color="auto"/>
              <w:bottom w:val="single" w:sz="4" w:space="0" w:color="auto"/>
              <w:right w:val="single" w:sz="4" w:space="0" w:color="auto"/>
            </w:tcBorders>
            <w:hideMark/>
          </w:tcPr>
          <w:p w14:paraId="733DF7FC" w14:textId="4A029674" w:rsidR="002A6770" w:rsidRPr="00BD2B3F" w:rsidRDefault="002A6770" w:rsidP="00D3366A">
            <w:pPr>
              <w:rPr>
                <w:rFonts w:cstheme="minorHAnsi"/>
                <w:b/>
                <w:i/>
                <w:lang w:val="fr-FR" w:eastAsia="fr-FR"/>
              </w:rPr>
            </w:pPr>
          </w:p>
        </w:tc>
      </w:tr>
      <w:tr w:rsidR="002A6770" w:rsidRPr="00BD2B3F" w14:paraId="2CAA9722" w14:textId="77777777" w:rsidTr="00D3366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1B62AC" w14:textId="77777777" w:rsidR="002A6770" w:rsidRPr="00BD2B3F" w:rsidRDefault="002A6770" w:rsidP="00D3366A">
            <w:pPr>
              <w:rPr>
                <w:rFonts w:cstheme="minorHAnsi"/>
                <w:lang w:val="fr-FR" w:eastAsia="fr-FR"/>
              </w:rPr>
            </w:pPr>
            <w:r w:rsidRPr="00BD2B3F">
              <w:rPr>
                <w:rFonts w:cstheme="minorHAnsi"/>
                <w:lang w:val="fr-FR" w:eastAsia="fr-FR"/>
              </w:rPr>
              <w:t>Principal objectif:</w:t>
            </w:r>
          </w:p>
        </w:tc>
        <w:tc>
          <w:tcPr>
            <w:tcW w:w="5698" w:type="dxa"/>
            <w:tcBorders>
              <w:top w:val="single" w:sz="4" w:space="0" w:color="auto"/>
              <w:left w:val="single" w:sz="4" w:space="0" w:color="auto"/>
              <w:bottom w:val="single" w:sz="4" w:space="0" w:color="auto"/>
              <w:right w:val="single" w:sz="4" w:space="0" w:color="auto"/>
            </w:tcBorders>
            <w:hideMark/>
          </w:tcPr>
          <w:p w14:paraId="7AA525DD" w14:textId="6052BA5A" w:rsidR="002A6770" w:rsidRPr="00BD2B3F" w:rsidRDefault="002A6770" w:rsidP="00D3366A">
            <w:pPr>
              <w:spacing w:after="200" w:line="276" w:lineRule="auto"/>
              <w:rPr>
                <w:rFonts w:cstheme="minorHAnsi"/>
                <w:lang w:val="fr-FR"/>
              </w:rPr>
            </w:pPr>
          </w:p>
        </w:tc>
      </w:tr>
      <w:tr w:rsidR="002A6770" w:rsidRPr="00BD2B3F" w14:paraId="54510F9D" w14:textId="77777777" w:rsidTr="00D3366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74B2F8" w14:textId="53FC060D" w:rsidR="002A6770" w:rsidRPr="00BD2B3F" w:rsidRDefault="002A6770" w:rsidP="00D3366A">
            <w:pPr>
              <w:rPr>
                <w:rFonts w:cstheme="minorHAnsi"/>
                <w:lang w:val="fr-FR" w:eastAsia="fr-FR"/>
              </w:rPr>
            </w:pPr>
            <w:r w:rsidRPr="00BD2B3F">
              <w:rPr>
                <w:rFonts w:cstheme="minorHAnsi"/>
                <w:lang w:val="fr-FR" w:eastAsia="fr-FR"/>
              </w:rPr>
              <w:t xml:space="preserve">Période de mise en </w:t>
            </w:r>
            <w:r w:rsidRPr="00BD2B3F">
              <w:rPr>
                <w:rFonts w:cstheme="minorHAnsi"/>
                <w:lang w:val="fr-FR" w:eastAsia="fr-FR"/>
              </w:rPr>
              <w:t>œuvre</w:t>
            </w:r>
            <w:r w:rsidRPr="00BD2B3F">
              <w:rPr>
                <w:rFonts w:cstheme="minorHAnsi"/>
                <w:lang w:val="fr-FR" w:eastAsia="fr-FR"/>
              </w:rPr>
              <w:t> :</w:t>
            </w:r>
          </w:p>
        </w:tc>
        <w:tc>
          <w:tcPr>
            <w:tcW w:w="5698" w:type="dxa"/>
            <w:tcBorders>
              <w:top w:val="single" w:sz="4" w:space="0" w:color="auto"/>
              <w:left w:val="single" w:sz="4" w:space="0" w:color="auto"/>
              <w:bottom w:val="single" w:sz="4" w:space="0" w:color="auto"/>
              <w:right w:val="single" w:sz="4" w:space="0" w:color="auto"/>
            </w:tcBorders>
            <w:hideMark/>
          </w:tcPr>
          <w:p w14:paraId="43028FBD" w14:textId="60C40335" w:rsidR="002A6770" w:rsidRPr="00BD2B3F" w:rsidRDefault="002A6770" w:rsidP="00D3366A">
            <w:pPr>
              <w:rPr>
                <w:rFonts w:cstheme="minorHAnsi"/>
                <w:i/>
                <w:lang w:val="fr-FR" w:eastAsia="fr-FR"/>
              </w:rPr>
            </w:pPr>
          </w:p>
        </w:tc>
      </w:tr>
    </w:tbl>
    <w:p w14:paraId="48D7F48A" w14:textId="77777777" w:rsidR="00CB1059" w:rsidRPr="00BD2B3F" w:rsidRDefault="00CB1059" w:rsidP="00CB1059">
      <w:pPr>
        <w:spacing w:line="240" w:lineRule="auto"/>
        <w:rPr>
          <w:rFonts w:cstheme="minorHAnsi"/>
          <w:lang w:val="fr-FR"/>
        </w:rPr>
      </w:pPr>
    </w:p>
    <w:p w14:paraId="7B203717" w14:textId="5F64D1B4" w:rsidR="00CB1059" w:rsidRPr="00BD2B3F" w:rsidRDefault="00BD2B3F" w:rsidP="00CB1059">
      <w:pPr>
        <w:pStyle w:val="NoSpacing"/>
        <w:rPr>
          <w:rFonts w:cstheme="minorHAnsi"/>
          <w:lang w:val="fr-FR"/>
        </w:rPr>
      </w:pPr>
      <w:r w:rsidRPr="00BD2B3F">
        <w:rPr>
          <w:rFonts w:cstheme="minorHAnsi"/>
          <w:b/>
          <w:bCs/>
          <w:lang w:val="fr-FR"/>
        </w:rPr>
        <w:t>But</w:t>
      </w:r>
      <w:r w:rsidR="00CB1059" w:rsidRPr="00BD2B3F">
        <w:rPr>
          <w:rFonts w:cstheme="minorHAnsi"/>
          <w:lang w:val="fr-FR"/>
        </w:rPr>
        <w:t xml:space="preserve">: </w:t>
      </w:r>
    </w:p>
    <w:p w14:paraId="5E6F5E63" w14:textId="77777777" w:rsidR="00CB1059" w:rsidRPr="00BD2B3F" w:rsidRDefault="00CB1059" w:rsidP="00CB1059">
      <w:pPr>
        <w:pStyle w:val="NoSpacing"/>
        <w:rPr>
          <w:rFonts w:cstheme="minorHAnsi"/>
          <w:lang w:val="fr-FR"/>
        </w:rPr>
      </w:pPr>
    </w:p>
    <w:p w14:paraId="3F17957C" w14:textId="18279788" w:rsidR="00CB1059" w:rsidRPr="00BD2B3F" w:rsidRDefault="00BD2B3F" w:rsidP="00CB1059">
      <w:pPr>
        <w:pStyle w:val="NoSpacing"/>
        <w:rPr>
          <w:rFonts w:cstheme="minorHAnsi"/>
          <w:lang w:val="fr-FR"/>
        </w:rPr>
      </w:pPr>
      <w:r w:rsidRPr="00BD2B3F">
        <w:rPr>
          <w:rFonts w:cstheme="minorHAnsi"/>
          <w:b/>
          <w:bCs/>
          <w:lang w:val="fr-FR"/>
        </w:rPr>
        <w:t>Point de départ</w:t>
      </w:r>
      <w:r w:rsidR="00CB1059" w:rsidRPr="00BD2B3F">
        <w:rPr>
          <w:rFonts w:cstheme="minorHAnsi"/>
          <w:lang w:val="fr-FR"/>
        </w:rPr>
        <w:t xml:space="preserve">: </w:t>
      </w:r>
    </w:p>
    <w:p w14:paraId="3F869136" w14:textId="77777777" w:rsidR="00CB1059" w:rsidRPr="00BD2B3F" w:rsidRDefault="00CB1059" w:rsidP="00CB1059">
      <w:pPr>
        <w:pStyle w:val="NoSpacing"/>
        <w:rPr>
          <w:rFonts w:cstheme="minorHAnsi"/>
          <w:lang w:val="fr-FR"/>
        </w:rPr>
      </w:pPr>
    </w:p>
    <w:p w14:paraId="4AF7BF49" w14:textId="71171D12" w:rsidR="00CB1059" w:rsidRPr="00BD2B3F" w:rsidRDefault="00CB1059" w:rsidP="00CB1059">
      <w:pPr>
        <w:pStyle w:val="NoSpacing"/>
        <w:rPr>
          <w:rFonts w:cstheme="minorHAnsi"/>
          <w:lang w:val="fr-FR"/>
        </w:rPr>
      </w:pPr>
      <w:r w:rsidRPr="00BD2B3F">
        <w:rPr>
          <w:rFonts w:cstheme="minorHAnsi"/>
          <w:b/>
          <w:bCs/>
          <w:lang w:val="fr-FR"/>
        </w:rPr>
        <w:t>Process</w:t>
      </w:r>
      <w:r w:rsidR="00BD2B3F" w:rsidRPr="00BD2B3F">
        <w:rPr>
          <w:rFonts w:cstheme="minorHAnsi"/>
          <w:b/>
          <w:bCs/>
          <w:lang w:val="fr-FR"/>
        </w:rPr>
        <w:t>us</w:t>
      </w:r>
      <w:r w:rsidRPr="00BD2B3F">
        <w:rPr>
          <w:rFonts w:cstheme="minorHAnsi"/>
          <w:lang w:val="fr-FR"/>
        </w:rPr>
        <w:t xml:space="preserve">: </w:t>
      </w:r>
    </w:p>
    <w:p w14:paraId="41D561FD" w14:textId="77777777" w:rsidR="00CB1059" w:rsidRPr="00BD2B3F" w:rsidRDefault="00CB1059" w:rsidP="00CB1059">
      <w:pPr>
        <w:pStyle w:val="NoSpacing"/>
        <w:rPr>
          <w:rFonts w:cstheme="minorHAnsi"/>
          <w:lang w:val="fr-FR"/>
        </w:rPr>
      </w:pPr>
    </w:p>
    <w:p w14:paraId="34412278" w14:textId="77777777" w:rsidR="00CB1059" w:rsidRPr="00BD2B3F" w:rsidRDefault="00CB1059" w:rsidP="00CB1059">
      <w:pPr>
        <w:pStyle w:val="NoSpacing"/>
        <w:rPr>
          <w:rFonts w:cstheme="minorHAnsi"/>
          <w:lang w:val="fr-FR"/>
        </w:rPr>
      </w:pPr>
      <w:r w:rsidRPr="00BD2B3F">
        <w:rPr>
          <w:rFonts w:cstheme="minorHAnsi"/>
          <w:b/>
          <w:bCs/>
          <w:lang w:val="fr-FR"/>
        </w:rPr>
        <w:t>Impact</w:t>
      </w:r>
      <w:r w:rsidRPr="00BD2B3F">
        <w:rPr>
          <w:rFonts w:cstheme="minorHAnsi"/>
          <w:lang w:val="fr-FR"/>
        </w:rPr>
        <w:t xml:space="preserve">: </w:t>
      </w:r>
    </w:p>
    <w:p w14:paraId="00F94BDC" w14:textId="77777777" w:rsidR="00CB1059" w:rsidRPr="00BD2B3F" w:rsidRDefault="00CB1059" w:rsidP="00CB1059">
      <w:pPr>
        <w:pStyle w:val="NoSpacing"/>
        <w:rPr>
          <w:rFonts w:cstheme="minorHAnsi"/>
          <w:lang w:val="fr-FR"/>
        </w:rPr>
      </w:pPr>
    </w:p>
    <w:p w14:paraId="6262A265" w14:textId="3BBE0BA0" w:rsidR="00CB1059" w:rsidRPr="00BD2B3F" w:rsidRDefault="00BD2B3F" w:rsidP="00CB1059">
      <w:pPr>
        <w:pStyle w:val="NoSpacing"/>
        <w:rPr>
          <w:rFonts w:cstheme="minorHAnsi"/>
          <w:lang w:val="fr-FR"/>
        </w:rPr>
      </w:pPr>
      <w:r w:rsidRPr="00BD2B3F">
        <w:rPr>
          <w:rFonts w:cstheme="minorHAnsi"/>
          <w:b/>
          <w:bCs/>
          <w:lang w:val="fr-FR"/>
        </w:rPr>
        <w:t>Principaux documents de référence:</w:t>
      </w:r>
      <w:r w:rsidR="00CB1059" w:rsidRPr="00BD2B3F">
        <w:rPr>
          <w:rFonts w:cstheme="minorHAnsi"/>
          <w:lang w:val="fr-FR"/>
        </w:rPr>
        <w:t xml:space="preserve"> </w:t>
      </w:r>
    </w:p>
    <w:sectPr w:rsidR="00CB1059" w:rsidRPr="00BD2B3F" w:rsidSect="00055EC3">
      <w:headerReference w:type="default" r:id="rId8"/>
      <w:footerReference w:type="default" r:id="rId9"/>
      <w:headerReference w:type="first" r:id="rId10"/>
      <w:footerReference w:type="first" r:id="rId11"/>
      <w:pgSz w:w="11906" w:h="16838"/>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30579" w14:textId="77777777" w:rsidR="00055EC3" w:rsidRDefault="00055EC3" w:rsidP="00DF20DC">
      <w:pPr>
        <w:spacing w:after="0" w:line="240" w:lineRule="auto"/>
      </w:pPr>
      <w:r>
        <w:separator/>
      </w:r>
    </w:p>
  </w:endnote>
  <w:endnote w:type="continuationSeparator" w:id="0">
    <w:p w14:paraId="59C99DD7" w14:textId="77777777" w:rsidR="00055EC3" w:rsidRDefault="00055EC3" w:rsidP="00DF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193258"/>
      <w:docPartObj>
        <w:docPartGallery w:val="Page Numbers (Bottom of Page)"/>
        <w:docPartUnique/>
      </w:docPartObj>
    </w:sdtPr>
    <w:sdtContent>
      <w:p w14:paraId="7A994356" w14:textId="319692A4" w:rsidR="00BD2B3F" w:rsidRDefault="00BD2B3F">
        <w:pPr>
          <w:pStyle w:val="Footer"/>
          <w:jc w:val="center"/>
        </w:pPr>
        <w:r>
          <w:fldChar w:fldCharType="begin"/>
        </w:r>
        <w:r>
          <w:instrText>PAGE   \* MERGEFORMAT</w:instrText>
        </w:r>
        <w:r>
          <w:fldChar w:fldCharType="separate"/>
        </w:r>
        <w:r>
          <w:rPr>
            <w:lang w:val="fr-FR"/>
          </w:rPr>
          <w:t>2</w:t>
        </w:r>
        <w:r>
          <w:fldChar w:fldCharType="end"/>
        </w:r>
      </w:p>
    </w:sdtContent>
  </w:sdt>
  <w:p w14:paraId="0DC09F2E" w14:textId="77777777" w:rsidR="00BD2B3F" w:rsidRDefault="00BD2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18604"/>
      <w:docPartObj>
        <w:docPartGallery w:val="Page Numbers (Bottom of Page)"/>
        <w:docPartUnique/>
      </w:docPartObj>
    </w:sdtPr>
    <w:sdtContent>
      <w:p w14:paraId="30B4510E" w14:textId="71D150F3" w:rsidR="00BD2B3F" w:rsidRDefault="00BD2B3F">
        <w:pPr>
          <w:pStyle w:val="Footer"/>
          <w:jc w:val="center"/>
        </w:pPr>
        <w:r>
          <w:fldChar w:fldCharType="begin"/>
        </w:r>
        <w:r>
          <w:instrText>PAGE   \* MERGEFORMAT</w:instrText>
        </w:r>
        <w:r>
          <w:fldChar w:fldCharType="separate"/>
        </w:r>
        <w:r>
          <w:rPr>
            <w:lang w:val="fr-FR"/>
          </w:rPr>
          <w:t>2</w:t>
        </w:r>
        <w:r>
          <w:fldChar w:fldCharType="end"/>
        </w:r>
      </w:p>
    </w:sdtContent>
  </w:sdt>
  <w:p w14:paraId="120FA06A" w14:textId="77777777" w:rsidR="00BD2B3F" w:rsidRDefault="00BD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ED9E" w14:textId="77777777" w:rsidR="00055EC3" w:rsidRDefault="00055EC3" w:rsidP="00DF20DC">
      <w:pPr>
        <w:spacing w:after="0" w:line="240" w:lineRule="auto"/>
      </w:pPr>
      <w:r>
        <w:separator/>
      </w:r>
    </w:p>
  </w:footnote>
  <w:footnote w:type="continuationSeparator" w:id="0">
    <w:p w14:paraId="64A9FCD4" w14:textId="77777777" w:rsidR="00055EC3" w:rsidRDefault="00055EC3" w:rsidP="00DF2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3"/>
      <w:gridCol w:w="3543"/>
    </w:tblGrid>
    <w:tr w:rsidR="00DF20DC" w14:paraId="7E180FFC" w14:textId="77777777" w:rsidTr="008B4752">
      <w:tc>
        <w:tcPr>
          <w:tcW w:w="5813" w:type="dxa"/>
        </w:tcPr>
        <w:p w14:paraId="28764EA1" w14:textId="315F0316" w:rsidR="00DF20DC" w:rsidRDefault="00DF20DC" w:rsidP="00DF20DC">
          <w:pPr>
            <w:pStyle w:val="Header"/>
            <w:ind w:right="459"/>
          </w:pPr>
        </w:p>
        <w:p w14:paraId="5DB333C7" w14:textId="77777777" w:rsidR="00DF20DC" w:rsidRDefault="00DF20DC" w:rsidP="00DF20DC">
          <w:pPr>
            <w:pStyle w:val="Header"/>
          </w:pPr>
        </w:p>
      </w:tc>
      <w:tc>
        <w:tcPr>
          <w:tcW w:w="3543" w:type="dxa"/>
        </w:tcPr>
        <w:p w14:paraId="3ED64976" w14:textId="77777777" w:rsidR="00DF20DC" w:rsidRDefault="00DF20DC" w:rsidP="00DF20DC">
          <w:pPr>
            <w:pStyle w:val="Header"/>
            <w:ind w:left="-108"/>
          </w:pPr>
        </w:p>
        <w:p w14:paraId="3DCD0A7C" w14:textId="77777777" w:rsidR="00DF20DC" w:rsidRPr="00A106C5" w:rsidRDefault="00DF20DC" w:rsidP="00DF20DC">
          <w:pPr>
            <w:ind w:left="-250"/>
          </w:pPr>
        </w:p>
      </w:tc>
    </w:tr>
  </w:tbl>
  <w:p w14:paraId="7C2A27AF" w14:textId="77777777" w:rsidR="00DF20DC" w:rsidRDefault="00DF2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179D" w14:textId="255E8611" w:rsidR="00055EC3" w:rsidRDefault="00BD2B3F">
    <w:pPr>
      <w:pStyle w:val="Header"/>
    </w:pPr>
    <w:r w:rsidRPr="00BD2B3F">
      <w:drawing>
        <wp:anchor distT="0" distB="0" distL="114300" distR="114300" simplePos="0" relativeHeight="251658240" behindDoc="0" locked="0" layoutInCell="1" allowOverlap="1" wp14:anchorId="57273B2F" wp14:editId="10DD00AB">
          <wp:simplePos x="0" y="0"/>
          <wp:positionH relativeFrom="page">
            <wp:align>left</wp:align>
          </wp:positionH>
          <wp:positionV relativeFrom="paragraph">
            <wp:posOffset>-450215</wp:posOffset>
          </wp:positionV>
          <wp:extent cx="7656195" cy="1289050"/>
          <wp:effectExtent l="0" t="0" r="1905"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6195" cy="1289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F17"/>
    <w:multiLevelType w:val="hybridMultilevel"/>
    <w:tmpl w:val="339EC0A0"/>
    <w:lvl w:ilvl="0" w:tplc="F56247BC">
      <w:start w:val="1"/>
      <w:numFmt w:val="bullet"/>
      <w:lvlText w:val=""/>
      <w:lvlJc w:val="left"/>
      <w:pPr>
        <w:ind w:left="720" w:hanging="360"/>
      </w:pPr>
      <w:rPr>
        <w:rFonts w:ascii="Wingdings" w:hAnsi="Wingdings" w:hint="default"/>
        <w:b/>
        <w:i w:val="0"/>
        <w:color w:val="C72D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5B4"/>
    <w:multiLevelType w:val="hybridMultilevel"/>
    <w:tmpl w:val="F8D0C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31684"/>
    <w:multiLevelType w:val="hybridMultilevel"/>
    <w:tmpl w:val="68806F1A"/>
    <w:lvl w:ilvl="0" w:tplc="9738CDB8">
      <w:start w:val="1"/>
      <w:numFmt w:val="decimal"/>
      <w:lvlText w:val="%1."/>
      <w:lvlJc w:val="left"/>
      <w:pPr>
        <w:ind w:left="876" w:hanging="516"/>
      </w:pPr>
      <w:rPr>
        <w:rFonts w:hint="default"/>
        <w:b w:val="0"/>
        <w:bCs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9A394A"/>
    <w:multiLevelType w:val="multilevel"/>
    <w:tmpl w:val="1476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C67BA"/>
    <w:multiLevelType w:val="hybridMultilevel"/>
    <w:tmpl w:val="D49C21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C3"/>
    <w:rsid w:val="00055EC3"/>
    <w:rsid w:val="000814F0"/>
    <w:rsid w:val="002A6770"/>
    <w:rsid w:val="003D532A"/>
    <w:rsid w:val="003F013D"/>
    <w:rsid w:val="00454187"/>
    <w:rsid w:val="006E67F3"/>
    <w:rsid w:val="00833DFB"/>
    <w:rsid w:val="00950E0B"/>
    <w:rsid w:val="00A4591D"/>
    <w:rsid w:val="00AC22AF"/>
    <w:rsid w:val="00BD2B3F"/>
    <w:rsid w:val="00CB1059"/>
    <w:rsid w:val="00CD1165"/>
    <w:rsid w:val="00CD49A2"/>
    <w:rsid w:val="00DF20DC"/>
    <w:rsid w:val="00FD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FA6A"/>
  <w15:chartTrackingRefBased/>
  <w15:docId w15:val="{89EA9EA6-C5C3-42F2-99C4-9AC336BB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DC"/>
    <w:pPr>
      <w:spacing w:after="120" w:line="264" w:lineRule="auto"/>
      <w:jc w:val="both"/>
    </w:pPr>
  </w:style>
  <w:style w:type="paragraph" w:styleId="Heading1">
    <w:name w:val="heading 1"/>
    <w:basedOn w:val="Normal"/>
    <w:next w:val="Normal"/>
    <w:link w:val="Heading1Char"/>
    <w:uiPriority w:val="9"/>
    <w:qFormat/>
    <w:rsid w:val="00DF20DC"/>
    <w:pPr>
      <w:keepNext/>
      <w:keepLines/>
      <w:spacing w:before="240" w:after="240"/>
      <w:outlineLvl w:val="0"/>
    </w:pPr>
    <w:rPr>
      <w:rFonts w:eastAsiaTheme="majorEastAsia" w:cstheme="majorBidi"/>
      <w:b/>
      <w:color w:val="20478A"/>
      <w:sz w:val="26"/>
      <w:szCs w:val="32"/>
    </w:rPr>
  </w:style>
  <w:style w:type="paragraph" w:styleId="Heading2">
    <w:name w:val="heading 2"/>
    <w:basedOn w:val="Normal"/>
    <w:next w:val="Normal"/>
    <w:link w:val="Heading2Char"/>
    <w:uiPriority w:val="9"/>
    <w:unhideWhenUsed/>
    <w:qFormat/>
    <w:rsid w:val="00DF20DC"/>
    <w:pPr>
      <w:keepNext/>
      <w:keepLines/>
      <w:spacing w:before="160" w:after="160"/>
      <w:outlineLvl w:val="1"/>
    </w:pPr>
    <w:rPr>
      <w:rFonts w:eastAsiaTheme="majorEastAsia" w:cstheme="majorBidi"/>
      <w:b/>
      <w:color w:val="20478A"/>
      <w:szCs w:val="26"/>
    </w:rPr>
  </w:style>
  <w:style w:type="paragraph" w:styleId="Heading3">
    <w:name w:val="heading 3"/>
    <w:basedOn w:val="Normal"/>
    <w:next w:val="Normal"/>
    <w:link w:val="Heading3Char"/>
    <w:uiPriority w:val="9"/>
    <w:unhideWhenUsed/>
    <w:qFormat/>
    <w:rsid w:val="00DF20DC"/>
    <w:pPr>
      <w:keepNext/>
      <w:keepLines/>
      <w:spacing w:before="120"/>
      <w:outlineLvl w:val="2"/>
    </w:pPr>
    <w:rPr>
      <w:rFonts w:eastAsiaTheme="majorEastAsia" w:cstheme="majorBidi"/>
      <w:b/>
      <w:i/>
      <w:color w:val="20478A"/>
      <w:szCs w:val="24"/>
    </w:rPr>
  </w:style>
  <w:style w:type="paragraph" w:styleId="Heading4">
    <w:name w:val="heading 4"/>
    <w:basedOn w:val="Normal"/>
    <w:next w:val="Normal"/>
    <w:link w:val="Heading4Char"/>
    <w:uiPriority w:val="9"/>
    <w:unhideWhenUsed/>
    <w:qFormat/>
    <w:rsid w:val="00DF20DC"/>
    <w:pPr>
      <w:keepNext/>
      <w:keepLines/>
      <w:spacing w:before="120"/>
      <w:outlineLvl w:val="3"/>
    </w:pPr>
    <w:rPr>
      <w:rFonts w:eastAsiaTheme="majorEastAsia" w:cstheme="majorBidi"/>
      <w:b/>
      <w:i/>
      <w:iCs/>
      <w:color w:val="20478A"/>
      <w:u w:val="single"/>
    </w:rPr>
  </w:style>
  <w:style w:type="paragraph" w:styleId="Heading5">
    <w:name w:val="heading 5"/>
    <w:basedOn w:val="Normal"/>
    <w:next w:val="Normal"/>
    <w:link w:val="Heading5Char"/>
    <w:uiPriority w:val="9"/>
    <w:unhideWhenUsed/>
    <w:qFormat/>
    <w:rsid w:val="00DF20DC"/>
    <w:pPr>
      <w:shd w:val="clear" w:color="auto" w:fill="DBE79D"/>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0DC"/>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DF20DC"/>
  </w:style>
  <w:style w:type="paragraph" w:styleId="Footer">
    <w:name w:val="footer"/>
    <w:basedOn w:val="Normal"/>
    <w:link w:val="FooterChar"/>
    <w:uiPriority w:val="99"/>
    <w:unhideWhenUsed/>
    <w:rsid w:val="00DF2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0DC"/>
  </w:style>
  <w:style w:type="table" w:styleId="TableGrid">
    <w:name w:val="Table Grid"/>
    <w:basedOn w:val="TableNormal"/>
    <w:uiPriority w:val="59"/>
    <w:rsid w:val="00DF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20DC"/>
    <w:rPr>
      <w:rFonts w:eastAsiaTheme="majorEastAsia" w:cstheme="majorBidi"/>
      <w:b/>
      <w:color w:val="20478A"/>
      <w:sz w:val="26"/>
      <w:szCs w:val="32"/>
    </w:rPr>
  </w:style>
  <w:style w:type="character" w:customStyle="1" w:styleId="Heading2Char">
    <w:name w:val="Heading 2 Char"/>
    <w:basedOn w:val="DefaultParagraphFont"/>
    <w:link w:val="Heading2"/>
    <w:uiPriority w:val="9"/>
    <w:rsid w:val="00DF20DC"/>
    <w:rPr>
      <w:rFonts w:eastAsiaTheme="majorEastAsia" w:cstheme="majorBidi"/>
      <w:b/>
      <w:color w:val="20478A"/>
      <w:szCs w:val="26"/>
    </w:rPr>
  </w:style>
  <w:style w:type="paragraph" w:styleId="ListParagraph">
    <w:name w:val="List Paragraph"/>
    <w:basedOn w:val="Normal"/>
    <w:uiPriority w:val="34"/>
    <w:qFormat/>
    <w:rsid w:val="00DF20DC"/>
    <w:pPr>
      <w:ind w:left="720"/>
      <w:contextualSpacing/>
    </w:pPr>
  </w:style>
  <w:style w:type="character" w:customStyle="1" w:styleId="Heading3Char">
    <w:name w:val="Heading 3 Char"/>
    <w:basedOn w:val="DefaultParagraphFont"/>
    <w:link w:val="Heading3"/>
    <w:uiPriority w:val="9"/>
    <w:rsid w:val="00DF20DC"/>
    <w:rPr>
      <w:rFonts w:eastAsiaTheme="majorEastAsia" w:cstheme="majorBidi"/>
      <w:b/>
      <w:i/>
      <w:color w:val="20478A"/>
      <w:szCs w:val="24"/>
    </w:rPr>
  </w:style>
  <w:style w:type="character" w:customStyle="1" w:styleId="Heading4Char">
    <w:name w:val="Heading 4 Char"/>
    <w:basedOn w:val="DefaultParagraphFont"/>
    <w:link w:val="Heading4"/>
    <w:uiPriority w:val="9"/>
    <w:rsid w:val="00DF20DC"/>
    <w:rPr>
      <w:rFonts w:eastAsiaTheme="majorEastAsia" w:cstheme="majorBidi"/>
      <w:b/>
      <w:i/>
      <w:iCs/>
      <w:color w:val="20478A"/>
      <w:u w:val="single"/>
    </w:rPr>
  </w:style>
  <w:style w:type="character" w:customStyle="1" w:styleId="Heading5Char">
    <w:name w:val="Heading 5 Char"/>
    <w:basedOn w:val="DefaultParagraphFont"/>
    <w:link w:val="Heading5"/>
    <w:uiPriority w:val="9"/>
    <w:rsid w:val="00DF20DC"/>
    <w:rPr>
      <w:rFonts w:eastAsiaTheme="majorEastAsia" w:cstheme="majorBidi"/>
      <w:shd w:val="clear" w:color="auto" w:fill="DBE79D"/>
    </w:rPr>
  </w:style>
  <w:style w:type="paragraph" w:styleId="Title">
    <w:name w:val="Title"/>
    <w:basedOn w:val="Normal"/>
    <w:next w:val="Normal"/>
    <w:link w:val="TitleChar"/>
    <w:uiPriority w:val="10"/>
    <w:qFormat/>
    <w:rsid w:val="00055EC3"/>
    <w:pPr>
      <w:spacing w:before="240" w:after="60" w:line="276" w:lineRule="auto"/>
      <w:jc w:val="center"/>
      <w:outlineLvl w:val="0"/>
    </w:pPr>
    <w:rPr>
      <w:rFonts w:ascii="Cambria" w:eastAsia="Times New Roman" w:hAnsi="Cambria" w:cs="Times New Roman"/>
      <w:b/>
      <w:bCs/>
      <w:kern w:val="28"/>
      <w:sz w:val="32"/>
      <w:szCs w:val="32"/>
      <w:lang w:val="it-IT"/>
    </w:rPr>
  </w:style>
  <w:style w:type="character" w:customStyle="1" w:styleId="TitleChar">
    <w:name w:val="Title Char"/>
    <w:basedOn w:val="DefaultParagraphFont"/>
    <w:link w:val="Title"/>
    <w:uiPriority w:val="10"/>
    <w:rsid w:val="00055EC3"/>
    <w:rPr>
      <w:rFonts w:ascii="Cambria" w:eastAsia="Times New Roman" w:hAnsi="Cambria" w:cs="Times New Roman"/>
      <w:b/>
      <w:bCs/>
      <w:kern w:val="28"/>
      <w:sz w:val="32"/>
      <w:szCs w:val="32"/>
      <w:lang w:val="it-IT"/>
    </w:rPr>
  </w:style>
  <w:style w:type="paragraph" w:styleId="TOCHeading">
    <w:name w:val="TOC Heading"/>
    <w:basedOn w:val="Heading1"/>
    <w:next w:val="Normal"/>
    <w:uiPriority w:val="39"/>
    <w:unhideWhenUsed/>
    <w:qFormat/>
    <w:rsid w:val="00CB1059"/>
    <w:pPr>
      <w:spacing w:after="0" w:line="259" w:lineRule="auto"/>
      <w:jc w:val="left"/>
      <w:outlineLvl w:val="9"/>
    </w:pPr>
    <w:rPr>
      <w:rFonts w:asciiTheme="majorHAnsi" w:hAnsiTheme="majorHAnsi"/>
      <w:b w:val="0"/>
      <w:color w:val="2F5496" w:themeColor="accent1" w:themeShade="BF"/>
      <w:sz w:val="32"/>
      <w:lang w:val="fr-FR" w:eastAsia="fr-FR"/>
    </w:rPr>
  </w:style>
  <w:style w:type="paragraph" w:styleId="TOC1">
    <w:name w:val="toc 1"/>
    <w:basedOn w:val="Normal"/>
    <w:next w:val="Normal"/>
    <w:autoRedefine/>
    <w:uiPriority w:val="39"/>
    <w:unhideWhenUsed/>
    <w:rsid w:val="00CB1059"/>
    <w:pPr>
      <w:spacing w:after="100"/>
    </w:pPr>
  </w:style>
  <w:style w:type="paragraph" w:styleId="TOC2">
    <w:name w:val="toc 2"/>
    <w:basedOn w:val="Normal"/>
    <w:next w:val="Normal"/>
    <w:autoRedefine/>
    <w:uiPriority w:val="39"/>
    <w:unhideWhenUsed/>
    <w:rsid w:val="00CB1059"/>
    <w:pPr>
      <w:spacing w:after="100"/>
      <w:ind w:left="220"/>
    </w:pPr>
  </w:style>
  <w:style w:type="paragraph" w:styleId="TOC3">
    <w:name w:val="toc 3"/>
    <w:basedOn w:val="Normal"/>
    <w:next w:val="Normal"/>
    <w:autoRedefine/>
    <w:uiPriority w:val="39"/>
    <w:unhideWhenUsed/>
    <w:rsid w:val="00CB1059"/>
    <w:pPr>
      <w:spacing w:after="100"/>
      <w:ind w:left="440"/>
    </w:pPr>
  </w:style>
  <w:style w:type="character" w:styleId="Hyperlink">
    <w:name w:val="Hyperlink"/>
    <w:basedOn w:val="DefaultParagraphFont"/>
    <w:uiPriority w:val="99"/>
    <w:unhideWhenUsed/>
    <w:rsid w:val="00CB1059"/>
    <w:rPr>
      <w:color w:val="0563C1" w:themeColor="hyperlink"/>
      <w:u w:val="single"/>
    </w:rPr>
  </w:style>
  <w:style w:type="paragraph" w:styleId="NoSpacing">
    <w:name w:val="No Spacing"/>
    <w:uiPriority w:val="1"/>
    <w:qFormat/>
    <w:rsid w:val="00CB1059"/>
    <w:pPr>
      <w:spacing w:after="0" w:line="240" w:lineRule="auto"/>
      <w:jc w:val="both"/>
    </w:pPr>
  </w:style>
  <w:style w:type="character" w:styleId="UnresolvedMention">
    <w:name w:val="Unresolved Mention"/>
    <w:basedOn w:val="DefaultParagraphFont"/>
    <w:uiPriority w:val="99"/>
    <w:semiHidden/>
    <w:unhideWhenUsed/>
    <w:rsid w:val="00CB1059"/>
    <w:rPr>
      <w:color w:val="605E5C"/>
      <w:shd w:val="clear" w:color="auto" w:fill="E1DFDD"/>
    </w:rPr>
  </w:style>
  <w:style w:type="character" w:styleId="FollowedHyperlink">
    <w:name w:val="FollowedHyperlink"/>
    <w:basedOn w:val="DefaultParagraphFont"/>
    <w:uiPriority w:val="99"/>
    <w:semiHidden/>
    <w:unhideWhenUsed/>
    <w:rsid w:val="00BD2B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ifo.no/wp-content/uploads/2021/02/VA-rapport-2021-09-Strukturell-rasime-i-Bergen-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ESSANDRO\Documents\Mod&#232;les%20Office%20personnalis&#233;s\Standard%20ICC%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 ICC document template</Template>
  <TotalTime>2</TotalTime>
  <Pages>8</Pages>
  <Words>2518</Words>
  <Characters>13853</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D'ALESSANDRO Ivana</dc:creator>
  <cp:keywords/>
  <dc:description/>
  <cp:lastModifiedBy>WOLF Catherine</cp:lastModifiedBy>
  <cp:revision>2</cp:revision>
  <dcterms:created xsi:type="dcterms:W3CDTF">2023-01-11T14:08:00Z</dcterms:created>
  <dcterms:modified xsi:type="dcterms:W3CDTF">2023-01-11T14:08:00Z</dcterms:modified>
</cp:coreProperties>
</file>