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C5094" w14:textId="2AF7196E" w:rsidR="00D55428" w:rsidRDefault="00D55428">
      <w:pPr>
        <w:pStyle w:val="BodyText"/>
        <w:ind w:left="4733"/>
        <w:rPr>
          <w:rFonts w:ascii="Times New Roman"/>
          <w:sz w:val="20"/>
        </w:rPr>
      </w:pPr>
    </w:p>
    <w:p w14:paraId="3F6C1881" w14:textId="77777777" w:rsidR="00D55428" w:rsidRDefault="00D55428">
      <w:pPr>
        <w:pStyle w:val="BodyText"/>
        <w:rPr>
          <w:rFonts w:ascii="Times New Roman"/>
          <w:sz w:val="20"/>
        </w:rPr>
      </w:pPr>
    </w:p>
    <w:p w14:paraId="30F4E56E" w14:textId="77777777" w:rsidR="00D55428" w:rsidRDefault="00D55428">
      <w:pPr>
        <w:pStyle w:val="BodyText"/>
        <w:spacing w:before="7"/>
        <w:rPr>
          <w:rFonts w:ascii="Times New Roman"/>
          <w:sz w:val="19"/>
        </w:rPr>
      </w:pPr>
    </w:p>
    <w:p w14:paraId="683F7341" w14:textId="3FD750D2" w:rsidR="00A74989" w:rsidRDefault="00673B0D">
      <w:pPr>
        <w:spacing w:before="94"/>
        <w:ind w:right="115"/>
        <w:jc w:val="right"/>
        <w:rPr>
          <w:sz w:val="18"/>
        </w:rPr>
      </w:pPr>
      <w:r>
        <w:rPr>
          <w:sz w:val="18"/>
        </w:rPr>
        <w:t>CRI(2021)18</w:t>
      </w:r>
      <w:r w:rsidR="00A74989">
        <w:rPr>
          <w:sz w:val="18"/>
        </w:rPr>
        <w:br/>
        <w:t>Version en langue nationale</w:t>
      </w:r>
      <w:r w:rsidR="00A74989">
        <w:rPr>
          <w:sz w:val="18"/>
        </w:rPr>
        <w:br/>
        <w:t>Version in national langage</w:t>
      </w:r>
    </w:p>
    <w:p w14:paraId="660F8C0F" w14:textId="77777777" w:rsidR="00D55428" w:rsidRDefault="00D55428">
      <w:pPr>
        <w:pStyle w:val="BodyText"/>
        <w:rPr>
          <w:sz w:val="20"/>
        </w:rPr>
      </w:pPr>
    </w:p>
    <w:p w14:paraId="7D7D09AA" w14:textId="77777777" w:rsidR="00D55428" w:rsidRDefault="00D55428">
      <w:pPr>
        <w:pStyle w:val="BodyText"/>
        <w:rPr>
          <w:sz w:val="20"/>
        </w:rPr>
      </w:pPr>
    </w:p>
    <w:p w14:paraId="40E8C661" w14:textId="77777777" w:rsidR="00D55428" w:rsidRDefault="00D55428">
      <w:pPr>
        <w:pStyle w:val="BodyText"/>
        <w:rPr>
          <w:sz w:val="20"/>
        </w:rPr>
      </w:pPr>
    </w:p>
    <w:p w14:paraId="3D0F4863" w14:textId="77777777" w:rsidR="00D55428" w:rsidRDefault="00D55428">
      <w:pPr>
        <w:pStyle w:val="BodyText"/>
        <w:rPr>
          <w:sz w:val="20"/>
        </w:rPr>
      </w:pPr>
    </w:p>
    <w:p w14:paraId="0E58CCF1" w14:textId="77777777" w:rsidR="00D55428" w:rsidRDefault="00D55428">
      <w:pPr>
        <w:pStyle w:val="BodyText"/>
        <w:rPr>
          <w:sz w:val="20"/>
        </w:rPr>
      </w:pPr>
    </w:p>
    <w:p w14:paraId="7FBAFE42" w14:textId="77777777" w:rsidR="00D55428" w:rsidRDefault="00D55428">
      <w:pPr>
        <w:pStyle w:val="BodyText"/>
        <w:rPr>
          <w:sz w:val="20"/>
        </w:rPr>
      </w:pPr>
    </w:p>
    <w:p w14:paraId="43B91978" w14:textId="77777777" w:rsidR="00D55428" w:rsidRDefault="00D55428">
      <w:pPr>
        <w:pStyle w:val="BodyText"/>
        <w:rPr>
          <w:sz w:val="20"/>
        </w:rPr>
      </w:pPr>
    </w:p>
    <w:p w14:paraId="2F12F539" w14:textId="77777777" w:rsidR="00D55428" w:rsidRDefault="00D55428">
      <w:pPr>
        <w:pStyle w:val="BodyText"/>
        <w:rPr>
          <w:sz w:val="20"/>
        </w:rPr>
      </w:pPr>
    </w:p>
    <w:p w14:paraId="05566361" w14:textId="77777777" w:rsidR="00D55428" w:rsidRDefault="00D55428">
      <w:pPr>
        <w:pStyle w:val="BodyText"/>
        <w:rPr>
          <w:sz w:val="20"/>
        </w:rPr>
      </w:pPr>
    </w:p>
    <w:p w14:paraId="5E2F2148" w14:textId="77777777" w:rsidR="00D55428" w:rsidRDefault="00D55428">
      <w:pPr>
        <w:pStyle w:val="BodyText"/>
        <w:rPr>
          <w:sz w:val="20"/>
        </w:rPr>
      </w:pPr>
    </w:p>
    <w:p w14:paraId="511CA4F7" w14:textId="77777777" w:rsidR="00D55428" w:rsidRDefault="00D55428">
      <w:pPr>
        <w:pStyle w:val="BodyText"/>
        <w:rPr>
          <w:sz w:val="20"/>
        </w:rPr>
      </w:pPr>
    </w:p>
    <w:p w14:paraId="52F18174" w14:textId="77777777" w:rsidR="00D55428" w:rsidRDefault="00D55428">
      <w:pPr>
        <w:pStyle w:val="BodyText"/>
        <w:rPr>
          <w:sz w:val="20"/>
        </w:rPr>
      </w:pPr>
    </w:p>
    <w:p w14:paraId="1600244C" w14:textId="77777777" w:rsidR="00D55428" w:rsidRDefault="00D55428">
      <w:pPr>
        <w:pStyle w:val="BodyText"/>
        <w:rPr>
          <w:sz w:val="20"/>
        </w:rPr>
      </w:pPr>
    </w:p>
    <w:p w14:paraId="1E7D3354" w14:textId="77777777" w:rsidR="00D55428" w:rsidRDefault="00D55428">
      <w:pPr>
        <w:pStyle w:val="BodyText"/>
        <w:rPr>
          <w:sz w:val="20"/>
        </w:rPr>
      </w:pPr>
    </w:p>
    <w:p w14:paraId="4426EE70" w14:textId="77777777" w:rsidR="00D55428" w:rsidRDefault="00D55428">
      <w:pPr>
        <w:pStyle w:val="BodyText"/>
        <w:spacing w:before="8"/>
        <w:rPr>
          <w:sz w:val="27"/>
        </w:rPr>
      </w:pPr>
    </w:p>
    <w:p w14:paraId="24961F1F" w14:textId="77777777" w:rsidR="00D55428" w:rsidRDefault="00673B0D">
      <w:pPr>
        <w:pStyle w:val="Heading1"/>
        <w:spacing w:line="252" w:lineRule="exact"/>
      </w:pPr>
      <w:r>
        <w:t>CONCLUZIILE CERI</w:t>
      </w:r>
    </w:p>
    <w:p w14:paraId="2E34B956" w14:textId="77777777" w:rsidR="00D55428" w:rsidRDefault="000422A6" w:rsidP="000422A6">
      <w:pPr>
        <w:ind w:left="2370" w:right="-342"/>
        <w:rPr>
          <w:b/>
        </w:rPr>
      </w:pPr>
      <w:r>
        <w:rPr>
          <w:b/>
        </w:rPr>
        <w:t xml:space="preserve">CU PRIVIRE LA </w:t>
      </w:r>
      <w:r w:rsidR="00673B0D">
        <w:rPr>
          <w:b/>
        </w:rPr>
        <w:t xml:space="preserve">PUNEREA ÎN APLICARE A RECOMANDĂRILOR </w:t>
      </w:r>
      <w:r>
        <w:rPr>
          <w:b/>
        </w:rPr>
        <w:t xml:space="preserve">PENTRU </w:t>
      </w:r>
      <w:r w:rsidR="00673B0D">
        <w:rPr>
          <w:b/>
        </w:rPr>
        <w:t>REPUBLICA MOLDOVA</w:t>
      </w:r>
    </w:p>
    <w:p w14:paraId="37B6E040" w14:textId="77777777" w:rsidR="00D55428" w:rsidRDefault="000422A6">
      <w:pPr>
        <w:pStyle w:val="Heading1"/>
      </w:pPr>
      <w:r>
        <w:t xml:space="preserve">CARE FACE OBIECTUL </w:t>
      </w:r>
      <w:r w:rsidR="00673B0D">
        <w:t>URMĂRIRII INTERMEDIARE</w:t>
      </w:r>
    </w:p>
    <w:p w14:paraId="7DC5C014" w14:textId="77777777" w:rsidR="00D55428" w:rsidRDefault="00D55428">
      <w:pPr>
        <w:pStyle w:val="BodyText"/>
        <w:spacing w:before="3"/>
        <w:rPr>
          <w:b/>
        </w:rPr>
      </w:pPr>
    </w:p>
    <w:p w14:paraId="2666AE63" w14:textId="377AEF0A" w:rsidR="00D55428" w:rsidRDefault="00673B0D">
      <w:pPr>
        <w:ind w:left="2370"/>
        <w:rPr>
          <w:i/>
        </w:rPr>
      </w:pPr>
      <w:r>
        <w:rPr>
          <w:i/>
        </w:rPr>
        <w:t>Adoptate la 30 martie 2021</w:t>
      </w:r>
      <w:r w:rsidR="00A74989">
        <w:rPr>
          <w:rStyle w:val="FootnoteReference"/>
          <w:i/>
        </w:rPr>
        <w:footnoteReference w:id="1"/>
      </w:r>
    </w:p>
    <w:p w14:paraId="4C3CCDD4" w14:textId="77777777" w:rsidR="00D55428" w:rsidRDefault="00D55428">
      <w:pPr>
        <w:pStyle w:val="BodyText"/>
        <w:spacing w:before="1"/>
        <w:rPr>
          <w:i/>
        </w:rPr>
      </w:pPr>
    </w:p>
    <w:p w14:paraId="53B10AE4" w14:textId="2DD65525" w:rsidR="00D55428" w:rsidRDefault="00673B0D">
      <w:pPr>
        <w:ind w:left="2370"/>
        <w:rPr>
          <w:i/>
        </w:rPr>
      </w:pPr>
      <w:r>
        <w:rPr>
          <w:i/>
        </w:rPr>
        <w:t>Publicate la 18 mai 2021</w:t>
      </w:r>
    </w:p>
    <w:p w14:paraId="128D264A" w14:textId="4C02A10D" w:rsidR="00670F26" w:rsidRDefault="00670F26">
      <w:pPr>
        <w:ind w:left="2370"/>
        <w:rPr>
          <w:i/>
        </w:rPr>
      </w:pPr>
    </w:p>
    <w:p w14:paraId="1BE94418" w14:textId="5EE6146C" w:rsidR="00670F26" w:rsidRDefault="00670F26">
      <w:pPr>
        <w:ind w:left="2370"/>
        <w:rPr>
          <w:i/>
        </w:rPr>
      </w:pPr>
    </w:p>
    <w:p w14:paraId="49FBB49B" w14:textId="77777777" w:rsidR="00D55428" w:rsidRDefault="00D55428">
      <w:pPr>
        <w:pStyle w:val="BodyText"/>
        <w:rPr>
          <w:i/>
          <w:sz w:val="20"/>
        </w:rPr>
      </w:pPr>
    </w:p>
    <w:p w14:paraId="584C67BD" w14:textId="77777777" w:rsidR="00D55428" w:rsidRPr="00DA2E79" w:rsidRDefault="00D55428">
      <w:pPr>
        <w:pStyle w:val="BodyText"/>
        <w:rPr>
          <w:i/>
          <w:sz w:val="20"/>
          <w:lang w:val="it-IT"/>
        </w:rPr>
      </w:pPr>
    </w:p>
    <w:p w14:paraId="353F18F4" w14:textId="77777777" w:rsidR="00DA2E79" w:rsidRDefault="00DA2E79">
      <w:pPr>
        <w:pStyle w:val="BodyText"/>
        <w:rPr>
          <w:sz w:val="18"/>
          <w:szCs w:val="18"/>
        </w:rPr>
      </w:pPr>
    </w:p>
    <w:p w14:paraId="1984433A" w14:textId="77777777" w:rsidR="00DA2E79" w:rsidRDefault="00DA2E79">
      <w:pPr>
        <w:pStyle w:val="BodyText"/>
        <w:rPr>
          <w:sz w:val="18"/>
          <w:szCs w:val="18"/>
        </w:rPr>
      </w:pPr>
    </w:p>
    <w:p w14:paraId="49ACFFEE" w14:textId="77777777" w:rsidR="00DA2E79" w:rsidRDefault="00DA2E79">
      <w:pPr>
        <w:pStyle w:val="BodyText"/>
        <w:rPr>
          <w:sz w:val="18"/>
          <w:szCs w:val="18"/>
        </w:rPr>
      </w:pPr>
    </w:p>
    <w:p w14:paraId="6848A221" w14:textId="77777777" w:rsidR="00D55428" w:rsidRDefault="00D55428">
      <w:pPr>
        <w:jc w:val="both"/>
        <w:rPr>
          <w:sz w:val="18"/>
        </w:rPr>
        <w:sectPr w:rsidR="00D55428" w:rsidSect="00A74989">
          <w:headerReference w:type="default" r:id="rId8"/>
          <w:type w:val="continuous"/>
          <w:pgSz w:w="11907" w:h="16840" w:code="9"/>
          <w:pgMar w:top="1134" w:right="1701" w:bottom="1134" w:left="1701" w:header="709" w:footer="709" w:gutter="0"/>
          <w:cols w:space="708"/>
        </w:sectPr>
      </w:pPr>
    </w:p>
    <w:p w14:paraId="015CA593" w14:textId="77777777" w:rsidR="00A74989" w:rsidRPr="00DA2E79" w:rsidRDefault="00A74989" w:rsidP="00A74989">
      <w:pPr>
        <w:jc w:val="both"/>
        <w:rPr>
          <w:rFonts w:ascii="Calibri" w:eastAsiaTheme="minorHAnsi" w:hAnsi="Calibri" w:cs="Calibri"/>
          <w:lang w:val="it-IT"/>
        </w:rPr>
      </w:pPr>
      <w:r w:rsidRPr="00DA2E79">
        <w:rPr>
          <w:i/>
          <w:iCs/>
          <w:sz w:val="23"/>
          <w:szCs w:val="23"/>
          <w:lang w:val="it-IT"/>
        </w:rPr>
        <w:lastRenderedPageBreak/>
        <w:t xml:space="preserve">Vă rugăm să țineți seama că </w:t>
      </w:r>
      <w:r>
        <w:rPr>
          <w:i/>
          <w:iCs/>
          <w:sz w:val="23"/>
          <w:szCs w:val="23"/>
          <w:lang w:val="it-IT"/>
        </w:rPr>
        <w:t>p</w:t>
      </w:r>
      <w:r w:rsidRPr="00DA2E79">
        <w:rPr>
          <w:i/>
          <w:iCs/>
          <w:sz w:val="23"/>
          <w:szCs w:val="23"/>
          <w:lang w:val="it-IT"/>
        </w:rPr>
        <w:t xml:space="preserve">rezentul document este o traducere. Dacă aveți dubii asupra </w:t>
      </w:r>
      <w:r>
        <w:rPr>
          <w:i/>
          <w:iCs/>
          <w:sz w:val="23"/>
          <w:szCs w:val="23"/>
          <w:lang w:val="it-IT"/>
        </w:rPr>
        <w:t>con</w:t>
      </w:r>
      <w:r w:rsidRPr="00DA2E79">
        <w:rPr>
          <w:i/>
          <w:iCs/>
          <w:sz w:val="23"/>
          <w:szCs w:val="23"/>
          <w:lang w:val="it-IT"/>
        </w:rPr>
        <w:t>ț</w:t>
      </w:r>
      <w:r>
        <w:rPr>
          <w:i/>
          <w:iCs/>
          <w:sz w:val="23"/>
          <w:szCs w:val="23"/>
          <w:lang w:val="it-IT"/>
        </w:rPr>
        <w:t>inutului</w:t>
      </w:r>
      <w:r w:rsidRPr="00DA2E79">
        <w:rPr>
          <w:i/>
          <w:iCs/>
          <w:sz w:val="23"/>
          <w:szCs w:val="23"/>
          <w:lang w:val="it-IT"/>
        </w:rPr>
        <w:t>, consultați versiunile originale în engleză și franceză.</w:t>
      </w:r>
    </w:p>
    <w:p w14:paraId="786FBDA5" w14:textId="5A489A58" w:rsidR="00D55428" w:rsidRDefault="00D55428" w:rsidP="00A74989">
      <w:pPr>
        <w:pStyle w:val="BodyText"/>
        <w:jc w:val="both"/>
        <w:rPr>
          <w:sz w:val="20"/>
          <w:lang w:val="it-IT"/>
        </w:rPr>
      </w:pPr>
    </w:p>
    <w:p w14:paraId="2E5606AD" w14:textId="354ADE95" w:rsidR="00A74989" w:rsidRDefault="00A74989" w:rsidP="00A74989">
      <w:pPr>
        <w:pStyle w:val="BodyText"/>
        <w:jc w:val="both"/>
        <w:rPr>
          <w:sz w:val="20"/>
          <w:lang w:val="it-IT"/>
        </w:rPr>
      </w:pPr>
    </w:p>
    <w:p w14:paraId="1449DBC3" w14:textId="70809550" w:rsidR="00A74989" w:rsidRDefault="00A74989" w:rsidP="00A74989">
      <w:pPr>
        <w:pStyle w:val="BodyText"/>
        <w:jc w:val="both"/>
        <w:rPr>
          <w:sz w:val="20"/>
          <w:lang w:val="it-IT"/>
        </w:rPr>
      </w:pPr>
    </w:p>
    <w:p w14:paraId="0FED173A" w14:textId="15A0B49C" w:rsidR="00A74989" w:rsidRDefault="00A74989" w:rsidP="00A74989">
      <w:pPr>
        <w:pStyle w:val="BodyText"/>
        <w:jc w:val="both"/>
        <w:rPr>
          <w:sz w:val="20"/>
          <w:lang w:val="it-IT"/>
        </w:rPr>
      </w:pPr>
    </w:p>
    <w:p w14:paraId="513D8269" w14:textId="3FC0E9C2" w:rsidR="00A74989" w:rsidRDefault="00A74989" w:rsidP="00A74989">
      <w:pPr>
        <w:pStyle w:val="BodyText"/>
        <w:jc w:val="both"/>
        <w:rPr>
          <w:sz w:val="20"/>
          <w:lang w:val="it-IT"/>
        </w:rPr>
      </w:pPr>
    </w:p>
    <w:p w14:paraId="66D49BBB" w14:textId="05673020" w:rsidR="00A74989" w:rsidRDefault="00A74989" w:rsidP="00A74989">
      <w:pPr>
        <w:pStyle w:val="BodyText"/>
        <w:jc w:val="both"/>
        <w:rPr>
          <w:sz w:val="20"/>
          <w:lang w:val="it-IT"/>
        </w:rPr>
      </w:pPr>
    </w:p>
    <w:p w14:paraId="62ADF146" w14:textId="460DE65E" w:rsidR="00A74989" w:rsidRDefault="00A74989" w:rsidP="00A74989">
      <w:pPr>
        <w:pStyle w:val="BodyText"/>
        <w:jc w:val="both"/>
        <w:rPr>
          <w:sz w:val="20"/>
          <w:lang w:val="it-IT"/>
        </w:rPr>
      </w:pPr>
    </w:p>
    <w:p w14:paraId="1E4B791F" w14:textId="50724CFD" w:rsidR="00A74989" w:rsidRDefault="00A74989" w:rsidP="00A74989">
      <w:pPr>
        <w:pStyle w:val="BodyText"/>
        <w:jc w:val="both"/>
        <w:rPr>
          <w:sz w:val="20"/>
          <w:lang w:val="it-IT"/>
        </w:rPr>
      </w:pPr>
    </w:p>
    <w:p w14:paraId="4C005EA0" w14:textId="453AFC5D" w:rsidR="00A74989" w:rsidRDefault="00A74989" w:rsidP="00A74989">
      <w:pPr>
        <w:pStyle w:val="BodyText"/>
        <w:jc w:val="both"/>
        <w:rPr>
          <w:sz w:val="20"/>
          <w:lang w:val="it-IT"/>
        </w:rPr>
      </w:pPr>
    </w:p>
    <w:p w14:paraId="02F04645" w14:textId="56C4674F" w:rsidR="00A74989" w:rsidRDefault="00A74989" w:rsidP="00A74989">
      <w:pPr>
        <w:pStyle w:val="BodyText"/>
        <w:jc w:val="both"/>
        <w:rPr>
          <w:sz w:val="20"/>
          <w:lang w:val="it-IT"/>
        </w:rPr>
      </w:pPr>
    </w:p>
    <w:p w14:paraId="47BC1BEA" w14:textId="1687C52A" w:rsidR="00A74989" w:rsidRDefault="00A74989" w:rsidP="00A74989">
      <w:pPr>
        <w:pStyle w:val="BodyText"/>
        <w:jc w:val="both"/>
        <w:rPr>
          <w:sz w:val="20"/>
          <w:lang w:val="it-IT"/>
        </w:rPr>
      </w:pPr>
    </w:p>
    <w:p w14:paraId="71A397F9" w14:textId="2C0A22BF" w:rsidR="00A74989" w:rsidRDefault="00A74989" w:rsidP="00A74989">
      <w:pPr>
        <w:pStyle w:val="BodyText"/>
        <w:jc w:val="both"/>
        <w:rPr>
          <w:sz w:val="20"/>
          <w:lang w:val="it-IT"/>
        </w:rPr>
      </w:pPr>
    </w:p>
    <w:p w14:paraId="1BE3B375" w14:textId="09686094" w:rsidR="00A74989" w:rsidRDefault="00A74989" w:rsidP="00A74989">
      <w:pPr>
        <w:pStyle w:val="BodyText"/>
        <w:jc w:val="both"/>
        <w:rPr>
          <w:sz w:val="20"/>
          <w:lang w:val="it-IT"/>
        </w:rPr>
      </w:pPr>
    </w:p>
    <w:p w14:paraId="044DD5C7" w14:textId="390ED5C3" w:rsidR="00A74989" w:rsidRDefault="00A74989" w:rsidP="00A74989">
      <w:pPr>
        <w:pStyle w:val="BodyText"/>
        <w:jc w:val="both"/>
        <w:rPr>
          <w:sz w:val="20"/>
          <w:lang w:val="it-IT"/>
        </w:rPr>
      </w:pPr>
    </w:p>
    <w:p w14:paraId="092B6299" w14:textId="77777777" w:rsidR="00A74989" w:rsidRDefault="00A74989" w:rsidP="00A74989">
      <w:pPr>
        <w:pStyle w:val="BodyText"/>
        <w:jc w:val="both"/>
        <w:rPr>
          <w:sz w:val="20"/>
        </w:rPr>
      </w:pPr>
    </w:p>
    <w:p w14:paraId="20AF4E5E" w14:textId="77777777" w:rsidR="00DA2E79" w:rsidRDefault="00DA2E79" w:rsidP="00A74989">
      <w:pPr>
        <w:pStyle w:val="BodyText"/>
        <w:jc w:val="both"/>
        <w:rPr>
          <w:i/>
          <w:sz w:val="20"/>
        </w:rPr>
      </w:pPr>
      <w:r w:rsidRPr="00EB111C">
        <w:rPr>
          <w:sz w:val="18"/>
          <w:szCs w:val="18"/>
        </w:rPr>
        <w:t>This document was translated with the support of the EU and Council of Europe regional project “Strengthening access to justice through non-judicial redress for victims of discrimination, hate speech and hate crimes in the Eastern Partnership”.</w:t>
      </w:r>
    </w:p>
    <w:p w14:paraId="71CB585A" w14:textId="77777777" w:rsidR="00D55428" w:rsidRDefault="00D55428" w:rsidP="00A74989">
      <w:pPr>
        <w:pStyle w:val="BodyText"/>
        <w:jc w:val="both"/>
        <w:rPr>
          <w:sz w:val="20"/>
        </w:rPr>
      </w:pPr>
    </w:p>
    <w:p w14:paraId="210966D0" w14:textId="77777777" w:rsidR="00D55428" w:rsidRDefault="00D55428">
      <w:pPr>
        <w:pStyle w:val="BodyText"/>
        <w:rPr>
          <w:sz w:val="20"/>
        </w:rPr>
      </w:pPr>
    </w:p>
    <w:p w14:paraId="00BA059E" w14:textId="77777777" w:rsidR="00D55428" w:rsidRDefault="00D55428">
      <w:pPr>
        <w:pStyle w:val="BodyText"/>
        <w:rPr>
          <w:sz w:val="20"/>
        </w:rPr>
      </w:pPr>
    </w:p>
    <w:p w14:paraId="7B763FE2" w14:textId="77777777" w:rsidR="00D55428" w:rsidRDefault="00D55428">
      <w:pPr>
        <w:pStyle w:val="BodyText"/>
        <w:rPr>
          <w:sz w:val="20"/>
        </w:rPr>
      </w:pPr>
    </w:p>
    <w:p w14:paraId="027DB7DE" w14:textId="77777777" w:rsidR="00D55428" w:rsidRDefault="00D55428">
      <w:pPr>
        <w:pStyle w:val="BodyText"/>
        <w:rPr>
          <w:sz w:val="20"/>
        </w:rPr>
      </w:pPr>
    </w:p>
    <w:p w14:paraId="2C037AEB" w14:textId="77777777" w:rsidR="00D55428" w:rsidRDefault="00D55428">
      <w:pPr>
        <w:pStyle w:val="BodyText"/>
        <w:rPr>
          <w:sz w:val="20"/>
        </w:rPr>
      </w:pPr>
    </w:p>
    <w:p w14:paraId="563FA6A2" w14:textId="77777777" w:rsidR="00D55428" w:rsidRDefault="00D55428">
      <w:pPr>
        <w:pStyle w:val="BodyText"/>
        <w:rPr>
          <w:sz w:val="20"/>
        </w:rPr>
      </w:pPr>
    </w:p>
    <w:p w14:paraId="62E86626" w14:textId="77777777" w:rsidR="00D55428" w:rsidRDefault="00D55428">
      <w:pPr>
        <w:pStyle w:val="BodyText"/>
        <w:rPr>
          <w:sz w:val="20"/>
        </w:rPr>
      </w:pPr>
    </w:p>
    <w:p w14:paraId="08A39CB8" w14:textId="77777777" w:rsidR="00D55428" w:rsidRDefault="00D55428">
      <w:pPr>
        <w:pStyle w:val="BodyText"/>
        <w:rPr>
          <w:sz w:val="20"/>
        </w:rPr>
      </w:pPr>
    </w:p>
    <w:p w14:paraId="07BFFB51" w14:textId="77777777" w:rsidR="00D55428" w:rsidRDefault="00D55428">
      <w:pPr>
        <w:pStyle w:val="BodyText"/>
        <w:rPr>
          <w:sz w:val="20"/>
        </w:rPr>
      </w:pPr>
    </w:p>
    <w:p w14:paraId="6B18F5F1" w14:textId="77777777" w:rsidR="00D55428" w:rsidRDefault="00D55428">
      <w:pPr>
        <w:pStyle w:val="BodyText"/>
        <w:rPr>
          <w:sz w:val="20"/>
        </w:rPr>
      </w:pPr>
    </w:p>
    <w:p w14:paraId="379FFC23" w14:textId="77777777" w:rsidR="00D55428" w:rsidRDefault="00D55428">
      <w:pPr>
        <w:pStyle w:val="BodyText"/>
        <w:rPr>
          <w:sz w:val="20"/>
        </w:rPr>
      </w:pPr>
    </w:p>
    <w:p w14:paraId="0F989F9D" w14:textId="77777777" w:rsidR="00D55428" w:rsidRDefault="00D55428">
      <w:pPr>
        <w:pStyle w:val="BodyText"/>
        <w:rPr>
          <w:sz w:val="20"/>
        </w:rPr>
      </w:pPr>
    </w:p>
    <w:p w14:paraId="6D2FF5CA" w14:textId="77777777" w:rsidR="00D55428" w:rsidRDefault="00D55428">
      <w:pPr>
        <w:pStyle w:val="BodyText"/>
        <w:rPr>
          <w:sz w:val="20"/>
        </w:rPr>
      </w:pPr>
    </w:p>
    <w:p w14:paraId="63F54995" w14:textId="77777777" w:rsidR="00D55428" w:rsidRDefault="00D55428">
      <w:pPr>
        <w:pStyle w:val="BodyText"/>
        <w:rPr>
          <w:sz w:val="20"/>
        </w:rPr>
      </w:pPr>
    </w:p>
    <w:p w14:paraId="5414B511" w14:textId="77777777" w:rsidR="00D55428" w:rsidRDefault="00D55428">
      <w:pPr>
        <w:pStyle w:val="BodyText"/>
        <w:rPr>
          <w:sz w:val="20"/>
        </w:rPr>
      </w:pPr>
    </w:p>
    <w:p w14:paraId="39732225" w14:textId="77777777" w:rsidR="00D55428" w:rsidRDefault="00D55428">
      <w:pPr>
        <w:pStyle w:val="BodyText"/>
        <w:rPr>
          <w:sz w:val="20"/>
        </w:rPr>
      </w:pPr>
    </w:p>
    <w:p w14:paraId="10F1BE89" w14:textId="77777777" w:rsidR="00D55428" w:rsidRDefault="00D55428">
      <w:pPr>
        <w:pStyle w:val="BodyText"/>
        <w:rPr>
          <w:sz w:val="20"/>
        </w:rPr>
      </w:pPr>
    </w:p>
    <w:p w14:paraId="25274020" w14:textId="77777777" w:rsidR="00D55428" w:rsidRDefault="00D55428">
      <w:pPr>
        <w:pStyle w:val="BodyText"/>
        <w:rPr>
          <w:sz w:val="20"/>
        </w:rPr>
      </w:pPr>
    </w:p>
    <w:p w14:paraId="6DD3C17F" w14:textId="77777777" w:rsidR="00D55428" w:rsidRDefault="00D55428">
      <w:pPr>
        <w:pStyle w:val="BodyText"/>
        <w:rPr>
          <w:sz w:val="20"/>
        </w:rPr>
      </w:pPr>
    </w:p>
    <w:p w14:paraId="6FB315FA" w14:textId="77777777" w:rsidR="00D55428" w:rsidRDefault="00D55428">
      <w:pPr>
        <w:pStyle w:val="BodyText"/>
        <w:rPr>
          <w:sz w:val="20"/>
        </w:rPr>
      </w:pPr>
    </w:p>
    <w:p w14:paraId="0D016863" w14:textId="77777777" w:rsidR="00D55428" w:rsidRDefault="00D55428">
      <w:pPr>
        <w:pStyle w:val="BodyText"/>
        <w:rPr>
          <w:sz w:val="20"/>
        </w:rPr>
      </w:pPr>
    </w:p>
    <w:p w14:paraId="5686F337" w14:textId="77777777" w:rsidR="00D55428" w:rsidRDefault="00D55428">
      <w:pPr>
        <w:pStyle w:val="BodyText"/>
        <w:rPr>
          <w:sz w:val="20"/>
        </w:rPr>
      </w:pPr>
    </w:p>
    <w:p w14:paraId="122D6903" w14:textId="77777777" w:rsidR="00D55428" w:rsidRDefault="00D55428">
      <w:pPr>
        <w:pStyle w:val="BodyText"/>
        <w:rPr>
          <w:sz w:val="20"/>
        </w:rPr>
      </w:pPr>
    </w:p>
    <w:p w14:paraId="73225E5F" w14:textId="77777777" w:rsidR="00D55428" w:rsidRDefault="00D55428">
      <w:pPr>
        <w:pStyle w:val="BodyText"/>
        <w:rPr>
          <w:sz w:val="20"/>
        </w:rPr>
      </w:pPr>
    </w:p>
    <w:p w14:paraId="088B4AE4" w14:textId="77777777" w:rsidR="00D55428" w:rsidRDefault="00D55428">
      <w:pPr>
        <w:pStyle w:val="BodyText"/>
        <w:rPr>
          <w:sz w:val="20"/>
        </w:rPr>
      </w:pPr>
    </w:p>
    <w:p w14:paraId="62C4C15A" w14:textId="77777777" w:rsidR="00D55428" w:rsidRDefault="00D55428">
      <w:pPr>
        <w:pStyle w:val="BodyText"/>
        <w:rPr>
          <w:sz w:val="20"/>
        </w:rPr>
      </w:pPr>
    </w:p>
    <w:p w14:paraId="313A8033" w14:textId="77777777" w:rsidR="00D55428" w:rsidRDefault="00D55428">
      <w:pPr>
        <w:pStyle w:val="BodyText"/>
        <w:spacing w:before="9"/>
        <w:rPr>
          <w:sz w:val="28"/>
        </w:rPr>
      </w:pPr>
    </w:p>
    <w:p w14:paraId="2C54EA96" w14:textId="77777777" w:rsidR="00D55428" w:rsidRDefault="00673B0D" w:rsidP="00A74989">
      <w:pPr>
        <w:pStyle w:val="BodyText"/>
        <w:spacing w:before="101"/>
        <w:rPr>
          <w:rFonts w:ascii="Century Gothic"/>
        </w:rPr>
      </w:pPr>
      <w:r>
        <w:rPr>
          <w:rFonts w:ascii="Century Gothic"/>
        </w:rPr>
        <w:t>Secretariatul CERI</w:t>
      </w:r>
    </w:p>
    <w:p w14:paraId="077297B3" w14:textId="73857001" w:rsidR="00A74989" w:rsidRDefault="00673B0D" w:rsidP="00A74989">
      <w:pPr>
        <w:pStyle w:val="BodyText"/>
        <w:spacing w:before="2"/>
        <w:rPr>
          <w:rFonts w:ascii="Century Gothic"/>
        </w:rPr>
      </w:pPr>
      <w:r>
        <w:rPr>
          <w:rFonts w:ascii="Century Gothic"/>
        </w:rPr>
        <w:t>Direc</w:t>
      </w:r>
      <w:r>
        <w:rPr>
          <w:rFonts w:ascii="Century Gothic"/>
        </w:rPr>
        <w:t>ț</w:t>
      </w:r>
      <w:r>
        <w:rPr>
          <w:rFonts w:ascii="Century Gothic"/>
        </w:rPr>
        <w:t>ia General</w:t>
      </w:r>
      <w:r>
        <w:rPr>
          <w:rFonts w:ascii="Century Gothic"/>
        </w:rPr>
        <w:t>ă</w:t>
      </w:r>
      <w:r>
        <w:rPr>
          <w:rFonts w:ascii="Century Gothic"/>
        </w:rPr>
        <w:t xml:space="preserve"> II </w:t>
      </w:r>
      <w:r w:rsidR="00A74989">
        <w:rPr>
          <w:rFonts w:ascii="Century Gothic"/>
        </w:rPr>
        <w:t>–</w:t>
      </w:r>
      <w:r>
        <w:rPr>
          <w:rFonts w:ascii="Century Gothic"/>
        </w:rPr>
        <w:t xml:space="preserve"> Democra</w:t>
      </w:r>
      <w:r>
        <w:rPr>
          <w:rFonts w:ascii="Century Gothic"/>
        </w:rPr>
        <w:t>ț</w:t>
      </w:r>
      <w:r>
        <w:rPr>
          <w:rFonts w:ascii="Century Gothic"/>
        </w:rPr>
        <w:t>ie</w:t>
      </w:r>
    </w:p>
    <w:p w14:paraId="50B84FF6" w14:textId="2758744E" w:rsidR="00D55428" w:rsidRDefault="00673B0D" w:rsidP="00A74989">
      <w:pPr>
        <w:pStyle w:val="BodyText"/>
        <w:spacing w:before="2"/>
        <w:rPr>
          <w:rFonts w:ascii="Century Gothic"/>
        </w:rPr>
      </w:pPr>
      <w:r>
        <w:rPr>
          <w:rFonts w:ascii="Century Gothic"/>
        </w:rPr>
        <w:t xml:space="preserve">Consiliul Europei </w:t>
      </w:r>
    </w:p>
    <w:p w14:paraId="28AC39BD" w14:textId="77777777" w:rsidR="00A74989" w:rsidRDefault="00673B0D" w:rsidP="00A74989">
      <w:pPr>
        <w:pStyle w:val="BodyText"/>
        <w:spacing w:before="1"/>
        <w:rPr>
          <w:rFonts w:ascii="Century Gothic"/>
        </w:rPr>
      </w:pPr>
      <w:r>
        <w:rPr>
          <w:rFonts w:ascii="Century Gothic"/>
        </w:rPr>
        <w:t xml:space="preserve">F - 67075 STRASBOURG Cedex </w:t>
      </w:r>
    </w:p>
    <w:p w14:paraId="49E0778B" w14:textId="6126CDA6" w:rsidR="00D55428" w:rsidRDefault="00673B0D" w:rsidP="00A74989">
      <w:pPr>
        <w:pStyle w:val="BodyText"/>
        <w:spacing w:before="1"/>
        <w:rPr>
          <w:rFonts w:ascii="Century Gothic"/>
        </w:rPr>
      </w:pPr>
      <w:r>
        <w:rPr>
          <w:rFonts w:ascii="Century Gothic"/>
        </w:rPr>
        <w:t>Tel.: +33 (0) 390 21 46 62</w:t>
      </w:r>
    </w:p>
    <w:p w14:paraId="4356EDE8" w14:textId="77777777" w:rsidR="00D55428" w:rsidRDefault="00673B0D" w:rsidP="00A74989">
      <w:pPr>
        <w:pStyle w:val="BodyText"/>
        <w:spacing w:line="268" w:lineRule="exact"/>
        <w:rPr>
          <w:rFonts w:ascii="Century Gothic"/>
        </w:rPr>
      </w:pPr>
      <w:r>
        <w:rPr>
          <w:rFonts w:ascii="Century Gothic"/>
        </w:rPr>
        <w:t xml:space="preserve">E-mail: </w:t>
      </w:r>
      <w:hyperlink r:id="rId9">
        <w:r>
          <w:rPr>
            <w:rFonts w:ascii="Century Gothic"/>
            <w:color w:val="0000FF"/>
            <w:u w:val="single" w:color="0000FF"/>
          </w:rPr>
          <w:t>ecri@coe.int</w:t>
        </w:r>
      </w:hyperlink>
    </w:p>
    <w:p w14:paraId="78F1B206" w14:textId="77777777" w:rsidR="00D55428" w:rsidRDefault="00D55428" w:rsidP="00A74989">
      <w:pPr>
        <w:pStyle w:val="BodyText"/>
        <w:spacing w:before="2"/>
        <w:rPr>
          <w:rFonts w:ascii="Century Gothic"/>
        </w:rPr>
      </w:pPr>
    </w:p>
    <w:p w14:paraId="0FD64E6D" w14:textId="77777777" w:rsidR="00A74989" w:rsidRDefault="00A74989" w:rsidP="00A74989">
      <w:pPr>
        <w:pStyle w:val="BodyText"/>
        <w:spacing w:before="1" w:line="237" w:lineRule="auto"/>
        <w:rPr>
          <w:rFonts w:ascii="Century Gothic"/>
          <w:color w:val="0000FF"/>
          <w:u w:val="single" w:color="0000FF"/>
        </w:rPr>
      </w:pPr>
      <w:hyperlink r:id="rId10" w:history="1">
        <w:r w:rsidRPr="00265CD4">
          <w:rPr>
            <w:rStyle w:val="Hyperlink"/>
            <w:rFonts w:ascii="Century Gothic"/>
          </w:rPr>
          <w:t>www.coe.int/ecri</w:t>
        </w:r>
      </w:hyperlink>
    </w:p>
    <w:p w14:paraId="6B477ABA" w14:textId="48BCD8CF" w:rsidR="00D55428" w:rsidRDefault="00673B0D" w:rsidP="00A74989">
      <w:pPr>
        <w:pStyle w:val="BodyText"/>
        <w:spacing w:before="1" w:line="237" w:lineRule="auto"/>
        <w:rPr>
          <w:rFonts w:ascii="Century Gothic"/>
        </w:rPr>
      </w:pPr>
      <w:r>
        <w:rPr>
          <w:rFonts w:ascii="Century Gothic"/>
          <w:noProof/>
          <w:color w:val="0000FF"/>
          <w:lang w:val="fr-FR" w:eastAsia="fr-FR"/>
        </w:rPr>
        <w:drawing>
          <wp:inline distT="0" distB="0" distL="0" distR="0" wp14:anchorId="353001A3" wp14:editId="0DBB91C6">
            <wp:extent cx="187325" cy="154305"/>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87325" cy="154305"/>
                    </a:xfrm>
                    <a:prstGeom prst="rect">
                      <a:avLst/>
                    </a:prstGeom>
                  </pic:spPr>
                </pic:pic>
              </a:graphicData>
            </a:graphic>
          </wp:inline>
        </w:drawing>
      </w:r>
      <w:r>
        <w:rPr>
          <w:rFonts w:ascii="Century Gothic"/>
          <w:color w:val="0000FF"/>
        </w:rPr>
        <w:t xml:space="preserve"> </w:t>
      </w:r>
      <w:r>
        <w:rPr>
          <w:rFonts w:ascii="Century Gothic"/>
        </w:rPr>
        <w:t>@ECRI_CoE</w:t>
      </w:r>
    </w:p>
    <w:p w14:paraId="303C16CD" w14:textId="77777777" w:rsidR="00D55428" w:rsidRDefault="00D55428">
      <w:pPr>
        <w:spacing w:line="237" w:lineRule="auto"/>
        <w:rPr>
          <w:rFonts w:ascii="Century Gothic"/>
        </w:rPr>
        <w:sectPr w:rsidR="00D55428" w:rsidSect="00A74989">
          <w:pgSz w:w="11907" w:h="16840" w:code="9"/>
          <w:pgMar w:top="1134" w:right="1701" w:bottom="1134" w:left="1701" w:header="709" w:footer="709" w:gutter="0"/>
          <w:cols w:space="708"/>
        </w:sectPr>
      </w:pPr>
    </w:p>
    <w:p w14:paraId="0C43793D" w14:textId="77777777" w:rsidR="00D55428" w:rsidRDefault="00673B0D">
      <w:pPr>
        <w:pStyle w:val="Heading1"/>
        <w:spacing w:before="74"/>
        <w:ind w:left="102"/>
      </w:pPr>
      <w:r>
        <w:lastRenderedPageBreak/>
        <w:t>CUVÂNT ÎNAINTE</w:t>
      </w:r>
    </w:p>
    <w:p w14:paraId="138EC692" w14:textId="77777777" w:rsidR="00D55428" w:rsidRDefault="00D55428">
      <w:pPr>
        <w:pStyle w:val="BodyText"/>
        <w:spacing w:before="2"/>
        <w:rPr>
          <w:b/>
        </w:rPr>
      </w:pPr>
    </w:p>
    <w:p w14:paraId="6764855C" w14:textId="1FC7669A" w:rsidR="00D55428" w:rsidRDefault="00673B0D">
      <w:pPr>
        <w:pStyle w:val="BodyText"/>
        <w:spacing w:before="1"/>
        <w:ind w:left="102" w:right="118"/>
        <w:jc w:val="both"/>
      </w:pPr>
      <w:r>
        <w:t>Ca</w:t>
      </w:r>
      <w:r w:rsidR="005406F9">
        <w:t xml:space="preserve"> parte a celei de-a cincea runde</w:t>
      </w:r>
      <w:r>
        <w:t xml:space="preserve"> a activității de monitorizare, CERI și-a reînnoit procesul de </w:t>
      </w:r>
      <w:r w:rsidR="00973198">
        <w:t xml:space="preserve">supraveghere </w:t>
      </w:r>
      <w:r>
        <w:t>intermediară cu privire la două recomandări specifice făcute în fiecare dintre rapoartele sale de țară.</w:t>
      </w:r>
    </w:p>
    <w:p w14:paraId="165D0EB7" w14:textId="77777777" w:rsidR="00D55428" w:rsidRDefault="00D55428">
      <w:pPr>
        <w:pStyle w:val="BodyText"/>
      </w:pPr>
    </w:p>
    <w:p w14:paraId="0B0A325D" w14:textId="2B8B5B2E" w:rsidR="00D55428" w:rsidRDefault="00673B0D">
      <w:pPr>
        <w:pStyle w:val="BodyText"/>
        <w:ind w:left="102" w:right="113"/>
        <w:jc w:val="both"/>
      </w:pPr>
      <w:r>
        <w:t>În conformitate cu Documentul Informativ privind cel de-al cincilea ciclu de monitorizare al CERI adus în atenția Delegaților Miniștrilor la 14 noiembrie 2012</w:t>
      </w:r>
      <w:r w:rsidR="00A74989">
        <w:rPr>
          <w:rStyle w:val="FootnoteReference"/>
        </w:rPr>
        <w:footnoteReference w:id="2"/>
      </w:r>
      <w:r>
        <w:t>, nu mai târziu de doi ani de la publicarea fiecărui raport, CERI adresează o comunicare Guvernului în cauză</w:t>
      </w:r>
      <w:r w:rsidR="001305D2">
        <w:t>,</w:t>
      </w:r>
      <w:r>
        <w:t xml:space="preserve"> cu întrebări referitoare la ceea ce s-a făcut în privința recomandărilor specifice, pentru care a fost solicitată </w:t>
      </w:r>
      <w:r w:rsidR="001F5AA7">
        <w:t xml:space="preserve">supravegherea </w:t>
      </w:r>
      <w:r>
        <w:t>prioritară.</w:t>
      </w:r>
    </w:p>
    <w:p w14:paraId="213ACFE3" w14:textId="77777777" w:rsidR="00D55428" w:rsidRDefault="00D55428">
      <w:pPr>
        <w:pStyle w:val="BodyText"/>
        <w:spacing w:before="11"/>
        <w:rPr>
          <w:sz w:val="21"/>
        </w:rPr>
      </w:pPr>
    </w:p>
    <w:p w14:paraId="6845F07C" w14:textId="24638111" w:rsidR="00D55428" w:rsidRDefault="00673B0D">
      <w:pPr>
        <w:pStyle w:val="BodyText"/>
        <w:ind w:left="102" w:right="119"/>
        <w:jc w:val="both"/>
      </w:pPr>
      <w:r>
        <w:t>În același timp CERI colectează</w:t>
      </w:r>
      <w:r w:rsidR="001305D2">
        <w:t>,</w:t>
      </w:r>
      <w:r>
        <w:t xml:space="preserve"> ea însăși</w:t>
      </w:r>
      <w:r w:rsidR="001305D2">
        <w:t>,</w:t>
      </w:r>
      <w:r>
        <w:t xml:space="preserve"> informații relevante. Pe baza acestor informații și a răspunsului din partea Guvernului, CERI își întocmește concluziile cu privire la modul în care au fost </w:t>
      </w:r>
      <w:r w:rsidR="001F5AA7">
        <w:t xml:space="preserve">implementate </w:t>
      </w:r>
      <w:r>
        <w:t>recomandările sale.</w:t>
      </w:r>
    </w:p>
    <w:p w14:paraId="5E27A7A7" w14:textId="77777777" w:rsidR="00D55428" w:rsidRDefault="00D55428">
      <w:pPr>
        <w:pStyle w:val="BodyText"/>
        <w:spacing w:before="1"/>
      </w:pPr>
    </w:p>
    <w:p w14:paraId="32578D02" w14:textId="185B1D67" w:rsidR="00D55428" w:rsidRDefault="00673B0D">
      <w:pPr>
        <w:pStyle w:val="BodyText"/>
        <w:ind w:left="102" w:right="116"/>
        <w:jc w:val="both"/>
      </w:pPr>
      <w:r>
        <w:t xml:space="preserve">Trebuie </w:t>
      </w:r>
      <w:r w:rsidR="001F5AA7">
        <w:t xml:space="preserve">de </w:t>
      </w:r>
      <w:r>
        <w:t xml:space="preserve">remarcat faptul că aceste concluzii se referă exclusiv la recomandările specifice </w:t>
      </w:r>
      <w:r w:rsidR="001305D2">
        <w:t xml:space="preserve">care fac obiectul </w:t>
      </w:r>
      <w:r w:rsidR="001F5AA7">
        <w:t>supraveghe</w:t>
      </w:r>
      <w:r w:rsidR="001305D2">
        <w:t>rii intermediare</w:t>
      </w:r>
      <w:r>
        <w:t xml:space="preserve"> și nu vizează furnizarea unei analize exhaustive a tuturor evoluțiilor în lupta împotriva rasismului și intoleranței în statul în cauză. </w:t>
      </w:r>
    </w:p>
    <w:p w14:paraId="1E06B8CC" w14:textId="77777777" w:rsidR="00D55428" w:rsidRDefault="00D55428">
      <w:pPr>
        <w:pStyle w:val="BodyText"/>
        <w:rPr>
          <w:sz w:val="20"/>
        </w:rPr>
      </w:pPr>
    </w:p>
    <w:p w14:paraId="02EC2335" w14:textId="77777777" w:rsidR="00D55428" w:rsidRDefault="00D55428">
      <w:pPr>
        <w:pStyle w:val="BodyText"/>
        <w:rPr>
          <w:sz w:val="20"/>
        </w:rPr>
      </w:pPr>
    </w:p>
    <w:p w14:paraId="380F6B77" w14:textId="77777777" w:rsidR="00D55428" w:rsidRDefault="00D55428">
      <w:pPr>
        <w:pStyle w:val="BodyText"/>
        <w:rPr>
          <w:sz w:val="20"/>
        </w:rPr>
      </w:pPr>
    </w:p>
    <w:p w14:paraId="429A8B73" w14:textId="77777777" w:rsidR="00D55428" w:rsidRDefault="00D55428">
      <w:pPr>
        <w:pStyle w:val="BodyText"/>
        <w:rPr>
          <w:sz w:val="20"/>
        </w:rPr>
      </w:pPr>
    </w:p>
    <w:p w14:paraId="3DE495BE" w14:textId="77777777" w:rsidR="00D55428" w:rsidRDefault="00D55428">
      <w:pPr>
        <w:pStyle w:val="BodyText"/>
        <w:rPr>
          <w:sz w:val="20"/>
        </w:rPr>
      </w:pPr>
    </w:p>
    <w:p w14:paraId="05516122" w14:textId="77777777" w:rsidR="00D55428" w:rsidRDefault="00D55428">
      <w:pPr>
        <w:pStyle w:val="BodyText"/>
        <w:rPr>
          <w:sz w:val="20"/>
        </w:rPr>
      </w:pPr>
    </w:p>
    <w:p w14:paraId="1E08174A" w14:textId="77777777" w:rsidR="00D55428" w:rsidRDefault="00D55428">
      <w:pPr>
        <w:pStyle w:val="BodyText"/>
        <w:rPr>
          <w:sz w:val="20"/>
        </w:rPr>
      </w:pPr>
    </w:p>
    <w:p w14:paraId="377245BA" w14:textId="77777777" w:rsidR="00D55428" w:rsidRDefault="00D55428">
      <w:pPr>
        <w:pStyle w:val="BodyText"/>
        <w:rPr>
          <w:sz w:val="20"/>
        </w:rPr>
      </w:pPr>
    </w:p>
    <w:p w14:paraId="35E9D43A" w14:textId="77777777" w:rsidR="00D55428" w:rsidRDefault="00D55428">
      <w:pPr>
        <w:pStyle w:val="BodyText"/>
        <w:rPr>
          <w:sz w:val="20"/>
        </w:rPr>
      </w:pPr>
    </w:p>
    <w:p w14:paraId="36A95F99" w14:textId="77777777" w:rsidR="00D55428" w:rsidRDefault="00D55428">
      <w:pPr>
        <w:pStyle w:val="BodyText"/>
        <w:spacing w:before="4"/>
        <w:rPr>
          <w:sz w:val="17"/>
        </w:rPr>
      </w:pPr>
    </w:p>
    <w:p w14:paraId="1AC54A46" w14:textId="77777777" w:rsidR="00D55428" w:rsidRDefault="00D55428">
      <w:pPr>
        <w:rPr>
          <w:sz w:val="17"/>
        </w:rPr>
        <w:sectPr w:rsidR="00D55428" w:rsidSect="00A74989">
          <w:headerReference w:type="default" r:id="rId12"/>
          <w:footerReference w:type="default" r:id="rId13"/>
          <w:footnotePr>
            <w:numRestart w:val="eachSect"/>
          </w:footnotePr>
          <w:pgSz w:w="11907" w:h="16840" w:code="9"/>
          <w:pgMar w:top="1134" w:right="1701" w:bottom="1134" w:left="1701" w:header="709" w:footer="709" w:gutter="0"/>
          <w:cols w:space="708"/>
        </w:sectPr>
      </w:pPr>
    </w:p>
    <w:p w14:paraId="1DBF232B" w14:textId="77777777" w:rsidR="00D55428" w:rsidRDefault="00673B0D">
      <w:pPr>
        <w:pStyle w:val="ListParagraph"/>
        <w:numPr>
          <w:ilvl w:val="0"/>
          <w:numId w:val="1"/>
        </w:numPr>
        <w:tabs>
          <w:tab w:val="left" w:pos="810"/>
        </w:tabs>
        <w:spacing w:before="69"/>
        <w:ind w:firstLine="0"/>
        <w:jc w:val="both"/>
        <w:rPr>
          <w:i/>
        </w:rPr>
      </w:pPr>
      <w:r>
        <w:rPr>
          <w:i/>
        </w:rPr>
        <w:lastRenderedPageBreak/>
        <w:t xml:space="preserve">În raportul său privind Republica Moldova (al cincilea ciclu de monitorizare) publicat la 2 octombrie 2018, CERI a recomandat autorităților să consolideze capacitatea instituțională a Consiliului pentru prevenirea și eliminarea discriminării și asigurarea egalității (CPPEDAE) și a Avocatului Poporului (Ombudsmanul). În acest sens, autoritățile trebuie, în mod special, i) să modifice regulile procedurale relevante pentru a asigura implementarea efectivă a mandatului CPPEDAE; ii) să aloce ambelor instituții resurse financiare și umane suficiente, inclusiv finanțare pentru campaniile de creștere a gradului de conștientizare, iii) să asigure că ambele instituții își păstrează independența financiară deplină față de Guvern și iv) să își intensifice eforturile pentru promovarea respectării recomandărilor CPPEDAE și ale Ombudsmanului. </w:t>
      </w:r>
    </w:p>
    <w:p w14:paraId="48B4E3E4" w14:textId="77777777" w:rsidR="00D55428" w:rsidRDefault="00D55428">
      <w:pPr>
        <w:pStyle w:val="BodyText"/>
        <w:spacing w:before="2"/>
        <w:rPr>
          <w:i/>
        </w:rPr>
      </w:pPr>
    </w:p>
    <w:p w14:paraId="5E976F4D" w14:textId="1428799B" w:rsidR="00D55428" w:rsidRDefault="00673B0D">
      <w:pPr>
        <w:pStyle w:val="BodyText"/>
        <w:ind w:left="102" w:right="112"/>
        <w:jc w:val="both"/>
      </w:pPr>
      <w:r>
        <w:t>CERI observă că</w:t>
      </w:r>
      <w:r w:rsidR="00DF172B">
        <w:t xml:space="preserve">, de la publicarea celui de-al cincilea raport al </w:t>
      </w:r>
      <w:r w:rsidR="00E279C6">
        <w:t>său</w:t>
      </w:r>
      <w:r w:rsidR="00DF172B">
        <w:t>,</w:t>
      </w:r>
      <w:r>
        <w:t xml:space="preserve"> nu au </w:t>
      </w:r>
      <w:r w:rsidR="001F5AA7">
        <w:t>avut loc</w:t>
      </w:r>
      <w:r>
        <w:t xml:space="preserve"> schimbări semnificative în vederea consolidării capacității instituționale a Consiliului pentru prevenirea și eliminarea discriminării și asigurarea egalității (CPPEDAE) și a Avocatului Poporului (Ombudsmanul). Deși în 2018 a fost emis un proiect de lege pentru consolidarea anumitor prerogative ale CPPEDAE, tra</w:t>
      </w:r>
      <w:r w:rsidR="001F5AA7">
        <w:t>nspunerea</w:t>
      </w:r>
      <w:r>
        <w:t xml:space="preserve"> </w:t>
      </w:r>
      <w:r w:rsidR="00DF172B">
        <w:t xml:space="preserve">acestuia </w:t>
      </w:r>
      <w:r>
        <w:t xml:space="preserve">în </w:t>
      </w:r>
      <w:r w:rsidR="001F5AA7">
        <w:t>normă legală</w:t>
      </w:r>
      <w:r w:rsidR="00695745">
        <w:t xml:space="preserve"> nu a fost posibilă</w:t>
      </w:r>
      <w:r>
        <w:t xml:space="preserve"> din cauza schimbării Guvernului. CERI a fost informată că în prezent o nouă propunere legislativă</w:t>
      </w:r>
      <w:r w:rsidR="001F5AA7">
        <w:t xml:space="preserve"> este pendinte</w:t>
      </w:r>
      <w:r>
        <w:t>.</w:t>
      </w:r>
    </w:p>
    <w:p w14:paraId="7295D621" w14:textId="77777777" w:rsidR="00D55428" w:rsidRDefault="00D55428">
      <w:pPr>
        <w:pStyle w:val="BodyText"/>
        <w:spacing w:before="1"/>
      </w:pPr>
    </w:p>
    <w:p w14:paraId="7944A52C" w14:textId="6FCDFAE9" w:rsidR="00D55428" w:rsidRDefault="00673B0D">
      <w:pPr>
        <w:pStyle w:val="BodyText"/>
        <w:ind w:left="102" w:right="112"/>
        <w:jc w:val="both"/>
      </w:pPr>
      <w:r>
        <w:t>În ceea ce privește asigurarea resurselor umane ale ambelor instituții, CERI observă cu regret că nu s-au înregistrat progrese, iar</w:t>
      </w:r>
      <w:r w:rsidR="001F5AA7">
        <w:t xml:space="preserve"> nivelul de angajare a</w:t>
      </w:r>
      <w:r>
        <w:t xml:space="preserve"> personalului rămâne o problemă persistentă, în special din cauza salariilor reduse și a nivelului ridicat de fluctuație a personalului. Mai mult, problema independenței financiare a ambelor instituții nu a fost deocamdată rezolvată, iar bugetele acestora sunt la discreția Ministerului Finanțelor, deși legislația necesită aprobarea acestora de către Parlament.</w:t>
      </w:r>
    </w:p>
    <w:p w14:paraId="59818C7B" w14:textId="77777777" w:rsidR="00D55428" w:rsidRDefault="00D55428">
      <w:pPr>
        <w:pStyle w:val="BodyText"/>
      </w:pPr>
    </w:p>
    <w:p w14:paraId="59F7427E" w14:textId="77777777" w:rsidR="00D55428" w:rsidRDefault="00673B0D">
      <w:pPr>
        <w:pStyle w:val="BodyText"/>
        <w:ind w:left="102" w:right="112"/>
        <w:jc w:val="both"/>
      </w:pPr>
      <w:r>
        <w:t>Î</w:t>
      </w:r>
      <w:r w:rsidR="00CE40B9">
        <w:t>n raport cu aceste c</w:t>
      </w:r>
      <w:r>
        <w:t>onsiderații, CERI concluzionează că această recomandare nu a fost pusă în aplicare.</w:t>
      </w:r>
    </w:p>
    <w:p w14:paraId="7DBEC69E" w14:textId="77777777" w:rsidR="00D55428" w:rsidRDefault="00D55428">
      <w:pPr>
        <w:pStyle w:val="BodyText"/>
      </w:pPr>
    </w:p>
    <w:p w14:paraId="1AD69C5A" w14:textId="4C74732D" w:rsidR="00D55428" w:rsidRDefault="00673B0D">
      <w:pPr>
        <w:pStyle w:val="ListParagraph"/>
        <w:numPr>
          <w:ilvl w:val="0"/>
          <w:numId w:val="1"/>
        </w:numPr>
        <w:tabs>
          <w:tab w:val="left" w:pos="810"/>
        </w:tabs>
        <w:ind w:right="114" w:firstLine="0"/>
        <w:jc w:val="both"/>
        <w:rPr>
          <w:i/>
        </w:rPr>
      </w:pPr>
      <w:r>
        <w:rPr>
          <w:i/>
        </w:rPr>
        <w:t>În raportul său cu privire la Republica Moldova (al cincilea ciclu de monitorizare), CERI a recomandat sporirea activităților de formare pentru funcționarii din cadrul autorităților de aplicare a legii și a sistemului judiciar privind infracțiunile motivate de ură, inclusiv discursurile de incitare la ură. O astfel de formare trebuie să acopere infracțiunile rasiste și homo/transfobice motivate de ură, precum și profil</w:t>
      </w:r>
      <w:r w:rsidR="004200A3">
        <w:rPr>
          <w:i/>
        </w:rPr>
        <w:t>area</w:t>
      </w:r>
      <w:r>
        <w:rPr>
          <w:i/>
        </w:rPr>
        <w:t xml:space="preserve"> rasial</w:t>
      </w:r>
      <w:r w:rsidR="004200A3">
        <w:rPr>
          <w:i/>
        </w:rPr>
        <w:t>ă</w:t>
      </w:r>
      <w:r>
        <w:rPr>
          <w:i/>
        </w:rPr>
        <w:t>. De asemenea, CERI recomandă autorităților să efectueze o evaluare a impactului, în scopul evaluării formării, pentru a stabili în ce măsură aceasta ajută la identificarea efectivă a infracțiunilor motivate de ură și pentru ajustarea acesteia, în cazul în care este necesar.</w:t>
      </w:r>
      <w:r w:rsidR="004200A3">
        <w:rPr>
          <w:i/>
        </w:rPr>
        <w:t xml:space="preserve"> </w:t>
      </w:r>
    </w:p>
    <w:p w14:paraId="3638F366" w14:textId="77777777" w:rsidR="00D55428" w:rsidRDefault="00D55428">
      <w:pPr>
        <w:pStyle w:val="BodyText"/>
        <w:rPr>
          <w:i/>
        </w:rPr>
      </w:pPr>
    </w:p>
    <w:p w14:paraId="41DE6D91" w14:textId="3CF14599" w:rsidR="00D55428" w:rsidRDefault="00673B0D">
      <w:pPr>
        <w:pStyle w:val="BodyText"/>
        <w:ind w:left="102" w:right="111"/>
        <w:jc w:val="both"/>
      </w:pPr>
      <w:r>
        <w:t xml:space="preserve">Autoritățile </w:t>
      </w:r>
      <w:r w:rsidR="001F5AA7">
        <w:t>publice</w:t>
      </w:r>
      <w:r>
        <w:t xml:space="preserve"> au informat CERI că</w:t>
      </w:r>
      <w:r w:rsidR="00CE40B9">
        <w:t>, în programele de formare la locul de muncă pentru procurorii și judecătorii de la Institutul Național al Justiției,</w:t>
      </w:r>
      <w:r>
        <w:t xml:space="preserve"> </w:t>
      </w:r>
      <w:r w:rsidR="00CE40B9">
        <w:t xml:space="preserve">a fost inclus </w:t>
      </w:r>
      <w:r>
        <w:t>un curs specializat privind „examinarea și investigarea infracțiunilor motivate de prejudec</w:t>
      </w:r>
      <w:r w:rsidR="004200A3">
        <w:t>ată</w:t>
      </w:r>
      <w:r>
        <w:t>”</w:t>
      </w:r>
      <w:r w:rsidR="00CE40B9">
        <w:t>.</w:t>
      </w:r>
      <w:r>
        <w:t xml:space="preserve"> În plus, în decembrie 2020 a avut loc </w:t>
      </w:r>
      <w:r w:rsidR="00AD40D9">
        <w:t>un curs de pregătire</w:t>
      </w:r>
      <w:r>
        <w:t xml:space="preserve"> condus de OSCE cu privire la infracțiunile motivate de ură pentru Centrul </w:t>
      </w:r>
      <w:r w:rsidR="00AD40D9">
        <w:t xml:space="preserve">integrat </w:t>
      </w:r>
      <w:r>
        <w:t xml:space="preserve">de </w:t>
      </w:r>
      <w:r w:rsidR="00AD40D9">
        <w:t xml:space="preserve">pregătire </w:t>
      </w:r>
      <w:r>
        <w:t xml:space="preserve">pentru </w:t>
      </w:r>
      <w:r w:rsidR="00AD40D9">
        <w:t>a</w:t>
      </w:r>
      <w:r>
        <w:t xml:space="preserve">plicarea </w:t>
      </w:r>
      <w:r w:rsidR="00AD40D9">
        <w:t>l</w:t>
      </w:r>
      <w:r>
        <w:t>egii din cadrul Ministerului Afacerilor Interne.</w:t>
      </w:r>
      <w:r w:rsidR="00A74989">
        <w:rPr>
          <w:rStyle w:val="FootnoteReference"/>
        </w:rPr>
        <w:footnoteReference w:id="3"/>
      </w:r>
      <w:r w:rsidR="004200A3">
        <w:rPr>
          <w:vertAlign w:val="superscript"/>
        </w:rPr>
        <w:t xml:space="preserve"> </w:t>
      </w:r>
    </w:p>
    <w:p w14:paraId="0D1E2188" w14:textId="77777777" w:rsidR="00D55428" w:rsidRDefault="00D55428">
      <w:pPr>
        <w:pStyle w:val="BodyText"/>
        <w:spacing w:before="11"/>
        <w:rPr>
          <w:sz w:val="21"/>
        </w:rPr>
      </w:pPr>
    </w:p>
    <w:p w14:paraId="394124CA" w14:textId="55EE45A1" w:rsidR="00D55428" w:rsidRDefault="00673B0D" w:rsidP="00A74989">
      <w:pPr>
        <w:pStyle w:val="BodyText"/>
        <w:ind w:left="102" w:right="112"/>
        <w:jc w:val="both"/>
      </w:pPr>
      <w:r>
        <w:t>CERI ia act cu satisfacție de înființarea recentă a „Grupului strategic pentru armonizarea instruirii personalului de aplicare a legii cu privire la infracțiunile motivate de ură” (denumit în continuare „Grupul de lucru strategic”) în cadrul unui proiect în curs de desfășurare al Consiliului Europei.</w:t>
      </w:r>
      <w:r w:rsidR="00A74989">
        <w:rPr>
          <w:rStyle w:val="FootnoteReference"/>
        </w:rPr>
        <w:footnoteReference w:id="4"/>
      </w:r>
      <w:r>
        <w:t xml:space="preserve"> Grupul de lucru strategic, care a funcționat în </w:t>
      </w:r>
      <w:r w:rsidR="00956B31">
        <w:t xml:space="preserve">perioada octombrie - decembrie 2020, a fost format din reprezentanți ai Inspectoratului General al Poliției, Consiliului Superior al Magistraturii, Academiei de Poliție, </w:t>
      </w:r>
      <w:r w:rsidR="00956B31">
        <w:lastRenderedPageBreak/>
        <w:t>Ministerului Justiției și Institutului Național al Justiției și a vizat identificarea lacunelor în</w:t>
      </w:r>
      <w:r w:rsidR="00A74989">
        <w:t xml:space="preserve"> </w:t>
      </w:r>
      <w:r w:rsidR="00956B31">
        <w:t xml:space="preserve">formarea personalului din domeniul aplicării legii, precum și sporirea capacității în vederea identificării și </w:t>
      </w:r>
      <w:r w:rsidR="004200A3">
        <w:t>investig</w:t>
      </w:r>
      <w:r w:rsidR="00956B31">
        <w:t>ării efective a infracțiunilor motivate de prejudec</w:t>
      </w:r>
      <w:r w:rsidR="004200A3">
        <w:t>at</w:t>
      </w:r>
      <w:r w:rsidR="00956B31">
        <w:t xml:space="preserve">ă. În acest scop, pentru 2021, au fost prevăzute două seturi diferite de programe de </w:t>
      </w:r>
      <w:r w:rsidR="00AD40D9">
        <w:t>instruire</w:t>
      </w:r>
      <w:r w:rsidR="00956B31">
        <w:t xml:space="preserve"> în formatul „Formarea Formatorilor (FF)”: i) </w:t>
      </w:r>
      <w:r w:rsidR="00AD40D9">
        <w:t>instruire</w:t>
      </w:r>
      <w:r w:rsidR="00956B31">
        <w:t xml:space="preserve"> în domeniul egalității și nediscriminării pentru agenții de poliție în vederea consolidării competențelor </w:t>
      </w:r>
      <w:r w:rsidR="00AD40D9">
        <w:t xml:space="preserve">de </w:t>
      </w:r>
      <w:r w:rsidR="00956B31">
        <w:t>preven</w:t>
      </w:r>
      <w:r w:rsidR="00AD40D9">
        <w:t>ție</w:t>
      </w:r>
      <w:r w:rsidR="00956B31">
        <w:t xml:space="preserve"> ale acestora, ii) </w:t>
      </w:r>
      <w:r w:rsidR="00AD40D9">
        <w:t>instruire</w:t>
      </w:r>
      <w:r w:rsidR="00956B31">
        <w:t xml:space="preserve"> în domeniul infracțiunilor motivate de </w:t>
      </w:r>
      <w:r w:rsidR="004200A3">
        <w:t>prejudecat</w:t>
      </w:r>
      <w:r w:rsidR="00956B31">
        <w:t xml:space="preserve">ă, la nivel interinstituțional, în special pentru agenții de poliție, procurori și judecători, în vederea dezvoltării unei înțelegeri comune a infracțiunilor motivate de </w:t>
      </w:r>
      <w:r w:rsidR="004200A3">
        <w:t>prejudecat</w:t>
      </w:r>
      <w:r w:rsidR="00956B31">
        <w:t xml:space="preserve">ă în cadrul sistemului de justiție penală </w:t>
      </w:r>
      <w:r>
        <w:t>și a unei abordări integrate de combatere a acestora. CERI salută de asemenea faptul că în prezent este în curs de punere în aplicare un program de</w:t>
      </w:r>
      <w:r w:rsidR="00AD40D9">
        <w:t xml:space="preserve"> instruire</w:t>
      </w:r>
      <w:r>
        <w:t xml:space="preserve"> privind discursul de incitare la ură pentru Serviciul de Securitate și Informații, care are sarcina de a monitoriza discursul de incitare la ură.</w:t>
      </w:r>
    </w:p>
    <w:p w14:paraId="132D2211" w14:textId="77777777" w:rsidR="00D55428" w:rsidRDefault="00D55428">
      <w:pPr>
        <w:pStyle w:val="BodyText"/>
        <w:spacing w:before="1"/>
      </w:pPr>
    </w:p>
    <w:p w14:paraId="4580A0FF" w14:textId="55195E69" w:rsidR="00D55428" w:rsidRDefault="00673B0D">
      <w:pPr>
        <w:pStyle w:val="BodyText"/>
        <w:spacing w:before="1"/>
        <w:ind w:left="102" w:right="112"/>
        <w:jc w:val="both"/>
      </w:pPr>
      <w:r>
        <w:t xml:space="preserve">Deși salută aceste măsuri întreprinse de autorități, CERI concluzionează că </w:t>
      </w:r>
      <w:r w:rsidR="00AD40D9">
        <w:t>ele</w:t>
      </w:r>
      <w:r>
        <w:t xml:space="preserve"> nu au asigurat deocamdată calificarea corespunzătoare a infracțiunilor motivate de ură. Programele de formare stabilite de Grupul de lucru strategic sunt </w:t>
      </w:r>
      <w:r w:rsidR="00AD40D9">
        <w:t>la</w:t>
      </w:r>
      <w:r>
        <w:t xml:space="preserve"> etapa inițială și impactul acestor programe nu a fost încă evaluat. În acest sens, CERI încurajează autoritățile din Republica Moldova să continue eforturile pentru îmbunătățirea cunoștințelor și expertizei în rândul funcționarilor de aplicare a legii în ceea ce privește recunoașterea dinamicii infracțiunilor motivate de ură, prin utilizarea efectivă a acestor programe de </w:t>
      </w:r>
      <w:r w:rsidR="00E279C6">
        <w:t>instruire</w:t>
      </w:r>
      <w:r>
        <w:t>.</w:t>
      </w:r>
    </w:p>
    <w:p w14:paraId="72AD20AA" w14:textId="77777777" w:rsidR="00D55428" w:rsidRDefault="00673B0D">
      <w:pPr>
        <w:pStyle w:val="BodyText"/>
        <w:spacing w:before="120"/>
        <w:ind w:left="102"/>
        <w:jc w:val="both"/>
      </w:pPr>
      <w:r>
        <w:t xml:space="preserve">Prin urmare, CERI consideră că această recomandare a fost </w:t>
      </w:r>
      <w:r w:rsidR="00E97768">
        <w:t xml:space="preserve">parțial </w:t>
      </w:r>
      <w:r>
        <w:t>pusă în aplicare.</w:t>
      </w:r>
    </w:p>
    <w:p w14:paraId="3D10F94E" w14:textId="77777777" w:rsidR="00D55428" w:rsidRDefault="00D55428">
      <w:pPr>
        <w:pStyle w:val="BodyText"/>
        <w:rPr>
          <w:sz w:val="20"/>
        </w:rPr>
      </w:pPr>
    </w:p>
    <w:p w14:paraId="4F38E76C" w14:textId="77777777" w:rsidR="00D55428" w:rsidRDefault="00D55428">
      <w:pPr>
        <w:pStyle w:val="BodyText"/>
        <w:rPr>
          <w:sz w:val="20"/>
        </w:rPr>
      </w:pPr>
    </w:p>
    <w:p w14:paraId="5512FC04" w14:textId="77777777" w:rsidR="00D55428" w:rsidRDefault="00D55428">
      <w:pPr>
        <w:pStyle w:val="BodyText"/>
        <w:rPr>
          <w:sz w:val="20"/>
        </w:rPr>
      </w:pPr>
    </w:p>
    <w:p w14:paraId="4972DE79" w14:textId="77777777" w:rsidR="00D55428" w:rsidRDefault="00D55428">
      <w:pPr>
        <w:pStyle w:val="BodyText"/>
        <w:rPr>
          <w:sz w:val="20"/>
        </w:rPr>
      </w:pPr>
    </w:p>
    <w:p w14:paraId="56CDA9D0" w14:textId="77777777" w:rsidR="00D55428" w:rsidRDefault="00D55428">
      <w:pPr>
        <w:pStyle w:val="BodyText"/>
        <w:rPr>
          <w:sz w:val="20"/>
        </w:rPr>
      </w:pPr>
    </w:p>
    <w:p w14:paraId="150F3912" w14:textId="30F2020A" w:rsidR="00D55428" w:rsidRDefault="00D55428">
      <w:pPr>
        <w:spacing w:before="96"/>
        <w:ind w:left="102"/>
        <w:rPr>
          <w:sz w:val="16"/>
        </w:rPr>
      </w:pPr>
    </w:p>
    <w:p w14:paraId="040D2F54" w14:textId="77777777" w:rsidR="00D55428" w:rsidRDefault="00D55428">
      <w:pPr>
        <w:rPr>
          <w:sz w:val="16"/>
        </w:rPr>
        <w:sectPr w:rsidR="00D55428" w:rsidSect="00A74989">
          <w:footerReference w:type="even" r:id="rId14"/>
          <w:type w:val="oddPage"/>
          <w:pgSz w:w="11907" w:h="16840" w:code="9"/>
          <w:pgMar w:top="1134" w:right="1701" w:bottom="1134" w:left="1701" w:header="709" w:footer="709" w:gutter="0"/>
          <w:cols w:space="708"/>
        </w:sectPr>
      </w:pPr>
    </w:p>
    <w:p w14:paraId="08DD4E16" w14:textId="77777777" w:rsidR="00D55428" w:rsidRDefault="00D55428">
      <w:pPr>
        <w:pStyle w:val="BodyText"/>
        <w:spacing w:before="4"/>
        <w:rPr>
          <w:sz w:val="17"/>
        </w:rPr>
      </w:pPr>
    </w:p>
    <w:sectPr w:rsidR="00D55428" w:rsidSect="00A74989">
      <w:footerReference w:type="default" r:id="rId15"/>
      <w:pgSz w:w="11907" w:h="16840" w:code="9"/>
      <w:pgMar w:top="1134" w:right="1701"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47D11" w14:textId="77777777" w:rsidR="00B16730" w:rsidRDefault="00B16730" w:rsidP="00EB111C">
      <w:r>
        <w:separator/>
      </w:r>
    </w:p>
  </w:endnote>
  <w:endnote w:type="continuationSeparator" w:id="0">
    <w:p w14:paraId="32C0810B" w14:textId="77777777" w:rsidR="00B16730" w:rsidRDefault="00B16730" w:rsidP="00EB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6976398"/>
      <w:docPartObj>
        <w:docPartGallery w:val="Page Numbers (Bottom of Page)"/>
        <w:docPartUnique/>
      </w:docPartObj>
    </w:sdtPr>
    <w:sdtEndPr>
      <w:rPr>
        <w:sz w:val="16"/>
        <w:szCs w:val="16"/>
      </w:rPr>
    </w:sdtEndPr>
    <w:sdtContent>
      <w:p w14:paraId="23746FBF" w14:textId="3CD6F1A0" w:rsidR="0044506F" w:rsidRPr="0044506F" w:rsidRDefault="0044506F">
        <w:pPr>
          <w:pStyle w:val="Footer"/>
          <w:jc w:val="right"/>
          <w:rPr>
            <w:sz w:val="16"/>
            <w:szCs w:val="16"/>
          </w:rPr>
        </w:pPr>
        <w:r w:rsidRPr="0044506F">
          <w:rPr>
            <w:sz w:val="16"/>
            <w:szCs w:val="16"/>
          </w:rPr>
          <w:fldChar w:fldCharType="begin"/>
        </w:r>
        <w:r w:rsidRPr="0044506F">
          <w:rPr>
            <w:sz w:val="16"/>
            <w:szCs w:val="16"/>
          </w:rPr>
          <w:instrText>PAGE   \* MERGEFORMAT</w:instrText>
        </w:r>
        <w:r w:rsidRPr="0044506F">
          <w:rPr>
            <w:sz w:val="16"/>
            <w:szCs w:val="16"/>
          </w:rPr>
          <w:fldChar w:fldCharType="separate"/>
        </w:r>
        <w:r w:rsidRPr="0044506F">
          <w:rPr>
            <w:sz w:val="16"/>
            <w:szCs w:val="16"/>
            <w:lang w:val="fr-FR"/>
          </w:rPr>
          <w:t>2</w:t>
        </w:r>
        <w:r w:rsidRPr="0044506F">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8365674"/>
      <w:docPartObj>
        <w:docPartGallery w:val="Page Numbers (Bottom of Page)"/>
        <w:docPartUnique/>
      </w:docPartObj>
    </w:sdtPr>
    <w:sdtEndPr>
      <w:rPr>
        <w:sz w:val="16"/>
        <w:szCs w:val="16"/>
      </w:rPr>
    </w:sdtEndPr>
    <w:sdtContent>
      <w:p w14:paraId="5C990ABE" w14:textId="77777777" w:rsidR="0044506F" w:rsidRPr="0044506F" w:rsidRDefault="0044506F" w:rsidP="0044506F">
        <w:pPr>
          <w:pStyle w:val="Footer"/>
          <w:rPr>
            <w:sz w:val="16"/>
            <w:szCs w:val="16"/>
          </w:rPr>
        </w:pPr>
        <w:r w:rsidRPr="0044506F">
          <w:rPr>
            <w:sz w:val="16"/>
            <w:szCs w:val="16"/>
          </w:rPr>
          <w:fldChar w:fldCharType="begin"/>
        </w:r>
        <w:r w:rsidRPr="0044506F">
          <w:rPr>
            <w:sz w:val="16"/>
            <w:szCs w:val="16"/>
          </w:rPr>
          <w:instrText>PAGE   \* MERGEFORMAT</w:instrText>
        </w:r>
        <w:r w:rsidRPr="0044506F">
          <w:rPr>
            <w:sz w:val="16"/>
            <w:szCs w:val="16"/>
          </w:rPr>
          <w:fldChar w:fldCharType="separate"/>
        </w:r>
        <w:r>
          <w:rPr>
            <w:sz w:val="16"/>
            <w:szCs w:val="16"/>
          </w:rPr>
          <w:t>3</w:t>
        </w:r>
        <w:r w:rsidRPr="0044506F">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55FEB" w14:textId="77777777" w:rsidR="0044506F" w:rsidRDefault="00445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C7616" w14:textId="77777777" w:rsidR="00B16730" w:rsidRDefault="00B16730" w:rsidP="00EB111C">
      <w:r>
        <w:separator/>
      </w:r>
    </w:p>
  </w:footnote>
  <w:footnote w:type="continuationSeparator" w:id="0">
    <w:p w14:paraId="6887270B" w14:textId="77777777" w:rsidR="00B16730" w:rsidRDefault="00B16730" w:rsidP="00EB111C">
      <w:r>
        <w:continuationSeparator/>
      </w:r>
    </w:p>
  </w:footnote>
  <w:footnote w:id="1">
    <w:p w14:paraId="487DCA10" w14:textId="42396F94" w:rsidR="00A74989" w:rsidRPr="00A74989" w:rsidRDefault="00A74989" w:rsidP="00A74989">
      <w:pPr>
        <w:pStyle w:val="FootnoteText"/>
        <w:spacing w:before="80"/>
        <w:jc w:val="both"/>
        <w:rPr>
          <w:rFonts w:ascii="Arial Narrow" w:hAnsi="Arial Narrow"/>
          <w:sz w:val="18"/>
          <w:szCs w:val="18"/>
          <w:lang w:val="fr-FR"/>
        </w:rPr>
      </w:pPr>
      <w:r w:rsidRPr="00A74989">
        <w:rPr>
          <w:rStyle w:val="FootnoteReference"/>
          <w:rFonts w:ascii="Arial Narrow" w:hAnsi="Arial Narrow"/>
          <w:sz w:val="18"/>
          <w:szCs w:val="18"/>
        </w:rPr>
        <w:footnoteRef/>
      </w:r>
      <w:r w:rsidRPr="00A74989">
        <w:rPr>
          <w:rFonts w:ascii="Arial Narrow" w:hAnsi="Arial Narrow"/>
          <w:sz w:val="18"/>
          <w:szCs w:val="18"/>
        </w:rPr>
        <w:t xml:space="preserve"> </w:t>
      </w:r>
      <w:r w:rsidRPr="00A74989">
        <w:rPr>
          <w:rFonts w:ascii="Arial Narrow" w:hAnsi="Arial Narrow"/>
          <w:sz w:val="18"/>
          <w:szCs w:val="18"/>
        </w:rPr>
        <w:t>Cu excepția cazului în care se indică în mod expres, în prezenta analiză, nu este luată în considerare  nicio evoluție care a avut loc după 18 noiembrie 2020, dată la care a fost primit răspunsul din partea autorităților din Republica Moldova la solicitarea de informații a CERI cu privire la măsurile adoptate pentru punerea în aplicare a recomandărilor alese pentru urmărirea intermediară.</w:t>
      </w:r>
    </w:p>
  </w:footnote>
  <w:footnote w:id="2">
    <w:p w14:paraId="06D8FFC6" w14:textId="72BAAAF3" w:rsidR="00A74989" w:rsidRPr="00A74989" w:rsidRDefault="00A74989" w:rsidP="00A74989">
      <w:pPr>
        <w:pStyle w:val="FootnoteText"/>
        <w:spacing w:before="80"/>
        <w:jc w:val="both"/>
        <w:rPr>
          <w:rFonts w:ascii="Arial Narrow" w:hAnsi="Arial Narrow"/>
          <w:sz w:val="18"/>
          <w:szCs w:val="18"/>
          <w:lang w:val="fr-FR"/>
        </w:rPr>
      </w:pPr>
      <w:r w:rsidRPr="00A74989">
        <w:rPr>
          <w:rStyle w:val="FootnoteReference"/>
          <w:rFonts w:ascii="Arial Narrow" w:hAnsi="Arial Narrow"/>
          <w:sz w:val="18"/>
          <w:szCs w:val="18"/>
        </w:rPr>
        <w:footnoteRef/>
      </w:r>
      <w:r w:rsidRPr="00A74989">
        <w:rPr>
          <w:rFonts w:ascii="Arial Narrow" w:hAnsi="Arial Narrow"/>
          <w:sz w:val="18"/>
          <w:szCs w:val="18"/>
        </w:rPr>
        <w:t xml:space="preserve"> </w:t>
      </w:r>
      <w:r w:rsidRPr="00A74989">
        <w:rPr>
          <w:rFonts w:ascii="Arial Narrow" w:hAnsi="Arial Narrow"/>
          <w:sz w:val="18"/>
          <w:szCs w:val="18"/>
        </w:rPr>
        <w:t>CM/Del/Dec(2012)1154/4.2.</w:t>
      </w:r>
    </w:p>
  </w:footnote>
  <w:footnote w:id="3">
    <w:p w14:paraId="1B91D306" w14:textId="219889AD" w:rsidR="00A74989" w:rsidRPr="00A74989" w:rsidRDefault="00A74989" w:rsidP="00A74989">
      <w:pPr>
        <w:pStyle w:val="FootnoteText"/>
        <w:spacing w:before="80"/>
        <w:jc w:val="both"/>
        <w:rPr>
          <w:rFonts w:ascii="Arial Narrow" w:hAnsi="Arial Narrow"/>
          <w:sz w:val="18"/>
          <w:szCs w:val="18"/>
          <w:lang w:val="fi-FI"/>
        </w:rPr>
      </w:pPr>
      <w:r w:rsidRPr="00A74989">
        <w:rPr>
          <w:rStyle w:val="FootnoteReference"/>
          <w:rFonts w:ascii="Arial Narrow" w:hAnsi="Arial Narrow"/>
          <w:sz w:val="18"/>
          <w:szCs w:val="18"/>
        </w:rPr>
        <w:footnoteRef/>
      </w:r>
      <w:r w:rsidRPr="00A74989">
        <w:rPr>
          <w:rFonts w:ascii="Arial Narrow" w:hAnsi="Arial Narrow"/>
          <w:sz w:val="18"/>
          <w:szCs w:val="18"/>
        </w:rPr>
        <w:t xml:space="preserve"> </w:t>
      </w:r>
      <w:r w:rsidRPr="00A74989">
        <w:rPr>
          <w:rFonts w:ascii="Arial Narrow" w:hAnsi="Arial Narrow"/>
          <w:sz w:val="18"/>
          <w:szCs w:val="18"/>
        </w:rPr>
        <w:t xml:space="preserve">A se vedea </w:t>
      </w:r>
      <w:hyperlink r:id="rId1">
        <w:r w:rsidRPr="00A74989">
          <w:rPr>
            <w:rFonts w:ascii="Arial Narrow" w:hAnsi="Arial Narrow"/>
            <w:color w:val="0000FF"/>
            <w:sz w:val="18"/>
            <w:szCs w:val="18"/>
            <w:u w:val="single" w:color="0000FF"/>
          </w:rPr>
          <w:t>https://www.osce.org/mission-to-moldova/473667</w:t>
        </w:r>
      </w:hyperlink>
      <w:r w:rsidRPr="00A74989">
        <w:rPr>
          <w:rFonts w:ascii="Arial Narrow" w:hAnsi="Arial Narrow"/>
          <w:color w:val="0000FF"/>
          <w:sz w:val="18"/>
          <w:szCs w:val="18"/>
          <w:u w:val="single" w:color="0000FF"/>
        </w:rPr>
        <w:t>.</w:t>
      </w:r>
    </w:p>
  </w:footnote>
  <w:footnote w:id="4">
    <w:p w14:paraId="3CBB6540" w14:textId="4949719E" w:rsidR="00A74989" w:rsidRPr="00A74989" w:rsidRDefault="00A74989" w:rsidP="00A74989">
      <w:pPr>
        <w:pStyle w:val="FootnoteText"/>
        <w:spacing w:before="80"/>
        <w:jc w:val="both"/>
        <w:rPr>
          <w:rFonts w:ascii="Arial Narrow" w:hAnsi="Arial Narrow"/>
          <w:sz w:val="18"/>
          <w:szCs w:val="18"/>
          <w:lang w:val="fi-FI"/>
        </w:rPr>
      </w:pPr>
      <w:r w:rsidRPr="00A74989">
        <w:rPr>
          <w:rStyle w:val="FootnoteReference"/>
          <w:rFonts w:ascii="Arial Narrow" w:hAnsi="Arial Narrow"/>
          <w:sz w:val="18"/>
          <w:szCs w:val="18"/>
        </w:rPr>
        <w:footnoteRef/>
      </w:r>
      <w:r w:rsidRPr="00A74989">
        <w:rPr>
          <w:rFonts w:ascii="Arial Narrow" w:hAnsi="Arial Narrow"/>
          <w:sz w:val="18"/>
          <w:szCs w:val="18"/>
        </w:rPr>
        <w:t xml:space="preserve"> </w:t>
      </w:r>
      <w:hyperlink r:id="rId2">
        <w:r w:rsidRPr="00A74989">
          <w:rPr>
            <w:rFonts w:ascii="Arial Narrow" w:hAnsi="Arial Narrow"/>
            <w:color w:val="0000FF"/>
            <w:sz w:val="18"/>
            <w:szCs w:val="18"/>
            <w:u w:val="single" w:color="0000FF"/>
          </w:rPr>
          <w:t>Proiectul</w:t>
        </w:r>
      </w:hyperlink>
      <w:r w:rsidRPr="00A74989">
        <w:rPr>
          <w:rFonts w:ascii="Arial Narrow" w:hAnsi="Arial Narrow"/>
          <w:color w:val="0000FF"/>
          <w:sz w:val="18"/>
          <w:szCs w:val="18"/>
        </w:rPr>
        <w:t xml:space="preserve"> </w:t>
      </w:r>
      <w:r w:rsidRPr="00A74989">
        <w:rPr>
          <w:rFonts w:ascii="Arial Narrow" w:hAnsi="Arial Narrow"/>
          <w:sz w:val="18"/>
          <w:szCs w:val="18"/>
        </w:rPr>
        <w:t>privind „Consolidarea accesului la justiție pentru victimele discriminării, discursurilor de incitare la ură și infracțiunilor motivate de ură în cadrul Parteneriatului Estic” este parte a Parteneriatului pentru Buna Guvernare și este gestionat de Divizia  Incluziune și Antidiscriminare a Consiliului Europei.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C9851" w14:textId="78C4E3D5" w:rsidR="0044506F" w:rsidRDefault="0044506F" w:rsidP="0044506F">
    <w:pPr>
      <w:pStyle w:val="Header"/>
      <w:jc w:val="right"/>
    </w:pPr>
    <w:r>
      <w:rPr>
        <w:rFonts w:ascii="Times New Roman"/>
        <w:noProof/>
        <w:sz w:val="20"/>
        <w:lang w:val="fr-FR" w:eastAsia="fr-FR"/>
      </w:rPr>
      <w:drawing>
        <wp:inline distT="0" distB="0" distL="0" distR="0" wp14:anchorId="346553E5" wp14:editId="2E50593A">
          <wp:extent cx="2099729" cy="72694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99729" cy="7269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93F4C" w14:textId="138DA714" w:rsidR="0044506F" w:rsidRDefault="0044506F" w:rsidP="004450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6E4A91"/>
    <w:multiLevelType w:val="hybridMultilevel"/>
    <w:tmpl w:val="B56444FA"/>
    <w:lvl w:ilvl="0" w:tplc="776CE6B8">
      <w:start w:val="1"/>
      <w:numFmt w:val="decimal"/>
      <w:lvlText w:val="%1."/>
      <w:lvlJc w:val="left"/>
      <w:pPr>
        <w:ind w:left="102" w:hanging="708"/>
        <w:jc w:val="left"/>
      </w:pPr>
      <w:rPr>
        <w:rFonts w:ascii="Arial" w:eastAsia="Arial" w:hAnsi="Arial" w:cs="Arial" w:hint="default"/>
        <w:i/>
        <w:w w:val="100"/>
        <w:sz w:val="22"/>
        <w:szCs w:val="22"/>
        <w:lang w:val="en-US" w:eastAsia="en-US" w:bidi="ar-SA"/>
      </w:rPr>
    </w:lvl>
    <w:lvl w:ilvl="1" w:tplc="CCEE46BC">
      <w:numFmt w:val="bullet"/>
      <w:lvlText w:val="•"/>
      <w:lvlJc w:val="left"/>
      <w:pPr>
        <w:ind w:left="962" w:hanging="708"/>
      </w:pPr>
      <w:rPr>
        <w:rFonts w:hint="default"/>
        <w:lang w:val="en-US" w:eastAsia="en-US" w:bidi="ar-SA"/>
      </w:rPr>
    </w:lvl>
    <w:lvl w:ilvl="2" w:tplc="23E80870">
      <w:numFmt w:val="bullet"/>
      <w:lvlText w:val="•"/>
      <w:lvlJc w:val="left"/>
      <w:pPr>
        <w:ind w:left="1825" w:hanging="708"/>
      </w:pPr>
      <w:rPr>
        <w:rFonts w:hint="default"/>
        <w:lang w:val="en-US" w:eastAsia="en-US" w:bidi="ar-SA"/>
      </w:rPr>
    </w:lvl>
    <w:lvl w:ilvl="3" w:tplc="EFA654A0">
      <w:numFmt w:val="bullet"/>
      <w:lvlText w:val="•"/>
      <w:lvlJc w:val="left"/>
      <w:pPr>
        <w:ind w:left="2687" w:hanging="708"/>
      </w:pPr>
      <w:rPr>
        <w:rFonts w:hint="default"/>
        <w:lang w:val="en-US" w:eastAsia="en-US" w:bidi="ar-SA"/>
      </w:rPr>
    </w:lvl>
    <w:lvl w:ilvl="4" w:tplc="17BE2246">
      <w:numFmt w:val="bullet"/>
      <w:lvlText w:val="•"/>
      <w:lvlJc w:val="left"/>
      <w:pPr>
        <w:ind w:left="3550" w:hanging="708"/>
      </w:pPr>
      <w:rPr>
        <w:rFonts w:hint="default"/>
        <w:lang w:val="en-US" w:eastAsia="en-US" w:bidi="ar-SA"/>
      </w:rPr>
    </w:lvl>
    <w:lvl w:ilvl="5" w:tplc="27B6D50A">
      <w:numFmt w:val="bullet"/>
      <w:lvlText w:val="•"/>
      <w:lvlJc w:val="left"/>
      <w:pPr>
        <w:ind w:left="4413" w:hanging="708"/>
      </w:pPr>
      <w:rPr>
        <w:rFonts w:hint="default"/>
        <w:lang w:val="en-US" w:eastAsia="en-US" w:bidi="ar-SA"/>
      </w:rPr>
    </w:lvl>
    <w:lvl w:ilvl="6" w:tplc="8B781C0A">
      <w:numFmt w:val="bullet"/>
      <w:lvlText w:val="•"/>
      <w:lvlJc w:val="left"/>
      <w:pPr>
        <w:ind w:left="5275" w:hanging="708"/>
      </w:pPr>
      <w:rPr>
        <w:rFonts w:hint="default"/>
        <w:lang w:val="en-US" w:eastAsia="en-US" w:bidi="ar-SA"/>
      </w:rPr>
    </w:lvl>
    <w:lvl w:ilvl="7" w:tplc="24F091DE">
      <w:numFmt w:val="bullet"/>
      <w:lvlText w:val="•"/>
      <w:lvlJc w:val="left"/>
      <w:pPr>
        <w:ind w:left="6138" w:hanging="708"/>
      </w:pPr>
      <w:rPr>
        <w:rFonts w:hint="default"/>
        <w:lang w:val="en-US" w:eastAsia="en-US" w:bidi="ar-SA"/>
      </w:rPr>
    </w:lvl>
    <w:lvl w:ilvl="8" w:tplc="776A8F72">
      <w:numFmt w:val="bullet"/>
      <w:lvlText w:val="•"/>
      <w:lvlJc w:val="left"/>
      <w:pPr>
        <w:ind w:left="7001" w:hanging="70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428"/>
    <w:rsid w:val="000422A6"/>
    <w:rsid w:val="000C3FC8"/>
    <w:rsid w:val="001305D2"/>
    <w:rsid w:val="001F5AA7"/>
    <w:rsid w:val="004200A3"/>
    <w:rsid w:val="0044506F"/>
    <w:rsid w:val="005406F9"/>
    <w:rsid w:val="00670F26"/>
    <w:rsid w:val="00673B0D"/>
    <w:rsid w:val="00695745"/>
    <w:rsid w:val="00956B31"/>
    <w:rsid w:val="00973198"/>
    <w:rsid w:val="00A74989"/>
    <w:rsid w:val="00AD40D9"/>
    <w:rsid w:val="00B16730"/>
    <w:rsid w:val="00CE40B9"/>
    <w:rsid w:val="00D55428"/>
    <w:rsid w:val="00DA2E79"/>
    <w:rsid w:val="00DE0E42"/>
    <w:rsid w:val="00DF172B"/>
    <w:rsid w:val="00E279C6"/>
    <w:rsid w:val="00E97768"/>
    <w:rsid w:val="00EB111C"/>
    <w:rsid w:val="00F329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79F6"/>
  <w15:docId w15:val="{D7E6DBB6-D3E7-4221-A552-321F1B65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37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 w:right="113"/>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EB111C"/>
    <w:rPr>
      <w:sz w:val="20"/>
      <w:szCs w:val="20"/>
    </w:rPr>
  </w:style>
  <w:style w:type="character" w:customStyle="1" w:styleId="FootnoteTextChar">
    <w:name w:val="Footnote Text Char"/>
    <w:basedOn w:val="DefaultParagraphFont"/>
    <w:link w:val="FootnoteText"/>
    <w:uiPriority w:val="99"/>
    <w:semiHidden/>
    <w:rsid w:val="00EB111C"/>
    <w:rPr>
      <w:rFonts w:ascii="Arial" w:eastAsia="Arial" w:hAnsi="Arial" w:cs="Arial"/>
      <w:sz w:val="20"/>
      <w:szCs w:val="20"/>
    </w:rPr>
  </w:style>
  <w:style w:type="character" w:styleId="FootnoteReference">
    <w:name w:val="footnote reference"/>
    <w:basedOn w:val="DefaultParagraphFont"/>
    <w:uiPriority w:val="99"/>
    <w:semiHidden/>
    <w:unhideWhenUsed/>
    <w:rsid w:val="00EB111C"/>
    <w:rPr>
      <w:vertAlign w:val="superscript"/>
    </w:rPr>
  </w:style>
  <w:style w:type="paragraph" w:styleId="Revision">
    <w:name w:val="Revision"/>
    <w:hidden/>
    <w:uiPriority w:val="99"/>
    <w:semiHidden/>
    <w:rsid w:val="00E279C6"/>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E279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C6"/>
    <w:rPr>
      <w:rFonts w:ascii="Segoe UI" w:eastAsia="Arial" w:hAnsi="Segoe UI" w:cs="Segoe UI"/>
      <w:sz w:val="18"/>
      <w:szCs w:val="18"/>
    </w:rPr>
  </w:style>
  <w:style w:type="character" w:styleId="Hyperlink">
    <w:name w:val="Hyperlink"/>
    <w:basedOn w:val="DefaultParagraphFont"/>
    <w:uiPriority w:val="99"/>
    <w:unhideWhenUsed/>
    <w:rsid w:val="00A74989"/>
    <w:rPr>
      <w:color w:val="0000FF" w:themeColor="hyperlink"/>
      <w:u w:val="single"/>
    </w:rPr>
  </w:style>
  <w:style w:type="character" w:styleId="UnresolvedMention">
    <w:name w:val="Unresolved Mention"/>
    <w:basedOn w:val="DefaultParagraphFont"/>
    <w:uiPriority w:val="99"/>
    <w:semiHidden/>
    <w:unhideWhenUsed/>
    <w:rsid w:val="00A74989"/>
    <w:rPr>
      <w:color w:val="605E5C"/>
      <w:shd w:val="clear" w:color="auto" w:fill="E1DFDD"/>
    </w:rPr>
  </w:style>
  <w:style w:type="paragraph" w:styleId="Header">
    <w:name w:val="header"/>
    <w:basedOn w:val="Normal"/>
    <w:link w:val="HeaderChar"/>
    <w:uiPriority w:val="99"/>
    <w:unhideWhenUsed/>
    <w:rsid w:val="00A74989"/>
    <w:pPr>
      <w:tabs>
        <w:tab w:val="center" w:pos="4513"/>
        <w:tab w:val="right" w:pos="9026"/>
      </w:tabs>
    </w:pPr>
  </w:style>
  <w:style w:type="character" w:customStyle="1" w:styleId="HeaderChar">
    <w:name w:val="Header Char"/>
    <w:basedOn w:val="DefaultParagraphFont"/>
    <w:link w:val="Header"/>
    <w:uiPriority w:val="99"/>
    <w:rsid w:val="00A74989"/>
    <w:rPr>
      <w:rFonts w:ascii="Arial" w:eastAsia="Arial" w:hAnsi="Arial" w:cs="Arial"/>
    </w:rPr>
  </w:style>
  <w:style w:type="paragraph" w:styleId="Footer">
    <w:name w:val="footer"/>
    <w:basedOn w:val="Normal"/>
    <w:link w:val="FooterChar"/>
    <w:uiPriority w:val="99"/>
    <w:unhideWhenUsed/>
    <w:rsid w:val="00A74989"/>
    <w:pPr>
      <w:tabs>
        <w:tab w:val="center" w:pos="4513"/>
        <w:tab w:val="right" w:pos="9026"/>
      </w:tabs>
    </w:pPr>
  </w:style>
  <w:style w:type="character" w:customStyle="1" w:styleId="FooterChar">
    <w:name w:val="Footer Char"/>
    <w:basedOn w:val="DefaultParagraphFont"/>
    <w:link w:val="Footer"/>
    <w:uiPriority w:val="99"/>
    <w:rsid w:val="00A7498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325278">
      <w:bodyDiv w:val="1"/>
      <w:marLeft w:val="0"/>
      <w:marRight w:val="0"/>
      <w:marTop w:val="0"/>
      <w:marBottom w:val="0"/>
      <w:divBdr>
        <w:top w:val="none" w:sz="0" w:space="0" w:color="auto"/>
        <w:left w:val="none" w:sz="0" w:space="0" w:color="auto"/>
        <w:bottom w:val="none" w:sz="0" w:space="0" w:color="auto"/>
        <w:right w:val="none" w:sz="0" w:space="0" w:color="auto"/>
      </w:divBdr>
    </w:div>
    <w:div w:id="1673147248">
      <w:bodyDiv w:val="1"/>
      <w:marLeft w:val="0"/>
      <w:marRight w:val="0"/>
      <w:marTop w:val="0"/>
      <w:marBottom w:val="0"/>
      <w:divBdr>
        <w:top w:val="none" w:sz="0" w:space="0" w:color="auto"/>
        <w:left w:val="none" w:sz="0" w:space="0" w:color="auto"/>
        <w:bottom w:val="none" w:sz="0" w:space="0" w:color="auto"/>
        <w:right w:val="none" w:sz="0" w:space="0" w:color="auto"/>
      </w:divBdr>
    </w:div>
    <w:div w:id="187874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oe.int/ecri" TargetMode="External"/><Relationship Id="rId4" Type="http://schemas.openxmlformats.org/officeDocument/2006/relationships/settings" Target="settings.xml"/><Relationship Id="rId9" Type="http://schemas.openxmlformats.org/officeDocument/2006/relationships/hyperlink" Target="mailto:ecri@coe.in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rm.coe.int/2354-regional-project-factsheet-antidiscrimination-final/1680979c9c" TargetMode="External"/><Relationship Id="rId1" Type="http://schemas.openxmlformats.org/officeDocument/2006/relationships/hyperlink" Target="https://www.osce.org/mission-to-moldova/4736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0FDB6-CB63-41C8-B578-BDD1ACB5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1195</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USAL KANZLER Zeynep</dc:creator>
  <cp:lastModifiedBy>LEHMANN Sylvia</cp:lastModifiedBy>
  <cp:revision>3</cp:revision>
  <dcterms:created xsi:type="dcterms:W3CDTF">2021-06-02T09:09:00Z</dcterms:created>
  <dcterms:modified xsi:type="dcterms:W3CDTF">2021-06-02T10:08:00Z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Microsoft® Word 2013</vt:lpwstr>
  </property>
  <property fmtid="{D5CDD505-2E9C-101B-9397-08002B2CF9AE}" pid="4" name="LastSaved">
    <vt:filetime>2021-05-31T00:00:00Z</vt:filetime>
  </property>
</Properties>
</file>