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8762A8" w:rsidRPr="008C0ED8" w14:paraId="5D43688C" w14:textId="77777777" w:rsidTr="002B0CD7">
        <w:trPr>
          <w:trHeight w:val="1413"/>
        </w:trPr>
        <w:tc>
          <w:tcPr>
            <w:tcW w:w="2063" w:type="dxa"/>
          </w:tcPr>
          <w:p w14:paraId="38B488AA" w14:textId="77777777" w:rsidR="008762A8" w:rsidRPr="00D00033" w:rsidRDefault="008762A8"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7E0E9C65" wp14:editId="1192D138">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00EBBF1F" w14:textId="77777777" w:rsidR="008762A8" w:rsidRPr="00D00033" w:rsidRDefault="008762A8" w:rsidP="002B0CD7">
            <w:pPr>
              <w:jc w:val="center"/>
              <w:rPr>
                <w:rFonts w:ascii="Myriad Pro" w:eastAsiaTheme="minorHAnsi" w:hAnsi="Myriad Pro"/>
                <w:b/>
                <w:lang w:val="en-US"/>
              </w:rPr>
            </w:pPr>
          </w:p>
          <w:p w14:paraId="6F0FC82C" w14:textId="77777777" w:rsidR="008762A8" w:rsidRPr="00D00033" w:rsidRDefault="008762A8" w:rsidP="002B0CD7">
            <w:pPr>
              <w:jc w:val="center"/>
              <w:rPr>
                <w:rFonts w:ascii="Myriad Pro" w:eastAsiaTheme="minorHAnsi" w:hAnsi="Myriad Pro"/>
                <w:b/>
                <w:sz w:val="26"/>
                <w:szCs w:val="18"/>
                <w:lang w:val="en-US"/>
              </w:rPr>
            </w:pPr>
          </w:p>
          <w:p w14:paraId="4B7F3DDD" w14:textId="77777777" w:rsidR="008762A8" w:rsidRPr="00D00033" w:rsidRDefault="008762A8" w:rsidP="002B0CD7">
            <w:pPr>
              <w:jc w:val="center"/>
              <w:rPr>
                <w:rFonts w:ascii="Myriad Pro" w:eastAsiaTheme="minorHAnsi" w:hAnsi="Myriad Pro"/>
                <w:b/>
                <w:sz w:val="26"/>
                <w:szCs w:val="18"/>
                <w:lang w:val="en-US"/>
              </w:rPr>
            </w:pPr>
          </w:p>
          <w:p w14:paraId="6B7532A8" w14:textId="77777777" w:rsidR="008762A8" w:rsidRPr="00D00033" w:rsidRDefault="008762A8" w:rsidP="002B0CD7">
            <w:pPr>
              <w:jc w:val="center"/>
              <w:rPr>
                <w:rFonts w:ascii="Myriad Pro" w:eastAsiaTheme="minorHAnsi" w:hAnsi="Myriad Pro"/>
                <w:b/>
                <w:sz w:val="26"/>
                <w:szCs w:val="18"/>
                <w:lang w:val="en-US"/>
              </w:rPr>
            </w:pPr>
          </w:p>
          <w:p w14:paraId="0A253C0A" w14:textId="77777777" w:rsidR="008762A8" w:rsidRPr="00D00033" w:rsidRDefault="008762A8" w:rsidP="002B0CD7">
            <w:pPr>
              <w:rPr>
                <w:rFonts w:ascii="Myriad Pro" w:eastAsiaTheme="minorHAnsi" w:hAnsi="Myriad Pro"/>
                <w:b/>
                <w:sz w:val="26"/>
                <w:szCs w:val="18"/>
                <w:lang w:val="en-US"/>
              </w:rPr>
            </w:pPr>
          </w:p>
          <w:p w14:paraId="517CF96A" w14:textId="77777777" w:rsidR="008762A8" w:rsidRPr="00536D1F" w:rsidRDefault="008762A8"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427930AC" w14:textId="77777777" w:rsidR="008762A8" w:rsidRPr="00536D1F" w:rsidRDefault="008762A8" w:rsidP="002B0CD7">
            <w:pPr>
              <w:jc w:val="center"/>
              <w:rPr>
                <w:rFonts w:ascii="Myriad Pro" w:eastAsiaTheme="minorHAnsi" w:hAnsi="Myriad Pro"/>
                <w:color w:val="0000FF"/>
                <w:u w:val="single"/>
                <w:lang w:val="en-US"/>
              </w:rPr>
            </w:pPr>
            <w:r>
              <w:rPr>
                <w:noProof/>
              </w:rPr>
              <w:pict w14:anchorId="21684890">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3E4D162B" w14:textId="77777777" w:rsidR="008762A8" w:rsidRPr="00536D1F" w:rsidRDefault="008762A8"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48711501" wp14:editId="353FA207">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2E5847BD" w14:textId="77777777" w:rsidR="008762A8" w:rsidRPr="00536D1F" w:rsidRDefault="008762A8" w:rsidP="002B0CD7">
            <w:pPr>
              <w:tabs>
                <w:tab w:val="center" w:pos="4607"/>
                <w:tab w:val="right" w:pos="9214"/>
              </w:tabs>
              <w:jc w:val="right"/>
              <w:rPr>
                <w:rFonts w:ascii="Myriad Pro" w:eastAsiaTheme="minorHAnsi" w:hAnsi="Myriad Pro" w:cstheme="majorHAnsi"/>
                <w:color w:val="0000FF"/>
                <w:u w:val="single"/>
                <w:lang w:val="en-US"/>
              </w:rPr>
            </w:pPr>
          </w:p>
          <w:p w14:paraId="0BC4E884" w14:textId="77777777" w:rsidR="008762A8" w:rsidRPr="00536D1F" w:rsidRDefault="008762A8" w:rsidP="002B0CD7">
            <w:pPr>
              <w:ind w:firstLine="708"/>
              <w:rPr>
                <w:rFonts w:ascii="Myriad Pro" w:eastAsiaTheme="minorHAnsi" w:hAnsi="Myriad Pro" w:cstheme="majorHAnsi"/>
                <w:lang w:val="en-US"/>
              </w:rPr>
            </w:pPr>
          </w:p>
          <w:p w14:paraId="1C18D50A" w14:textId="77777777" w:rsidR="008762A8" w:rsidRPr="00536D1F" w:rsidRDefault="008762A8" w:rsidP="002B0CD7">
            <w:pPr>
              <w:rPr>
                <w:rFonts w:ascii="Myriad Pro" w:eastAsiaTheme="minorHAnsi" w:hAnsi="Myriad Pro" w:cstheme="majorHAnsi"/>
                <w:lang w:val="en-US"/>
              </w:rPr>
            </w:pPr>
          </w:p>
          <w:p w14:paraId="7FB1A63D" w14:textId="77777777" w:rsidR="008762A8" w:rsidRPr="00536D1F" w:rsidRDefault="008762A8" w:rsidP="002B0CD7">
            <w:pPr>
              <w:jc w:val="center"/>
              <w:rPr>
                <w:rFonts w:ascii="Myriad Pro" w:eastAsiaTheme="minorHAnsi" w:hAnsi="Myriad Pro" w:cstheme="majorHAnsi"/>
                <w:lang w:val="en-US"/>
              </w:rPr>
            </w:pPr>
          </w:p>
        </w:tc>
      </w:tr>
    </w:tbl>
    <w:p w14:paraId="1B6F627C" w14:textId="77777777" w:rsidR="008762A8" w:rsidRDefault="008762A8" w:rsidP="00E738E9">
      <w:pPr>
        <w:pStyle w:val="TKMAINTITLE"/>
        <w:spacing w:before="0" w:after="240"/>
        <w:rPr>
          <w:sz w:val="36"/>
          <w:szCs w:val="36"/>
          <w:lang w:val="en-US"/>
        </w:rPr>
      </w:pPr>
    </w:p>
    <w:p w14:paraId="3CA78172" w14:textId="1D6DE177" w:rsidR="00E53092" w:rsidRPr="004271D4" w:rsidRDefault="004271D4" w:rsidP="00E738E9">
      <w:pPr>
        <w:pStyle w:val="TKMAINTITLE"/>
        <w:spacing w:before="0" w:after="240"/>
        <w:rPr>
          <w:sz w:val="36"/>
          <w:szCs w:val="36"/>
        </w:rPr>
      </w:pPr>
      <w:r>
        <w:rPr>
          <w:sz w:val="36"/>
          <w:szCs w:val="36"/>
          <w:lang w:val="tr"/>
        </w:rPr>
        <w:t>78 - Yerel topluluktaki diğer insanlarla sosyalleşme</w:t>
      </w:r>
    </w:p>
    <w:p w14:paraId="011DC4C4" w14:textId="2D5010F8" w:rsidR="00D13597" w:rsidRPr="00AA0AEF" w:rsidRDefault="00B80303" w:rsidP="00773568">
      <w:pPr>
        <w:pStyle w:val="TKAIM"/>
        <w:spacing w:before="0" w:after="0"/>
      </w:pPr>
      <w:r>
        <w:rPr>
          <w:bCs/>
          <w:lang w:val="tr"/>
        </w:rPr>
        <w:t>Amaçlar:</w:t>
      </w:r>
      <w:r w:rsidR="008C05D6">
        <w:rPr>
          <w:bCs/>
          <w:lang w:val="tr"/>
        </w:rPr>
        <w:t xml:space="preserve"> </w:t>
      </w:r>
      <w:r>
        <w:rPr>
          <w:bCs/>
          <w:lang w:val="tr"/>
        </w:rPr>
        <w:t>Göçmenlerin yerel topluluktaki insanlarla sosyal etkileşime girmesini sağlamak ve yerel topluluk üyeleri arasında kültürler arası farkındalığı artırmak.</w:t>
      </w:r>
    </w:p>
    <w:p w14:paraId="35DADEC4" w14:textId="77777777" w:rsidR="004271D4" w:rsidRPr="004271D4" w:rsidRDefault="004271D4" w:rsidP="00F63901">
      <w:pPr>
        <w:pStyle w:val="TKTEXTE"/>
        <w:jc w:val="both"/>
        <w:rPr>
          <w:b/>
          <w:sz w:val="18"/>
          <w:szCs w:val="16"/>
        </w:rPr>
      </w:pPr>
    </w:p>
    <w:p w14:paraId="6E123837" w14:textId="63685D94" w:rsidR="00E53092" w:rsidRPr="00AA0AEF" w:rsidRDefault="00E53092" w:rsidP="00F63901">
      <w:pPr>
        <w:pStyle w:val="TKTEXTE"/>
        <w:jc w:val="both"/>
        <w:rPr>
          <w:b/>
          <w:sz w:val="28"/>
        </w:rPr>
      </w:pPr>
      <w:r>
        <w:rPr>
          <w:b/>
          <w:bCs/>
          <w:sz w:val="28"/>
          <w:lang w:val="tr"/>
        </w:rPr>
        <w:t>Yerel bir etkinliğin planlanması</w:t>
      </w:r>
    </w:p>
    <w:p w14:paraId="7276289A" w14:textId="39427EBB" w:rsidR="000F3C52" w:rsidRPr="00033D5C" w:rsidRDefault="009A32C1" w:rsidP="00F63901">
      <w:pPr>
        <w:pStyle w:val="TKTEXTE"/>
        <w:jc w:val="both"/>
        <w:rPr>
          <w:lang w:val="tr"/>
        </w:rPr>
      </w:pPr>
      <w:r>
        <w:rPr>
          <w:lang w:val="tr"/>
        </w:rPr>
        <w:t xml:space="preserve">Göçmen öğrencilerin yerel topluluktan yeni insanlarla tanışmalarını ve konuşmalarını sağlayan etkinlikler, öğrencilerin dili daha iyi anlamalarını teşvik etmenin ve dil becerilerini pratik etmelerini sağlamanın iyi bir yoludur. Ancak, yerel topluluktan katılımcıların göçmenlerle tanışmak ve ülkeleri ve kültürleri hakkında bir şeyler öğrenmekle ilgilenmeleri gerekir. Bu etkinlikler bazı durumlarda göçmenler ve yerel halk arasında daha uzun süreli dostluklara yol açabilir. </w:t>
      </w:r>
    </w:p>
    <w:p w14:paraId="325FA1D2" w14:textId="0533FB6F" w:rsidR="00F63901" w:rsidRPr="00033D5C" w:rsidRDefault="00C519E5" w:rsidP="00C370DF">
      <w:pPr>
        <w:pStyle w:val="TKTEXTE"/>
        <w:jc w:val="both"/>
        <w:rPr>
          <w:lang w:val="tr"/>
        </w:rPr>
      </w:pPr>
      <w:r>
        <w:rPr>
          <w:lang w:val="tr"/>
        </w:rPr>
        <w:t xml:space="preserve">Bağlama bağlı olarak, yerel makamlardan, hayır kurumlarından, okullardan, derneklerden vb. yerel toplum üyeleriyle küçük bir etkinlik düzenlemenize yardımcı olmalarını isteyin. Mümkünse kültürel aracıların da </w:t>
      </w:r>
      <w:r w:rsidR="00B6304A">
        <w:rPr>
          <w:lang w:val="tr"/>
        </w:rPr>
        <w:t>dâhil</w:t>
      </w:r>
      <w:r>
        <w:rPr>
          <w:lang w:val="tr"/>
        </w:rPr>
        <w:t xml:space="preserve"> olmasını sağlayın. Etkinliğin düzenlenmesinde görev alanlarla ve yerel topluluktan bazı katılımcılar arasında bir hazırlık toplantısı düzenleyin. Onlara öğrencileriniz, dil seviyeleri ve yaptığınız iş hakkında bazı temel bilgiler verin. Onlara etkinliğin amacını anlatın ve varsa sorularını yanıtlayın. Daha sonra planladığınız etkinlik türünü anlatın ve onlardan öneri ve iş birliği isteyin.</w:t>
      </w:r>
    </w:p>
    <w:p w14:paraId="3F45F2E9" w14:textId="77777777" w:rsidR="004271D4" w:rsidRPr="00033D5C" w:rsidRDefault="004271D4" w:rsidP="00E53092">
      <w:pPr>
        <w:pStyle w:val="TKTEXTE"/>
        <w:jc w:val="both"/>
        <w:rPr>
          <w:b/>
          <w:sz w:val="28"/>
          <w:lang w:val="tr"/>
        </w:rPr>
      </w:pPr>
    </w:p>
    <w:p w14:paraId="528F4A93" w14:textId="28A0E38A" w:rsidR="00E53092" w:rsidRPr="00B6304A" w:rsidRDefault="00E53092" w:rsidP="00E53092">
      <w:pPr>
        <w:pStyle w:val="TKTEXTE"/>
        <w:jc w:val="both"/>
        <w:rPr>
          <w:b/>
          <w:sz w:val="28"/>
          <w:lang w:val="tr"/>
        </w:rPr>
      </w:pPr>
      <w:r>
        <w:rPr>
          <w:b/>
          <w:bCs/>
          <w:sz w:val="28"/>
          <w:lang w:val="tr"/>
        </w:rPr>
        <w:t xml:space="preserve">Yerel bir etkinliğin yönetilmesi: Bazı fikirler </w:t>
      </w:r>
    </w:p>
    <w:p w14:paraId="686C8EE9" w14:textId="77777777" w:rsidR="00EE2944" w:rsidRPr="00033D5C" w:rsidRDefault="007136B6" w:rsidP="00EE2944">
      <w:pPr>
        <w:pStyle w:val="TKTEXTE"/>
        <w:spacing w:before="0"/>
        <w:jc w:val="both"/>
        <w:rPr>
          <w:lang w:val="tr"/>
        </w:rPr>
      </w:pPr>
      <w:r>
        <w:rPr>
          <w:lang w:val="tr"/>
        </w:rPr>
        <w:t xml:space="preserve">Göçmen öğrenciler için başlangıçta her seferinde bir kişiyle konuşmak muhtemelen daha kolaydır veya birbirini tanıyan iki göçmen yerel topluluktan iki veya üç kişiyle konuşabilir. Başlangıçta katılımcılar bir daire şeklinde oturabilir ve her göçmen yerel topluluktan bir kişinin yanına oturabilir. İnsanlardan kendilerini basit bir şekilde tanıtmalarını isteyin, örneğin: "Merhaba, benim adım Ann. Bir bankada çalışıyorum." "Tanıştığımıza memnun oldum, Ann. Ben Ayşe. Afganistanlıyım.   </w:t>
      </w:r>
    </w:p>
    <w:p w14:paraId="7AC4B309" w14:textId="117B0870" w:rsidR="00F63901" w:rsidRPr="00033D5C" w:rsidRDefault="00E53092" w:rsidP="00EE2944">
      <w:pPr>
        <w:pStyle w:val="TKTEXTE"/>
        <w:spacing w:before="0"/>
        <w:jc w:val="both"/>
        <w:rPr>
          <w:lang w:val="tr"/>
        </w:rPr>
      </w:pPr>
      <w:r>
        <w:rPr>
          <w:lang w:val="tr"/>
        </w:rPr>
        <w:t xml:space="preserve">Bu tanışma faslından sonra göçmenler yanlarındaki kişi(ler) ile ülkeleri, aileleri, gelenekleri, ilgi alanları vb. hakkında konuşabilirler. Yanlarındaki kişinin basit sorularını yanıtlayabilirler ve ayrıca aileleri, ilgi alanları, doğum günleri ve düğünler gibi aile etkinlikleri, dini bayramlar vb. hakkında bazı sorular sorabilirler. Sosyal etkinlikten önce, bazı faydalı kelimeleri, anahtar soruları ve basit cevaplar verme yollarını uygulayarak öğrencileri hazırladıysanız, bu daha faydalı bir etkinlik olacaktır. Bir kişiyle konuştuktan sonra, yerel topluluktan başka bir kişiyle oturup benzer sorular sorabilir ve cevaplayabilirler. </w:t>
      </w:r>
    </w:p>
    <w:p w14:paraId="5D62F384" w14:textId="46C36C2E" w:rsidR="00E53092" w:rsidRPr="00033D5C" w:rsidRDefault="007020B9" w:rsidP="00EE2944">
      <w:pPr>
        <w:pStyle w:val="TKTEXTE"/>
        <w:spacing w:before="0"/>
        <w:jc w:val="both"/>
        <w:rPr>
          <w:lang w:val="tr"/>
        </w:rPr>
      </w:pPr>
      <w:r>
        <w:rPr>
          <w:lang w:val="tr"/>
        </w:rPr>
        <w:lastRenderedPageBreak/>
        <w:t>Daha sonra, bazı göçmen öğrenciler ülkeleri, dilleri veya ev sahibi ülkeye dair izlenimleri vb. hakkında bazı bilgileri daha büyük bir grupla paylaşmaya istekli olabilirler. Çoğu zaman gelenekler yemeklerle bağlantılıdır. Göçmenler ve yerel topluluk üyeleri sırayla tüm gruba bildikleri tipik bir yemeği tarif edebilirler. İdeal olarak bazıları toplantıya yemek getirebilir ve böylece bu yemek paylaşılabilir. Müzik ve aile üyelerinin ve yerlerin fotoğrafları da etkileşimi teşvik etmek için yararlı olabilir.</w:t>
      </w:r>
    </w:p>
    <w:p w14:paraId="3824E5F2" w14:textId="34D51F76" w:rsidR="00116E36" w:rsidRPr="00033D5C" w:rsidRDefault="001F7A1F" w:rsidP="00E738E9">
      <w:pPr>
        <w:pStyle w:val="TKTEXTE"/>
        <w:spacing w:before="0"/>
        <w:jc w:val="both"/>
        <w:rPr>
          <w:lang w:val="tr"/>
        </w:rPr>
      </w:pPr>
      <w:r>
        <w:rPr>
          <w:lang w:val="tr"/>
        </w:rPr>
        <w:t>Göçmenler ayrıca ev sahibi ülkeye geldikten sonraki yaşam deneyimlerini, neleri sevip neleri sevmediklerini, ülkeler ve gelenekler arasındaki benzerlik ve farklılıkları vb. paylaşabilirler. Yerel topluluk üyeleri de bunlar, farklılıklar ve benzerlikler hakkında yorum yapabilir ve bazı sorular sorabilirler.</w:t>
      </w:r>
    </w:p>
    <w:p w14:paraId="72AE7B6A" w14:textId="09CFE6D0" w:rsidR="003B55B1" w:rsidRPr="00AA0AEF" w:rsidRDefault="00E53092" w:rsidP="00F63901">
      <w:pPr>
        <w:pStyle w:val="TKTEXTE"/>
        <w:spacing w:before="0" w:after="0"/>
        <w:jc w:val="both"/>
      </w:pPr>
      <w:r>
        <w:rPr>
          <w:lang w:val="tr"/>
        </w:rPr>
        <w:t xml:space="preserve">Etkinliği sonlandırmanın güzel bir yolu, katılımcıları kendi seçtikleri dilde bir şarkı söylemeye teşvik etmek olacaktır. Eğer çocuklar varsa onları da şarkı söylemeye </w:t>
      </w:r>
      <w:r w:rsidR="00B6304A">
        <w:rPr>
          <w:lang w:val="tr"/>
        </w:rPr>
        <w:t>dâhil</w:t>
      </w:r>
      <w:r>
        <w:rPr>
          <w:lang w:val="tr"/>
        </w:rPr>
        <w:t xml:space="preserve"> edin.</w:t>
      </w:r>
    </w:p>
    <w:sectPr w:rsidR="003B55B1" w:rsidRPr="00AA0AEF" w:rsidSect="008762A8">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0CC8" w14:textId="77777777" w:rsidR="00431BF9" w:rsidRDefault="00431BF9" w:rsidP="00C523EA">
      <w:r>
        <w:separator/>
      </w:r>
    </w:p>
  </w:endnote>
  <w:endnote w:type="continuationSeparator" w:id="0">
    <w:p w14:paraId="40C979F8" w14:textId="77777777" w:rsidR="00431BF9" w:rsidRDefault="00431BF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5A1" w14:textId="5A25C43D" w:rsidR="008762A8" w:rsidRPr="008762A8" w:rsidRDefault="008762A8" w:rsidP="008762A8">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78</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/2</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823C" w14:textId="77777777" w:rsidR="00431BF9" w:rsidRDefault="00431BF9" w:rsidP="00C523EA">
      <w:r>
        <w:separator/>
      </w:r>
    </w:p>
  </w:footnote>
  <w:footnote w:type="continuationSeparator" w:id="0">
    <w:p w14:paraId="2ACCD6AE" w14:textId="77777777" w:rsidR="00431BF9" w:rsidRDefault="00431BF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691177844">
    <w:abstractNumId w:val="4"/>
  </w:num>
  <w:num w:numId="2" w16cid:durableId="1353457700">
    <w:abstractNumId w:val="7"/>
  </w:num>
  <w:num w:numId="3" w16cid:durableId="1797478931">
    <w:abstractNumId w:val="11"/>
  </w:num>
  <w:num w:numId="4" w16cid:durableId="84151847">
    <w:abstractNumId w:val="1"/>
  </w:num>
  <w:num w:numId="5" w16cid:durableId="731777637">
    <w:abstractNumId w:val="10"/>
  </w:num>
  <w:num w:numId="6" w16cid:durableId="86772347">
    <w:abstractNumId w:val="9"/>
  </w:num>
  <w:num w:numId="7" w16cid:durableId="431509664">
    <w:abstractNumId w:val="7"/>
  </w:num>
  <w:num w:numId="8" w16cid:durableId="818886941">
    <w:abstractNumId w:val="5"/>
  </w:num>
  <w:num w:numId="9" w16cid:durableId="883492769">
    <w:abstractNumId w:val="8"/>
  </w:num>
  <w:num w:numId="10" w16cid:durableId="1802768328">
    <w:abstractNumId w:val="12"/>
  </w:num>
  <w:num w:numId="11" w16cid:durableId="657195513">
    <w:abstractNumId w:val="7"/>
  </w:num>
  <w:num w:numId="12" w16cid:durableId="938753843">
    <w:abstractNumId w:val="3"/>
  </w:num>
  <w:num w:numId="13" w16cid:durableId="227500814">
    <w:abstractNumId w:val="6"/>
  </w:num>
  <w:num w:numId="14" w16cid:durableId="504245237">
    <w:abstractNumId w:val="2"/>
  </w:num>
  <w:num w:numId="15" w16cid:durableId="15272623">
    <w:abstractNumId w:val="0"/>
  </w:num>
  <w:num w:numId="16" w16cid:durableId="334263785">
    <w:abstractNumId w:val="8"/>
    <w:lvlOverride w:ilvl="0">
      <w:startOverride w:val="1"/>
    </w:lvlOverride>
  </w:num>
  <w:num w:numId="17" w16cid:durableId="1474519982">
    <w:abstractNumId w:val="8"/>
    <w:lvlOverride w:ilvl="0">
      <w:startOverride w:val="1"/>
    </w:lvlOverride>
  </w:num>
  <w:num w:numId="18" w16cid:durableId="214975879">
    <w:abstractNumId w:val="8"/>
    <w:lvlOverride w:ilvl="0">
      <w:startOverride w:val="1"/>
    </w:lvlOverride>
  </w:num>
  <w:num w:numId="19" w16cid:durableId="471219613">
    <w:abstractNumId w:val="8"/>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026D"/>
    <w:rsid w:val="00004C66"/>
    <w:rsid w:val="00013516"/>
    <w:rsid w:val="000265DC"/>
    <w:rsid w:val="00027367"/>
    <w:rsid w:val="00033754"/>
    <w:rsid w:val="000338F0"/>
    <w:rsid w:val="00033D5C"/>
    <w:rsid w:val="00037B0E"/>
    <w:rsid w:val="00053596"/>
    <w:rsid w:val="00053B14"/>
    <w:rsid w:val="00056925"/>
    <w:rsid w:val="00060B5F"/>
    <w:rsid w:val="000618A7"/>
    <w:rsid w:val="00062BD1"/>
    <w:rsid w:val="000661BC"/>
    <w:rsid w:val="00066D3F"/>
    <w:rsid w:val="000730E4"/>
    <w:rsid w:val="000937FA"/>
    <w:rsid w:val="00093DD1"/>
    <w:rsid w:val="000954B8"/>
    <w:rsid w:val="000A080D"/>
    <w:rsid w:val="000A57D4"/>
    <w:rsid w:val="000C47CB"/>
    <w:rsid w:val="000C5F40"/>
    <w:rsid w:val="000D0A36"/>
    <w:rsid w:val="000D793A"/>
    <w:rsid w:val="000E706C"/>
    <w:rsid w:val="000F14B2"/>
    <w:rsid w:val="000F3C52"/>
    <w:rsid w:val="000F42D6"/>
    <w:rsid w:val="000F7C19"/>
    <w:rsid w:val="00104E36"/>
    <w:rsid w:val="00110B4B"/>
    <w:rsid w:val="00113442"/>
    <w:rsid w:val="00115724"/>
    <w:rsid w:val="00116E36"/>
    <w:rsid w:val="001179AC"/>
    <w:rsid w:val="00123F4B"/>
    <w:rsid w:val="00126A5E"/>
    <w:rsid w:val="00127BA9"/>
    <w:rsid w:val="00140B7E"/>
    <w:rsid w:val="0014173B"/>
    <w:rsid w:val="001456B0"/>
    <w:rsid w:val="00154B1F"/>
    <w:rsid w:val="00172C07"/>
    <w:rsid w:val="001741D1"/>
    <w:rsid w:val="00175209"/>
    <w:rsid w:val="0017676C"/>
    <w:rsid w:val="001848EE"/>
    <w:rsid w:val="00186877"/>
    <w:rsid w:val="00186952"/>
    <w:rsid w:val="001965B4"/>
    <w:rsid w:val="001A1B4C"/>
    <w:rsid w:val="001B0010"/>
    <w:rsid w:val="001B1096"/>
    <w:rsid w:val="001B602D"/>
    <w:rsid w:val="001B71AD"/>
    <w:rsid w:val="001C2C9B"/>
    <w:rsid w:val="001C7918"/>
    <w:rsid w:val="001D7251"/>
    <w:rsid w:val="001F7A1F"/>
    <w:rsid w:val="0020300A"/>
    <w:rsid w:val="00206F7D"/>
    <w:rsid w:val="00214CD0"/>
    <w:rsid w:val="00225C85"/>
    <w:rsid w:val="00233186"/>
    <w:rsid w:val="00233192"/>
    <w:rsid w:val="002346F1"/>
    <w:rsid w:val="00246E8E"/>
    <w:rsid w:val="00251DCC"/>
    <w:rsid w:val="00254DC5"/>
    <w:rsid w:val="0026293F"/>
    <w:rsid w:val="002860CD"/>
    <w:rsid w:val="002A0CEF"/>
    <w:rsid w:val="002A3476"/>
    <w:rsid w:val="002A5874"/>
    <w:rsid w:val="002D7BD0"/>
    <w:rsid w:val="002E1B08"/>
    <w:rsid w:val="002F06A3"/>
    <w:rsid w:val="002F0945"/>
    <w:rsid w:val="002F2562"/>
    <w:rsid w:val="00303A5A"/>
    <w:rsid w:val="00303B79"/>
    <w:rsid w:val="00314978"/>
    <w:rsid w:val="003216D5"/>
    <w:rsid w:val="003264DF"/>
    <w:rsid w:val="00327BBC"/>
    <w:rsid w:val="0033137E"/>
    <w:rsid w:val="00341A02"/>
    <w:rsid w:val="00343BF3"/>
    <w:rsid w:val="0035492A"/>
    <w:rsid w:val="00355BB8"/>
    <w:rsid w:val="003575BD"/>
    <w:rsid w:val="00361F04"/>
    <w:rsid w:val="00373B9F"/>
    <w:rsid w:val="0037570C"/>
    <w:rsid w:val="0038409C"/>
    <w:rsid w:val="003847AD"/>
    <w:rsid w:val="003853D1"/>
    <w:rsid w:val="00392539"/>
    <w:rsid w:val="003B55B1"/>
    <w:rsid w:val="003C050D"/>
    <w:rsid w:val="003C324D"/>
    <w:rsid w:val="003C32F5"/>
    <w:rsid w:val="003C60BD"/>
    <w:rsid w:val="003C6F99"/>
    <w:rsid w:val="003C799F"/>
    <w:rsid w:val="003D0E09"/>
    <w:rsid w:val="003D21A3"/>
    <w:rsid w:val="003E358D"/>
    <w:rsid w:val="003E7F4D"/>
    <w:rsid w:val="003F121D"/>
    <w:rsid w:val="00425EB7"/>
    <w:rsid w:val="004271D4"/>
    <w:rsid w:val="00431BF9"/>
    <w:rsid w:val="004345BF"/>
    <w:rsid w:val="00442AC0"/>
    <w:rsid w:val="0045564C"/>
    <w:rsid w:val="00460BCC"/>
    <w:rsid w:val="00463894"/>
    <w:rsid w:val="00470AA9"/>
    <w:rsid w:val="0049006B"/>
    <w:rsid w:val="004B5DD8"/>
    <w:rsid w:val="004B7A1E"/>
    <w:rsid w:val="004C1652"/>
    <w:rsid w:val="004C436C"/>
    <w:rsid w:val="004D4C46"/>
    <w:rsid w:val="004D5D22"/>
    <w:rsid w:val="004E32A8"/>
    <w:rsid w:val="004F2E30"/>
    <w:rsid w:val="0050334F"/>
    <w:rsid w:val="00503A06"/>
    <w:rsid w:val="00503E91"/>
    <w:rsid w:val="00510AE8"/>
    <w:rsid w:val="0051537D"/>
    <w:rsid w:val="00526886"/>
    <w:rsid w:val="00542DB8"/>
    <w:rsid w:val="0054564B"/>
    <w:rsid w:val="00547F4F"/>
    <w:rsid w:val="00555D25"/>
    <w:rsid w:val="005713EB"/>
    <w:rsid w:val="005A600F"/>
    <w:rsid w:val="005C2E50"/>
    <w:rsid w:val="005E4CA5"/>
    <w:rsid w:val="005E654F"/>
    <w:rsid w:val="00617D74"/>
    <w:rsid w:val="00632057"/>
    <w:rsid w:val="00634900"/>
    <w:rsid w:val="006355E0"/>
    <w:rsid w:val="00640204"/>
    <w:rsid w:val="0064154F"/>
    <w:rsid w:val="006455D0"/>
    <w:rsid w:val="00651E90"/>
    <w:rsid w:val="00655B1E"/>
    <w:rsid w:val="00655CCE"/>
    <w:rsid w:val="0066168C"/>
    <w:rsid w:val="006653E9"/>
    <w:rsid w:val="00672EB9"/>
    <w:rsid w:val="006A00AC"/>
    <w:rsid w:val="006A1A21"/>
    <w:rsid w:val="006B6385"/>
    <w:rsid w:val="006B7367"/>
    <w:rsid w:val="006C0689"/>
    <w:rsid w:val="006C08C3"/>
    <w:rsid w:val="006C19C6"/>
    <w:rsid w:val="006C7764"/>
    <w:rsid w:val="006D234F"/>
    <w:rsid w:val="006E3CD4"/>
    <w:rsid w:val="006F38F4"/>
    <w:rsid w:val="006F7750"/>
    <w:rsid w:val="007020B9"/>
    <w:rsid w:val="00705BF1"/>
    <w:rsid w:val="0071167C"/>
    <w:rsid w:val="007136B6"/>
    <w:rsid w:val="007324B3"/>
    <w:rsid w:val="00734E55"/>
    <w:rsid w:val="0074542C"/>
    <w:rsid w:val="007458E1"/>
    <w:rsid w:val="00745FAE"/>
    <w:rsid w:val="007627ED"/>
    <w:rsid w:val="00767D0E"/>
    <w:rsid w:val="00773568"/>
    <w:rsid w:val="00773ACD"/>
    <w:rsid w:val="007B3F92"/>
    <w:rsid w:val="007B4D14"/>
    <w:rsid w:val="007F0416"/>
    <w:rsid w:val="007F5F10"/>
    <w:rsid w:val="00802726"/>
    <w:rsid w:val="0080462C"/>
    <w:rsid w:val="00805257"/>
    <w:rsid w:val="008067EC"/>
    <w:rsid w:val="008140E3"/>
    <w:rsid w:val="0083366C"/>
    <w:rsid w:val="00844534"/>
    <w:rsid w:val="008469DE"/>
    <w:rsid w:val="008506D5"/>
    <w:rsid w:val="008623EB"/>
    <w:rsid w:val="008656F3"/>
    <w:rsid w:val="008762A8"/>
    <w:rsid w:val="008818DE"/>
    <w:rsid w:val="008903A2"/>
    <w:rsid w:val="00892B00"/>
    <w:rsid w:val="00893F35"/>
    <w:rsid w:val="008A15E7"/>
    <w:rsid w:val="008A7361"/>
    <w:rsid w:val="008B45A3"/>
    <w:rsid w:val="008C05D6"/>
    <w:rsid w:val="008C422A"/>
    <w:rsid w:val="008C53DF"/>
    <w:rsid w:val="008D2DE3"/>
    <w:rsid w:val="008E6FB9"/>
    <w:rsid w:val="008F0189"/>
    <w:rsid w:val="008F1473"/>
    <w:rsid w:val="008F24B3"/>
    <w:rsid w:val="008F24DC"/>
    <w:rsid w:val="009025F0"/>
    <w:rsid w:val="009204A0"/>
    <w:rsid w:val="0093428B"/>
    <w:rsid w:val="00934DCE"/>
    <w:rsid w:val="00943A76"/>
    <w:rsid w:val="0094551C"/>
    <w:rsid w:val="00953DC1"/>
    <w:rsid w:val="00962894"/>
    <w:rsid w:val="00964D0B"/>
    <w:rsid w:val="00970C63"/>
    <w:rsid w:val="0097497F"/>
    <w:rsid w:val="00976860"/>
    <w:rsid w:val="009774A5"/>
    <w:rsid w:val="009A32C1"/>
    <w:rsid w:val="009A431F"/>
    <w:rsid w:val="009A4759"/>
    <w:rsid w:val="009A5131"/>
    <w:rsid w:val="009B7F95"/>
    <w:rsid w:val="009C13ED"/>
    <w:rsid w:val="009C6D0D"/>
    <w:rsid w:val="009C6F9F"/>
    <w:rsid w:val="00A03292"/>
    <w:rsid w:val="00A0397C"/>
    <w:rsid w:val="00A045A7"/>
    <w:rsid w:val="00A061CE"/>
    <w:rsid w:val="00A1258A"/>
    <w:rsid w:val="00A27C34"/>
    <w:rsid w:val="00A36998"/>
    <w:rsid w:val="00A41E2D"/>
    <w:rsid w:val="00A47615"/>
    <w:rsid w:val="00A5196F"/>
    <w:rsid w:val="00A57B29"/>
    <w:rsid w:val="00A61FC1"/>
    <w:rsid w:val="00A6623D"/>
    <w:rsid w:val="00A67362"/>
    <w:rsid w:val="00A7554F"/>
    <w:rsid w:val="00A75F94"/>
    <w:rsid w:val="00A802F2"/>
    <w:rsid w:val="00A81C9B"/>
    <w:rsid w:val="00A84ED8"/>
    <w:rsid w:val="00AA0AEF"/>
    <w:rsid w:val="00AB255A"/>
    <w:rsid w:val="00AC0496"/>
    <w:rsid w:val="00AC0DCA"/>
    <w:rsid w:val="00AD6D0F"/>
    <w:rsid w:val="00AE56EA"/>
    <w:rsid w:val="00AE6578"/>
    <w:rsid w:val="00AE657E"/>
    <w:rsid w:val="00AF30C8"/>
    <w:rsid w:val="00AF4A1E"/>
    <w:rsid w:val="00AF56A8"/>
    <w:rsid w:val="00B02091"/>
    <w:rsid w:val="00B1345D"/>
    <w:rsid w:val="00B30339"/>
    <w:rsid w:val="00B33421"/>
    <w:rsid w:val="00B35EFB"/>
    <w:rsid w:val="00B51D45"/>
    <w:rsid w:val="00B6304A"/>
    <w:rsid w:val="00B66C15"/>
    <w:rsid w:val="00B7025E"/>
    <w:rsid w:val="00B73A35"/>
    <w:rsid w:val="00B80303"/>
    <w:rsid w:val="00B84457"/>
    <w:rsid w:val="00B85307"/>
    <w:rsid w:val="00B85B33"/>
    <w:rsid w:val="00B86735"/>
    <w:rsid w:val="00B87D33"/>
    <w:rsid w:val="00B947F8"/>
    <w:rsid w:val="00B94E15"/>
    <w:rsid w:val="00BA25B4"/>
    <w:rsid w:val="00BA3C32"/>
    <w:rsid w:val="00BB182D"/>
    <w:rsid w:val="00BC3D7A"/>
    <w:rsid w:val="00BD1FB2"/>
    <w:rsid w:val="00BD2F15"/>
    <w:rsid w:val="00BE5ECC"/>
    <w:rsid w:val="00BE6428"/>
    <w:rsid w:val="00BF2B09"/>
    <w:rsid w:val="00BF56EC"/>
    <w:rsid w:val="00BF685F"/>
    <w:rsid w:val="00BF693D"/>
    <w:rsid w:val="00C24B3F"/>
    <w:rsid w:val="00C24C86"/>
    <w:rsid w:val="00C370DF"/>
    <w:rsid w:val="00C519E5"/>
    <w:rsid w:val="00C523EA"/>
    <w:rsid w:val="00C622D7"/>
    <w:rsid w:val="00C7138F"/>
    <w:rsid w:val="00C73666"/>
    <w:rsid w:val="00C7477C"/>
    <w:rsid w:val="00C8086F"/>
    <w:rsid w:val="00CC0991"/>
    <w:rsid w:val="00CC6B8F"/>
    <w:rsid w:val="00CC7828"/>
    <w:rsid w:val="00CF0B90"/>
    <w:rsid w:val="00CF36D3"/>
    <w:rsid w:val="00D00DA4"/>
    <w:rsid w:val="00D07616"/>
    <w:rsid w:val="00D13597"/>
    <w:rsid w:val="00D2211A"/>
    <w:rsid w:val="00D46264"/>
    <w:rsid w:val="00D475A7"/>
    <w:rsid w:val="00D57D70"/>
    <w:rsid w:val="00D61794"/>
    <w:rsid w:val="00D672EE"/>
    <w:rsid w:val="00D70BD7"/>
    <w:rsid w:val="00D81172"/>
    <w:rsid w:val="00D8328F"/>
    <w:rsid w:val="00D94C2F"/>
    <w:rsid w:val="00D951B8"/>
    <w:rsid w:val="00DA3122"/>
    <w:rsid w:val="00DA3898"/>
    <w:rsid w:val="00DA5A92"/>
    <w:rsid w:val="00DC646F"/>
    <w:rsid w:val="00DD0635"/>
    <w:rsid w:val="00DD35DF"/>
    <w:rsid w:val="00DD53DC"/>
    <w:rsid w:val="00DE5B7D"/>
    <w:rsid w:val="00DF37F1"/>
    <w:rsid w:val="00DF5B76"/>
    <w:rsid w:val="00DF5E24"/>
    <w:rsid w:val="00DF60EB"/>
    <w:rsid w:val="00E076C3"/>
    <w:rsid w:val="00E41A1E"/>
    <w:rsid w:val="00E52536"/>
    <w:rsid w:val="00E52717"/>
    <w:rsid w:val="00E53092"/>
    <w:rsid w:val="00E53152"/>
    <w:rsid w:val="00E56905"/>
    <w:rsid w:val="00E63F3E"/>
    <w:rsid w:val="00E738E9"/>
    <w:rsid w:val="00E74996"/>
    <w:rsid w:val="00E74E5B"/>
    <w:rsid w:val="00E75A0D"/>
    <w:rsid w:val="00E826A8"/>
    <w:rsid w:val="00E90A39"/>
    <w:rsid w:val="00EA589F"/>
    <w:rsid w:val="00EC3C97"/>
    <w:rsid w:val="00EC6747"/>
    <w:rsid w:val="00ED4CB7"/>
    <w:rsid w:val="00EE2944"/>
    <w:rsid w:val="00F131E6"/>
    <w:rsid w:val="00F13A91"/>
    <w:rsid w:val="00F200B3"/>
    <w:rsid w:val="00F247C0"/>
    <w:rsid w:val="00F25777"/>
    <w:rsid w:val="00F260E9"/>
    <w:rsid w:val="00F319D8"/>
    <w:rsid w:val="00F41208"/>
    <w:rsid w:val="00F5126A"/>
    <w:rsid w:val="00F63901"/>
    <w:rsid w:val="00FA3792"/>
    <w:rsid w:val="00FB0515"/>
    <w:rsid w:val="00FB70A6"/>
    <w:rsid w:val="00FC4F80"/>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F1E083C"/>
  <w15:docId w15:val="{F94C3514-0AC0-4B86-A960-9F8D3664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Paragraphedeliste">
    <w:name w:val="List Paragraph"/>
    <w:basedOn w:val="Normal"/>
    <w:uiPriority w:val="34"/>
    <w:rsid w:val="006F7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63E0-6154-4465-A3DB-44DCB8C0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498</TotalTime>
  <Pages>2</Pages>
  <Words>551</Words>
  <Characters>3034</Characters>
  <Application>Microsoft Office Word</Application>
  <DocSecurity>0</DocSecurity>
  <Lines>25</Lines>
  <Paragraphs>7</Paragraphs>
  <ScaleCrop>false</ScaleCrop>
  <HeadingPairs>
    <vt:vector size="8" baseType="variant">
      <vt:variant>
        <vt:lpstr>Konu Başlığı</vt:lpstr>
      </vt:variant>
      <vt:variant>
        <vt:i4>1</vt:i4>
      </vt:variant>
      <vt:variant>
        <vt:lpstr>Titolo</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3578</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dc:description>
  <cp:lastModifiedBy>VONAU Lucie</cp:lastModifiedBy>
  <cp:revision>103</cp:revision>
  <cp:lastPrinted>2017-03-21T17:43:00Z</cp:lastPrinted>
  <dcterms:created xsi:type="dcterms:W3CDTF">2023-08-15T04:59:00Z</dcterms:created>
  <dcterms:modified xsi:type="dcterms:W3CDTF">2025-10-16T10:41:00Z</dcterms:modified>
  <cp:category>www.erenoglu.com.tr</cp:category>
</cp:coreProperties>
</file>