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480"/>
        <w:tblGridChange w:id="0">
          <w:tblGrid>
            <w:gridCol w:w="1875"/>
            <w:gridCol w:w="5325"/>
            <w:gridCol w:w="348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02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02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b5ca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73 – Scenario - Preparare un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40" w:lineRule="auto"/>
        <w:ind w:left="709" w:right="0" w:hanging="709"/>
        <w:jc w:val="center"/>
        <w:rPr>
          <w:b w:val="1"/>
          <w:bCs w:val="1"/>
          <w:sz w:val="28"/>
          <w:szCs w:val="28"/>
        </w:rPr>
      </w:pPr>
      <w:bookmarkStart w:colFirst="0" w:colLast="0" w:name="_heading=h.4kw8am67dfmj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Obiettivo - Introdurre il linguaggio utile per il curriculum vitae e fornire supporto nella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0" w:before="0" w:line="240" w:lineRule="auto"/>
        <w:ind w:left="709" w:right="0" w:hanging="709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dhdxl6ls9b90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scrittura di un CV.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Questo è il primo di una serie di tre strumenti pensati per aiutare i migranti, che hanno già un livello elementare in italiano (almeno A1), a entrare nel mondo del lavoro o a cercare un lavoro migliore.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serie è composta da: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Strumento 73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Scenario - Preparare un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Strumento 74 -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Scenario - Scrivere una lettera di candidatura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Strumento 75 -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Scenario - Prepararsi per un colloquio di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 di iniziare a usare la serie, tieni presente che: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 suggeriamo di utilizzare i tre strumenti nell'ordine sopra indicato;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molto probabile che per completare ciascuno strumento sia necessaria più di una sessione di supporto linguistico;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stesura di un CV, la preparazione di una lettera di candidatura e la partecipazione a un colloquio di lavoro sono compiti non semplici. Pertanto, le attività proposte devono essere introdotte gradualmente e, ove possibile, il lavoro deve essere individualizzato. Ad esempio, tutti i migranti avranno bisogno di aiuto per imparare determinate parole ed espressioni, ma ogni apprendente dovrà lavorare solo sul vocabolario necessario per descrivere la propria esperienza lavorativa, candidarsi per i lavori a cui è interessato e prepararsi per il tipo di colloquio a cui vuole partecipare.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Situazioni comunicative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Parlare di esperienze lavorative e di figure professionali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Scrivere un curriculum vitae (CV)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Modello di curriculum vitae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linguistiche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Mostra come esempio un curriculum vitae immaginario o reale (eventualmente il tuo) e verifica se gli apprendenti sanno cos'è un curriculum vitae.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Stimola una discussione con domande del tipo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Quali sono i modi per cercare lavoro nel tuo Paese? Di solito c’è bisogno di presentare il CV per trovare un lavoro?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 chiedi se hanno mai scritto un CV.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Invita i migranti a guardare il modello di CV (materiale A) e a riflettere sulla sua struttura. Lascia che chiedano informazioni su parole ed espressioni che non capiscono.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un primo momento, proponi di usare i loro cellulari, lavorando in coppia, per scattare la foto che dovranno inserire nei loro CV.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3pxbiqh2wpj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seguito, invita i partecipanti a lavorare autonomamente per completare la prima sezione del CV relativa alle “Informazioni personali”.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Dividi gli apprendenti in due squadre per un'attività che consiste nell'indovinare i nomi dei lavori illustrati nelle immagini. Sul tuo computer crea due cartelle, una per ogni squadra. Lascia che le due squadre trovino online almeno 8 immagini di diversi lavori e le salvino nelle rispettive cartelle.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Poi, a turno, ogni componente di ciascuna squadra seleziona un'immagine e la proietta sul videoproiettore (o sul computer in modalità schermo intero). L'altro gruppo ha 5 secondi per indovinare il tipo di lavoro illustrato nell'immagine. Vince la squadra che dà per prima 5 risposte esatte.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L’attività precedente è servita a preparare il terreno per un focus sulla seconda sezione del modello di CV, “Esperienze lavorative”.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prima cosa, chiedi ai partecipanti di pensare alle loro esperienze nel proprio Paese, in Italia o in altri Paesi e di parlare delle loro precedenti attività lavorative e delle loro mansioni.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Quindi, invitali a scrivere queste esperienze nel loro CV seguendo il modello.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Infine, una volta completata questa sezione, chiedi loro di mostrare al compagno di banco ciò che hanno scritto. Metti in evidenza il valore della valutazione tra pari (vedi Strumento 27 -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Valutare l'apprendimento della nuova lingua e offrire un riscontro costruttivo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Inizia a lavorare sulla sezione successiva del CV, “Istruzione e formazione”. Scrivi alla lavagna dei termini da suggerire come esempi. Poi, chiedi agli studenti di completare questa sezione nei loro CV.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6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sezione seguente relativa alle “Lingue”, invita gli studenti a ripensare ai ritratti che hanno realizzato utilizzando lo strumento 50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ritratto plurilingue: un’attività per far riflettere i migranti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7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L'ultima sezione della colonna di destra del modello di CV è “Hobby e interessi”. Per concentrarsi su questo aspetto, dividi i partecipanti in gruppi di 4 o 5 apprendenti.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 a ciascun gruppo un grande foglio di carta e delle penne e chiedi di creare una mappa mentale dei loro hobby e interessi (vedi Strumento 35 -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Alcune tecniche per apprendere il vocabolario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 gruppo presenta quindi la propria mappa mentale, sulla quale gli altri partecipanti possono fare domande.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Infine, una volta che il vocabolario relativo a questa sezione è stato rivisto o appreso, chiedi di completare questa sezione del loro CV.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8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volta chiusa l’intera colonna di destra del modello, invita gli apprendenti a lavorare a coppie per scambiarsi informazioni sui loro CV. Chiedi di descrivere oralmente alla classe il CV del compagno. Per aiutare gli studenti è opportuno che prima dell'attività si esercitino con il linguaggio che potrebbe essere loro necessario, ad esempio: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Farook ha lavorato come muratore/cuoco/infermiere; Leyla ha esperienza di assistenza a bambini/anziani/come receptionist; J. ha studiato in... Era bravo in matematica e scienze; W. ha un diploma di ragioniere/un titolo di abilitazione all'insegnamento.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Attività 9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 riflettere i partecipanti sullo scenario su cui hanno appena lavorato. Cerca di accrescere la loro consapevolezza su ciò che hanno fatto e imparato, ad esempio utilizzando lo Strumento 52 -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Supportare i migranti nel riflettere sulle attività di apprendimento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lo Strumento 53 -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Supportare i migranti nel valutare i propri progressi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questo punto, chiedi loro se c'è qualcosa che sembra mancare nel modello di CV (la sezione di sinistra). Concludi quindi lo scenario anticipando che la sezione “Competenze e attitudini personali” verrà completata con un’attività prevista dallo Strumento 74 -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Scenario - Scrivere una lettera di candidatura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Materiali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7171"/>
        <w:tblGridChange w:id="0">
          <w:tblGrid>
            <w:gridCol w:w="3260"/>
            <w:gridCol w:w="7171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8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FOTO RECENTE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44.84375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 e-mail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di telefono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 di residenza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E ATTITUDINI PERSONALI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LAVORATIVE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LINGUE CONOSCIUTE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HOBBY E INTERESSI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ALTRE INFORMAZIONI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720" w:top="720" w:left="720" w:right="72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Apto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tabs>
        <w:tab w:val="center" w:leader="none" w:pos="5398.000000000001"/>
        <w:tab w:val="right" w:leader="none" w:pos="10438.000000000002"/>
      </w:tabs>
      <w:rPr>
        <w:rFonts w:ascii="Aptos" w:cs="Aptos" w:eastAsia="Aptos" w:hAnsi="Aptos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tabs>
        <w:tab w:val="center" w:leader="none" w:pos="5398.000000000001"/>
        <w:tab w:val="right" w:leader="none" w:pos="10438.000000000002"/>
      </w:tabs>
      <w:rPr>
        <w:rFonts w:ascii="Aptos" w:cs="Aptos" w:eastAsia="Aptos" w:hAnsi="Aptos"/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tabs>
        <w:tab w:val="center" w:leader="none" w:pos="5398.000000000001"/>
        <w:tab w:val="right" w:leader="none" w:pos="10438.000000000002"/>
      </w:tabs>
      <w:rPr>
        <w:sz w:val="24"/>
        <w:szCs w:val="24"/>
      </w:rPr>
    </w:pPr>
    <w:r w:rsidDel="00000000" w:rsidR="00000000" w:rsidRPr="00000000">
      <w:rPr>
        <w:b w:val="1"/>
        <w:bCs w:val="1"/>
        <w:color w:val="444746"/>
        <w:sz w:val="18"/>
        <w:szCs w:val="18"/>
        <w:highlight w:val="white"/>
        <w:rtl w:val="0"/>
      </w:rPr>
      <w:t xml:space="preserve">Strumento 73 – Supporto Linguistico fornito a Migranti</w:t>
    </w:r>
    <w:r w:rsidDel="00000000" w:rsidR="00000000" w:rsidRPr="00000000">
      <w:rPr>
        <w:rFonts w:ascii="Roboto" w:cs="Roboto" w:eastAsia="Roboto" w:hAnsi="Roboto"/>
        <w:color w:val="444746"/>
        <w:sz w:val="21"/>
        <w:szCs w:val="21"/>
        <w:highlight w:val="white"/>
        <w:rtl w:val="0"/>
      </w:rPr>
      <w:t xml:space="preserve"> </w:t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/4</w:t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24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color w:val="0070c0"/>
      <w:w w:val="100"/>
      <w:position w:val="-1"/>
      <w:sz w:val="40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before="240" w:line="360" w:lineRule="auto"/>
      <w:ind w:left="340" w:leftChars="-1" w:rightChars="0" w:firstLineChars="-1"/>
      <w:textDirection w:val="btLr"/>
      <w:textAlignment w:val="top"/>
      <w:outlineLvl w:val="1"/>
    </w:pPr>
    <w:rPr>
      <w:rFonts w:ascii="Arial Black" w:cs="Times New Roman" w:eastAsia="Times New Roman" w:hAnsi="Arial Black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de-DE" w:val="fr-FR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before="240" w:line="360" w:lineRule="auto"/>
      <w:ind w:left="340" w:leftChars="-1" w:rightChars="0" w:firstLineChars="-1"/>
      <w:textDirection w:val="btLr"/>
      <w:textAlignment w:val="top"/>
      <w:outlineLvl w:val="2"/>
    </w:pPr>
    <w:rPr>
      <w:rFonts w:ascii="Arial" w:cs="Times New Roman" w:eastAsia="Times New Roman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de-DE" w:val="fr-FR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before="240" w:line="360" w:lineRule="auto"/>
      <w:ind w:left="340" w:leftChars="-1" w:rightChars="0" w:firstLineChars="-1"/>
      <w:textDirection w:val="btLr"/>
      <w:textAlignment w:val="top"/>
      <w:outlineLvl w:val="3"/>
    </w:pPr>
    <w:rPr>
      <w:rFonts w:ascii="Arial" w:cs="Times New Roman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de-DE" w:val="fr-FR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240" w:before="240" w:line="1" w:lineRule="atLeast"/>
      <w:ind w:left="284" w:leftChars="-1" w:rightChars="0" w:firstLineChars="-1"/>
      <w:textDirection w:val="btLr"/>
      <w:textAlignment w:val="top"/>
      <w:outlineLvl w:val="5"/>
    </w:pPr>
    <w:rPr>
      <w:rFonts w:ascii="Arial" w:cs="Times New Roman" w:eastAsia="Times New Roman" w:hAnsi="Arial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de-DE" w:val="fr-FR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before="240" w:line="360" w:lineRule="auto"/>
      <w:ind w:leftChars="-1" w:rightChars="0" w:firstLineChars="-1"/>
      <w:jc w:val="both"/>
      <w:textDirection w:val="btLr"/>
      <w:textAlignment w:val="top"/>
      <w:outlineLvl w:val="6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textDirection w:val="btLr"/>
      <w:textAlignment w:val="top"/>
      <w:outlineLvl w:val="7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libri Light" w:hAnsi="Calibri Light"/>
      <w:b w:val="1"/>
      <w:color w:val="0070c0"/>
      <w:w w:val="100"/>
      <w:position w:val="-1"/>
      <w:sz w:val="32"/>
      <w:effect w:val="none"/>
      <w:vertAlign w:val="baseline"/>
      <w:cs w:val="0"/>
      <w:em w:val="none"/>
      <w:lang w:eastAsia="en-US" w:val="en-US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Arial Black" w:hAnsi="Arial Black"/>
      <w:b w:val="1"/>
      <w:w w:val="100"/>
      <w:position w:val="-1"/>
      <w:sz w:val="32"/>
      <w:effect w:val="none"/>
      <w:vertAlign w:val="baseline"/>
      <w:cs w:val="0"/>
      <w:em w:val="none"/>
      <w:lang w:eastAsia="de-DE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eastAsia="de-DE"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de-DE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Times New Roman" w:hAnsi="Times New Roman"/>
      <w:i w:val="1"/>
      <w:w w:val="100"/>
      <w:position w:val="-1"/>
      <w:sz w:val="24"/>
      <w:effect w:val="none"/>
      <w:vertAlign w:val="baseline"/>
      <w:cs w:val="0"/>
      <w:em w:val="none"/>
      <w:lang w:eastAsia="fr-FR"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Arial" w:hAnsi="Arial"/>
      <w:i w:val="1"/>
      <w:w w:val="100"/>
      <w:position w:val="-1"/>
      <w:sz w:val="20"/>
      <w:effect w:val="none"/>
      <w:vertAlign w:val="baseline"/>
      <w:cs w:val="0"/>
      <w:em w:val="none"/>
      <w:lang w:eastAsia="de-DE"/>
    </w:rPr>
  </w:style>
  <w:style w:type="character" w:styleId="Titolo7Carattere">
    <w:name w:val="Titolo 7 Carattere"/>
    <w:next w:val="Titolo7Carattere"/>
    <w:autoRedefine w:val="0"/>
    <w:hidden w:val="0"/>
    <w:qFormat w:val="0"/>
    <w:rPr>
      <w:rFonts w:ascii="Times New Roman" w:hAnsi="Times New Roman"/>
      <w:i w:val="1"/>
      <w:w w:val="100"/>
      <w:position w:val="-1"/>
      <w:sz w:val="24"/>
      <w:effect w:val="none"/>
      <w:vertAlign w:val="baseline"/>
      <w:cs w:val="0"/>
      <w:em w:val="none"/>
      <w:lang w:eastAsia="fr-FR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eastAsia="fr-FR"/>
    </w:rPr>
  </w:style>
  <w:style w:type="paragraph" w:styleId="TKTITRE1">
    <w:name w:val="TK TITRE1"/>
    <w:next w:val="TKTITRE1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TKTITRE3">
    <w:name w:val="TK TITRE 3"/>
    <w:next w:val="TKTITRE3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noProof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und" w:val="und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fr-FR" w:val="fr-FR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Calibri" w:hAnsi="Calibri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appadocumento">
    <w:name w:val="Mappa documento"/>
    <w:basedOn w:val="Normale"/>
    <w:next w:val="Mappa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imes New Roman" w:eastAsia="Times New Roman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MappadocumentoCarattere">
    <w:name w:val="Mappa documento Carattere"/>
    <w:next w:val="MappadocumentoCarattere"/>
    <w:autoRedefine w:val="0"/>
    <w:hidden w:val="0"/>
    <w:qFormat w:val="0"/>
    <w:rPr>
      <w:rFonts w:ascii="Tahoma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 w:eastAsia="fr-FR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_Toolkit">
    <w:name w:val="Table_Toolkit"/>
    <w:next w:val="Table_Toolki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  <w:tblPr>
      <w:tblStyle w:val="Table_Toolkit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KTextetableau">
    <w:name w:val="TK Texte tableau"/>
    <w:next w:val="TKTexte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TKAIM">
    <w:name w:val="TK AIM"/>
    <w:next w:val="TKAIM"/>
    <w:autoRedefine w:val="0"/>
    <w:hidden w:val="0"/>
    <w:qFormat w:val="0"/>
    <w:pPr>
      <w:shd w:color="auto" w:fill="dddddd" w:val="clear"/>
      <w:tabs>
        <w:tab w:val="left" w:leader="none" w:pos="709"/>
      </w:tabs>
      <w:suppressAutoHyphens w:val="1"/>
      <w:spacing w:after="480" w:before="480" w:line="1" w:lineRule="atLeast"/>
      <w:ind w:left="709" w:leftChars="-1" w:rightChars="0" w:hanging="709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32"/>
      <w:effect w:val="none"/>
      <w:vertAlign w:val="baseline"/>
      <w:cs w:val="0"/>
      <w:em w:val="none"/>
      <w:lang w:bidi="ar-SA" w:eastAsia="en-US" w:val="en-GB"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nsolas" w:cs="Times New Roman" w:eastAsia="Times New Roman" w:hAnsi="Consolas"/>
      <w:w w:val="100"/>
      <w:position w:val="-1"/>
      <w:sz w:val="21"/>
      <w:szCs w:val="21"/>
      <w:effect w:val="none"/>
      <w:vertAlign w:val="baseline"/>
      <w:cs w:val="0"/>
      <w:em w:val="none"/>
      <w:lang w:bidi="ar-SA" w:eastAsia="fr-FR" w:val="fr-FR"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nsolas" w:hAnsi="Consolas"/>
      <w:w w:val="100"/>
      <w:position w:val="-1"/>
      <w:sz w:val="21"/>
      <w:effect w:val="none"/>
      <w:vertAlign w:val="baseline"/>
      <w:cs w:val="0"/>
      <w:em w:val="none"/>
      <w:lang/>
    </w:rPr>
  </w:style>
  <w:style w:type="paragraph" w:styleId="TKMAINTITLE">
    <w:name w:val="TK MAIN TITLE"/>
    <w:basedOn w:val="Normale"/>
    <w:next w:val="TKMAINTITLE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color w:val="2f5496"/>
      <w:w w:val="100"/>
      <w:position w:val="-1"/>
      <w:sz w:val="40"/>
      <w:szCs w:val="40"/>
      <w:effect w:val="none"/>
      <w:vertAlign w:val="baseline"/>
      <w:cs w:val="0"/>
      <w:em w:val="none"/>
      <w:lang w:bidi="ar-SA" w:eastAsia="en-US" w:val="en-GB"/>
    </w:rPr>
  </w:style>
  <w:style w:type="paragraph" w:styleId="TKTEXTE">
    <w:name w:val="TK TEXTE"/>
    <w:next w:val="TKTEXTE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TKBulletLevel1">
    <w:name w:val="TK Bullet Level1"/>
    <w:next w:val="Normale"/>
    <w:autoRedefine w:val="0"/>
    <w:hidden w:val="0"/>
    <w:qFormat w:val="0"/>
    <w:pPr>
      <w:numPr>
        <w:ilvl w:val="0"/>
        <w:numId w:val="14"/>
      </w:numPr>
      <w:tabs>
        <w:tab w:val="left" w:leader="none" w:pos="567"/>
      </w:tabs>
      <w:suppressAutoHyphens w:val="1"/>
      <w:spacing w:after="60" w:before="60" w:line="1" w:lineRule="atLeast"/>
      <w:ind w:left="568" w:leftChars="-1" w:rightChars="0" w:hanging="284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imes New Roman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KTITRE2">
    <w:name w:val="TK TITRE 2"/>
    <w:next w:val="Normale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KBulletLevel2">
    <w:name w:val="TK Bullet Level2"/>
    <w:basedOn w:val="TKBulletLevel1"/>
    <w:next w:val="TKBulletLevel2"/>
    <w:autoRedefine w:val="0"/>
    <w:hidden w:val="0"/>
    <w:qFormat w:val="0"/>
    <w:pPr>
      <w:numPr>
        <w:ilvl w:val="0"/>
        <w:numId w:val="14"/>
      </w:numPr>
      <w:tabs>
        <w:tab w:val="left" w:leader="none" w:pos="567"/>
      </w:tabs>
      <w:suppressAutoHyphens w:val="1"/>
      <w:spacing w:after="60" w:before="60" w:line="1" w:lineRule="atLeast"/>
      <w:ind w:left="1135" w:leftChars="-1" w:rightChars="0" w:hanging="284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KNbrsLevel2">
    <w:name w:val="TK Nbrs Level2"/>
    <w:next w:val="TKNbrsLevel2"/>
    <w:autoRedefine w:val="0"/>
    <w:hidden w:val="0"/>
    <w:qFormat w:val="0"/>
    <w:pPr>
      <w:numPr>
        <w:ilvl w:val="0"/>
        <w:numId w:val="10"/>
      </w:numPr>
      <w:suppressAutoHyphens w:val="1"/>
      <w:spacing w:after="60" w:before="60" w:line="1" w:lineRule="atLeast"/>
      <w:ind w:left="1208" w:leftChars="-1" w:rightChars="0" w:hanging="357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K_NbrsLevel1">
    <w:name w:val="TK_Nbrs Level1"/>
    <w:next w:val="TK_NbrsLevel1"/>
    <w:autoRedefine w:val="0"/>
    <w:hidden w:val="0"/>
    <w:qFormat w:val="0"/>
    <w:pPr>
      <w:numPr>
        <w:ilvl w:val="0"/>
        <w:numId w:val="9"/>
      </w:numPr>
      <w:suppressAutoHyphens w:val="1"/>
      <w:spacing w:after="60" w:before="60" w:line="1" w:lineRule="atLeast"/>
      <w:ind w:left="851" w:leftChars="-1" w:rightChars="0" w:hanging="284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TK_notes">
    <w:name w:val="TK_notes"/>
    <w:next w:val="TK_notes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TKLettersLevel1">
    <w:name w:val="TK Letters Level 1"/>
    <w:basedOn w:val="TKBulletLevel1"/>
    <w:next w:val="TKLettersLevel1"/>
    <w:autoRedefine w:val="0"/>
    <w:hidden w:val="0"/>
    <w:qFormat w:val="0"/>
    <w:pPr>
      <w:numPr>
        <w:ilvl w:val="0"/>
        <w:numId w:val="12"/>
      </w:numPr>
      <w:tabs>
        <w:tab w:val="left" w:leader="none" w:pos="567"/>
      </w:tabs>
      <w:suppressAutoHyphens w:val="1"/>
      <w:spacing w:after="60" w:before="60" w:line="1" w:lineRule="atLeast"/>
      <w:ind w:left="568" w:leftChars="-1" w:rightChars="0" w:hanging="284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KTITRE4">
    <w:name w:val="TK TITRE 4"/>
    <w:basedOn w:val="TKTITRE3"/>
    <w:next w:val="TKTITRE4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noProof w:val="1"/>
      <w:w w:val="100"/>
      <w:position w:val="-1"/>
      <w:sz w:val="24"/>
      <w:szCs w:val="24"/>
      <w:u w:val="none"/>
      <w:effect w:val="none"/>
      <w:vertAlign w:val="baseline"/>
      <w:cs w:val="0"/>
      <w:em w:val="none"/>
      <w:lang w:bidi="ar-SA" w:eastAsia="und" w:val="und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fr-FR"/>
    </w:rPr>
  </w:style>
  <w:style w:type="character" w:styleId="Rimandocommento">
    <w:name w:val="Rimando commento"/>
    <w:next w:val="Rimandocomment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fr-FR"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fr-FR"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fr-FR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fr-FR"/>
    </w:rPr>
  </w:style>
  <w:style w:type="character" w:styleId="Enfasiintensa">
    <w:name w:val="Enfasi intensa"/>
    <w:next w:val="Enfasiintensa"/>
    <w:autoRedefine w:val="0"/>
    <w:hidden w:val="0"/>
    <w:qFormat w:val="0"/>
    <w:rPr>
      <w:i w:val="1"/>
      <w:i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oGgaXqrqCLq7JhHn2nbrmXyWzQ==">CgMxLjAyDmguNGt3OGFtNjdkZm1qMg5oLmRoZHhsNmxzOWI5MDIOaC42M3B4YmlxaDJ3cGo4AGopChRzdWdnZXN0Lmg0NW5ycGdxMzUxNRIRTWFkZGFsZW5hIEZvcm1pY2FqKQoUc3VnZ2VzdC44dmY0MW13NmU1MHgSEU1hZGRhbGVuYSBGb3JtaWNhaikKFHN1Z2dlc3QudGY0ZXQ0bjBkamp5EhFNYWRkYWxlbmEgRm9ybWljYWopChRzdWdnZXN0LnllbnEzZTNwM2sxMRIRTWFkZGFsZW5hIEZvcm1pY2FqKQoUc3VnZ2VzdC5sbnN5cXVkdXZudjcSEU1hZGRhbGVuYSBGb3JtaWNhaikKFHN1Z2dlc3QuYWl5d2M3bHVmb2h2EhFNYWRkYWxlbmEgRm9ybWljYXIhMUJpdThJcW83Q3FjTUk4Sl9lenc3OFRyMGRINHRicG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2025-04-23T06:54:00Z</dcterms:created>
  <dc:creator>utilisateur</dc:creator>
</cp:coreProperties>
</file>