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640"/>
        <w:tblGridChange w:id="0">
          <w:tblGrid>
            <w:gridCol w:w="1875"/>
            <w:gridCol w:w="5325"/>
            <w:gridCol w:w="264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5 –</w:t>
      </w:r>
      <w:r w:rsidDel="00000000" w:rsidR="00000000" w:rsidRPr="00000000">
        <w:rPr>
          <w:rFonts w:ascii="Calibri" w:cs="Calibri" w:eastAsia="Calibri" w:hAnsi="Calibri"/>
          <w:color w:val="004f88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Alcuni punti importanti da tenere a mente quando si fornisce supporto linguistico ai migranti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libri" w:cs="Calibri" w:eastAsia="Calibri" w:hAnsi="Calibri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after="0" w:lineRule="auto"/>
        <w:ind w:left="709" w:hanging="709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Obiettivo - Dare suggerimenti pratici agli educatori coinvolti nel supporto </w:t>
      </w:r>
    </w:p>
    <w:p w:rsidR="00000000" w:rsidDel="00000000" w:rsidP="00000000" w:rsidRDefault="00000000" w:rsidRPr="00000000" w14:paraId="0000000D">
      <w:pPr>
        <w:shd w:fill="d9d9d9" w:val="clear"/>
        <w:spacing w:after="0" w:lineRule="auto"/>
        <w:ind w:left="709" w:hanging="709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linguistico.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seconda della formazione educativa del Paese di provenienza e delle precedenti esperienze di apprendimento linguistico, i migranti avranno aspettative diverse sul modo in cui viene insegnata la lingua. Il modo in cui lavori, a sua volta, dipenderà dalla tua formazione, dalla tua esperienza e dall'approccio raccomandato dalla tua istituzione o associazione. Nonostante ciò, ci sono delle linee guida generali da tenere in considerazione per interagire con gli apprendenti durante le sessioni di supporto linguistico, specie quando rivolte a chi si trova ad un livello elementare di competenza nella nuova lingua. Ecco alcuni suggerimenti.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Impara i nomi degli apprendenti e pronunciali correttamente. Usa i loro nomi quando li saluti, fai domande, richiedi risposte, dai loro riscontri e così via.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Assicurati che comprendano gli obiettivi principali di ogni attività, fornisci istruzioni chiare e verifica sempre che siano comprese; ripetile se necessario, usando parole diverse.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 lentamente, al bisogno, ma in ogni caso sempre con una voce chiara e con pause tra le frasi, in modo che tutti nel gruppo possano sentire; non parlare a voce troppo alta.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volta che è necessario, ripeti o parafrasa ciò che dici, specialmente le tue domande.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Fornisci spiegazioni ed esempi chiari e semplici utilizzando gesti, oggetti, immagini, ecc. Invita gli studenti a fornire altri esempi e ripetili se necessario.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fare pratica agli apprendenti, chiedi loro di ripetere nuove parole ed espressioni: hanno bisogno di esercitare i suoni e l'intonazione della nuova lingua. Se lo desideri, scrivi alla lavagna le nuove parole: questo può aiutare a fissarle.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Alcuni studenti sono più disposti a parlare rispetto ad altri: non mettere pressione su chi è più timido.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seconda dell'attività, chiedi ai partecipanti di lavorare in coppia o in piccoli gruppi.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Incoraggia sempre il supporto tra pari: i migranti con una certa conoscenza ed esperienza possono aiutare i meno esperti.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preoccuparti se gli apprendenti usano le app di traduzione sui loro telefoni o se si aiutano a vicenda nella loro lingua, anche se non sai cosa stanno dicendo.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interesse per le lingue e le culture dei migranti, ad esempio chiedendo: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si dice: 'grazie/per favore/buon compleanno, ecc.' nella tua lingua?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Oppure,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festeggiate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[festa religiosa, compleanno, ecc.]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tuo Paese?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ogni incontro di apprendimento, utilizza una varietà di attività, modalità di lavoro e risorse, ma assicurati che gli studenti comprendano cosa stai chiedendo loro di fare e perché. Varia quindi lo schema e, a volte, includi momenti ludici, attività motorie, canto, ecc. nelle tue attività linguistiche.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Assicurati che tutti i partecipanti abbiano regolari opportunità di: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leggere semplici messaggi;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scrivere o completare un modulo con dati di base;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ascoltare, ad esempio registrazioni audio (dialoghi, annunci sui mezzi pubblici, ecc.).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Proprio in merito all’ascolto, prepara, introduci e utilizza le registrazioni con attenzione: è difficile trovare risorse adatte; quindi, potrebbe essere più facile realizzare registrazioni all'interno del gruppo di colleghi (vedi Strumento 28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Selezionare e utilizzare testi per attività di ascolto a livello elementare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Ricorda infine che non è sempre possibile stabilire rapidamente una relazione facile finché gli apprendenti non si sentono rassicurati e sostenuti. Crea un’atmosfera di fiducia in classe, fornendo apprezzamento per un contributo dato o dando incoraggiamento in caso di difficoltà linguistiche o di altro tipo (vedi anche Strumento 4 –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 Cosa significa fornire supporto linguistico ai migranti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1"/>
        <w:bCs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434343"/>
        <w:sz w:val="18"/>
        <w:szCs w:val="18"/>
        <w:highlight w:val="white"/>
        <w:rtl w:val="0"/>
      </w:rPr>
      <w:t xml:space="preserve">Strumento 5 – Supporto Linguistico fornito a Migranti</w:t>
    </w:r>
    <w:r w:rsidDel="00000000" w:rsidR="00000000" w:rsidRPr="00000000">
      <w:rPr>
        <w:rtl w:val="0"/>
      </w:rPr>
      <w:tab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ab/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EF07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EF07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EF07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EF07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EF07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EF07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EF07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EF0766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EF076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EF076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EF076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EF076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EF07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F07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EF07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F076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EF076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EF0766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F07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F0766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EF0766"/>
    <w:rPr>
      <w:b w:val="1"/>
      <w:bCs w:val="1"/>
      <w:smallCaps w:val="1"/>
      <w:color w:val="0f4761" w:themeColor="accent1" w:themeShade="0000BF"/>
      <w:spacing w:val="5"/>
    </w:rPr>
  </w:style>
  <w:style w:type="paragraph" w:styleId="TKAIM" w:customStyle="1">
    <w:name w:val="TK AIM"/>
    <w:basedOn w:val="Normale"/>
    <w:qFormat w:val="1"/>
    <w:rsid w:val="79E2F91C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eastAsiaTheme="minorEastAsia"/>
      <w:b w:val="1"/>
      <w:bCs w:val="1"/>
      <w:sz w:val="28"/>
      <w:szCs w:val="28"/>
      <w:lang w:val="en-GB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2Char" w:customStyle="1">
    <w:name w:val="Heading 2 Char"/>
    <w:basedOn w:val="Carpredefinitoparagrafo"/>
    <w:uiPriority w:val="9"/>
    <w:rPr>
      <w:rFonts w:asciiTheme="majorHAnsi" w:cstheme="majorBidi" w:eastAsiaTheme="majorEastAsia" w:hAnsiTheme="majorHAnsi"/>
      <w:color w:val="0f4761" w:themeColor="accent1" w:themeShade="0000BF"/>
      <w:sz w:val="26"/>
      <w:szCs w:val="26"/>
    </w:rPr>
  </w:style>
  <w:style w:type="paragraph" w:styleId="Revisione">
    <w:name w:val="Revision"/>
    <w:hidden w:val="1"/>
    <w:uiPriority w:val="99"/>
    <w:semiHidden w:val="1"/>
    <w:rsid w:val="005D2CF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C51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5C515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5C51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C515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C5151"/>
    <w:rPr>
      <w:b w:val="1"/>
      <w:bCs w:val="1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B660F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660FC"/>
  </w:style>
  <w:style w:type="paragraph" w:styleId="Pidipagina">
    <w:name w:val="footer"/>
    <w:basedOn w:val="Normale"/>
    <w:link w:val="PidipaginaCarattere"/>
    <w:uiPriority w:val="99"/>
    <w:unhideWhenUsed w:val="1"/>
    <w:rsid w:val="00B660F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660F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um5h8v+cQYYB5Lf5AmdpRWHVg==">CgMxLjA4AGopChRzdWdnZXN0LnE1bnp4dW40NDF2ZRIRTWFkZGFsZW5hIEZvcm1pY2FqKQoUc3VnZ2VzdC5paTE4d3JxaXVpeHoSEU1hZGRhbGVuYSBGb3JtaWNhaikKFHN1Z2dlc3QueGZuZzl3czlvNGRwEhFNYWRkYWxlbmEgRm9ybWljYWopChRzdWdnZXN0LmdheGwxdGJ3dWR0aBIRTWFkZGFsZW5hIEZvcm1pY2FyITFXbDJrRmlLZTJxNlBXdXBXRWw1M0VoanVGZUtpbGNB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2024-09-18T09:14:00Z</dcterms:created>
  <dc:creator>Noemi Catizone</dc:creator>
</cp:coreProperties>
</file>