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835"/>
        <w:tblGridChange w:id="0">
          <w:tblGrid>
            <w:gridCol w:w="1875"/>
            <w:gridCol w:w="5325"/>
            <w:gridCol w:w="2835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9358188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93581881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93581881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spacing w:after="0" w:line="240" w:lineRule="auto"/>
        <w:ind w:firstLine="709"/>
        <w:jc w:val="center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49 - Giochi e attività linguistiche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after="0" w:line="240" w:lineRule="auto"/>
        <w:ind w:firstLine="709"/>
        <w:jc w:val="center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31"/>
        <w:tblW w:w="97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line="259" w:lineRule="auto"/>
              <w:ind w:left="1171" w:hanging="1171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Obiettivo - Proporre giochi e attività didattiche per aiutare i migranti ad ampliare il</w:t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1171" w:hanging="1171"/>
              <w:jc w:val="lef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                     vocabolario e a sviluppare competenze nella nuova lingua.</w:t>
            </w:r>
          </w:p>
        </w:tc>
      </w:tr>
    </w:tbl>
    <w:p w:rsidR="00000000" w:rsidDel="00000000" w:rsidP="00000000" w:rsidRDefault="00000000" w:rsidRPr="00000000" w14:paraId="0000000F">
      <w:pPr>
        <w:spacing w:after="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lineRule="auto"/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200275" cy="1534795"/>
            <wp:effectExtent b="0" l="0" r="0" t="0"/>
            <wp:docPr descr="Immagine che contiene testo, schermata, software, Icona del computer&#10;&#10;Descrizione generata automaticamente" id="1935818812" name="image2.png"/>
            <a:graphic>
              <a:graphicData uri="http://schemas.openxmlformats.org/drawingml/2006/picture">
                <pic:pic>
                  <pic:nvPicPr>
                    <pic:cNvPr descr="Immagine che contiene testo, schermata, software, Icona del computer&#10;&#10;Descrizione generata automaticamente" id="0" name="image2.png"/>
                    <pic:cNvPicPr preferRelativeResize="0"/>
                  </pic:nvPicPr>
                  <pic:blipFill>
                    <a:blip r:embed="rId10"/>
                    <a:srcRect b="28304" l="39663" r="39065" t="4530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534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Carte per inventare una storia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Questa attività è utile per aiutare adulti, adolescenti e bambini a sviluppare le abilità orali su uno o più argomenti. Questo gioco è divertente e suscita di solito molte risate, ma è importante organizzarlo bene. Ecco alcuni consigli per svolgere al meglio l’attività.</w:t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b w:val="1"/>
          <w:bCs w:val="1"/>
          <w:color w:val="2f549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Preparazione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Prendi un cartoncino e ritaglia almeno 25 carte della dimensione delle normali carte da gioco. Maggiore è il numero di apprendenti, maggiore deve essere il numero delle carte da gioco da realizzare. Assicurati che ci sia una certa varietà di immagini tra cui scegliere. </w:t>
      </w:r>
    </w:p>
    <w:p w:rsidR="00000000" w:rsidDel="00000000" w:rsidP="00000000" w:rsidRDefault="00000000" w:rsidRPr="00000000" w14:paraId="00000017">
      <w:pPr>
        <w:numPr>
          <w:ilvl w:val="0"/>
          <w:numId w:val="16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Valuta la possibilità di far realizzare le carte direttamente dagli apprendenti. Soprattutto ai bambini potrebbe piacere disegnare personalmente le carte.</w:t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Istruzioni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Pesca una carta dal mazzo per iniziare la storia.</w:t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Mostra la carta e chiedi che immagine è rappresentata.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Che cos’è questo?</w:t>
      </w:r>
      <w:r w:rsidDel="00000000" w:rsidR="00000000" w:rsidRPr="00000000">
        <w:rPr>
          <w:sz w:val="24"/>
          <w:szCs w:val="24"/>
          <w:rtl w:val="0"/>
        </w:rPr>
        <w:t xml:space="preserve"> La risposta potrebbe essere per esempio: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 cane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Chiedi poi come inizia di solito una storia. Si possono usare espressioni come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C’era una volta…, Un giorno, tanto tempo fa</w:t>
      </w:r>
      <w:r w:rsidDel="00000000" w:rsidR="00000000" w:rsidRPr="00000000">
        <w:rPr>
          <w:sz w:val="24"/>
          <w:szCs w:val="24"/>
          <w:rtl w:val="0"/>
        </w:rPr>
        <w:t xml:space="preserve">…, ecc.</w:t>
      </w:r>
    </w:p>
    <w:p w:rsidR="00000000" w:rsidDel="00000000" w:rsidP="00000000" w:rsidRDefault="00000000" w:rsidRPr="00000000" w14:paraId="0000001D">
      <w:pPr>
        <w:numPr>
          <w:ilvl w:val="0"/>
          <w:numId w:val="1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Incoraggia e aiuta gli apprendenti a formulare una frase per iniziare la storia. Ad esempio: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Una volta ero nel parco con il mio cane. Abbiamo girato un angolo e</w:t>
      </w:r>
      <w:r w:rsidDel="00000000" w:rsidR="00000000" w:rsidRPr="00000000">
        <w:rPr>
          <w:sz w:val="24"/>
          <w:szCs w:val="24"/>
          <w:rtl w:val="0"/>
        </w:rPr>
        <w:t xml:space="preserve"> …. A seconda del livello, verranno usate strutture linguistiche adeguate alle competenze degli apprendenti.</w:t>
      </w:r>
    </w:p>
    <w:p w:rsidR="00000000" w:rsidDel="00000000" w:rsidP="00000000" w:rsidRDefault="00000000" w:rsidRPr="00000000" w14:paraId="0000001E">
      <w:pPr>
        <w:spacing w:after="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Ricorda che ai livelli iniziali del QCER non è necessario l’utilizzo del tempo passato; è infatti possibile usare il tempo presente per descrivere azioni passate (ad esempio,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un giorno sono nel parco con il mio cane. Giriamo un angolo e vediamo un lago.</w:t>
      </w:r>
      <w:r w:rsidDel="00000000" w:rsidR="00000000" w:rsidRPr="00000000">
        <w:rPr>
          <w:sz w:val="24"/>
          <w:szCs w:val="24"/>
          <w:rtl w:val="0"/>
        </w:rPr>
        <w:t xml:space="preserve">..).</w:t>
      </w:r>
    </w:p>
    <w:p w:rsidR="00000000" w:rsidDel="00000000" w:rsidP="00000000" w:rsidRDefault="00000000" w:rsidRPr="00000000" w14:paraId="0000001F">
      <w:pPr>
        <w:numPr>
          <w:ilvl w:val="0"/>
          <w:numId w:val="17"/>
        </w:numPr>
        <w:spacing w:after="0" w:line="276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Chiedi a uno studente di scegliere un’altra carta, di mostrare l’immagine al gruppo e di provare a continuare la storia. Se la carta rappresenta ad esempio una ragazza che balla, lo studente potrebbe aggiungere: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Il mio cane era molto emozionato. Anche lui si è messo a ballare. Poi…. </w:t>
      </w:r>
    </w:p>
    <w:p w:rsidR="00000000" w:rsidDel="00000000" w:rsidP="00000000" w:rsidRDefault="00000000" w:rsidRPr="00000000" w14:paraId="00000020">
      <w:pPr>
        <w:numPr>
          <w:ilvl w:val="0"/>
          <w:numId w:val="1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gioco continua finché tutti gli apprendenti hanno partecipato alla costruzione della storia. Durante il gioco, a seconda del contesto d’insegnamento, potrebbe essere utile riassumere la storia che è stata raccontata fino a quel momento.</w:t>
      </w:r>
    </w:p>
    <w:p w:rsidR="00000000" w:rsidDel="00000000" w:rsidP="00000000" w:rsidRDefault="00000000" w:rsidRPr="00000000" w14:paraId="00000021">
      <w:pPr>
        <w:numPr>
          <w:ilvl w:val="0"/>
          <w:numId w:val="17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può continuare il gioco dividendo la classe in coppie o in gruppi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rPr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77" w:right="0" w:hanging="284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Memory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295275</wp:posOffset>
                      </wp:positionV>
                      <wp:extent cx="3800234" cy="1990725"/>
                      <wp:effectExtent b="0" l="0" r="0" t="0"/>
                      <wp:wrapNone/>
                      <wp:docPr id="19358188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450646" y="2789400"/>
                                <a:ext cx="3790709" cy="1981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Questa attività è utile per incoraggiare gli apprendenti di tutte le età ad ampliare il vocabolario e a sviluppare competenza linguistica. È un’attività utile anche per verificare la comprensione degli studenti. Possono giocare dai 2 ai 6 giocatori, a seconda della grandezza del tavolo. È un gioco molto divertente e spesso i bambini si rivelano più bravi degli adulti.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295275</wp:posOffset>
                      </wp:positionV>
                      <wp:extent cx="3800234" cy="1990725"/>
                      <wp:effectExtent b="0" l="0" r="0" t="0"/>
                      <wp:wrapNone/>
                      <wp:docPr id="193581880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00234" cy="19907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tbl>
            <w:tblPr>
              <w:tblStyle w:val="Table4"/>
              <w:tblW w:w="212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71"/>
              <w:gridCol w:w="851"/>
              <w:tblGridChange w:id="0">
                <w:tblGrid>
                  <w:gridCol w:w="1271"/>
                  <w:gridCol w:w="851"/>
                </w:tblGrid>
              </w:tblGridChange>
            </w:tblGrid>
            <w:tr>
              <w:trPr>
                <w:cantSplit w:val="0"/>
                <w:trHeight w:val="580" w:hRule="atLeast"/>
                <w:tblHeader w:val="0"/>
              </w:trPr>
              <w:tc>
                <w:tcPr>
                  <w:shd w:fill="ff00ff" w:val="clea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Cappello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6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23" w:hRule="atLeast"/>
                <w:tblHeader w:val="0"/>
              </w:trPr>
              <w:tc>
                <w:tcPr>
                  <w:shd w:fill="ff00ff" w:val="clea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Penna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7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43" w:hRule="atLeast"/>
                <w:tblHeader w:val="0"/>
              </w:trPr>
              <w:tc>
                <w:tcPr>
                  <w:shd w:fill="ff00ff" w:val="clea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Cestino</w:t>
                  </w:r>
                </w:p>
              </w:tc>
              <w:tc>
                <w:tcPr/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8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60" w:hRule="atLeast"/>
                <w:tblHeader w:val="0"/>
              </w:trPr>
              <w:tc>
                <w:tcPr>
                  <w:shd w:fill="ff00ff" w:val="clea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Culla</w:t>
                  </w:r>
                </w:p>
              </w:tc>
              <w:tc>
                <w:tcPr/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9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9" w:hRule="atLeast"/>
                <w:tblHeader w:val="0"/>
              </w:trPr>
              <w:tc>
                <w:tcPr>
                  <w:shd w:fill="ff00ff" w:val="clear"/>
                </w:tcPr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ffffff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Sole</w:t>
                  </w:r>
                </w:p>
              </w:tc>
              <w:tc>
                <w:tcPr/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0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60" w:before="60" w:line="276" w:lineRule="auto"/>
                    <w:ind w:left="177" w:right="0" w:hanging="284"/>
                    <w:jc w:val="both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76" w:lineRule="auto"/>
              <w:ind w:left="177" w:right="0" w:hanging="284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Preparazione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Prendi un cartoncino e ritaglia almeno 10-20 carte della dimensione delle normali carte da gioco o poco più grandi.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Realizza una serie di carte abbinate. A seconda del livello e dell’obiettivo, puoi, come nell’esempio: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disegnare o incollare immagini identiche su due carte diverse, oppure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disegnare o incollare un’immagine su una carta e scrivere la parola corrispondente su un’altra carta.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16.0" w:type="dxa"/>
        <w:jc w:val="left"/>
        <w:tblInd w:w="27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15"/>
        <w:gridCol w:w="1177"/>
        <w:gridCol w:w="1315"/>
        <w:gridCol w:w="1237"/>
        <w:gridCol w:w="1316"/>
        <w:gridCol w:w="1178"/>
        <w:gridCol w:w="1378"/>
        <w:tblGridChange w:id="0">
          <w:tblGrid>
            <w:gridCol w:w="1315"/>
            <w:gridCol w:w="1177"/>
            <w:gridCol w:w="1315"/>
            <w:gridCol w:w="1237"/>
            <w:gridCol w:w="1316"/>
            <w:gridCol w:w="1178"/>
            <w:gridCol w:w="1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4798" cy="379970"/>
                  <wp:effectExtent b="0" l="0" r="0" t="0"/>
                  <wp:docPr id="1935818814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798" cy="379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84749</wp:posOffset>
                      </wp:positionH>
                      <wp:positionV relativeFrom="paragraph">
                        <wp:posOffset>15798</wp:posOffset>
                      </wp:positionV>
                      <wp:extent cx="495020" cy="354344"/>
                      <wp:effectExtent b="0" l="0" r="0" t="0"/>
                      <wp:wrapNone/>
                      <wp:docPr id="19358188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04840" y="3609178"/>
                                <a:ext cx="482320" cy="341644"/>
                              </a:xfrm>
                              <a:prstGeom prst="mathPlus">
                                <a:avLst>
                                  <a:gd fmla="val 23520" name="adj1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84749</wp:posOffset>
                      </wp:positionH>
                      <wp:positionV relativeFrom="paragraph">
                        <wp:posOffset>15798</wp:posOffset>
                      </wp:positionV>
                      <wp:extent cx="495020" cy="354344"/>
                      <wp:effectExtent b="0" l="0" r="0" t="0"/>
                      <wp:wrapNone/>
                      <wp:docPr id="193581880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020" cy="35434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54119" cy="408992"/>
                  <wp:effectExtent b="0" l="0" r="0" t="0"/>
                  <wp:docPr id="1935818813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119" cy="4089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14798" cy="379970"/>
                  <wp:effectExtent b="0" l="0" r="0" t="0"/>
                  <wp:docPr id="1935818816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798" cy="379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73584</wp:posOffset>
                      </wp:positionH>
                      <wp:positionV relativeFrom="paragraph">
                        <wp:posOffset>66459</wp:posOffset>
                      </wp:positionV>
                      <wp:extent cx="414278" cy="294040"/>
                      <wp:effectExtent b="0" l="0" r="0" t="0"/>
                      <wp:wrapNone/>
                      <wp:docPr id="19358188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5211" y="3639330"/>
                                <a:ext cx="401578" cy="281340"/>
                              </a:xfrm>
                              <a:prstGeom prst="mathPlus">
                                <a:avLst>
                                  <a:gd fmla="val 23520" name="adj1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2700">
                                <a:solidFill>
                                  <a:srgbClr val="1C3052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73584</wp:posOffset>
                      </wp:positionH>
                      <wp:positionV relativeFrom="paragraph">
                        <wp:posOffset>66459</wp:posOffset>
                      </wp:positionV>
                      <wp:extent cx="414278" cy="294040"/>
                      <wp:effectExtent b="0" l="0" r="0" t="0"/>
                      <wp:wrapNone/>
                      <wp:docPr id="193581880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4278" cy="2940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33cc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Cappello</w:t>
            </w:r>
          </w:p>
        </w:tc>
      </w:tr>
    </w:tbl>
    <w:p w:rsidR="00000000" w:rsidDel="00000000" w:rsidP="00000000" w:rsidRDefault="00000000" w:rsidRPr="00000000" w14:paraId="0000003E">
      <w:pPr>
        <w:spacing w:after="60" w:before="60" w:line="276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abbinare immagini identiche        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abbinare un'immagine a una parola</w:t>
      </w:r>
    </w:p>
    <w:p w:rsidR="00000000" w:rsidDel="00000000" w:rsidP="00000000" w:rsidRDefault="00000000" w:rsidRPr="00000000" w14:paraId="0000004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carte possono essere adattate a diverse età o livelli linguistici. Ad esempio, si può aumentare il numero di carte per rendere il gioco più stimolante o usare parole o immagini a seconda dell’età degli studenti. In particolare, per i bambini è consigliato usare solo immagini, senza l’ausilio della scrittura.</w:t>
      </w:r>
    </w:p>
    <w:p w:rsidR="00000000" w:rsidDel="00000000" w:rsidP="00000000" w:rsidRDefault="00000000" w:rsidRPr="00000000" w14:paraId="00000042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Ritaglia quindi le carte; queste possono rappresentare campi lessicali diversi, come cibo, giochi, animali, vestiti, ecc.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desideri realizzare le carte con il computer, crea una tabella con le celle della dimensione di una carta da gioco e inserisci all’interno le immagini che hai scaricato sul pc (Jpeg, Png o Clipart).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Istruzioni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Mescola le carte e disponile a faccia in giù su un tavolo.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Mostra come si gioca e spiega le istruzioni.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gioca a turno. Il primo giocatore gira due carte a sua scelta. Se le due carte corrispondono, il giocatore le mette da parte e gioca di nuovo. Se le carte invece non sono uguali, il giocatore le rimette a faccia in giù sul tavolo nella stessa posizione e il turno passa al giocatore successivo.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trovare le coppie, i giocatori devono ricordarsi la posizione delle carte sul tavolo.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sul tavolo non ci sono più carte, ogni giocatore conta il numero di coppie che è riuscito a prendere. Vince chi ha il numero maggiore di coppie.</w:t>
      </w:r>
    </w:p>
    <w:p w:rsidR="00000000" w:rsidDel="00000000" w:rsidP="00000000" w:rsidRDefault="00000000" w:rsidRPr="00000000" w14:paraId="0000004C">
      <w:pPr>
        <w:spacing w:after="60" w:before="6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1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8"/>
        <w:gridCol w:w="4253"/>
        <w:tblGridChange w:id="0">
          <w:tblGrid>
            <w:gridCol w:w="5108"/>
            <w:gridCol w:w="42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76" w:lineRule="auto"/>
              <w:ind w:left="321" w:right="0" w:hanging="426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04E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Questa attività è utile per ampliare il vocabolario, </w:t>
            </w:r>
          </w:p>
          <w:p w:rsidR="00000000" w:rsidDel="00000000" w:rsidP="00000000" w:rsidRDefault="00000000" w:rsidRPr="00000000" w14:paraId="0000004F">
            <w:pPr>
              <w:spacing w:after="60" w:before="60" w:line="276" w:lineRule="auto"/>
              <w:ind w:hanging="107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rinforzare le competenze acquisite, sviluppare le </w:t>
            </w:r>
          </w:p>
          <w:p w:rsidR="00000000" w:rsidDel="00000000" w:rsidP="00000000" w:rsidRDefault="00000000" w:rsidRPr="00000000" w14:paraId="00000050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 abilità sociali e creare un momento divertente in classe.</w:t>
            </w:r>
          </w:p>
          <w:p w:rsidR="00000000" w:rsidDel="00000000" w:rsidP="00000000" w:rsidRDefault="00000000" w:rsidRPr="00000000" w14:paraId="00000051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60" w:before="60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2046755" cy="1399742"/>
                  <wp:effectExtent b="0" l="0" r="0" t="0"/>
                  <wp:docPr descr="A picture containing text&#10;&#10;Description automatically generated" id="1935818815" name="image3.jpg"/>
                  <a:graphic>
                    <a:graphicData uri="http://schemas.openxmlformats.org/drawingml/2006/picture">
                      <pic:pic>
                        <pic:nvPicPr>
                          <pic:cNvPr descr="A picture containing text&#10;&#10;Description automatically generated" id="0" name="image3.jpg"/>
                          <pic:cNvPicPr preferRelativeResize="0"/>
                        </pic:nvPicPr>
                        <pic:blipFill>
                          <a:blip r:embed="rId13"/>
                          <a:srcRect b="6960" l="0" r="2963" t="45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755" cy="1399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Preparazione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Consegna a tutti un foglio di carta A4 o A3.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Ciascun apprendente deve suddividere il foglio in 8 parti uguali, come da figura. Il foglio deve essere in orizzontale con i lati lunghi in alto e in basso.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Scegli un argomento per il tuo Bingo e fai in modo che i partecipanti suggeriscano il maggior numero possibile di parole pertinenti al campo semantico selezionato.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Ciascun apprendente deve disegnare o trovare e incollare un'immagine diversa in ogni sezione della propria scheda, realizzando il proprio tabellone con 8 immagini in tutto. Ricorda, gli apprendenti più grandi potrebbero preferire scrivere le parole nelle sezioni della loro scheda, invece di disegnare.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Realizza delle copie della scheda Bingo di ciascuno studente e ritaglia le singole carte, in modo da avere una piccola carta immagine (o una carta-parola) per ogni elemento disegnato o scritto nelle schede Bingo di ognuno. Evita i doppioni, se alcuni apprendenti hanno raffigurato gli stessi elementi, non c'è bisogno di ripeterli, basta scegliere il disegno o l'immagine migliore.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Trova dei segnalini rotondi (8 per ogni apprendente) o chiedi agli studenti di portare delle monete da usare per il gioco.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Argomenti </w:t>
      </w:r>
    </w:p>
    <w:p w:rsidR="00000000" w:rsidDel="00000000" w:rsidP="00000000" w:rsidRDefault="00000000" w:rsidRPr="00000000" w14:paraId="0000005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Scopri quali sono gli argomenti che interessano maggiormente gli apprendenti o dei quali vorrebbero imparare il vocabolario. Ecco alcuni argomenti che possono andare bene per il Bingo:</w:t>
      </w:r>
    </w:p>
    <w:p w:rsidR="00000000" w:rsidDel="00000000" w:rsidP="00000000" w:rsidRDefault="00000000" w:rsidRPr="00000000" w14:paraId="0000005E">
      <w:pPr>
        <w:spacing w:after="0" w:line="276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rHeight w:val="141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Frutta e verdura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Oggetti della casa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Vestiti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Sport 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Ecc.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Verdura 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Animali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Mezzi di trasporto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4472c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Emozioni (es. facce da abbinare alle emozioni o una parola a un’emozione)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Istruzioni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giocatore ha davanti a sé il suo tabellone.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Assicurati di avere tutti i duplicati delle carte Bingo e verifica che gli apprendenti conoscano le parole dell’oggetto rappresentato sulle carte. Aiutali, se necessario.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gioco ha inizio. Mostra una carta e chiedi: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cos’è questo?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nella tombola, gli studenti che hanno quella carta o quella parola sul proprio tabellone Bingo, mettono un segnalino sulla casella corrispondente.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Vince il primo apprendente che riesce a mettere i segnalini su tutte le immagini del proprio tabellone. Quando uno studente completa il tabellone grida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Bingo!</w:t>
      </w:r>
      <w:r w:rsidDel="00000000" w:rsidR="00000000" w:rsidRPr="00000000">
        <w:rPr>
          <w:rtl w:val="0"/>
        </w:rPr>
      </w:r>
    </w:p>
    <w:sectPr>
      <w:footerReference r:id="rId14" w:type="default"/>
      <w:footerReference r:id="rId15" w:type="first"/>
      <w:pgSz w:h="16838" w:w="11906" w:orient="portrait"/>
      <w:pgMar w:bottom="1134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tabs>
        <w:tab w:val="center" w:leader="none" w:pos="5046"/>
        <w:tab w:val="right" w:leader="none" w:pos="10438.000000000002"/>
      </w:tabs>
      <w:spacing w:after="0" w:line="240" w:lineRule="auto"/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49 – Supporto Linguistico fornito a Migranti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/4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tabs>
        <w:tab w:val="center" w:leader="none" w:pos="5226"/>
        <w:tab w:val="right" w:leader="none" w:pos="10438.000000000002"/>
      </w:tabs>
      <w:spacing w:after="0" w:line="240" w:lineRule="auto"/>
      <w:ind w:right="0"/>
      <w:rPr/>
    </w:pPr>
    <w:r w:rsidDel="00000000" w:rsidR="00000000" w:rsidRPr="00000000">
      <w:rPr>
        <w:rFonts w:ascii="Aptos" w:cs="Aptos" w:eastAsia="Aptos" w:hAnsi="Aptos"/>
        <w:sz w:val="24"/>
        <w:szCs w:val="24"/>
      </w:rPr>
      <w:drawing>
        <wp:inline distB="0" distT="0" distL="0" distR="0">
          <wp:extent cx="1049244" cy="343361"/>
          <wp:effectExtent b="0" l="0" r="0" t="0"/>
          <wp:docPr descr="Immagine che contiene testo, Carattere, Elementi grafici, logo&#10;&#10;Il contenuto generato dall'IA potrebbe non essere corretto." id="1935818809" name="image5.jpg"/>
          <a:graphic>
            <a:graphicData uri="http://schemas.openxmlformats.org/drawingml/2006/picture">
              <pic:pic>
                <pic:nvPicPr>
                  <pic:cNvPr descr="Immagine che contiene testo, Carattere, Elementi grafici, logo&#10;&#10;Il contenuto generato dall'IA potrebbe non essere corretto."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244" cy="3433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/4</w:t>
      <w:tab/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86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ind w:left="1070" w:hanging="360"/>
      <w:jc w:val="center"/>
    </w:pPr>
    <w:rPr>
      <w:rFonts w:ascii="Calibri" w:cs="Calibri" w:eastAsia="Calibri" w:hAnsi="Calibri"/>
      <w:b w:val="1"/>
      <w:bCs w:val="1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" w:line="276" w:lineRule="auto"/>
      <w:jc w:val="center"/>
    </w:pPr>
    <w:rPr>
      <w:b w:val="1"/>
      <w:bCs w:val="1"/>
      <w:color w:val="0070c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99"/>
    <w:qFormat w:val="1"/>
    <w:rsid w:val="006C6A7D"/>
    <w:pPr>
      <w:ind w:left="720"/>
      <w:contextualSpacing w:val="1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565D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565D53"/>
    <w:pPr>
      <w:spacing w:after="0" w:line="240" w:lineRule="auto"/>
    </w:pPr>
    <w:rPr>
      <w:rFonts w:eastAsiaTheme="minorHAnsi"/>
      <w:sz w:val="20"/>
      <w:szCs w:val="20"/>
      <w:lang w:eastAsia="en-US" w:val="de-DE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565D53"/>
    <w:rPr>
      <w:rFonts w:eastAsiaTheme="minorHAnsi"/>
      <w:sz w:val="20"/>
      <w:szCs w:val="20"/>
      <w:lang w:eastAsia="en-US" w:val="de-D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65D5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65D53"/>
    <w:rPr>
      <w:rFonts w:ascii="Segoe UI" w:cs="Segoe UI" w:hAnsi="Segoe UI"/>
      <w:sz w:val="18"/>
      <w:szCs w:val="18"/>
    </w:rPr>
  </w:style>
  <w:style w:type="paragraph" w:styleId="xmsonormal" w:customStyle="1">
    <w:name w:val="x_msonormal"/>
    <w:basedOn w:val="Normale"/>
    <w:rsid w:val="00565D53"/>
    <w:pPr>
      <w:spacing w:after="0" w:line="240" w:lineRule="auto"/>
    </w:pPr>
    <w:rPr>
      <w:rFonts w:ascii="Calibri" w:cs="Calibri" w:hAnsi="Calibri" w:eastAsiaTheme="minorHAnsi"/>
      <w:lang w:eastAsia="fr-FR" w:val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5664D0"/>
    <w:pPr>
      <w:spacing w:after="160"/>
    </w:pPr>
    <w:rPr>
      <w:rFonts w:eastAsiaTheme="minorEastAsia"/>
      <w:b w:val="1"/>
      <w:bCs w:val="1"/>
      <w:lang w:eastAsia="zh-CN" w:val="en-GB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5664D0"/>
    <w:rPr>
      <w:rFonts w:eastAsiaTheme="minorHAnsi"/>
      <w:b w:val="1"/>
      <w:bCs w:val="1"/>
      <w:sz w:val="20"/>
      <w:szCs w:val="20"/>
      <w:lang w:eastAsia="en-US" w:val="de-DE"/>
    </w:rPr>
  </w:style>
  <w:style w:type="paragraph" w:styleId="Revisione">
    <w:name w:val="Revision"/>
    <w:hidden w:val="1"/>
    <w:uiPriority w:val="99"/>
    <w:semiHidden w:val="1"/>
    <w:rsid w:val="00277D5B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 w:val="1"/>
    <w:qFormat w:val="1"/>
    <w:rsid w:val="007A1039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7A10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7A10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 w:val="1"/>
    <w:rsid w:val="00CC5D65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C5D65"/>
  </w:style>
  <w:style w:type="paragraph" w:styleId="Pidipagina">
    <w:name w:val="footer"/>
    <w:basedOn w:val="Normale"/>
    <w:link w:val="PidipaginaCarattere"/>
    <w:uiPriority w:val="99"/>
    <w:unhideWhenUsed w:val="1"/>
    <w:rsid w:val="00CC5D65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C5D65"/>
  </w:style>
  <w:style w:type="table" w:styleId="Grigliatabella">
    <w:name w:val="Table Grid"/>
    <w:basedOn w:val="Tabellanormale"/>
    <w:uiPriority w:val="39"/>
    <w:rsid w:val="00CC5D6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4D2DE1"/>
    <w:rPr>
      <w:rFonts w:eastAsia="Calibri" w:asciiTheme="majorHAnsi" w:cstheme="minorHAnsi" w:hAnsiTheme="majorHAnsi"/>
      <w:b w:val="1"/>
      <w:color w:val="2f5496" w:themeColor="accent1" w:themeShade="0000BF"/>
      <w:sz w:val="36"/>
      <w:szCs w:val="36"/>
      <w:lang w:eastAsia="en-US"/>
    </w:rPr>
  </w:style>
  <w:style w:type="character" w:styleId="Collegamentoipertestuale">
    <w:name w:val="Hyperlink"/>
    <w:basedOn w:val="Carpredefinitoparagrafo"/>
    <w:uiPriority w:val="99"/>
    <w:unhideWhenUsed w:val="1"/>
    <w:rsid w:val="000A2EC9"/>
    <w:rPr>
      <w:color w:val="0563c1" w:themeColor="hyperlink"/>
      <w:u w:val="single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rsid w:val="000A2EC9"/>
    <w:rPr>
      <w:color w:val="605e5c"/>
      <w:shd w:color="auto" w:fill="e1dfdd" w:val="clear"/>
    </w:rPr>
  </w:style>
  <w:style w:type="paragraph" w:styleId="Nessunaspaziatura">
    <w:name w:val="No Spacing"/>
    <w:link w:val="NessunaspaziaturaCarattere"/>
    <w:uiPriority w:val="1"/>
    <w:qFormat w:val="1"/>
    <w:rsid w:val="00F110C2"/>
    <w:pPr>
      <w:spacing w:after="0" w:line="240" w:lineRule="auto"/>
    </w:pPr>
    <w:rPr>
      <w:lang w:eastAsia="en-US" w:val="en-US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F110C2"/>
    <w:rPr>
      <w:lang w:eastAsia="en-US" w:val="en-US"/>
    </w:rPr>
  </w:style>
  <w:style w:type="paragraph" w:styleId="TKMAINTITLE" w:customStyle="1">
    <w:name w:val="TK MAIN TITLE"/>
    <w:basedOn w:val="Normale"/>
    <w:qFormat w:val="1"/>
    <w:rsid w:val="002F148B"/>
    <w:pPr>
      <w:spacing w:after="120" w:before="120" w:line="240" w:lineRule="auto"/>
      <w:jc w:val="center"/>
    </w:pPr>
    <w:rPr>
      <w:rFonts w:ascii="Calibri" w:cs="Calibri" w:eastAsia="Calibri" w:hAnsi="Calibri"/>
      <w:b w:val="1"/>
      <w:bCs w:val="1"/>
      <w:color w:val="2f5496" w:themeColor="accent1" w:themeShade="0000BF"/>
      <w:sz w:val="40"/>
      <w:szCs w:val="40"/>
      <w:lang w:eastAsia="en-US"/>
    </w:rPr>
  </w:style>
  <w:style w:type="paragraph" w:styleId="TKAIM" w:customStyle="1">
    <w:name w:val="TK AIM"/>
    <w:uiPriority w:val="99"/>
    <w:qFormat w:val="1"/>
    <w:rsid w:val="005C1300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eastAsia="en-US"/>
    </w:rPr>
  </w:style>
  <w:style w:type="paragraph" w:styleId="TKTextetableau" w:customStyle="1">
    <w:name w:val="TK Texte tableau"/>
    <w:uiPriority w:val="99"/>
    <w:qFormat w:val="1"/>
    <w:rsid w:val="00695981"/>
    <w:pPr>
      <w:framePr w:lines="0" w:hSpace="141" w:wrap="around" w:hAnchor="text" w:vAnchor="text" w:y="1"/>
      <w:spacing w:after="0" w:line="240" w:lineRule="auto"/>
    </w:pPr>
    <w:rPr>
      <w:rFonts w:ascii="Calibri" w:cs="Times New Roman" w:eastAsia="Times New Roman" w:hAnsi="Calibri"/>
      <w:szCs w:val="24"/>
      <w:lang w:eastAsia="en-US"/>
    </w:rPr>
  </w:style>
  <w:style w:type="paragraph" w:styleId="TKTEXTE" w:customStyle="1">
    <w:name w:val="TK TEXTE"/>
    <w:qFormat w:val="1"/>
    <w:rsid w:val="00695981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eastAsia="en-US"/>
    </w:rPr>
  </w:style>
  <w:style w:type="paragraph" w:styleId="TKBulletLevel1" w:customStyle="1">
    <w:name w:val="TK Bullet Level1"/>
    <w:next w:val="Normale"/>
    <w:uiPriority w:val="99"/>
    <w:qFormat w:val="1"/>
    <w:rsid w:val="00695981"/>
    <w:pPr>
      <w:numPr>
        <w:numId w:val="3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eastAsia="en-US" w:val="en-US"/>
    </w:rPr>
  </w:style>
  <w:style w:type="paragraph" w:styleId="TKTITRE2" w:customStyle="1">
    <w:name w:val="TK TITRE 2"/>
    <w:next w:val="Normale"/>
    <w:uiPriority w:val="99"/>
    <w:qFormat w:val="1"/>
    <w:rsid w:val="00695981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eastAsia="en-US" w:val="en-US"/>
    </w:rPr>
  </w:style>
  <w:style w:type="paragraph" w:styleId="TKTITRE1" w:customStyle="1">
    <w:name w:val="TK TITRE1"/>
    <w:qFormat w:val="1"/>
    <w:rsid w:val="00695981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eastAsia="en-US" w:val="en-US"/>
    </w:rPr>
  </w:style>
  <w:style w:type="paragraph" w:styleId="TKNbrsLevel1" w:customStyle="1">
    <w:name w:val="TK_Nbrs Level1"/>
    <w:basedOn w:val="TKBulletLevel1"/>
    <w:qFormat w:val="1"/>
    <w:rsid w:val="00B568C9"/>
    <w:pPr>
      <w:numPr>
        <w:numId w:val="4"/>
      </w:numPr>
    </w:pPr>
    <w:rPr>
      <w:rFonts w:eastAsia="Times New Roman"/>
      <w:lang w:val="en-GB"/>
    </w:rPr>
  </w:style>
  <w:style w:type="paragraph" w:styleId="TKnotes" w:customStyle="1">
    <w:name w:val="TK_notes"/>
    <w:qFormat w:val="1"/>
    <w:rsid w:val="00B568C9"/>
    <w:pPr>
      <w:spacing w:after="120" w:before="120" w:line="240" w:lineRule="auto"/>
    </w:pPr>
    <w:rPr>
      <w:rFonts w:ascii="Calibri" w:cs="Calibri" w:eastAsia="Times New Roman" w:hAnsi="Calibri"/>
      <w:sz w:val="20"/>
      <w:lang w:eastAsia="en-US"/>
    </w:rPr>
  </w:style>
  <w:style w:type="paragraph" w:styleId="NormaleWeb">
    <w:name w:val="Normal (Web)"/>
    <w:basedOn w:val="Normale"/>
    <w:uiPriority w:val="99"/>
    <w:unhideWhenUsed w:val="1"/>
    <w:rsid w:val="00B5252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 w:val="it-IT"/>
    </w:rPr>
  </w:style>
  <w:style w:type="paragraph" w:styleId="TKTITRE3" w:customStyle="1">
    <w:name w:val="TK TITRE 3"/>
    <w:uiPriority w:val="99"/>
    <w:qFormat w:val="1"/>
    <w:rsid w:val="00F169CD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eastAsia="en-US" w:val="en-US"/>
    </w:rPr>
  </w:style>
  <w:style w:type="character" w:styleId="Titolo2Carattere" w:customStyle="1">
    <w:name w:val="Titolo 2 Carattere"/>
    <w:basedOn w:val="Carpredefinitoparagrafo"/>
    <w:link w:val="Titolo2"/>
    <w:uiPriority w:val="9"/>
    <w:rsid w:val="00D0238E"/>
    <w:rPr>
      <w:rFonts w:cstheme="majorBidi" w:eastAsiaTheme="majorEastAsia"/>
      <w:b w:val="1"/>
      <w:color w:val="0070c0"/>
      <w:sz w:val="26"/>
      <w:szCs w:val="26"/>
      <w:lang w:eastAsia="en-US" w:val="fr-FR"/>
    </w:rPr>
  </w:style>
  <w:style w:type="paragraph" w:styleId="TKBulletLevel2" w:customStyle="1">
    <w:name w:val="TK Bullet Level2"/>
    <w:basedOn w:val="TKBulletLevel1"/>
    <w:qFormat w:val="1"/>
    <w:rsid w:val="003442CA"/>
    <w:pPr>
      <w:numPr>
        <w:numId w:val="2"/>
      </w:numPr>
      <w:ind w:left="1135"/>
    </w:pPr>
  </w:style>
  <w:style w:type="paragraph" w:styleId="FootnoteText1" w:customStyle="1">
    <w:name w:val="Footnote Text1"/>
    <w:basedOn w:val="Normale"/>
    <w:next w:val="Testonotaapidipagina"/>
    <w:uiPriority w:val="99"/>
    <w:unhideWhenUsed w:val="1"/>
    <w:rsid w:val="003442CA"/>
    <w:pPr>
      <w:spacing w:after="0" w:line="240" w:lineRule="auto"/>
    </w:pPr>
    <w:rPr>
      <w:rFonts w:ascii="Calibri" w:cs="Times New Roman" w:eastAsia="Calibri" w:hAnsi="Calibri"/>
      <w:lang w:eastAsia="en-US"/>
    </w:rPr>
  </w:style>
  <w:style w:type="character" w:styleId="FootnoteTextChar1" w:customStyle="1">
    <w:name w:val="Footnote Text Char1"/>
    <w:basedOn w:val="Carpredefinitoparagrafo"/>
    <w:uiPriority w:val="99"/>
    <w:semiHidden w:val="1"/>
    <w:rsid w:val="003442CA"/>
    <w:rPr>
      <w:rFonts w:ascii="Calibri" w:cs="Times New Roman" w:eastAsia="Times New Roman" w:hAnsi="Calibri"/>
      <w:sz w:val="20"/>
      <w:szCs w:val="20"/>
    </w:rPr>
  </w:style>
  <w:style w:type="paragraph" w:styleId="TKLettersLevel1" w:customStyle="1">
    <w:name w:val="TK_Letters Level 1"/>
    <w:basedOn w:val="TKNbrsLevel1"/>
    <w:uiPriority w:val="99"/>
    <w:rsid w:val="00CE753F"/>
    <w:pPr>
      <w:numPr>
        <w:numId w:val="5"/>
      </w:numPr>
      <w:tabs>
        <w:tab w:val="clear" w:pos="567"/>
      </w:tabs>
      <w:ind w:left="357" w:hanging="357"/>
    </w:pPr>
    <w:rPr>
      <w:lang w:val="en-US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D33194"/>
    <w:rPr>
      <w:rFonts w:asciiTheme="majorHAnsi" w:cstheme="majorBidi" w:eastAsiaTheme="majorEastAsia" w:hAnsiTheme="majorHAnsi"/>
      <w:color w:val="1f3763" w:themeColor="accent1" w:themeShade="00007F"/>
    </w:rPr>
  </w:style>
  <w:style w:type="table" w:styleId="Gitternetztabelle5dunkelAkzent51" w:customStyle="1">
    <w:name w:val="Gitternetztabelle 5 dunkel  – Akzent 51"/>
    <w:basedOn w:val="Tabellanormale"/>
    <w:uiPriority w:val="50"/>
    <w:rsid w:val="00161E5F"/>
    <w:pPr>
      <w:spacing w:after="0" w:line="240" w:lineRule="auto"/>
    </w:pPr>
    <w:rPr>
      <w:rFonts w:eastAsiaTheme="minorHAnsi"/>
      <w:sz w:val="24"/>
      <w:szCs w:val="24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paragraph" w:styleId="Standarduser" w:customStyle="1">
    <w:name w:val="Standard (user)"/>
    <w:rsid w:val="00D33044"/>
    <w:pPr>
      <w:widowControl w:val="0"/>
      <w:suppressAutoHyphens w:val="1"/>
      <w:autoSpaceDN w:val="0"/>
      <w:spacing w:after="0" w:before="24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val="it-IT"/>
    </w:rPr>
  </w:style>
  <w:style w:type="paragraph" w:styleId="Standard" w:customStyle="1">
    <w:name w:val="Standard"/>
    <w:uiPriority w:val="99"/>
    <w:rsid w:val="00A32243"/>
    <w:pPr>
      <w:widowControl w:val="0"/>
      <w:suppressAutoHyphens w:val="1"/>
      <w:autoSpaceDN w:val="0"/>
      <w:spacing w:after="0" w:before="24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val="it-IT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631F5A"/>
    <w:rPr>
      <w:color w:val="5a5a5a" w:themeColor="text1" w:themeTint="0000A5"/>
      <w:spacing w:val="15"/>
    </w:r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081103"/>
    <w:pPr>
      <w:numPr>
        <w:numId w:val="0"/>
      </w:numPr>
      <w:spacing w:after="0"/>
      <w:jc w:val="left"/>
      <w:outlineLvl w:val="9"/>
    </w:pPr>
    <w:rPr>
      <w:rFonts w:cstheme="majorBidi" w:eastAsiaTheme="majorEastAsia"/>
      <w:b w:val="0"/>
      <w:sz w:val="32"/>
      <w:szCs w:val="32"/>
      <w:lang w:val="en-US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F518A9"/>
    <w:pPr>
      <w:tabs>
        <w:tab w:val="left" w:pos="660"/>
        <w:tab w:val="right" w:leader="dot" w:pos="9628"/>
      </w:tabs>
      <w:spacing w:after="100"/>
    </w:p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2.png"/><Relationship Id="rId13" Type="http://schemas.openxmlformats.org/officeDocument/2006/relationships/image" Target="media/image3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kR4hwrJwH1ZxWnOksv5m0KhdQ==">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2024-07-05T12:06:00Z</dcterms:created>
  <dc:creator>Richard Rossner</dc:creator>
</cp:coreProperties>
</file>