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80"/>
        <w:tblGridChange w:id="0">
          <w:tblGrid>
            <w:gridCol w:w="1875"/>
            <w:gridCol w:w="5325"/>
            <w:gridCol w:w="348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48 – Espressioni per parlare di sé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3" w:right="0" w:hanging="703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ryx5k6qjon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Fornire ai migranti l’opportunità e gli strumenti linguistici per parlare di sé 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3" w:right="0" w:hanging="703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pl38bao368m3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delle proprie esperienze.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molto importante per i migranti, se lo desiderano, parlare di sé e condividere ciò che hanno vissuto con gli altri componenti del tuo gruppo.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Aiuta gli apprendenti a scegliere un argomento di cui vogliono parlare e invitali poi a preparare una scaletta su carta o PowerPoint (PPT), con i punti salienti del breve discorso, anche utilizzando una delle loro lingue prime. Al bisogno, aiutali quindi a tradurre in italiano i punti definiti nel PPT. Per questa fase, gli apprendenti possono usare anche un App di traduzione automatica e inserire nel PPT foto, immagini, link per illustrare e accompagnare la breve presentazione (si suggerisce di limitarla a massimo 4 diapositive).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 aver definito la scaletta, invita gli apprendenti a svilupparla oralmente o a presentare le diapositive PPT per parlare di sé in italiano o in una lingua veicolare e/o una delle loro lingue prime.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brevi discorsi possono vertere su diversi argomenti. Si possono toccare i temi della famiglia, degli studi, della situazione lavorativa, degli amici nel Paese d'origine, della zona della città o del villaggio in cui vivono e se gli apprendenti lo desiderano, anche del loro viaggio verso l’Italia o un altro Paese di destinazione. Soprattutto con richiedenti asilo, rifugiati e minori non accompagnati, è importante evitare temi che potrebbero urtare la sensibilità degli apprendenti ed è bene non esercitare pressioni sulla scelta degli argomenti da trattare. Per far parlare gli apprendenti di sé, dei loro interessi, dei loro gusti e delle loro preferenze, puoi usare anche lo Strumento 47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ruota “parlo di me”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tabelle come le seguenti, per aiutare i partecipanti a imparare le espressioni utili per raggiungere gli obiettivi comunicativi di cui hanno bisogno.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seconda colonna trovi la lingua inglese, qui presente come possibile lingua veicolare; invita i migranti ad aggiungere un’ulteriore colonna alle tabelle, con le medesime espressioni realizzate in una delle loro lingue prime. Successivamente, condividi alcune di queste espressioni in plenaria; potresti anche creare dei cartelloni riportanti le stesse espressioni realizzate in più lingue: sarebbe una bella risorsa multilingue prodotta dalla classe.</w:t>
      </w:r>
    </w:p>
    <w:p w:rsidR="00000000" w:rsidDel="00000000" w:rsidP="00000000" w:rsidRDefault="00000000" w:rsidRPr="00000000" w14:paraId="00000015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1.1 Presentare sé stessi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devono imparare a dire il proprio nome ed essere consapevoli che i loro nomi potrebbero essere pronunciati male o in alcune situazioni, anche causare reazioni particolari.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"/>
        <w:tblW w:w="10456.0" w:type="dxa"/>
        <w:jc w:val="left"/>
        <w:tblBorders>
          <w:top w:color="44546a" w:space="0" w:sz="4" w:val="single"/>
          <w:left w:color="44546a" w:space="0" w:sz="4" w:val="single"/>
          <w:bottom w:color="44546a" w:space="0" w:sz="4" w:val="single"/>
          <w:right w:color="44546a" w:space="0" w:sz="4" w:val="single"/>
          <w:insideH w:color="44546a" w:space="0" w:sz="4" w:val="single"/>
          <w:insideV w:color="44546a" w:space="0" w:sz="4" w:val="single"/>
        </w:tblBorders>
        <w:tblLayout w:type="fixed"/>
        <w:tblLook w:val="0000"/>
      </w:tblPr>
      <w:tblGrid>
        <w:gridCol w:w="734"/>
        <w:gridCol w:w="2804"/>
        <w:gridCol w:w="3827"/>
        <w:gridCol w:w="3091"/>
        <w:tblGridChange w:id="0">
          <w:tblGrid>
            <w:gridCol w:w="734"/>
            <w:gridCol w:w="2804"/>
            <w:gridCol w:w="3827"/>
            <w:gridCol w:w="3091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ESPRESSIONI IN INGLESE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SI DICE IN ITALIANO 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Presentarsi. Dire chi sono e come mi chiamo.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(Porre l’attenzione sulla struttura linguistica usata per presentarsi).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first name,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name, family name,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name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is first name, family name,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first name, family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 sono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cognome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mio nome è…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 sono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Nome e cognome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Fare lo spelling e pronunciare il proprio nome.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(Dire agli apprendenti come si pronunciano le lettere dei loro nomi e cognomi).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Spell.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 it is spelled ...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Fare lo spelling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scrive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Correggere la pronuncia dell’interlocutore.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…, no, 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…, sorry,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…, no, 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…, scusa, si pronuncia così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1.2 Parlare di sé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hanno bisogno di spiegare chi sono o cosa facevano prima nel proprio Paese; devono insomma essere in grado di raccontare la propria storia in un modo semplice.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10456.0" w:type="dxa"/>
        <w:jc w:val="left"/>
        <w:tblBorders>
          <w:top w:color="44546a" w:space="0" w:sz="4" w:val="single"/>
          <w:left w:color="44546a" w:space="0" w:sz="4" w:val="single"/>
          <w:bottom w:color="44546a" w:space="0" w:sz="4" w:val="single"/>
          <w:right w:color="44546a" w:space="0" w:sz="4" w:val="single"/>
          <w:insideH w:color="44546a" w:space="0" w:sz="4" w:val="single"/>
          <w:insideV w:color="44546a" w:space="0" w:sz="4" w:val="single"/>
        </w:tblBorders>
        <w:tblLayout w:type="fixed"/>
        <w:tblLook w:val="0000"/>
      </w:tblPr>
      <w:tblGrid>
        <w:gridCol w:w="734"/>
        <w:gridCol w:w="3241"/>
        <w:gridCol w:w="3392"/>
        <w:gridCol w:w="3089"/>
        <w:tblGridChange w:id="0">
          <w:tblGrid>
            <w:gridCol w:w="734"/>
            <w:gridCol w:w="3241"/>
            <w:gridCol w:w="3392"/>
            <w:gridCol w:w="3089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ESPRESSIONI IN INGLESE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SI DICE IN ITALIANO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(Richiede la conoscenza di un vocabolario di base).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 phrase.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verb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 [adjective]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 sono, io ho, io abito, io vado…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Raccontare una storia.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(Richiede la conoscenza di un vocabolario di base. A questo livello, si possono usare anche forme verbali basiche o errate, per esempio, “io andare/ ando per la Grecia”).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[Verbs (past tense)] +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and, and then, after that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Usare i verbi al passato e le congiunzioni di base,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e, e poi, dopo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1.3 Esprimere le proprie emozioni e sensazioni 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Date le difficoltà di alcuni apprendenti ad aprirsi, le emozioni e le sensazioni di cui parlare possono a volte sembrare particolarmente prevedibili.</w:t>
      </w:r>
    </w:p>
    <w:p w:rsidR="00000000" w:rsidDel="00000000" w:rsidP="00000000" w:rsidRDefault="00000000" w:rsidRPr="00000000" w14:paraId="00000052">
      <w:pPr>
        <w:spacing w:line="276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10456.0" w:type="dxa"/>
        <w:jc w:val="left"/>
        <w:tblBorders>
          <w:top w:color="44546a" w:space="0" w:sz="4" w:val="single"/>
          <w:left w:color="44546a" w:space="0" w:sz="4" w:val="single"/>
          <w:bottom w:color="44546a" w:space="0" w:sz="4" w:val="single"/>
          <w:right w:color="44546a" w:space="0" w:sz="4" w:val="single"/>
          <w:insideH w:color="44546a" w:space="0" w:sz="4" w:val="single"/>
          <w:insideV w:color="44546a" w:space="0" w:sz="4" w:val="single"/>
        </w:tblBorders>
        <w:tblLayout w:type="fixed"/>
        <w:tblLook w:val="0000"/>
      </w:tblPr>
      <w:tblGrid>
        <w:gridCol w:w="704"/>
        <w:gridCol w:w="3250"/>
        <w:gridCol w:w="3413"/>
        <w:gridCol w:w="3089"/>
        <w:tblGridChange w:id="0">
          <w:tblGrid>
            <w:gridCol w:w="704"/>
            <w:gridCol w:w="3250"/>
            <w:gridCol w:w="3413"/>
            <w:gridCol w:w="3089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ESPRESSIONI IN INGLESE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 SI DICE IN ITALIANO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piacere, gioia.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That’s great/fantastic!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Wonderful!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È fantastico! Meraviglioso!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1.3.2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tristezza.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am sad / unhappy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Things are bad/not good for me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Sono triste/ infelice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Le cose non mi stanno andando bene…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desiderio.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hope (that) …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Spero/ mi piacerebbe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1.3.4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disappunto.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a pity!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 peccato!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paura, ansia.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am scared.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I’m worried about </w:t>
            </w:r>
            <w:r w:rsidDel="00000000" w:rsidR="00000000" w:rsidRPr="00000000">
              <w:rPr>
                <w:rtl w:val="0"/>
              </w:rPr>
              <w:t xml:space="preserve">+ [noun]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 paura/ sono spaventato/ a, sono preoccupato per …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1.3.6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sollievo.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Phew! I feel better!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Ah! Mi sento meglio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sofferenza fisica, dolore.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Ouch! My </w:t>
            </w: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part of the body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hurts.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Ahia! Mi fa male…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1.3.8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piacere nel fare qualcosa.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Ah! Oh!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Wonderful! Great! Fantastic! Good!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like</w:t>
            </w:r>
            <w:r w:rsidDel="00000000" w:rsidR="00000000" w:rsidRPr="00000000">
              <w:rPr>
                <w:rtl w:val="0"/>
              </w:rPr>
              <w:t xml:space="preserve"> + [noun/verb]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a great</w:t>
            </w:r>
            <w:r w:rsidDel="00000000" w:rsidR="00000000" w:rsidRPr="00000000">
              <w:rPr>
                <w:rtl w:val="0"/>
              </w:rPr>
              <w:t xml:space="preserve"> + [noun]!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Ah! Che bello! 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 piace…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 bel…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di non apprezzare qualcosa o qualcuno.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hate</w:t>
            </w:r>
            <w:r w:rsidDel="00000000" w:rsidR="00000000" w:rsidRPr="00000000">
              <w:rPr>
                <w:rtl w:val="0"/>
              </w:rPr>
              <w:t xml:space="preserve"> + [noun/verb]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don’t like</w:t>
            </w:r>
            <w:r w:rsidDel="00000000" w:rsidR="00000000" w:rsidRPr="00000000">
              <w:rPr>
                <w:rtl w:val="0"/>
              </w:rPr>
              <w:t xml:space="preserve"> + [noun]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That is not</w:t>
            </w:r>
            <w:r w:rsidDel="00000000" w:rsidR="00000000" w:rsidRPr="00000000">
              <w:rPr>
                <w:rtl w:val="0"/>
              </w:rPr>
              <w:t xml:space="preserve"> + [adjective]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Io odio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Non mi piace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Questo non è quello che…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1.3.10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soddisfazione o disappunto/ lamentarsi.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Perfect!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Great!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I’m so pleased!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don’t like</w:t>
            </w:r>
            <w:r w:rsidDel="00000000" w:rsidR="00000000" w:rsidRPr="00000000">
              <w:rPr>
                <w:rtl w:val="0"/>
              </w:rPr>
              <w:t xml:space="preserve"> + [noun]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Perfetto! 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Grandioso!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Sono così contento/a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Non mi piace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1.3.11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sorpresa.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Ah? Oh!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Really?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Ah! Cosa?! Veramente?!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1.3.12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di non essere sorpresi.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(Yes) I know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Sì, lo so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Sì, lo sapevo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1.3.13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gratitudine.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Thank you (very much) for</w:t>
            </w:r>
            <w:r w:rsidDel="00000000" w:rsidR="00000000" w:rsidRPr="00000000">
              <w:rPr>
                <w:rtl w:val="0"/>
              </w:rPr>
              <w:t xml:space="preserve"> + [noun]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It’s kind of you to</w:t>
            </w:r>
            <w:r w:rsidDel="00000000" w:rsidR="00000000" w:rsidRPr="00000000">
              <w:rPr>
                <w:rtl w:val="0"/>
              </w:rPr>
              <w:t xml:space="preserve"> + [verb]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Grazie mille per…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Sei molto gentile…</w:t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1.4 Condividere emozioni</w:t>
      </w:r>
    </w:p>
    <w:p w:rsidR="00000000" w:rsidDel="00000000" w:rsidP="00000000" w:rsidRDefault="00000000" w:rsidRPr="00000000" w14:paraId="000000A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Gli apprendenti devono avere le competenze linguistiche per condividere le proprie emozioni nelle interazioni sociali quotidiane e in classe. 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1"/>
        <w:tblW w:w="10456.0" w:type="dxa"/>
        <w:jc w:val="left"/>
        <w:tblBorders>
          <w:top w:color="44546a" w:space="0" w:sz="4" w:val="single"/>
          <w:left w:color="44546a" w:space="0" w:sz="4" w:val="single"/>
          <w:bottom w:color="44546a" w:space="0" w:sz="4" w:val="single"/>
          <w:right w:color="44546a" w:space="0" w:sz="4" w:val="single"/>
          <w:insideH w:color="44546a" w:space="0" w:sz="4" w:val="single"/>
          <w:insideV w:color="44546a" w:space="0" w:sz="4" w:val="single"/>
        </w:tblBorders>
        <w:tblLayout w:type="fixed"/>
        <w:tblLook w:val="0000"/>
      </w:tblPr>
      <w:tblGrid>
        <w:gridCol w:w="735"/>
        <w:gridCol w:w="3239"/>
        <w:gridCol w:w="3241"/>
        <w:gridCol w:w="3241"/>
        <w:tblGridChange w:id="0">
          <w:tblGrid>
            <w:gridCol w:w="735"/>
            <w:gridCol w:w="3239"/>
            <w:gridCol w:w="3241"/>
            <w:gridCol w:w="3241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ESPRESSIONI IN INGLESE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 SI DICE IN ITALIANO 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1.4.1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Fare domande in merito agli stati d’animo.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Are you OK/all right?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What’s the matter?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What’s going on?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Stai bene? Tutto ok?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 c’è? Che cosa hai? 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 succede?</w:t>
            </w:r>
          </w:p>
        </w:tc>
      </w:tr>
      <w:tr>
        <w:trPr>
          <w:cantSplit w:val="1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1.4.2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preoccupazione e fare domande in merito all'insoddisfazione dell’interlocutore.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What’s the problem?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Is everything OK/all right?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Qual è il problema? Va tutto bene?</w:t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1.4.3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Consolare, incoraggiare e confortare.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It/everything will be all right!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Non ti preoccupare, va tutto bene</w:t>
            </w:r>
          </w:p>
        </w:tc>
      </w:tr>
      <w:tr>
        <w:trPr>
          <w:cantSplit w:val="1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1.4.4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Esprimere la propria partecipazione.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understand.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You poor thing!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Capisco, mi dispiace…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1.4.5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Rassicurare.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It’s nothing.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It’s nothing to worry about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Non è niente, non c’è da preoccuparsi</w:t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142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tabs>
        <w:tab w:val="center" w:leader="none" w:pos="5398.000000000001"/>
        <w:tab w:val="right" w:leader="none" w:pos="10438.000000000002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48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/4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uiPriority w:val="99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uiPriority w:val="99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uiPriority w:val="99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3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2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Revisione">
    <w:name w:val="Revision"/>
    <w:hidden w:val="1"/>
    <w:uiPriority w:val="99"/>
    <w:semiHidden w:val="1"/>
    <w:rsid w:val="00801ED8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Paragrafoelenco">
    <w:name w:val="List Paragraph"/>
    <w:basedOn w:val="Normale"/>
    <w:uiPriority w:val="34"/>
    <w:rsid w:val="00A65637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2E05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2E05D0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E05D0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2E05D0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2E05D0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rsid w:val="00D631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Y6riT+kWqySUtKK0ecaoP8iJA==">CgMxLjAyDWgucnl4NWs2cWpvbmgyDmgucGwzOGJhbzM2OG0zOABqKQoUc3VnZ2VzdC5zbzR4Y2pybzg3YTQSEU1hZGRhbGVuYSBGb3JtaWNhaigKE3N1Z2dlc3QubTRuZzJqbGIzdTASEU1hZGRhbGVuYSBGb3JtaWNhaikKFHN1Z2dlc3QuN2pqZXpuZGZocDdrEhFNYWRkYWxlbmEgRm9ybWljYWopChRzdWdnZXN0LnRid255Z3htbjZ4ZxIRTWFkZGFsZW5hIEZvcm1pY2FyITFZUDBCUUdudC0zUHlXS3oyVndMU2dhdm9Nd1JJUTY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2024-08-26T12:00:00Z</dcterms:created>
  <dc:creator>utilisateur</dc:creator>
</cp:coreProperties>
</file>