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35"/>
        <w:tblGridChange w:id="0">
          <w:tblGrid>
            <w:gridCol w:w="1875"/>
            <w:gridCol w:w="5325"/>
            <w:gridCol w:w="313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-284" w:firstLine="0"/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Strumento 32 – Utilizzare i cartoni animati per supportare i migranti nell’apprendimento della nuova lingua</w:t>
      </w:r>
    </w:p>
    <w:p w:rsidR="00000000" w:rsidDel="00000000" w:rsidP="00000000" w:rsidRDefault="00000000" w:rsidRPr="00000000" w14:paraId="0000000B">
      <w:pPr>
        <w:spacing w:line="276" w:lineRule="auto"/>
        <w:ind w:left="-284" w:firstLine="0"/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line="276" w:lineRule="auto"/>
        <w:ind w:left="709" w:hanging="709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Suggerire modalità di utilizzo dei cartoni animati per aiutare gli apprendenti </w:t>
      </w:r>
    </w:p>
    <w:p w:rsidR="00000000" w:rsidDel="00000000" w:rsidP="00000000" w:rsidRDefault="00000000" w:rsidRPr="00000000" w14:paraId="0000000D">
      <w:pPr>
        <w:shd w:fill="d9d9d9" w:val="clear"/>
        <w:spacing w:line="276" w:lineRule="auto"/>
        <w:ind w:left="0" w:firstLine="72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ad imparare la nuova lingua.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bookmarkStart w:colFirst="0" w:colLast="0" w:name="_heading=h.qfha3i9v2xt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Un’esposizione costante alla lingua che si sta imparando è fondamentale per un apprendimento efficace (vedi anche Strumento 31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Supportare i migranti nell’approfittare delle opportunità di lettura negli spazi pubblici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Strumento 33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Incoraggiare i migranti a guardare i notiziari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Sia che si tratti di bambini, adolescenti o adulti, guardare i cartoni animati è un buon modo per abituarsi ad ascoltare la nuova lingua, oltre che per rilassarsi. I cartoni possono essere particolarmente utili perché: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di solito facilmente reperibili online, a seconda della serie;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possono essere particolarmente motivanti;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presentano un linguaggio quasi sempre semplice e spesso ripetitivo;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generalmente ogni episodio è breve;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 i contesti, sia i personaggi sono ricorrenti e le relazioni tra questi ultimi coerenti (amichevoli, ostili, ecc.);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trame degli episodi sono piuttosto simili;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divertenti, soprattutto per i più giovani;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spesso sono disponibili in più lingue.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Suggerimenti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Come per qualsiasi materiale di ascolto, anche i cartoni animati devono essere selezionati con attenzione (vedi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Strumento 28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Selezionare e utilizzare testi per attività di ascolto a livello elementare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), considerando alcuni aspetti, ad esempio se il cartone o l’episodio scelto: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adatto all’età e al background culturale degli studenti;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tratta argomenti familiari e non sensibili;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 risultare interessante e/o divertente;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adeguato alle competenze linguistiche degli apprendenti.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seconda dell’età, puoi raccogliere le esperienze che gli apprendenti hanno con i cartoni nelle loro lingue prime e nei Paesi di provenienza, per poi suggerire una selezione e decidere insieme quali serie seguire; ce ne sono moltissime: Lady Bug, Paw Patrol, Cars, Pokémon e Peppa Pig per i più piccoli; i Simpson oi Griffin o per un pubblico più adulto.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trailer online dei cartoni scelti possono essere un buon punto di partenza; si può chiedere agli studenti di identificare i personaggi principali per nome, così come il contesto, facendo ripetere le caratteristiche di base e invitandoli a prendere appunti.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possono guardare brevi segmenti di un episodio senza audio, cercando di cogliere aspetti dei personaggi, della situazione o della trama basandosi esclusivamente sul supporto video; ad una prima visione di sole immagini, segue poi la versione con audio.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Puoi spiegare tu il significato di parole o espressioni importanti che non capiscono, oppure chiedere loro di provare a indovinare e scrivere alla lavagna i significati proposti.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Può essere utile trascrivere parti dei dialoghi o utilizzare i sottotitoli in italiano, se disponibili; questi, infatti, anche se riportano onomatopee come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zzz, arghh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ecc., facilitano la comprensione e la memorizzazione.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ritieni che gli studenti sono pronti a guardare i cartoni autonomamente, puoi invitarli a farlo con regolarità. È utile far notare che, con il tempo, la comprensione migliorerà, grazie all’esercizio e alla familiarità che si acquisirà man mano con la serie, i personaggi e il loro modo di parlare. 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0" w:top="263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5044"/>
        <w:tab w:val="right" w:leader="none" w:pos="1017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32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2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0F68E0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904C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904C68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904C68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904C6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904C68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cf01" w:customStyle="1">
    <w:name w:val="cf01"/>
    <w:basedOn w:val="Carpredefinitoparagrafo"/>
    <w:rsid w:val="003B3913"/>
    <w:rPr>
      <w:rFonts w:ascii="Segoe UI" w:cs="Segoe UI" w:hAnsi="Segoe UI" w:hint="default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/BZ+ht+nmB8fweJTAMWsmnxgog==">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2025-05-21T10:53:00Z</dcterms:created>
  <dc:creator>utilisateur</dc:creator>
</cp:coreProperties>
</file>