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150"/>
        <w:tblGridChange w:id="0">
          <w:tblGrid>
            <w:gridCol w:w="1875"/>
            <w:gridCol w:w="5325"/>
            <w:gridCol w:w="3150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b w:val="1"/>
          <w:bCs w:val="1"/>
          <w:color w:val="004f88"/>
          <w:sz w:val="32"/>
          <w:szCs w:val="32"/>
          <w:rtl w:val="0"/>
        </w:rPr>
        <w:t xml:space="preserve">Strumento 31 – Supportare i migranti nell’approfittare delle opportunità di lettura negli spazi pubblici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b w:val="1"/>
          <w:bCs w:val="1"/>
          <w:color w:val="365f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line="276" w:lineRule="auto"/>
        <w:ind w:left="709" w:hanging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Suggerire come utilizzare esempi di lingua scritta presenti negli spazi pubblici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spacing w:line="276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 incoraggiare gli apprendenti a leggere nella nuova lingua.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bookmarkStart w:colFirst="0" w:colLast="0" w:name="_heading=h.ycn3idutj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bookmarkStart w:colFirst="0" w:colLast="0" w:name="_heading=h.sh25ulgg4k2e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Un’esposizione costante alla lingua che si sta imparando è fondamentale per un apprendimento efficace (vedi anche Strumento 32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Utilizzare i cartoni animati per supportare i migranti nell’apprendimento della nuova lingua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Strumento 33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Incoraggiare i migranti a guardare i notiziari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meno che non frequentino una scuola o un corso di lingua, i migranti che stanno iniziando a imparare la lingua del Paese di reinsediamento hanno spesso poche occasioni per leggere testi scritti. Tuttavia, ogni giorno sono circondati da parole: vedono testi scritti attorno a loro, per strada, sui muri del quartiere in cui vivono o durante i loro spostamenti in città, ad esempio prendendo mezzi di trasporto. Questi testi rappresentano opportunità per sviluppare la comprensione scritta nella nuova lingua.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Suggerimenti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aiutare gli apprendenti a cogliere queste opportunità, invitali a fotografare con il loro cellulare parole o brevi testi che vedono intorno a loro (ad esempio cartelli, pubblicità, ecc.). Al fine di accrescere consapevolezza rispetto al plurilinguismo, chiedi loro in particolare di raccogliere immagini di testi in più lingue (ad esempio, insegne o menù esposti in vetrina).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Scegli alcune foto che ritieni più adatte e chiedi a chi le ha scattate di provare a spiegarne il significato.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Poi, in coppie o piccoli gruppi, i partecipanti possono mostrarsi a vicenda le foto, raccontare dove le hanno scattate e cosa pensano significhino le parole o le espressioni. Tu puoi passare tra i gruppi per rispondere a eventuali domande e dare il supporto necessario.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Confronta avvisi, cartelli e manifesti presenti del nuovo Paese con quelli dei Paesi di provenienza dei partecipanti (potrebbero operare una breve ricerca in Internet per fornire esempi in tal senso): questa attività può offrire ottimi spunti per riflettere su somiglianze e differenze culturali. 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Poiché queste attività si svolgeranno probabilmente a un livello elementare, potrebbe essere utile prevedere una traduzione dei testi.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parole e i testi raccolti possono includere: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luoghi generici: strade, viali, piazze, sentieri, vie ecc.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 di questi luoghi: possono riferirsi a personaggi famosi (locali, nazionali o internazionali), a date storiche, o a stazioni, municipi, chiese, parchi, scuole ecc.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 comuni di negozi: panetterie, drogherie, macellerie, negozi di scarpe, supermercati, grandi magazzini, ecc.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 offerti o studi di professionisti, anche indicati all’ingresso di edifici: ottico, medico, dentista, podologo, avvocato, ecc.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avvisi e segnali pubblici: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al gradino, uscita, vietato entrare, senso unico, divieto di sosta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ecc.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cartelli e pubblicità su mezzi pubblici (autobus, tram, treni, metropolitana): informazioni sulla prossima fermata, l’acquisto di biglietti, eventi locali ecc. Possono essere raccolti anche testi stampati o scritti a mano. In tal caso, chiedi di identificarne la fonte, l’autore (se noto) e la funzione comunicativa.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testi fotografati possono includere: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avvisi e manifesti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propaganda elettorale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targhe commemorative (ad esempio,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è nato/a/ha vissuto in questa casa/edificio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pubblicità, volantini, opuscoli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avvisi di compravendita/ acquisti di seconda mano, su oggetti o animali smarriti o in vendita, su servizi offerti come pulizia, tinteggiatura, traslochi, giardinaggio ecc.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scritte a mano, graffiti e arte di strada.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Questo tipo di “lettura per strada” è anche un ottimo modo per “leggere”, orientarsi e conoscere l’ambiente circostante e sentirsi maggiormente parte della nuova comunità (vedi anche Strumento 58 -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Scenario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Orientarsi in città: parole per trovare la strada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0" w:top="0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5044"/>
        <w:tab w:val="right" w:leader="none" w:pos="10174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31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2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EE2CBA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EE2CBA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EE2CBA"/>
    <w:rPr>
      <w:vertAlign w:val="superscript"/>
    </w:rPr>
  </w:style>
  <w:style w:type="table" w:styleId="TableGrid1" w:customStyle="1">
    <w:name w:val="Table Grid1"/>
    <w:basedOn w:val="Tabellanormale"/>
    <w:next w:val="Grigliatabella"/>
    <w:uiPriority w:val="59"/>
    <w:rsid w:val="00EE2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e">
    <w:name w:val="Revision"/>
    <w:hidden w:val="1"/>
    <w:uiPriority w:val="99"/>
    <w:semiHidden w:val="1"/>
    <w:rsid w:val="00663E0E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s5D8HXMJFUSkHYWL7PevjQurQ==">CgMxLjAyDmgueWNuM2lkdXRqdXNrMg5oLnNoMjV1bGdnNGsyZTgAaikKFHN1Z2dlc3QudjhnOTkzZHNrdDc1EhFNYWRkYWxlbmEgRm9ybWljYWopChRzdWdnZXN0LmJndXB2YnE1bXdobBIRTWFkZGFsZW5hIEZvcm1pY2FqKQoUc3VnZ2VzdC5vcDlzeDk3a2RuMzgSEU1hZGRhbGVuYSBGb3JtaWNhaikKFHN1Z2dlc3Qud2t6bjZhdjFhamI0EhFNYWRkYWxlbmEgRm9ybWljYXIhMW5Wa2dCbjdoY09RdmpEbENaaU03bDBfdS0zUHdOb0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2025-05-21T09:38:00Z</dcterms:created>
  <dc:creator>utilisateur</dc:creator>
</cp:coreProperties>
</file>