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505"/>
        <w:tblGridChange w:id="0">
          <w:tblGrid>
            <w:gridCol w:w="1875"/>
            <w:gridCol w:w="5325"/>
            <w:gridCol w:w="250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78.0000000000000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-142" w:right="-142" w:firstLine="0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24 - Supportare i giovani migranti nel prendere confidenza con la lingua necessaria per lo studio delle materie scolastiche</w:t>
      </w:r>
    </w:p>
    <w:p w:rsidR="00000000" w:rsidDel="00000000" w:rsidP="00000000" w:rsidRDefault="00000000" w:rsidRPr="00000000" w14:paraId="0000000B">
      <w:pPr>
        <w:spacing w:after="0" w:lineRule="auto"/>
        <w:rPr>
          <w:b w:val="1"/>
          <w:bCs w:val="1"/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tabs>
          <w:tab w:val="left" w:leader="none" w:pos="709"/>
        </w:tabs>
        <w:spacing w:after="0" w:line="240" w:lineRule="auto"/>
        <w:ind w:left="703" w:right="-142" w:hanging="703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Fornire linee guida agli insegnanti per aiutare i giovani migranti a </w:t>
        <w:tab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familiarizzare con la lingua utilizzata nell’insegnamento delle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9d9d9" w:val="clear"/>
        <w:tabs>
          <w:tab w:val="left" w:leader="none" w:pos="709"/>
        </w:tabs>
        <w:spacing w:after="0" w:line="240" w:lineRule="auto"/>
        <w:ind w:left="703" w:right="-142" w:hanging="703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materie a scuola.</w:t>
      </w:r>
    </w:p>
    <w:p w:rsidR="00000000" w:rsidDel="00000000" w:rsidP="00000000" w:rsidRDefault="00000000" w:rsidRPr="00000000" w14:paraId="0000000E">
      <w:pPr>
        <w:spacing w:after="0" w:line="24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giovani migranti che entrano nel sistema educativo del nuovo Paese vengono istruiti nella lingua utilizzata dalla scuola. Questa lingua è più o meno identica a quella impiegata negli scambi sociali, ma presenta caratteristiche specifiche legate alla trasmissione delle conoscenze e allo sviluppo delle competenze nelle varie materie. Tali caratteristiche non si riscontrano spesso nella comunicazione quotidiana, quindi è importante assicurarsi che siano pienamente comprese e utilizzate da tutti gli studenti, compresi i migranti.</w:t>
      </w:r>
    </w:p>
    <w:p w:rsidR="00000000" w:rsidDel="00000000" w:rsidP="00000000" w:rsidRDefault="00000000" w:rsidRPr="00000000" w14:paraId="00000010">
      <w:pPr>
        <w:spacing w:after="0" w:lineRule="auto"/>
        <w:ind w:right="-142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seguito sono riportati alcuni aspetti da tenere in considerazione nell’insegnamento di materie come matematica, scienze, storia, informatica, economia e discipline professionali.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Tieni presente che le difficoltà degli studenti nell’apprendimento possono dipendere dalla lingua invece che dalle capacità cognitive o dalla mancanza di preconoscenze.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limitare l’apprendimento al solo vocabolario afferente alla materia (ad esempio: angolo, cellula, ecc.): cogli le occasioni per andare oltre i termini specialistici.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Sii molto chiaro nel presentare e spiegare conoscenze fattuali, istruzioni dei compiti, ecc. Ad esempio, slide PowerPoint o strumenti simili scritti sia in una lingua condivisa, sia in italiano possono essere utili.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 frequente uso di immagini, diagrammi, grafici, mappe, oggetti reali, ecc. per facilitare la comprensione delle spiegazioni.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Approfitta delle somiglianze tra certe parole astratte nelle lingue, in particolare termini di origine greca o latina.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Organizza attività pratiche in coppie o gruppi, dove uno studente possa fungere da “compagno linguistico” a lungo termine per un apprendente migrante appena arrivato.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Individua un metodo efficace per aiutare gli studenti migranti a utilizzare i libri di testo, ad esempio con il supporto di membri della famiglia o di altri migranti presenti nel Paese da più tempo.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right="-142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Offri agli studenti migranti opportunità di descrivere oggetti, parlare delle proprie esperienze, mostrare come fare determinate cose, ecc.</w:t>
      </w:r>
    </w:p>
    <w:p w:rsidR="00000000" w:rsidDel="00000000" w:rsidP="00000000" w:rsidRDefault="00000000" w:rsidRPr="00000000" w14:paraId="00000019">
      <w:pPr>
        <w:spacing w:after="0" w:lineRule="auto"/>
        <w:ind w:left="720" w:right="-14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Possono essere adottate strategie specifiche per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semplificare le spiegazioni orali e renderle più comprensibili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alcune sono elencate di seguito.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Assicurati che gli studenti comprendano quale argomento, processo o fenomeno viene spiegato o discusso.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 chiaramente, facendo pause tra frasi, domande, risposte e cambi di argomento.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bisogno rallenta la velocità del tuo eloquio.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Ripeti o parafrasa quanto dici ogni volta che è necessario, in particolare le domande, i termini chiave di uso frequente, le espressioni comuni e il nuovo vocabolario.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gesti e altri segnali del corpo, come espressioni facciali e mimica, per aiutare a trasmettere il significato.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Inserisci esempi concreti nelle spiegazioni, soprattutto esempi legati alla vita quotidiana e all’esperienza degli studenti.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Evita digressioni o cambi improvvisi di argomento.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Mantieni frasi brevi e semplici, utilizzando connettori comuni come “poi”, “dopo”, “quindi”, “perché”, ecc.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Evita un uso eccessivo della forma passiva nel linguaggio parlato: ad esempio, “abbiamo riscaldato il liquido a 100 gradi” può risultare più chiaro di “il liquido è stato riscaldato a 100 gradi”.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usi pronomi come “esso” o “essi”, assicurati che gli studenti comprendano a chi o a cosa si riferiscono.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14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Questo tipo di approccio all’insegnamento della lingua specifica delle materie deve essere continuo e a lungo termine.</w:t>
      </w:r>
    </w:p>
    <w:p w:rsidR="00000000" w:rsidDel="00000000" w:rsidP="00000000" w:rsidRDefault="00000000" w:rsidRPr="00000000" w14:paraId="00000027">
      <w:pPr>
        <w:spacing w:after="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Gli insegnanti delle diverse materie scolastiche dovrebbero anche incoraggiare attività che favoriscono l’apprendimento, pur non essendo specificamente legate alla lingua, come disegno, attività fisiche, ecc.</w:t>
      </w:r>
    </w:p>
    <w:p w:rsidR="00000000" w:rsidDel="00000000" w:rsidP="00000000" w:rsidRDefault="00000000" w:rsidRPr="00000000" w14:paraId="00000028">
      <w:pPr>
        <w:spacing w:after="0" w:lineRule="auto"/>
        <w:ind w:right="-1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Infine, è importante prestare attenzione alle funzioni tipiche della comunicazione in classe (v</w:t>
      </w:r>
      <w:r w:rsidDel="00000000" w:rsidR="00000000" w:rsidRPr="00000000">
        <w:rPr>
          <w:sz w:val="24"/>
          <w:szCs w:val="24"/>
          <w:rtl w:val="0"/>
        </w:rPr>
        <w:t xml:space="preserve">edi anche lo Strumento 25 – </w:t>
      </w: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Funzioni ed espressioni utili nell’insegnamento delle materie scolastiche ai giovani migranti</w:t>
      </w:r>
      <w:r w:rsidDel="00000000" w:rsidR="00000000" w:rsidRPr="00000000">
        <w:rPr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173"/>
      </w:tabs>
      <w:spacing w:after="0" w:before="0" w:line="240" w:lineRule="auto"/>
      <w:ind w:left="0" w:right="-9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819"/>
        <w:tab w:val="right" w:leader="none" w:pos="9638"/>
      </w:tabs>
      <w:spacing w:after="0" w:line="240" w:lineRule="auto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24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Rule="auto"/>
      <w:jc w:val="center"/>
    </w:pPr>
    <w:rPr>
      <w:b w:val="1"/>
      <w:bCs w:val="1"/>
      <w:color w:val="0070c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AB1710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rsid w:val="00AB1710"/>
    <w:rPr>
      <w:rFonts w:cstheme="majorBidi" w:eastAsiaTheme="majorEastAsia"/>
      <w:b w:val="1"/>
      <w:color w:val="0070c0"/>
      <w:sz w:val="26"/>
      <w:szCs w:val="26"/>
    </w:rPr>
  </w:style>
  <w:style w:type="paragraph" w:styleId="Paragrafoelenco">
    <w:name w:val="List Paragraph"/>
    <w:basedOn w:val="Normale"/>
    <w:uiPriority w:val="34"/>
    <w:qFormat w:val="1"/>
    <w:rsid w:val="00AB1710"/>
    <w:pPr>
      <w:ind w:left="720"/>
      <w:contextualSpacing w:val="1"/>
    </w:p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AB1710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AB17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AB171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B17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AB1710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AB171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AB1710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AB1710"/>
    <w:rPr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 w:val="1"/>
    <w:rsid w:val="00AB171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AB1710"/>
    <w:pPr>
      <w:tabs>
        <w:tab w:val="center" w:pos="4513"/>
        <w:tab w:val="right" w:pos="9026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B1710"/>
  </w:style>
  <w:style w:type="paragraph" w:styleId="Pidipagina">
    <w:name w:val="footer"/>
    <w:basedOn w:val="Normale"/>
    <w:link w:val="PidipaginaCarattere"/>
    <w:uiPriority w:val="99"/>
    <w:unhideWhenUsed w:val="1"/>
    <w:rsid w:val="00AB1710"/>
    <w:pPr>
      <w:tabs>
        <w:tab w:val="center" w:pos="4513"/>
        <w:tab w:val="right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B1710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B171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B1710"/>
    <w:rPr>
      <w:rFonts w:ascii="Segoe UI" w:cs="Segoe UI" w:hAnsi="Segoe UI"/>
      <w:sz w:val="18"/>
      <w:szCs w:val="18"/>
    </w:rPr>
  </w:style>
  <w:style w:type="paragraph" w:styleId="Revisione">
    <w:name w:val="Revision"/>
    <w:hidden w:val="1"/>
    <w:uiPriority w:val="99"/>
    <w:semiHidden w:val="1"/>
    <w:rsid w:val="00AB1710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B17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AB1710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AB1710"/>
    <w:rPr>
      <w:color w:val="800080" w:themeColor="followedHyperlink"/>
      <w:u w:val="single"/>
    </w:rPr>
  </w:style>
  <w:style w:type="table" w:styleId="TableGrid1" w:customStyle="1">
    <w:name w:val="Table Grid1"/>
    <w:basedOn w:val="Tabellanormale"/>
    <w:next w:val="Grigliatabella"/>
    <w:uiPriority w:val="99"/>
    <w:rsid w:val="00B25D75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KMAINTITLE" w:customStyle="1">
    <w:name w:val="TK MAIN TITLE"/>
    <w:basedOn w:val="Normale"/>
    <w:qFormat w:val="1"/>
    <w:rsid w:val="002C57EC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2f5496"/>
      <w:sz w:val="40"/>
      <w:szCs w:val="40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qe/cwYm0jqlZz75yY2gUpH40Q==">CgMxLjA4AGopChRzdWdnZXN0Lm1sN3lkYTlvNTVrOBIRTWFkZGFsZW5hIEZvcm1pY2FqKQoUc3VnZ2VzdC5raHlka2x2ZGJ4dHASEU1hZGRhbGVuYSBGb3JtaWNhaikKFHN1Z2dlc3QubXkzajJtZnMzeGN2EhFNYWRkYWxlbmEgRm9ybWljYWopChRzdWdnZXN0LmJsZGcxeHg2Mm43bxIRTWFkZGFsZW5hIEZvcm1pY2FqKQoUc3VnZ2VzdC52cWFmYXFsbDBueDUSEU1hZGRhbGVuYSBGb3JtaWNhciExSEVDZGsyWE5wNklWRW9uak11Q2VYS0xRc0otLU84Y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2025-08-29T10:45:00Z</dcterms:created>
  <dc:creator>hp</dc:creator>
</cp:coreProperties>
</file>