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2505"/>
        <w:tblGridChange w:id="0">
          <w:tblGrid>
            <w:gridCol w:w="1875"/>
            <w:gridCol w:w="5325"/>
            <w:gridCol w:w="2505"/>
          </w:tblGrid>
        </w:tblGridChange>
      </w:tblGrid>
      <w:tr>
        <w:trPr>
          <w:cantSplit w:val="0"/>
          <w:trHeight w:val="2582.448730468750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0"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16429147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16429147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164291471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78.0000000000000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ind w:left="-142" w:right="-142" w:firstLine="0"/>
        <w:jc w:val="center"/>
        <w:rPr>
          <w:rFonts w:ascii="Calibri" w:cs="Calibri" w:eastAsia="Calibri" w:hAnsi="Calibri"/>
          <w:b w:val="1"/>
          <w:bCs w:val="1"/>
          <w:color w:val="004f88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4f88"/>
          <w:sz w:val="32"/>
          <w:szCs w:val="32"/>
          <w:rtl w:val="0"/>
        </w:rPr>
        <w:t xml:space="preserve">Strumento 24 - Supportare i giovani migranti nel prendere confidenza con la lingua necessaria per lo studio delle materie scolastiche</w:t>
      </w:r>
    </w:p>
    <w:p w:rsidR="00000000" w:rsidDel="00000000" w:rsidP="00000000" w:rsidRDefault="00000000" w:rsidRPr="00000000" w14:paraId="0000000B">
      <w:pPr>
        <w:spacing w:after="0" w:lineRule="auto"/>
        <w:rPr>
          <w:b w:val="1"/>
          <w:bCs w:val="1"/>
          <w:color w:val="00206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d9d9d9" w:val="clear"/>
        <w:tabs>
          <w:tab w:val="left" w:leader="none" w:pos="709"/>
        </w:tabs>
        <w:spacing w:after="0" w:line="240" w:lineRule="auto"/>
        <w:ind w:left="703" w:right="-142" w:hanging="703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Obiettivo - Fornire linee guida agli insegnanti per aiutare i giovani migranti a </w:t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familiarizzare con la lingua utilizzata nell’insegnamento delle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d9d9d9" w:val="clear"/>
        <w:tabs>
          <w:tab w:val="left" w:leader="none" w:pos="709"/>
        </w:tabs>
        <w:spacing w:after="0" w:line="240" w:lineRule="auto"/>
        <w:ind w:left="703" w:right="-142" w:hanging="703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          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materie a scuola.</w:t>
      </w:r>
    </w:p>
    <w:p w:rsidR="00000000" w:rsidDel="00000000" w:rsidP="00000000" w:rsidRDefault="00000000" w:rsidRPr="00000000" w14:paraId="0000000E">
      <w:pPr>
        <w:spacing w:after="0" w:line="240" w:lineRule="auto"/>
        <w:ind w:right="-14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right="-14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giovani migranti che entrano nel sistema educativo del nuovo Paese vengono istruiti nella lingua utilizzata dalla scuola. Questa lingua è più o meno identica a quella impiegata negli scambi sociali, ma presenta caratteristiche specifiche legate alla trasmissione delle conoscenze e allo sviluppo delle competenze nelle varie materie. Tali caratteristiche non si riscontrano spesso nella comunicazione quotidiana, quindi è importante assicurarsi che siano pienamente comprese e utilizzate da tutti gli studenti, compresi i migranti.</w:t>
      </w:r>
    </w:p>
    <w:p w:rsidR="00000000" w:rsidDel="00000000" w:rsidP="00000000" w:rsidRDefault="00000000" w:rsidRPr="00000000" w14:paraId="00000010">
      <w:pPr>
        <w:spacing w:after="0" w:lineRule="auto"/>
        <w:ind w:right="-142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seguito sono riportati alcuni aspetti da tenere in considerazione nell’insegnamento di materie come matematica, scienze, storia, informatica, economia e discipline professionali.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Rule="auto"/>
        <w:ind w:left="720" w:right="-142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Tieni presente che le difficoltà degli studenti nell’apprendimento possono dipendere dalla lingua invece che dalle capacità cognitive o dalla mancanza di preconoscenze.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right="-142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limitare l’apprendimento al solo vocabolario afferente alla materia (ad esempio: angolo, cellula, ecc.): cogli le occasioni per andare oltre i termini specialistici.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720" w:right="-142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Sii molto chiaro nel presentare e spiegare conoscenze fattuali, istruzioni dei compiti, ecc. Ad esempio, slide PowerPoint o strumenti simili scritti sia in una lingua condivisa, sia in italiano possono essere utili.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Rule="auto"/>
        <w:ind w:left="720" w:right="-142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Fai frequente uso di immagini, diagrammi, grafici, mappe, oggetti reali, ecc. per facilitare la comprensione delle spiegazioni.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720" w:right="-142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Approfitta delle somiglianze tra certe parole astratte nelle lingue, in particolare termini di origine greca o latina.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right="-142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Organizza attività pratiche in coppie o gruppi, dove uno studente possa fungere da “compagno linguistico” a lungo termine per un apprendente migrante appena arrivato.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right="-142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Individua un metodo efficace per aiutare gli studenti migranti a utilizzare i libri di testo, ad esempio con il supporto di membri della famiglia o di altri migranti presenti nel Paese da più tempo.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right="-142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Offri agli studenti migranti opportunità di descrivere oggetti, parlare delle proprie esperienze, mostrare come fare determinate cose, ecc.</w:t>
      </w:r>
    </w:p>
    <w:p w:rsidR="00000000" w:rsidDel="00000000" w:rsidP="00000000" w:rsidRDefault="00000000" w:rsidRPr="00000000" w14:paraId="00000019">
      <w:pPr>
        <w:spacing w:after="0" w:lineRule="auto"/>
        <w:ind w:left="720" w:right="-142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right="-14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Possono essere adottate strategie specifiche per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semplificare le spiegazioni orali e renderle più comprensibili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alcune sono elencate di seguito.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14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Assicurati che gli studenti comprendano quale argomento, processo o fenomeno viene spiegato o discusso.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14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Parla chiaramente, facendo pause tra frasi, domande, risposte e cambi di argomento.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14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bisogno rallenta la velocità del tuo eloquio.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14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Ripeti o parafrasa quanto dici ogni volta che è necessario, in particolare le domande, i termini chiave di uso frequente, le espressioni comuni e il nuovo vocabolario.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14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Usa gesti e altri segnali del corpo, come espressioni facciali e mimica, per aiutare a trasmettere il significato.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14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Inserisci esempi concreti nelle spiegazioni, soprattutto esempi legati alla vita quotidiana e all’esperienza degli studenti.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14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Evita digressioni o cambi improvvisi di argomento.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14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Mantieni frasi brevi e semplici, utilizzando connettori comuni come “poi”, “dopo”, “quindi”, “perché”, ecc.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14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Evita un uso eccessivo della forma passiva nel linguaggio parlato: ad esempio, “abbiamo riscaldato il liquido a 100 gradi” può risultare più chiaro di “il liquido è stato riscaldato a 100 gradi”.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142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usi pronomi come “esso” o “essi”, assicurati che gli studenti comprendano a chi o a cosa si riferiscono.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142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right="-14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Questo tipo di approccio all’insegnamento della lingua specifica delle materie deve essere continuo e a lungo termine.</w:t>
      </w:r>
    </w:p>
    <w:p w:rsidR="00000000" w:rsidDel="00000000" w:rsidP="00000000" w:rsidRDefault="00000000" w:rsidRPr="00000000" w14:paraId="00000027">
      <w:pPr>
        <w:spacing w:after="0" w:lineRule="auto"/>
        <w:ind w:right="-14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Gli insegnanti delle diverse materie scolastiche dovrebbero anche incoraggiare attività che favoriscono l’apprendimento, pur non essendo specificamente legate alla lingua, come disegno, attività fisiche, ecc.</w:t>
      </w:r>
    </w:p>
    <w:p w:rsidR="00000000" w:rsidDel="00000000" w:rsidP="00000000" w:rsidRDefault="00000000" w:rsidRPr="00000000" w14:paraId="00000028">
      <w:pPr>
        <w:spacing w:after="0" w:lineRule="auto"/>
        <w:ind w:right="-14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Infine, è importante prestare attenzione alle funzioni tipiche della comunicazione in classe (v</w:t>
      </w:r>
      <w:r w:rsidDel="00000000" w:rsidR="00000000" w:rsidRPr="00000000">
        <w:rPr>
          <w:sz w:val="24"/>
          <w:szCs w:val="24"/>
          <w:rtl w:val="0"/>
        </w:rPr>
        <w:t xml:space="preserve">edi anche lo Strumento 25 – 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Funzioni ed espressioni utili nell’insegnamento delle materie scolastiche ai giovani migranti</w:t>
      </w:r>
      <w:r w:rsidDel="00000000" w:rsidR="00000000" w:rsidRPr="00000000">
        <w:rPr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Arial"/>
  <w:font w:name="Courier New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173"/>
      </w:tabs>
      <w:spacing w:after="0" w:before="0" w:line="240" w:lineRule="auto"/>
      <w:ind w:left="0" w:right="-90" w:firstLine="0"/>
      <w:jc w:val="lef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tabs>
        <w:tab w:val="center" w:leader="none" w:pos="4819"/>
        <w:tab w:val="right" w:leader="none" w:pos="9638"/>
      </w:tabs>
      <w:spacing w:after="0" w:line="240" w:lineRule="auto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Strumento 24 – Supporto Linguistico fornito a Migranti</w:t>
    </w:r>
    <w:r w:rsidDel="00000000" w:rsidR="00000000" w:rsidRPr="00000000">
      <w:rPr>
        <w:rFonts w:ascii="Aptos" w:cs="Aptos" w:eastAsia="Aptos" w:hAnsi="Aptos"/>
        <w:sz w:val="24"/>
        <w:szCs w:val="24"/>
        <w:rtl w:val="0"/>
      </w:rPr>
      <w:tab/>
    </w:r>
    <w:r w:rsidDel="00000000" w:rsidR="00000000" w:rsidRPr="00000000">
      <w:rPr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34343"/>
        <w:sz w:val="18"/>
        <w:szCs w:val="18"/>
        <w:rtl w:val="0"/>
      </w:rPr>
      <w:t xml:space="preserve">/2</w:t>
    </w:r>
    <w:r w:rsidDel="00000000" w:rsidR="00000000" w:rsidRPr="00000000">
      <w:rPr>
        <w:sz w:val="18"/>
        <w:szCs w:val="18"/>
        <w:rtl w:val="0"/>
      </w:rPr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40" w:lineRule="auto"/>
      <w:jc w:val="center"/>
    </w:pPr>
    <w:rPr>
      <w:b w:val="1"/>
      <w:bCs w:val="1"/>
      <w:color w:val="0070c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AB1710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Titolo2Carattere" w:customStyle="1">
    <w:name w:val="Titolo 2 Carattere"/>
    <w:basedOn w:val="Carpredefinitoparagrafo"/>
    <w:link w:val="Titolo2"/>
    <w:uiPriority w:val="9"/>
    <w:rsid w:val="00AB1710"/>
    <w:rPr>
      <w:rFonts w:cstheme="majorBidi" w:eastAsiaTheme="majorEastAsia"/>
      <w:b w:val="1"/>
      <w:color w:val="0070c0"/>
      <w:sz w:val="26"/>
      <w:szCs w:val="26"/>
    </w:rPr>
  </w:style>
  <w:style w:type="paragraph" w:styleId="Paragrafoelenco">
    <w:name w:val="List Paragraph"/>
    <w:basedOn w:val="Normale"/>
    <w:uiPriority w:val="34"/>
    <w:qFormat w:val="1"/>
    <w:rsid w:val="00AB1710"/>
    <w:pPr>
      <w:ind w:left="720"/>
      <w:contextualSpacing w:val="1"/>
    </w:p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AB1710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AB171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AB1710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AB17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AB1710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AB171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AB1710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AB1710"/>
    <w:rPr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 w:val="1"/>
    <w:rsid w:val="00AB171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 w:val="1"/>
    <w:rsid w:val="00AB1710"/>
    <w:pPr>
      <w:tabs>
        <w:tab w:val="center" w:pos="4513"/>
        <w:tab w:val="right" w:pos="9026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B1710"/>
  </w:style>
  <w:style w:type="paragraph" w:styleId="Pidipagina">
    <w:name w:val="footer"/>
    <w:basedOn w:val="Normale"/>
    <w:link w:val="PidipaginaCarattere"/>
    <w:uiPriority w:val="99"/>
    <w:unhideWhenUsed w:val="1"/>
    <w:rsid w:val="00AB1710"/>
    <w:pPr>
      <w:tabs>
        <w:tab w:val="center" w:pos="4513"/>
        <w:tab w:val="right" w:pos="9026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B1710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AB171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AB1710"/>
    <w:rPr>
      <w:rFonts w:ascii="Segoe UI" w:cs="Segoe UI" w:hAnsi="Segoe UI"/>
      <w:sz w:val="18"/>
      <w:szCs w:val="18"/>
    </w:rPr>
  </w:style>
  <w:style w:type="paragraph" w:styleId="Revisione">
    <w:name w:val="Revision"/>
    <w:hidden w:val="1"/>
    <w:uiPriority w:val="99"/>
    <w:semiHidden w:val="1"/>
    <w:rsid w:val="00AB1710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AB171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AB1710"/>
    <w:rPr>
      <w:color w:val="605e5c"/>
      <w:shd w:color="auto" w:fill="e1dfdd" w:val="clear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AB1710"/>
    <w:rPr>
      <w:color w:val="800080" w:themeColor="followedHyperlink"/>
      <w:u w:val="single"/>
    </w:rPr>
  </w:style>
  <w:style w:type="table" w:styleId="TableGrid1" w:customStyle="1">
    <w:name w:val="Table Grid1"/>
    <w:basedOn w:val="Tabellanormale"/>
    <w:next w:val="Grigliatabella"/>
    <w:uiPriority w:val="99"/>
    <w:rsid w:val="00B25D7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KMAINTITLE" w:customStyle="1">
    <w:name w:val="TK MAIN TITLE"/>
    <w:basedOn w:val="Normale"/>
    <w:qFormat w:val="1"/>
    <w:rsid w:val="002C57EC"/>
    <w:pPr>
      <w:spacing w:after="120" w:before="120" w:line="240" w:lineRule="auto"/>
      <w:jc w:val="center"/>
    </w:pPr>
    <w:rPr>
      <w:rFonts w:ascii="Calibri" w:cs="Calibri" w:eastAsia="Calibri" w:hAnsi="Calibri"/>
      <w:b w:val="1"/>
      <w:bCs w:val="1"/>
      <w:color w:val="2f5496"/>
      <w:sz w:val="40"/>
      <w:szCs w:val="40"/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Tqe/cwYm0jqlZz75yY2gUpH40Q==">CgMxLjA4AGopChRzdWdnZXN0Lm1sN3lkYTlvNTVrOBIRTWFkZGFsZW5hIEZvcm1pY2FqKQoUc3VnZ2VzdC5raHlka2x2ZGJ4dHASEU1hZGRhbGVuYSBGb3JtaWNhaikKFHN1Z2dlc3QubXkzajJtZnMzeGN2EhFNYWRkYWxlbmEgRm9ybWljYWopChRzdWdnZXN0LmJsZGcxeHg2Mm43bxIRTWFkZGFsZW5hIEZvcm1pY2FqKQoUc3VnZ2VzdC52cWFmYXFsbDBueDUSEU1hZGRhbGVuYSBGb3JtaWNhciExSEVDZGsyWE5wNklWRW9uak11Q2VYS0xRc0otLU84Y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2025-08-29T10:45:00Z</dcterms:created>
  <dc:creator>hp</dc:creator>
</cp:coreProperties>
</file>