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520"/>
        <w:tblGridChange w:id="0">
          <w:tblGrid>
            <w:gridCol w:w="1875"/>
            <w:gridCol w:w="5325"/>
            <w:gridCol w:w="2520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6055888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60558886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60558886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40" w:lineRule="auto"/>
        <w:ind w:left="0" w:right="68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23 - Osservare le situazioni in cui i migranti sono chiamati a utilizzare la nuova lingua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40" w:lineRule="auto"/>
        <w:ind w:left="0" w:right="68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  <w:tab w:val="left" w:leader="none" w:pos="9355"/>
        </w:tabs>
        <w:spacing w:after="0" w:before="0" w:line="240" w:lineRule="auto"/>
        <w:ind w:left="0" w:right="687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Suggerire modalità per raccogliere informazioni sulle situazioni in cui </w:t>
        <w:tab/>
        <w:t xml:space="preserve">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gli apprendenti utilizzano la lingua che stanno imparando e dare </w:t>
        <w:tab/>
        <w:t xml:space="preserve">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indicazioni su come usare queste informazioni per definire i bisogni di </w:t>
        <w:tab/>
        <w:t xml:space="preserve">         apprendimento.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40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liste di controllo che trovi qui sotto sono pensate per aiutarti a prendere appunti durante l’osservazione delle situazioni in cui i migranti utilizzano l’italiano. </w:t>
      </w:r>
    </w:p>
    <w:p w:rsidR="00000000" w:rsidDel="00000000" w:rsidP="00000000" w:rsidRDefault="00000000" w:rsidRPr="00000000" w14:paraId="0000000F">
      <w:pPr>
        <w:tabs>
          <w:tab w:val="left" w:leader="none" w:pos="9355"/>
        </w:tabs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  <w:t xml:space="preserve">Se hai tempo, e se puoi contare sulla collaborazione dei colleghi, potresti effettuare osservazioni sistematiche, o anche solo raccogliere informazioni sporadicamente, basandoti su indagini parziali e sulla tua esperienza. Osservare gli apprendenti mentre utilizzano la nuova lingua nella vita quotidiana ti aiuterà a selezionare scenari, situazioni e funzioni linguistiche adeguate al supporto linguistico (vedi anche Strumento 4 – </w:t>
      </w:r>
      <w:r w:rsidDel="00000000" w:rsidR="00000000" w:rsidRPr="00000000">
        <w:rPr>
          <w:i w:val="1"/>
          <w:iCs w:val="1"/>
          <w:u w:val="single"/>
          <w:rtl w:val="0"/>
        </w:rPr>
        <w:t xml:space="preserve">Cosa significa fornire supporto linguistico ai migranti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40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quale delle seguenti persone parlano gli apprendenti?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Altri migranti che parlano la stessa lingua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Migranti che parlano altre lingue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Volontari e altre persone che lavorano in ong, associazioni, ecc.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Mediatori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Operatori sanitari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Operatori di assistenza legale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Autorità amministrative (polizia, personale di sicurezza, ecc.)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Funzionari pubblici (servizi sociali, assistenza abitativa, impiegati comunali, ecc.)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Insegnanti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Vicini di casa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Commercianti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Datori di lavoro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Colleghi di lavoro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355"/>
        </w:tabs>
        <w:spacing w:line="276" w:lineRule="auto"/>
        <w:ind w:left="284" w:right="687" w:hanging="360"/>
        <w:jc w:val="both"/>
        <w:rPr/>
      </w:pPr>
      <w:r w:rsidDel="00000000" w:rsidR="00000000" w:rsidRPr="00000000">
        <w:rPr>
          <w:rtl w:val="0"/>
        </w:rPr>
        <w:t xml:space="preserve">Altre persone – chi?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0" w:right="68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Prova a stabilire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interazioni si verificano frequentemente.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conversazioni generalmente avvengono con l’aiuto di un mediatore.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conversazioni sono viste dagli apprendenti come interazioni tra pari e quali no (ad esempio, tra un funzionario e un migrante, o tra un adulto e un bambino).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quali conversazioni gli studenti possono prepararsi in anticipo.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conversazioni avvengono in luoghi specifici (uffici, negozi) e quali no.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situazioni coinvolgono più di una semplice interazione orale, come una modulistica da compilare, la lettura di informazioni stampate, ecc.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 situazioni è possibile prevedere, almeno in parte, gli argomenti della conversazione e in quali altri no.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conversazioni sono avviate dagli stessi apprendenti e quali avvengono casualmente.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284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particolare, per quanto riguarda i richiedenti asilo e i rifugiati: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426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situazioni/conversazioni li mettono a disagio e li rendono ansiosi.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426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situazioni/ conversazioni sono importanti per il loro futuro e quali sono solo ordinarie.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76" w:lineRule="auto"/>
        <w:ind w:left="426" w:right="687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 conversazioni sono inevitabili.</w:t>
      </w:r>
    </w:p>
    <w:p w:rsidR="00000000" w:rsidDel="00000000" w:rsidP="00000000" w:rsidRDefault="00000000" w:rsidRPr="00000000" w14:paraId="0000002E">
      <w:pPr>
        <w:tabs>
          <w:tab w:val="left" w:leader="none" w:pos="9355"/>
        </w:tabs>
        <w:spacing w:line="276" w:lineRule="auto"/>
        <w:ind w:right="687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134" w:left="1440" w:right="42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69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819"/>
        <w:tab w:val="right" w:leader="none" w:pos="9360"/>
      </w:tabs>
      <w:ind w:right="42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23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9749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2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56D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156D7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156D7E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156D7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156D7E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E21780"/>
    <w:pPr>
      <w:spacing w:after="160" w:line="259" w:lineRule="auto"/>
      <w:ind w:left="720"/>
      <w:contextualSpacing w:val="1"/>
    </w:pPr>
    <w:rPr>
      <w:rFonts w:asciiTheme="minorHAnsi" w:cstheme="minorBidi" w:eastAsiaTheme="minorEastAsia" w:hAnsiTheme="minorHAnsi"/>
      <w:sz w:val="22"/>
      <w:lang w:eastAsia="zh-CN" w:val="en-GB"/>
    </w:rPr>
  </w:style>
  <w:style w:type="paragraph" w:styleId="Revisione">
    <w:name w:val="Revision"/>
    <w:hidden w:val="1"/>
    <w:uiPriority w:val="99"/>
    <w:semiHidden w:val="1"/>
    <w:rsid w:val="00F018F7"/>
    <w:pPr>
      <w:spacing w:after="0" w:line="240" w:lineRule="auto"/>
    </w:pPr>
    <w:rPr>
      <w:rFonts w:ascii="Calibri" w:cs="Times New Roman" w:eastAsia="Times New Roman" w:hAnsi="Calibri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GuWEtNqYkFpTUvnXL0Ove26jA==">CgMxLjA4AGopChRzdWdnZXN0LmU3ZWZkaGhvemM2bRIRTWFkZGFsZW5hIEZvcm1pY2FqKQoUc3VnZ2VzdC5leGgyNDc4ZTI1eTUSEU1hZGRhbGVuYSBGb3JtaWNhaikKFHN1Z2dlc3QudTE5Zm5sbnRwb3RxEhFNYWRkYWxlbmEgRm9ybWljYWopChRzdWdnZXN0LjhvbWM2bHU2a2JqNxIRTWFkZGFsZW5hIEZvcm1pY2FqKQoUc3VnZ2VzdC5uMXNzdzR2ZHJ3dG8SEU1hZGRhbGVuYSBGb3JtaWNhaikKFHN1Z2dlc3QucmZqbW1ydzN6aDU5EhFNYWRkYWxlbmEgRm9ybWljYXIhMTNlWXhhY0lRa2s4Z3YtWkhtQXlpUW9GUjVGWFNWMG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2025-08-07T10:35:00Z</dcterms:created>
  <dc:creator>utilisateur</dc:creator>
</cp:coreProperties>
</file>