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8.00000000000006" w:lineRule="auto"/>
        <w:rPr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5"/>
        <w:gridCol w:w="5325"/>
        <w:gridCol w:w="2400"/>
        <w:tblGridChange w:id="0">
          <w:tblGrid>
            <w:gridCol w:w="1875"/>
            <w:gridCol w:w="5325"/>
            <w:gridCol w:w="2400"/>
          </w:tblGrid>
        </w:tblGridChange>
      </w:tblGrid>
      <w:tr>
        <w:trPr>
          <w:cantSplit w:val="0"/>
          <w:trHeight w:val="267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78.00000000000006" w:lineRule="auto"/>
              <w:jc w:val="both"/>
              <w:rPr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733425</wp:posOffset>
                  </wp:positionV>
                  <wp:extent cx="922973" cy="839754"/>
                  <wp:effectExtent b="0" l="0" r="0" t="0"/>
                  <wp:wrapNone/>
                  <wp:docPr id="206598490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3" cy="839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Supporto Linguistico fornito a Migranti 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Il Toolkit SLM del Consiglio d’Europa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40" w:line="278.0000000000000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  <w:drawing>
                <wp:inline distB="114300" distT="114300" distL="114300" distR="114300">
                  <wp:extent cx="3571875" cy="12700"/>
                  <wp:effectExtent b="0" l="0" r="0" t="0"/>
                  <wp:docPr id="206598490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8.0000000000000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</w:rPr>
              <w:drawing>
                <wp:inline distB="114300" distT="114300" distL="114300" distR="114300">
                  <wp:extent cx="1058228" cy="865823"/>
                  <wp:effectExtent b="0" l="0" r="0" t="0"/>
                  <wp:docPr id="206598491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28" cy="8658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78.00000000000006" w:lineRule="auto"/>
        <w:jc w:val="both"/>
        <w:rPr>
          <w:b w:val="1"/>
          <w:bCs w:val="1"/>
          <w:color w:val="1f4e79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8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f4e79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4f88"/>
          <w:sz w:val="32"/>
          <w:szCs w:val="32"/>
          <w:u w:val="none"/>
          <w:shd w:fill="auto" w:val="clear"/>
          <w:vertAlign w:val="baseline"/>
          <w:rtl w:val="0"/>
        </w:rPr>
        <w:t xml:space="preserve">Strumento 21 – Creare un ambiente favorevole al supporto linguistico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87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f4e79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ddddd" w:val="clear"/>
        <w:tabs>
          <w:tab w:val="left" w:leader="none" w:pos="709"/>
        </w:tabs>
        <w:spacing w:after="0" w:before="0" w:line="240" w:lineRule="auto"/>
        <w:ind w:left="0" w:right="687" w:firstLine="0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Obiettivo - Dare indicazioni pratiche per organizzare gli spazi e le risorse per le </w:t>
        <w:tab/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sessioni di supporto linguistico.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8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55"/>
        </w:tabs>
        <w:spacing w:after="0" w:before="0" w:line="276" w:lineRule="auto"/>
        <w:ind w:left="0" w:right="68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bisogna preoccuparsi se non si ha molto a disposizione: è possibile supportare l’apprendimento linguistico in maniera efficace semplicemente spiegando, mimando e mettendo in scena parole ed espressioni. Di seguito si riportano alcuni suggerimenti utili, da utilizzare a seconda dei contesti.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55"/>
        </w:tabs>
        <w:spacing w:after="0" w:before="0" w:line="276" w:lineRule="auto"/>
        <w:ind w:left="0" w:right="68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55"/>
        </w:tabs>
        <w:spacing w:after="0" w:before="0" w:line="276" w:lineRule="auto"/>
        <w:ind w:left="0" w:right="687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L’ambiente di apprendimento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355"/>
        </w:tabs>
        <w:spacing w:after="0" w:before="0" w:line="276" w:lineRule="auto"/>
        <w:ind w:left="284" w:right="687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Cerca di trovare uno spazio ben illuminato, ventilato e silenzioso. Rendilo il più accogliente possibile e incoraggia gli studenti a contribuire per mantenerlo sempre pulito e ordinato. In questo senso puoi anche stabilire e condividere alcune regole “di classe”.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355"/>
        </w:tabs>
        <w:spacing w:after="0" w:before="0" w:line="276" w:lineRule="auto"/>
        <w:ind w:left="284" w:right="687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Dai allo spazio un’impronta interculturale e plurilingue, lascia gli apprendenti liberi di usare le proprie lingue prime (vedi Strumento 11 -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 ricchezza linguistica dei migranti: una risorsa per l’apprendimento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per sostenere il proprio apprendimento linguistico e quello degli altri; incoraggiali a condividere informazioni sui propri Paesi d’origine.</w:t>
      </w:r>
    </w:p>
    <w:p w:rsidR="00000000" w:rsidDel="00000000" w:rsidP="00000000" w:rsidRDefault="00000000" w:rsidRPr="00000000" w14:paraId="00000013">
      <w:pPr>
        <w:tabs>
          <w:tab w:val="left" w:leader="none" w:pos="9355"/>
        </w:tabs>
        <w:ind w:right="68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55"/>
        </w:tabs>
        <w:spacing w:after="0" w:before="0" w:line="276" w:lineRule="auto"/>
        <w:ind w:left="0" w:right="687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Risorse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355"/>
        </w:tabs>
        <w:spacing w:after="0" w:before="0" w:line="276" w:lineRule="auto"/>
        <w:ind w:left="426" w:right="687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supportare l’apprendimento del vocabolario nella nuova lingua, raccogli materiali dei più vari, come fotografie, poster, musica, video sul Paese di reinsediamento, cartelloni con numeri, lettere e parole semplici.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355"/>
        </w:tabs>
        <w:spacing w:after="0" w:before="0" w:line="276" w:lineRule="auto"/>
        <w:ind w:left="426" w:right="687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non è disponibile una bacheca, cerca di procurarti una lavagna portatile o un blocco a fogli di grande formato su cui scrivere e disegnare.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355"/>
        </w:tabs>
        <w:spacing w:after="0" w:before="0" w:line="276" w:lineRule="auto"/>
        <w:ind w:left="426" w:right="687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Prepara una raccolta di oggetti reali (realia), come biglietti e orari del trasporto pubblico, mappe, volantini di servizi locali, annunci di lavoro, giornali e altri oggetti della vita quotidiana. Tutto ciò può facilitare la comprensione e rendere la pratica linguistica più interessante e significativa.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355"/>
        </w:tabs>
        <w:spacing w:after="0" w:before="0" w:line="276" w:lineRule="auto"/>
        <w:ind w:left="426" w:right="687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Raccogli e incolla su dei cartoncini immagini ritagliate da riviste. Collabora con i colleghi per costruire un archivio condiviso di materiali di questo tipo.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355"/>
        </w:tabs>
        <w:spacing w:after="0" w:before="0" w:line="276" w:lineRule="auto"/>
        <w:ind w:left="426" w:right="687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studenti possono anche scattare fotografie di ciò che trovano interessante, come cartelli, mezzi di trasporto, avvisi, edifici ecc. Possono usare poi Internet per cercare informazioni e continuare a praticare la lingua tra una sessione di supporto linguistico e l’altra.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355"/>
        </w:tabs>
        <w:spacing w:after="0" w:before="0" w:line="276" w:lineRule="auto"/>
        <w:ind w:left="426" w:right="687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c’è una connessione Wi-Fi, gli apprendenti possono utilizzare i loro smartphone, computer portatili e altri dispositivi mobili per diventare via via più autonomi.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55"/>
        </w:tabs>
        <w:spacing w:after="0" w:before="0" w:line="276" w:lineRule="auto"/>
        <w:ind w:left="0" w:right="687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55"/>
        </w:tabs>
        <w:spacing w:after="0" w:before="0" w:line="276" w:lineRule="auto"/>
        <w:ind w:left="0" w:right="687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Materiale di cancelleria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355"/>
        </w:tabs>
        <w:spacing w:after="0" w:before="0" w:line="276" w:lineRule="auto"/>
        <w:ind w:left="284" w:right="687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Assicurati che ogni apprendente abbia una penna o una matita e un quaderno (è molto utile anche un piccolo quaderno aggiuntivo per raccogliere il nuovo vocabolario).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355"/>
        </w:tabs>
        <w:spacing w:after="0" w:before="0" w:line="276" w:lineRule="auto"/>
        <w:ind w:left="284" w:right="687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fogli di grande formato sono utili per realizzare poster e mappe concettuali.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355"/>
        </w:tabs>
        <w:spacing w:after="0" w:before="0" w:line="276" w:lineRule="auto"/>
        <w:ind w:left="284" w:right="687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post-it, le forbici e la colla possono essere altrettanto utili.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355"/>
        </w:tabs>
        <w:spacing w:after="0" w:before="0" w:line="276" w:lineRule="auto"/>
        <w:ind w:left="284" w:right="687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carta a righe è particolarmente indicata per i migranti che stanno imparando a scrivere, anche in maniera strumentale, allenandosi a “stare sulla riga”.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355"/>
        </w:tabs>
        <w:spacing w:after="0" w:before="0" w:line="276" w:lineRule="auto"/>
        <w:ind w:left="284" w:right="687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disponibili, penne e pennarelli di colori diversi possono aiutare a evidenziare argomenti differenti.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355"/>
        </w:tabs>
        <w:spacing w:after="0" w:before="0" w:line="276" w:lineRule="auto"/>
        <w:ind w:left="284" w:right="687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Usa la patafix o il nastro adesivo per attaccare sulle pareti i lavori realizzati dagli studenti.</w:t>
      </w:r>
    </w:p>
    <w:p w:rsidR="00000000" w:rsidDel="00000000" w:rsidP="00000000" w:rsidRDefault="00000000" w:rsidRPr="00000000" w14:paraId="00000023">
      <w:pPr>
        <w:spacing w:after="160" w:line="259" w:lineRule="auto"/>
        <w:ind w:right="687"/>
        <w:rPr>
          <w:b w:val="1"/>
          <w:bCs w:val="1"/>
          <w:color w:val="2f5496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134" w:top="1134" w:left="1440" w:right="42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Georgia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690" w:firstLine="0"/>
      <w:jc w:val="left"/>
      <w:rPr>
        <w:sz w:val="22"/>
        <w:szCs w:val="22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tabs>
        <w:tab w:val="center" w:leader="none" w:pos="4819"/>
        <w:tab w:val="right" w:leader="none" w:pos="9638"/>
      </w:tabs>
      <w:ind w:right="690"/>
      <w:rPr/>
    </w:pPr>
    <w:r w:rsidDel="00000000" w:rsidR="00000000" w:rsidRPr="00000000">
      <w:rPr>
        <w:b w:val="1"/>
        <w:bCs w:val="1"/>
        <w:color w:val="434343"/>
        <w:sz w:val="18"/>
        <w:szCs w:val="18"/>
        <w:highlight w:val="white"/>
        <w:rtl w:val="0"/>
      </w:rPr>
      <w:t xml:space="preserve">Strumento 21 – Supporto Linguistico fornito a Migranti</w:t>
    </w:r>
    <w:r w:rsidDel="00000000" w:rsidR="00000000" w:rsidRPr="00000000">
      <w:rPr>
        <w:rFonts w:ascii="Aptos" w:cs="Aptos" w:eastAsia="Aptos" w:hAnsi="Aptos"/>
        <w:rtl w:val="0"/>
      </w:rPr>
      <w:tab/>
    </w:r>
    <w:r w:rsidDel="00000000" w:rsidR="00000000" w:rsidRPr="00000000">
      <w:rPr>
        <w:color w:val="434343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434343"/>
        <w:sz w:val="18"/>
        <w:szCs w:val="18"/>
        <w:rtl w:val="0"/>
      </w:rPr>
      <w:t xml:space="preserve">/2</w:t>
    </w:r>
    <w:r w:rsidDel="00000000" w:rsidR="00000000" w:rsidRPr="00000000">
      <w:rPr>
        <w:sz w:val="18"/>
        <w:szCs w:val="18"/>
        <w:rtl w:val="0"/>
      </w:rPr>
      <w:tab/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www.coe.int/education</w:t>
      </w:r>
    </w:hyperlink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850" w:hanging="283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208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0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2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4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6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8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0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23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40" w:lineRule="auto"/>
      <w:ind w:left="0" w:right="0" w:firstLine="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70c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spacing w:before="240" w:line="360" w:lineRule="auto"/>
      <w:ind w:left="340"/>
    </w:pPr>
    <w:rPr>
      <w:rFonts w:ascii="Arial Black" w:cs="Arial Black" w:eastAsia="Arial Black" w:hAnsi="Arial Black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before="240" w:line="360" w:lineRule="auto"/>
      <w:ind w:left="340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before="240" w:line="360" w:lineRule="auto"/>
      <w:ind w:left="340"/>
    </w:pPr>
    <w:rPr>
      <w:rFonts w:ascii="Arial" w:cs="Arial" w:eastAsia="Arial" w:hAnsi="Arial"/>
      <w:b w:val="1"/>
      <w:bCs w:val="1"/>
    </w:rPr>
  </w:style>
  <w:style w:type="paragraph" w:styleId="Heading5">
    <w:name w:val="heading 5"/>
    <w:basedOn w:val="Normal"/>
    <w:next w:val="Normal"/>
    <w:pPr>
      <w:keepNext w:val="1"/>
    </w:pPr>
    <w:rPr>
      <w:rFonts w:ascii="Times New Roman" w:cs="Times New Roman" w:eastAsia="Times New Roman" w:hAnsi="Times New Roman"/>
      <w:i w:val="1"/>
      <w:iCs w:val="1"/>
    </w:rPr>
  </w:style>
  <w:style w:type="paragraph" w:styleId="Heading6">
    <w:name w:val="heading 6"/>
    <w:basedOn w:val="Normal"/>
    <w:next w:val="Normal"/>
    <w:pPr>
      <w:spacing w:after="240" w:before="240" w:lineRule="auto"/>
      <w:ind w:left="284"/>
    </w:pPr>
    <w:rPr>
      <w:rFonts w:ascii="Arial" w:cs="Arial" w:eastAsia="Arial" w:hAnsi="Arial"/>
      <w:i w:val="1"/>
      <w:i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itolo7">
    <w:name w:val="heading 7"/>
    <w:basedOn w:val="Normale"/>
    <w:next w:val="Normale"/>
    <w:link w:val="Titolo7Carattere"/>
    <w:uiPriority w:val="99"/>
    <w:rsid w:val="00BB182D"/>
    <w:pPr>
      <w:keepNext w:val="1"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 w:val="1"/>
      <w:iCs w:val="1"/>
      <w:szCs w:val="24"/>
      <w:lang w:eastAsia="fr-FR"/>
    </w:rPr>
  </w:style>
  <w:style w:type="paragraph" w:styleId="Titolo8">
    <w:name w:val="heading 8"/>
    <w:basedOn w:val="Normale"/>
    <w:next w:val="Normale"/>
    <w:link w:val="Titolo8Carattere"/>
    <w:uiPriority w:val="99"/>
    <w:rsid w:val="00BB182D"/>
    <w:pPr>
      <w:keepNext w:val="1"/>
      <w:spacing w:line="360" w:lineRule="auto"/>
      <w:outlineLvl w:val="7"/>
    </w:pPr>
    <w:rPr>
      <w:rFonts w:ascii="Times New Roman" w:hAnsi="Times New Roman"/>
      <w:b w:val="1"/>
      <w:bCs w:val="1"/>
      <w:szCs w:val="24"/>
      <w:lang w:eastAsia="fr-FR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9"/>
    <w:rsid w:val="000618A7"/>
    <w:rPr>
      <w:rFonts w:ascii="Calibri Light" w:cs="Times New Roman" w:eastAsia="Times New Roman" w:hAnsi="Calibri Light"/>
      <w:b w:val="1"/>
      <w:color w:val="0070c0"/>
      <w:sz w:val="40"/>
      <w:szCs w:val="32"/>
      <w:lang w:val="en-US"/>
    </w:rPr>
  </w:style>
  <w:style w:type="paragraph" w:styleId="TKTITRE1" w:customStyle="1">
    <w:name w:val="TK TITRE1"/>
    <w:qFormat w:val="1"/>
    <w:rsid w:val="0080462C"/>
    <w:pPr>
      <w:spacing w:after="120" w:before="120" w:line="240" w:lineRule="auto"/>
    </w:pPr>
    <w:rPr>
      <w:rFonts w:ascii="Calibri" w:cs="Calibri" w:eastAsia="Times New Roman" w:hAnsi="Calibri"/>
      <w:b w:val="1"/>
      <w:bCs w:val="1"/>
      <w:sz w:val="32"/>
      <w:szCs w:val="32"/>
      <w:lang w:val="en-US"/>
    </w:rPr>
  </w:style>
  <w:style w:type="paragraph" w:styleId="TKTITRE3" w:customStyle="1">
    <w:name w:val="TK TITRE 3"/>
    <w:qFormat w:val="1"/>
    <w:rsid w:val="0080462C"/>
    <w:pPr>
      <w:spacing w:after="120" w:before="120" w:line="240" w:lineRule="auto"/>
    </w:pPr>
    <w:rPr>
      <w:rFonts w:ascii="Calibri" w:cs="Calibri" w:eastAsia="Calibri" w:hAnsi="Calibri"/>
      <w:i w:val="1"/>
      <w:iCs w:val="1"/>
      <w:noProof w:val="1"/>
      <w:sz w:val="24"/>
      <w:szCs w:val="24"/>
      <w:u w:val="single"/>
      <w:lang w:val="en-US"/>
    </w:rPr>
  </w:style>
  <w:style w:type="character" w:styleId="Titolo2Carattere" w:customStyle="1">
    <w:name w:val="Titolo 2 Carattere"/>
    <w:basedOn w:val="Carpredefinitoparagrafo"/>
    <w:link w:val="Titolo2"/>
    <w:uiPriority w:val="99"/>
    <w:rsid w:val="00BB182D"/>
    <w:rPr>
      <w:rFonts w:ascii="Arial Black" w:cs="Times New Roman" w:eastAsia="Times New Roman" w:hAnsi="Arial Black"/>
      <w:b w:val="1"/>
      <w:bCs w:val="1"/>
      <w:sz w:val="32"/>
      <w:szCs w:val="32"/>
      <w:lang w:eastAsia="de-DE"/>
    </w:rPr>
  </w:style>
  <w:style w:type="character" w:styleId="Titolo3Carattere" w:customStyle="1">
    <w:name w:val="Titolo 3 Carattere"/>
    <w:basedOn w:val="Carpredefinitoparagrafo"/>
    <w:link w:val="Titolo3"/>
    <w:uiPriority w:val="99"/>
    <w:rsid w:val="00BB182D"/>
    <w:rPr>
      <w:rFonts w:ascii="Arial" w:cs="Arial" w:eastAsia="Times New Roman" w:hAnsi="Arial"/>
      <w:b w:val="1"/>
      <w:bCs w:val="1"/>
      <w:sz w:val="28"/>
      <w:szCs w:val="28"/>
      <w:lang w:eastAsia="de-DE"/>
    </w:rPr>
  </w:style>
  <w:style w:type="character" w:styleId="Titolo4Carattere" w:customStyle="1">
    <w:name w:val="Titolo 4 Carattere"/>
    <w:basedOn w:val="Carpredefinitoparagrafo"/>
    <w:link w:val="Titolo4"/>
    <w:uiPriority w:val="99"/>
    <w:rsid w:val="00BB182D"/>
    <w:rPr>
      <w:rFonts w:ascii="Arial" w:cs="Arial" w:eastAsia="Times New Roman" w:hAnsi="Arial"/>
      <w:b w:val="1"/>
      <w:bCs w:val="1"/>
      <w:sz w:val="24"/>
      <w:szCs w:val="24"/>
      <w:lang w:eastAsia="de-DE"/>
    </w:rPr>
  </w:style>
  <w:style w:type="character" w:styleId="Titolo5Carattere" w:customStyle="1">
    <w:name w:val="Titolo 5 Carattere"/>
    <w:basedOn w:val="Carpredefinitoparagrafo"/>
    <w:link w:val="Titolo5"/>
    <w:uiPriority w:val="99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6Carattere" w:customStyle="1">
    <w:name w:val="Titolo 6 Carattere"/>
    <w:basedOn w:val="Carpredefinitoparagrafo"/>
    <w:link w:val="Titolo6"/>
    <w:uiPriority w:val="99"/>
    <w:rsid w:val="00BB182D"/>
    <w:rPr>
      <w:rFonts w:ascii="Arial" w:cs="Arial" w:eastAsia="Times New Roman" w:hAnsi="Arial"/>
      <w:i w:val="1"/>
      <w:iCs w:val="1"/>
      <w:sz w:val="20"/>
      <w:szCs w:val="20"/>
      <w:lang w:eastAsia="de-DE"/>
    </w:rPr>
  </w:style>
  <w:style w:type="character" w:styleId="Titolo7Carattere" w:customStyle="1">
    <w:name w:val="Titolo 7 Carattere"/>
    <w:basedOn w:val="Carpredefinitoparagrafo"/>
    <w:link w:val="Titolo7"/>
    <w:uiPriority w:val="99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8Carattere" w:customStyle="1">
    <w:name w:val="Titolo 8 Carattere"/>
    <w:basedOn w:val="Carpredefinitoparagrafo"/>
    <w:link w:val="Titolo8"/>
    <w:uiPriority w:val="99"/>
    <w:rsid w:val="00BB182D"/>
    <w:rPr>
      <w:rFonts w:ascii="Times New Roman" w:cs="Times New Roman" w:eastAsia="Times New Roman" w:hAnsi="Times New Roman"/>
      <w:b w:val="1"/>
      <w:bCs w:val="1"/>
      <w:sz w:val="24"/>
      <w:szCs w:val="24"/>
      <w:lang w:eastAsia="fr-FR"/>
    </w:rPr>
  </w:style>
  <w:style w:type="paragraph" w:styleId="Pidipagina">
    <w:name w:val="footer"/>
    <w:basedOn w:val="Normale"/>
    <w:link w:val="PidipaginaCarattere"/>
    <w:uiPriority w:val="99"/>
    <w:unhideWhenUsed w:val="1"/>
    <w:rsid w:val="00BB182D"/>
    <w:pPr>
      <w:tabs>
        <w:tab w:val="center" w:pos="4536"/>
        <w:tab w:val="right" w:pos="9072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B182D"/>
    <w:rPr>
      <w:rFonts w:ascii="Calibri" w:cs="Times New Roman" w:eastAsia="Times New Roman" w:hAnsi="Calibri"/>
      <w:sz w:val="24"/>
    </w:rPr>
  </w:style>
  <w:style w:type="character" w:styleId="Collegamentoipertestuale">
    <w:name w:val="Hyperlink"/>
    <w:uiPriority w:val="99"/>
    <w:rsid w:val="00BB182D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rsid w:val="00BB182D"/>
    <w:pPr>
      <w:shd w:color="auto" w:fill="000080" w:val="clear"/>
    </w:pPr>
    <w:rPr>
      <w:rFonts w:ascii="Tahoma" w:cs="Tahoma" w:hAnsi="Tahoma"/>
      <w:szCs w:val="24"/>
      <w:lang w:eastAsia="fr-FR"/>
    </w:rPr>
  </w:style>
  <w:style w:type="character" w:styleId="MappadocumentoCarattere" w:customStyle="1">
    <w:name w:val="Mappa documento Carattere"/>
    <w:basedOn w:val="Carpredefinitoparagrafo"/>
    <w:link w:val="Mappadocumento"/>
    <w:uiPriority w:val="99"/>
    <w:rsid w:val="00BB182D"/>
    <w:rPr>
      <w:rFonts w:ascii="Tahoma" w:cs="Tahoma" w:eastAsia="Times New Roman" w:hAnsi="Tahoma"/>
      <w:sz w:val="24"/>
      <w:szCs w:val="24"/>
      <w:shd w:color="auto" w:fill="000080" w:val="clear"/>
      <w:lang w:eastAsia="fr-FR"/>
    </w:rPr>
  </w:style>
  <w:style w:type="table" w:styleId="Grigliatabella">
    <w:name w:val="Table Grid"/>
    <w:basedOn w:val="Tabellanormale"/>
    <w:uiPriority w:val="99"/>
    <w:rsid w:val="00BB182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Toolkit" w:customStyle="1">
    <w:name w:val="Table_Toolkit"/>
    <w:basedOn w:val="Tabellanormale"/>
    <w:uiPriority w:val="99"/>
    <w:rsid w:val="007458E1"/>
    <w:tblPr/>
  </w:style>
  <w:style w:type="paragraph" w:styleId="TKTextetableau" w:customStyle="1">
    <w:name w:val="TK Texte tableau"/>
    <w:qFormat w:val="1"/>
    <w:rsid w:val="0080462C"/>
    <w:pPr>
      <w:spacing w:after="0" w:line="240" w:lineRule="auto"/>
    </w:pPr>
    <w:rPr>
      <w:rFonts w:ascii="Calibri" w:cs="Calibri" w:eastAsia="Times New Roman" w:hAnsi="Calibri"/>
      <w:lang w:val="en-GB"/>
    </w:rPr>
  </w:style>
  <w:style w:type="paragraph" w:styleId="TKAIM" w:customStyle="1">
    <w:name w:val="TK AIM"/>
    <w:qFormat w:val="1"/>
    <w:rsid w:val="00E53152"/>
    <w:pPr>
      <w:shd w:color="auto" w:fill="dddddd" w:val="clear"/>
      <w:tabs>
        <w:tab w:val="left" w:pos="709"/>
      </w:tabs>
      <w:spacing w:after="480" w:before="480" w:line="240" w:lineRule="auto"/>
      <w:ind w:left="709" w:hanging="709"/>
    </w:pPr>
    <w:rPr>
      <w:rFonts w:ascii="Calibri" w:cs="Times New Roman" w:eastAsia="Calibri" w:hAnsi="Calibri"/>
      <w:b w:val="1"/>
      <w:sz w:val="28"/>
      <w:szCs w:val="32"/>
      <w:lang w:val="en-GB"/>
    </w:rPr>
  </w:style>
  <w:style w:type="paragraph" w:styleId="Testonormale">
    <w:name w:val="Plain Text"/>
    <w:basedOn w:val="Normale"/>
    <w:link w:val="TestonormaleCarattere"/>
    <w:uiPriority w:val="99"/>
    <w:semiHidden w:val="1"/>
    <w:unhideWhenUsed w:val="1"/>
    <w:rsid w:val="00526886"/>
    <w:rPr>
      <w:rFonts w:ascii="Consolas" w:hAnsi="Consolas"/>
      <w:sz w:val="21"/>
      <w:szCs w:val="21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semiHidden w:val="1"/>
    <w:rsid w:val="00526886"/>
    <w:rPr>
      <w:rFonts w:ascii="Consolas" w:cs="Times New Roman" w:eastAsia="Times New Roman" w:hAnsi="Consolas"/>
      <w:sz w:val="21"/>
      <w:szCs w:val="21"/>
    </w:rPr>
  </w:style>
  <w:style w:type="paragraph" w:styleId="TKMAINTITLE" w:customStyle="1">
    <w:name w:val="TK MAIN TITLE"/>
    <w:basedOn w:val="Normale"/>
    <w:qFormat w:val="1"/>
    <w:rsid w:val="0080462C"/>
    <w:pPr>
      <w:spacing w:after="120" w:before="120"/>
      <w:jc w:val="center"/>
    </w:pPr>
    <w:rPr>
      <w:rFonts w:cs="Calibri" w:eastAsia="Calibri"/>
      <w:b w:val="1"/>
      <w:bCs w:val="1"/>
      <w:color w:val="2f5496" w:themeColor="accent1" w:themeShade="0000BF"/>
      <w:sz w:val="40"/>
      <w:szCs w:val="40"/>
      <w:lang w:val="en-GB"/>
    </w:rPr>
  </w:style>
  <w:style w:type="paragraph" w:styleId="TKTEXTE" w:customStyle="1">
    <w:name w:val="TK TEXTE"/>
    <w:qFormat w:val="1"/>
    <w:rsid w:val="0097497F"/>
    <w:pPr>
      <w:spacing w:after="120" w:before="120" w:line="240" w:lineRule="auto"/>
    </w:pPr>
    <w:rPr>
      <w:rFonts w:ascii="Calibri" w:cs="Calibri" w:eastAsia="Times New Roman" w:hAnsi="Calibri"/>
      <w:sz w:val="24"/>
      <w:szCs w:val="24"/>
      <w:lang w:val="en-GB"/>
    </w:rPr>
  </w:style>
  <w:style w:type="paragraph" w:styleId="TKBulletLevel1" w:customStyle="1">
    <w:name w:val="TK Bullet Level1"/>
    <w:next w:val="Normale"/>
    <w:qFormat w:val="1"/>
    <w:rsid w:val="00D61794"/>
    <w:pPr>
      <w:numPr>
        <w:numId w:val="2"/>
      </w:numPr>
      <w:tabs>
        <w:tab w:val="left" w:pos="567"/>
      </w:tabs>
      <w:spacing w:after="60" w:before="60" w:line="240" w:lineRule="auto"/>
    </w:pPr>
    <w:rPr>
      <w:rFonts w:ascii="Calibri" w:cs="Calibri" w:eastAsia="Calibri" w:hAnsi="Calibri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E358D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3E358D"/>
    <w:rPr>
      <w:rFonts w:ascii="Tahoma" w:cs="Tahoma" w:eastAsia="Times New Roman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 w:val="1"/>
    <w:rsid w:val="00FB70A6"/>
    <w:pPr>
      <w:tabs>
        <w:tab w:val="center" w:pos="4536"/>
        <w:tab w:val="right" w:pos="9072"/>
      </w:tabs>
    </w:pPr>
    <w:rPr>
      <w:sz w:val="22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B70A6"/>
    <w:rPr>
      <w:rFonts w:ascii="Calibri" w:cs="Times New Roman" w:eastAsia="Times New Roman" w:hAnsi="Calibri"/>
    </w:rPr>
  </w:style>
  <w:style w:type="paragraph" w:styleId="TKTITRE2" w:customStyle="1">
    <w:name w:val="TK TITRE 2"/>
    <w:next w:val="Normale"/>
    <w:qFormat w:val="1"/>
    <w:rsid w:val="0080462C"/>
    <w:pPr>
      <w:spacing w:after="120" w:before="120" w:line="240" w:lineRule="auto"/>
    </w:pPr>
    <w:rPr>
      <w:rFonts w:ascii="Calibri" w:cs="Calibri" w:eastAsia="Times New Roman" w:hAnsi="Calibri"/>
      <w:b w:val="1"/>
      <w:bCs w:val="1"/>
      <w:sz w:val="28"/>
      <w:szCs w:val="28"/>
      <w:lang w:val="en-US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9025F0"/>
    <w:rPr>
      <w:color w:val="954f72" w:themeColor="followedHyperlink"/>
      <w:u w:val="single"/>
    </w:rPr>
  </w:style>
  <w:style w:type="paragraph" w:styleId="TKBulletLevel2" w:customStyle="1">
    <w:name w:val="TK Bullet Level2"/>
    <w:basedOn w:val="TKBulletLevel1"/>
    <w:qFormat w:val="1"/>
    <w:rsid w:val="009A4759"/>
    <w:pPr>
      <w:ind w:left="1135"/>
    </w:pPr>
  </w:style>
  <w:style w:type="paragraph" w:styleId="TKNbrsLevel2" w:customStyle="1">
    <w:name w:val="TK Nbrs Level2"/>
    <w:qFormat w:val="1"/>
    <w:rsid w:val="00E90A39"/>
    <w:pPr>
      <w:numPr>
        <w:numId w:val="10"/>
      </w:numPr>
      <w:spacing w:after="60" w:before="60" w:line="240" w:lineRule="auto"/>
      <w:ind w:left="1208" w:hanging="357"/>
    </w:pPr>
    <w:rPr>
      <w:rFonts w:ascii="Calibri" w:cs="Times New Roman" w:eastAsia="Calibri" w:hAnsi="Calibri"/>
      <w:sz w:val="24"/>
      <w:szCs w:val="24"/>
      <w:lang w:val="en-US"/>
    </w:rPr>
  </w:style>
  <w:style w:type="paragraph" w:styleId="TKNbrsLevel1" w:customStyle="1">
    <w:name w:val="TK_Nbrs Level1"/>
    <w:qFormat w:val="1"/>
    <w:rsid w:val="009A4759"/>
    <w:pPr>
      <w:numPr>
        <w:numId w:val="9"/>
      </w:numPr>
      <w:spacing w:after="60" w:before="60" w:line="240" w:lineRule="auto"/>
      <w:ind w:left="851" w:hanging="284"/>
    </w:pPr>
    <w:rPr>
      <w:rFonts w:ascii="Calibri" w:cs="Calibri" w:eastAsia="Times New Roman" w:hAnsi="Calibri"/>
      <w:sz w:val="24"/>
      <w:szCs w:val="24"/>
    </w:rPr>
  </w:style>
  <w:style w:type="paragraph" w:styleId="TKnotes" w:customStyle="1">
    <w:name w:val="TK_notes"/>
    <w:qFormat w:val="1"/>
    <w:rsid w:val="00634900"/>
    <w:pPr>
      <w:spacing w:after="120" w:before="120" w:line="240" w:lineRule="auto"/>
    </w:pPr>
    <w:rPr>
      <w:rFonts w:ascii="Calibri" w:cs="Calibri" w:eastAsia="Times New Roman" w:hAnsi="Calibri"/>
      <w:sz w:val="20"/>
      <w:lang w:val="en-GB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156D7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156D7E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156D7E"/>
    <w:rPr>
      <w:rFonts w:ascii="Calibri" w:cs="Times New Roman" w:eastAsia="Times New Roman" w:hAnsi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156D7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156D7E"/>
    <w:rPr>
      <w:rFonts w:ascii="Calibri" w:cs="Times New Roman" w:eastAsia="Times New Roman" w:hAnsi="Calibri"/>
      <w:b w:val="1"/>
      <w:bCs w:val="1"/>
      <w:sz w:val="20"/>
      <w:szCs w:val="20"/>
    </w:rPr>
  </w:style>
  <w:style w:type="paragraph" w:styleId="Paragrafoelenco">
    <w:name w:val="List Paragraph"/>
    <w:basedOn w:val="Normale"/>
    <w:uiPriority w:val="34"/>
    <w:qFormat w:val="1"/>
    <w:rsid w:val="00E21780"/>
    <w:pPr>
      <w:spacing w:after="160" w:line="259" w:lineRule="auto"/>
      <w:ind w:left="720"/>
      <w:contextualSpacing w:val="1"/>
    </w:pPr>
    <w:rPr>
      <w:rFonts w:asciiTheme="minorHAnsi" w:cstheme="minorBidi" w:eastAsiaTheme="minorEastAsia" w:hAnsiTheme="minorHAnsi"/>
      <w:sz w:val="22"/>
      <w:lang w:eastAsia="zh-CN" w:val="en-GB"/>
    </w:rPr>
  </w:style>
  <w:style w:type="paragraph" w:styleId="Revisione">
    <w:name w:val="Revision"/>
    <w:hidden w:val="1"/>
    <w:uiPriority w:val="99"/>
    <w:semiHidden w:val="1"/>
    <w:rsid w:val="00F018F7"/>
    <w:pPr>
      <w:spacing w:after="0" w:line="240" w:lineRule="auto"/>
    </w:pPr>
    <w:rPr>
      <w:rFonts w:ascii="Calibri" w:cs="Times New Roman" w:eastAsia="Times New Roman" w:hAnsi="Calibri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Fdh0ywrN0EWSk0duouw9L8QAYw==">CgMxLjA4AGopChRzdWdnZXN0LnBuaXZucXBmcHN0dRIRTWFkZGFsZW5hIEZvcm1pY2FqKQoUc3VnZ2VzdC50NzRrdzBwbTk5N3cSEU1hZGRhbGVuYSBGb3JtaWNhaikKFHN1Z2dlc3QuZmJja2hocHF4aGo0EhFNYWRkYWxlbmEgRm9ybWljYXIhMWlDVDNuNjBWd1Y1ZmY3OFkyOXVDUVVKS0Z5Q1ZuWjNY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2025-08-07T10:35:00Z</dcterms:created>
  <dc:creator>utilisateur</dc:creator>
</cp:coreProperties>
</file>