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270"/>
        <w:tblGridChange w:id="0">
          <w:tblGrid>
            <w:gridCol w:w="1875"/>
            <w:gridCol w:w="5325"/>
            <w:gridCol w:w="3270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72072305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72072304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7207230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28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20 – Definire gli obiettivi del supporto linguistico fornito a migranti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bfbfbf" w:val="clear"/>
        <w:ind w:left="709" w:hanging="709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Dare indicazioni per individuare gli obiettivi di apprendimento linguistico per  apprendenti con un livello di competenza elementare nella nuova lingua.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Quando si dispone di poco tempo per aiutare le persone ad apprendere una lingua, a volte si può correre il rischio di voler fare troppo durante le sessioni di supporto linguistico. L’apprendimento di una lingua richiede tempo, è quindi preferibile concentrarsi su determinati obiettivi, seppur solo apparentemente modesti, che consentano di ottenere progressi effettivi.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Quando si adotta un approccio graduale di questo tipo è importante tenere presente i seguenti punti.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Stabilire obiettivi di apprendimento realistici per ogni sessione.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studenti devono comprendere chiaramente questi obiettivi e poi poter valutare autonomamente se li hanno raggiunti. Un esempio potrebbe essere: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Imparare a invitare qualcuno a fare qualcosa insieme e a rispondere accettando o rifiutando l’invito.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scenari presenti nel Toolkit sono organizzati come una serie di eventi comunicativi (vedi Strumento 54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Introduzione all’ utilizzo degli scenari per il supporto linguistico fornito a migranti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Riuscire a utilizzare con successo la nuova lingua, in modalità ricettiva e/o produttiva, in uno qualsiasi degli eventi comunicativi proposti dagli scenari, può rappresentare un obiettivo significativo per una sessione di supporto linguistico.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Circoscrivere gli obiettivi in termini di vocabolario e/o grammatica.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esempio, in uno scenario come quello della spesa quotidiana, se l’obiettivo è imparare i nomi di frutta e verdura, è opportuno concentrarsi solo su quelli relativi ai prodotti ortofrutticoli più comunemente disponibili a livello locale. Per quanto riguarda la grammatica, è utile focalizzarsi solo su quella necessaria allo scopo, come formulare richieste in un negozio o al mercato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Tieni presente, infine, che le diverse competenze linguistiche non devono essere necessariamente insegnate e apprese allo stesso livello. Per i migranti appena arrivati, ad esempio, la priorità è riuscire a gestire conversazioni semplici e a comprendere elementi scritti di uso quotidiano, come etichette e segnali del tipo: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entrata, uscita, spingere, tirare, vietato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ecc.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orientarti, puoi considerare il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1"/>
            <w:iCs w:val="1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Quadro Comune Europeo di Riferimento per le Lingue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(QCER) o ad altre risorse che propongono obiettivi generali, utili per definire obiettivi specifici e circoscritti. I descrittori chiave del QCER, per i livelli Pre-A1, A1 e A2, sono riportati nelle pagine seguenti.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caso di apprendenti per nulla o poco alfabetizzati puoi consultare la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1"/>
            <w:iCs w:val="1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Guida di riferimento ALSILMA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(Alfabetizzazione e Apprendimento della Lingua Seconda per l’Integrazione Linguistica dei Migranti Adulti).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LIVELLI DI RIFERIMENTO PER IL SUPPORTO LINGUISTICO DAL QUADRO COMUNE EUROPEO DI RIFERIMENTO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12"/>
        <w:gridCol w:w="8448"/>
        <w:tblGridChange w:id="0">
          <w:tblGrid>
            <w:gridCol w:w="1612"/>
            <w:gridCol w:w="84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PRE-A1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Comprensione orale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comprendere domande e affermazioni brevi e molto semplici, purché siano articolate lentamente e chiaramente, siano accompagnate da gesti o immagini che ne facilitino la comprensione e siano ripetute in caso di necessità. 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riconoscere parole comuni / segni della vita di tutti i giorni, purché siano pronunciate/eseguiti chiaramente e lentamente in un contesto ben circoscritto, familiare e quotidiano. 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riconoscere numeri, prezzi, date e giorni della settimana, purché siano espressi chiaramente e lentamente in un contesto circoscritto, familiare e quotidiano.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Interazione orale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fare domande e dare risposte su se stesso/a e le sue abitudini quotidiane, utilizzando brevi espressioni fisse e aiutandosi con dei gesti per consolidare l’informazione trasmessa.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364"/>
        <w:tblGridChange w:id="0">
          <w:tblGrid>
            <w:gridCol w:w="1696"/>
            <w:gridCol w:w="83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A1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DESCRITTORI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Globale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comprendere e utilizzare espressioni familiari di uso quotidiano e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formule molto comuni per soddisfare bisogni di tipo concreto. 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presentare sé stesso e altri ed essere in grado di porre domande su dati personali e saper rispondere a domande analoghe (il luogo dove abita, le persone che conosce le cose che possiede).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interagire in modo semplice purché l’interlocutore parli lentamente e chiaramente e sia disposto a collaborare.</w:t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leggere espressioni isolate comuni, familiari, di uso quotidiano e di rilievo personale cogliendo nomi conosciuti, in brevi testi.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scrivere parole ed espressioni isolate e familiari di uso quotidiano e di rilievo personale.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Comprensione orale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comprendere un discorso articolato molto lentamente e con grande precisione, che contenga lunghe pause per permettergli/le di assimilarne il senso. 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cogliere un’informazione concreta (ad es. un luogo e un orario) su argomenti familiari della vita di tutti i giorni, purché si parli lentamente e chiaramente.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Interazione orale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interagire in modo semplice, ma la comunicazione dipende completamente da ripetizioni a velocità ridotta, da riformulazioni e riparazioni. 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Risponde a domande semplici e ne pone di analoghe, prende l’iniziativa e risponde a semplici enunciati relativi a bisogni immediati o ad argomenti molto familiari.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utilizzare parole/segni semplici e segnali non verbali per mostrare il suo interesse verso un’idea. 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trasmettere informazioni semplici e prevedibili di interesse immediato presenti in brevi e semplici cartelli, avvisi, manifesti, programmi e dépliants.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364"/>
        <w:tblGridChange w:id="0">
          <w:tblGrid>
            <w:gridCol w:w="1696"/>
            <w:gridCol w:w="83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A2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DESCRITTORI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Globale 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È in grado di comprendere frasi isolate ed espressioni di uso frequente relative ad ambiti di immediata rilevanza (per esempio informazioni di base sulla persona e sulla famiglia, acquisti, geografia locale, lavoro). 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Riesce a comunicare in attività semplici e di routine che richiedono uno scambio di informazioni semplice e diretto su argomenti familiari e abituali. </w:t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Riesce a descrivere in termini semplici aspetti del proprio vissuto e del proprio ambiente ed elementi che si riferiscono a bisogni immediati.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Comprensione orale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comprendere quanto basta per soddisfare bisogni di tipo concreto, purché si articoli lentamente e chiaramente. </w:t>
            </w:r>
          </w:p>
          <w:p w:rsidR="00000000" w:rsidDel="00000000" w:rsidP="00000000" w:rsidRDefault="00000000" w:rsidRPr="00000000" w14:paraId="0000004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comprendere espressioni riferite ad aree di priorità immediata (ad es. informazioni veramente basilari sulla persona e sulla famiglia, acquisti, geografia locale e lavoro), purché si parli lentamente e chiaramente.</w:t>
            </w:r>
          </w:p>
        </w:tc>
      </w:tr>
      <w:tr>
        <w:trPr>
          <w:cantSplit w:val="0"/>
          <w:trHeight w:val="157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Interazione orale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comunicare in attività semplici e compiti di routine, basati su uno scambio di informazioni semplice e diretto su questioni correnti e usuali che abbiano a che fare con il lavoro e il tempo libero. </w:t>
            </w:r>
          </w:p>
          <w:p w:rsidR="00000000" w:rsidDel="00000000" w:rsidP="00000000" w:rsidRDefault="00000000" w:rsidRPr="00000000" w14:paraId="00000049">
            <w:pPr>
              <w:spacing w:after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Gestisce scambi comunicativi molto brevi, ma raramente riesce a capire abbastanza per contribuire a sostenere con una certa autonomia la conversazione.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Mediazione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utilizzare parole/segni semplici per chiedere a qualcuno di spiegare qualcosa. </w:t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riconoscere le difficoltà e di indicare in una lingua semplice la natura apparente di un problema. 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È in grado di trasmettere il punto o i punti principali di brevi e semplici conversazioni o testi su argomenti di tutti i giorni di interesse immediato, a condizione che siano esposti in modo chiaro e in una lingua semplice.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Quadro Comune Europeo di Riferimento per le Lingue – Volume complementare</w:t>
      </w:r>
      <w:r w:rsidDel="00000000" w:rsidR="00000000" w:rsidRPr="00000000">
        <w:rPr>
          <w:rtl w:val="0"/>
        </w:rPr>
        <w:t xml:space="preserve">, pagine 51, 79, 92, 103).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2f549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737" w:top="737" w:left="737" w:right="737" w:header="284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Apto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tabs>
        <w:tab w:val="center" w:leader="none" w:pos="5218.000000000001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20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Consiglio d’Europa (2020),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Quadro Comune Europeo di Riferimento per le Lingue – Volume complementare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https://rm.coe.int/common-european-framework-of-reference-for-languages-learning-teaching/16809ea0d4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08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5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1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10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3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572C98"/>
    <w:pPr>
      <w:spacing w:after="100" w:afterAutospacing="1" w:before="100" w:beforeAutospacing="1"/>
    </w:pPr>
    <w:rPr>
      <w:rFonts w:ascii="Times New Roman" w:hAnsi="Times New Roman"/>
      <w:szCs w:val="24"/>
      <w:lang w:eastAsia="it-IT" w:val="it-IT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6456EB"/>
    <w:rPr>
      <w:rFonts w:asciiTheme="minorHAnsi" w:cstheme="minorBidi" w:eastAsiaTheme="minorHAnsi" w:hAnsiTheme="minorHAns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6456E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6456EB"/>
    <w:rPr>
      <w:vertAlign w:val="superscript"/>
    </w:rPr>
  </w:style>
  <w:style w:type="character" w:styleId="Enfasigrassetto">
    <w:name w:val="Strong"/>
    <w:basedOn w:val="Carpredefinitoparagrafo"/>
    <w:uiPriority w:val="22"/>
    <w:qFormat w:val="1"/>
    <w:rsid w:val="006719C2"/>
    <w:rPr>
      <w:b w:val="1"/>
      <w:bCs w:val="1"/>
    </w:rPr>
  </w:style>
  <w:style w:type="paragraph" w:styleId="Revisione">
    <w:name w:val="Revision"/>
    <w:hidden w:val="1"/>
    <w:uiPriority w:val="99"/>
    <w:semiHidden w:val="1"/>
    <w:rsid w:val="00BF1B5C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2217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221738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221738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22173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221738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oe.int/en/web/common-european-framework-reference-languages/level-descriptions" TargetMode="External"/><Relationship Id="rId10" Type="http://schemas.openxmlformats.org/officeDocument/2006/relationships/image" Target="media/image1.png"/><Relationship Id="rId13" Type="http://schemas.openxmlformats.org/officeDocument/2006/relationships/header" Target="header2.xml"/><Relationship Id="rId12" Type="http://schemas.openxmlformats.org/officeDocument/2006/relationships/hyperlink" Target="https://www.coe.int/en/web/language-policy/literacy-and-second-language-learning-for-the-linguistic-integration-of-adult-migrants-laslliam-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8" Type="http://schemas.openxmlformats.org/officeDocument/2006/relationships/footer" Target="footer1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rm.coe.int/common-european-framework-of-reference-for-languages-learning-teaching/16809ea0d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/0CUkMktzi3ZGhw6Bi6bpNpkhQ==">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2025-06-24T14:20:00Z</dcterms:created>
  <dc:creator>utilisateur</dc:creator>
</cp:coreProperties>
</file>