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D00033" w14:paraId="7791A817" w14:textId="77777777" w:rsidTr="009E735E">
        <w:trPr>
          <w:trHeight w:val="1413"/>
        </w:trPr>
        <w:tc>
          <w:tcPr>
            <w:tcW w:w="2143" w:type="dxa"/>
          </w:tcPr>
          <w:p w14:paraId="3A66DFF9" w14:textId="77777777" w:rsidR="00D71E86" w:rsidRPr="00D00033" w:rsidRDefault="00D71E86" w:rsidP="007D768E">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3A345983" wp14:editId="569C4DB4">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D00033" w:rsidRDefault="00D71E86" w:rsidP="007D768E">
            <w:pPr>
              <w:jc w:val="center"/>
              <w:rPr>
                <w:rFonts w:ascii="Myriad Pro" w:eastAsiaTheme="minorHAnsi" w:hAnsi="Myriad Pro"/>
                <w:b/>
                <w:lang w:val="en-US"/>
              </w:rPr>
            </w:pPr>
          </w:p>
          <w:p w14:paraId="1DB9057D" w14:textId="77777777" w:rsidR="00D71E86" w:rsidRPr="00D00033" w:rsidRDefault="00D71E86" w:rsidP="007D768E">
            <w:pPr>
              <w:jc w:val="center"/>
              <w:rPr>
                <w:rFonts w:ascii="Myriad Pro" w:eastAsiaTheme="minorHAnsi" w:hAnsi="Myriad Pro"/>
                <w:b/>
                <w:sz w:val="26"/>
                <w:szCs w:val="18"/>
                <w:lang w:val="en-US"/>
              </w:rPr>
            </w:pPr>
          </w:p>
          <w:p w14:paraId="5E145A1C" w14:textId="77777777" w:rsidR="00D71E86" w:rsidRPr="00D00033" w:rsidRDefault="00D71E86" w:rsidP="007D768E">
            <w:pPr>
              <w:jc w:val="center"/>
              <w:rPr>
                <w:rFonts w:ascii="Myriad Pro" w:eastAsiaTheme="minorHAnsi" w:hAnsi="Myriad Pro"/>
                <w:b/>
                <w:sz w:val="26"/>
                <w:szCs w:val="18"/>
                <w:lang w:val="en-US"/>
              </w:rPr>
            </w:pPr>
          </w:p>
          <w:p w14:paraId="4DD1CBDF" w14:textId="77777777" w:rsidR="00D71E86" w:rsidRPr="00D00033" w:rsidRDefault="00D71E86" w:rsidP="007D768E">
            <w:pPr>
              <w:jc w:val="center"/>
              <w:rPr>
                <w:rFonts w:ascii="Myriad Pro" w:eastAsiaTheme="minorHAnsi" w:hAnsi="Myriad Pro"/>
                <w:b/>
                <w:sz w:val="26"/>
                <w:szCs w:val="18"/>
                <w:lang w:val="en-US"/>
              </w:rPr>
            </w:pPr>
          </w:p>
          <w:p w14:paraId="048712D7" w14:textId="77777777" w:rsidR="00D71E86" w:rsidRPr="00D00033" w:rsidRDefault="00D71E86" w:rsidP="007D768E">
            <w:pPr>
              <w:rPr>
                <w:rFonts w:ascii="Myriad Pro" w:eastAsiaTheme="minorHAnsi" w:hAnsi="Myriad Pro"/>
                <w:b/>
                <w:sz w:val="26"/>
                <w:szCs w:val="18"/>
                <w:lang w:val="en-US"/>
              </w:rPr>
            </w:pPr>
          </w:p>
          <w:p w14:paraId="4CEA7A00" w14:textId="77777777" w:rsidR="00D71E86" w:rsidRPr="00D00033" w:rsidRDefault="00A2026E" w:rsidP="007D768E">
            <w:pPr>
              <w:rPr>
                <w:rFonts w:ascii="Myriad Pro" w:eastAsiaTheme="minorHAnsi" w:hAnsi="Myriad Pro"/>
                <w:b/>
                <w:i/>
                <w:sz w:val="26"/>
                <w:szCs w:val="18"/>
              </w:rPr>
            </w:pPr>
            <w:r w:rsidRPr="00D00033">
              <w:rPr>
                <w:rFonts w:ascii="Myriad Pro" w:eastAsiaTheme="minorHAnsi" w:hAnsi="Myriad Pro"/>
                <w:b/>
                <w:sz w:val="26"/>
                <w:szCs w:val="18"/>
              </w:rPr>
              <w:t>S</w:t>
            </w:r>
            <w:r w:rsidR="00CC5573" w:rsidRPr="00D00033">
              <w:rPr>
                <w:rFonts w:ascii="Myriad Pro" w:eastAsiaTheme="minorHAnsi" w:hAnsi="Myriad Pro"/>
                <w:b/>
                <w:sz w:val="26"/>
                <w:szCs w:val="18"/>
              </w:rPr>
              <w:t xml:space="preserve">outien linguistique aux </w:t>
            </w:r>
            <w:r w:rsidR="003D5BD2" w:rsidRPr="00D00033">
              <w:rPr>
                <w:rFonts w:ascii="Myriad Pro" w:eastAsiaTheme="minorHAnsi" w:hAnsi="Myriad Pro"/>
                <w:b/>
                <w:sz w:val="26"/>
                <w:szCs w:val="18"/>
              </w:rPr>
              <w:t>m</w:t>
            </w:r>
            <w:r w:rsidR="00CC5573" w:rsidRPr="00D00033">
              <w:rPr>
                <w:rFonts w:ascii="Myriad Pro" w:eastAsiaTheme="minorHAnsi" w:hAnsi="Myriad Pro"/>
                <w:b/>
                <w:sz w:val="26"/>
                <w:szCs w:val="18"/>
              </w:rPr>
              <w:t>igrants</w:t>
            </w:r>
            <w:r w:rsidR="00D71E86" w:rsidRPr="00D00033">
              <w:rPr>
                <w:rFonts w:ascii="Myriad Pro" w:eastAsiaTheme="minorHAnsi" w:hAnsi="Myriad Pro"/>
                <w:b/>
                <w:sz w:val="26"/>
                <w:szCs w:val="18"/>
              </w:rPr>
              <w:br/>
            </w:r>
            <w:r w:rsidR="00CC5573" w:rsidRPr="00D00033">
              <w:rPr>
                <w:rFonts w:ascii="Myriad Pro" w:eastAsiaTheme="minorHAnsi" w:hAnsi="Myriad Pro"/>
                <w:b/>
                <w:i/>
                <w:sz w:val="26"/>
                <w:szCs w:val="18"/>
              </w:rPr>
              <w:t>Une</w:t>
            </w:r>
            <w:r w:rsidR="00CC5573" w:rsidRPr="00D00033">
              <w:rPr>
                <w:rFonts w:ascii="Myriad Pro" w:hAnsi="Myriad Pro"/>
              </w:rPr>
              <w:t xml:space="preserve"> </w:t>
            </w:r>
            <w:r w:rsidR="00CC5573" w:rsidRPr="00D00033">
              <w:rPr>
                <w:rFonts w:ascii="Myriad Pro" w:eastAsiaTheme="minorHAnsi" w:hAnsi="Myriad Pro"/>
                <w:b/>
                <w:i/>
                <w:sz w:val="26"/>
                <w:szCs w:val="18"/>
              </w:rPr>
              <w:t>boîte à outils</w:t>
            </w:r>
            <w:r w:rsidR="00D71E86" w:rsidRPr="00D00033">
              <w:rPr>
                <w:rFonts w:ascii="Myriad Pro" w:eastAsiaTheme="minorHAnsi" w:hAnsi="Myriad Pro"/>
                <w:b/>
                <w:i/>
                <w:sz w:val="26"/>
                <w:szCs w:val="18"/>
              </w:rPr>
              <w:t xml:space="preserve"> </w:t>
            </w:r>
            <w:r w:rsidR="00CC5573" w:rsidRPr="00D00033">
              <w:rPr>
                <w:rFonts w:ascii="Myriad Pro" w:eastAsiaTheme="minorHAnsi" w:hAnsi="Myriad Pro"/>
                <w:b/>
                <w:i/>
                <w:sz w:val="26"/>
                <w:szCs w:val="18"/>
              </w:rPr>
              <w:t>du Conseil de l’Europe</w:t>
            </w:r>
          </w:p>
          <w:p w14:paraId="5A573F2B" w14:textId="77777777" w:rsidR="00D71E86" w:rsidRPr="00D00033" w:rsidRDefault="00397415" w:rsidP="007D768E">
            <w:pPr>
              <w:jc w:val="center"/>
              <w:rPr>
                <w:rFonts w:ascii="Myriad Pro" w:eastAsiaTheme="minorHAnsi" w:hAnsi="Myriad Pro"/>
                <w:color w:val="0000FF"/>
                <w:u w:val="single"/>
              </w:rPr>
            </w:pPr>
            <w:r w:rsidRPr="00D00033">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2ED2A"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D00033" w:rsidRDefault="009E735E" w:rsidP="007D768E">
            <w:pPr>
              <w:tabs>
                <w:tab w:val="center" w:pos="4607"/>
                <w:tab w:val="right" w:pos="9214"/>
              </w:tabs>
              <w:jc w:val="right"/>
              <w:rPr>
                <w:rFonts w:ascii="Myriad Pro" w:eastAsiaTheme="minorHAnsi" w:hAnsi="Myriad Pro" w:cstheme="minorHAnsi"/>
                <w:sz w:val="20"/>
                <w:szCs w:val="20"/>
              </w:rPr>
            </w:pPr>
            <w:r w:rsidRPr="00D00033">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D00033" w:rsidRDefault="00D71E86" w:rsidP="007D768E">
            <w:pPr>
              <w:tabs>
                <w:tab w:val="center" w:pos="4607"/>
                <w:tab w:val="right" w:pos="9214"/>
              </w:tabs>
              <w:jc w:val="right"/>
              <w:rPr>
                <w:rFonts w:ascii="Myriad Pro" w:eastAsiaTheme="minorHAnsi" w:hAnsi="Myriad Pro" w:cstheme="majorHAnsi"/>
                <w:color w:val="0000FF"/>
                <w:u w:val="single"/>
              </w:rPr>
            </w:pPr>
          </w:p>
          <w:p w14:paraId="3D3EE31D" w14:textId="77777777" w:rsidR="00D71E86" w:rsidRPr="00D00033" w:rsidRDefault="00D71E86" w:rsidP="007D768E">
            <w:pPr>
              <w:ind w:firstLine="708"/>
              <w:rPr>
                <w:rFonts w:ascii="Myriad Pro" w:eastAsiaTheme="minorHAnsi" w:hAnsi="Myriad Pro" w:cstheme="majorHAnsi"/>
              </w:rPr>
            </w:pPr>
          </w:p>
          <w:p w14:paraId="309BA76D" w14:textId="77777777" w:rsidR="00D71E86" w:rsidRPr="00D00033" w:rsidRDefault="00D71E86" w:rsidP="007D768E">
            <w:pPr>
              <w:rPr>
                <w:rFonts w:ascii="Myriad Pro" w:eastAsiaTheme="minorHAnsi" w:hAnsi="Myriad Pro" w:cstheme="majorHAnsi"/>
              </w:rPr>
            </w:pPr>
          </w:p>
          <w:p w14:paraId="5E72DCE8" w14:textId="77777777" w:rsidR="00D71E86" w:rsidRPr="00D00033" w:rsidRDefault="00D71E86" w:rsidP="007D768E">
            <w:pPr>
              <w:jc w:val="center"/>
              <w:rPr>
                <w:rFonts w:ascii="Myriad Pro" w:eastAsiaTheme="minorHAnsi" w:hAnsi="Myriad Pro" w:cstheme="majorHAnsi"/>
              </w:rPr>
            </w:pPr>
          </w:p>
        </w:tc>
      </w:tr>
    </w:tbl>
    <w:p w14:paraId="29EA6534" w14:textId="77777777" w:rsidR="00D71E86" w:rsidRPr="00D00033" w:rsidRDefault="00D71E86" w:rsidP="00D71E86">
      <w:pPr>
        <w:pStyle w:val="Header"/>
        <w:rPr>
          <w:rFonts w:ascii="Myriad Pro" w:hAnsi="Myriad Pro"/>
          <w:sz w:val="10"/>
          <w:szCs w:val="10"/>
        </w:rPr>
      </w:pPr>
    </w:p>
    <w:p w14:paraId="203956A2" w14:textId="77777777" w:rsidR="00D71E86" w:rsidRPr="00D00033" w:rsidRDefault="00D71E86" w:rsidP="00D71E86">
      <w:pPr>
        <w:pStyle w:val="TKMAINTITLE"/>
        <w:spacing w:before="0" w:after="0"/>
        <w:jc w:val="left"/>
        <w:rPr>
          <w:rFonts w:ascii="Myriad Pro" w:hAnsi="Myriad Pro"/>
          <w:sz w:val="28"/>
          <w:szCs w:val="22"/>
          <w:lang w:val="fr-FR"/>
        </w:rPr>
      </w:pPr>
    </w:p>
    <w:p w14:paraId="52BD370D" w14:textId="77777777" w:rsidR="003100ED" w:rsidRPr="00D00033" w:rsidRDefault="003100ED" w:rsidP="004A3A49">
      <w:pPr>
        <w:pStyle w:val="TKMAINTITLE"/>
        <w:spacing w:before="0" w:after="0"/>
        <w:rPr>
          <w:rFonts w:ascii="Myriad Pro" w:hAnsi="Myriad Pro"/>
          <w:sz w:val="28"/>
          <w:szCs w:val="22"/>
          <w:lang w:val="fr-FR"/>
        </w:rPr>
      </w:pPr>
    </w:p>
    <w:p w14:paraId="56FAC2AF" w14:textId="2E2223D2" w:rsidR="004A3A49" w:rsidRPr="00D00033" w:rsidRDefault="00D00033" w:rsidP="004A3A49">
      <w:pPr>
        <w:pStyle w:val="TKMAINTITLE"/>
        <w:spacing w:before="0" w:after="0"/>
        <w:rPr>
          <w:rFonts w:ascii="Myriad Pro" w:hAnsi="Myriad Pro"/>
          <w:sz w:val="36"/>
          <w:szCs w:val="36"/>
          <w:lang w:val="fr-FR"/>
        </w:rPr>
      </w:pPr>
      <w:r w:rsidRPr="00D00033">
        <w:rPr>
          <w:rFonts w:ascii="Myriad Pro" w:hAnsi="Myriad Pro"/>
          <w:sz w:val="36"/>
          <w:szCs w:val="36"/>
          <w:lang w:val="fr-FR"/>
        </w:rPr>
        <w:t xml:space="preserve">2 - Soutenir les migrants récemment arrivés </w:t>
      </w:r>
      <w:r w:rsidRPr="00D00033">
        <w:rPr>
          <w:rFonts w:ascii="Myriad Pro" w:hAnsi="Myriad Pro"/>
          <w:sz w:val="36"/>
          <w:szCs w:val="36"/>
          <w:lang w:val="fr-FR"/>
        </w:rPr>
        <w:br/>
        <w:t>qui s'adaptent à leur nouvelle situation</w:t>
      </w:r>
    </w:p>
    <w:p w14:paraId="16415C94" w14:textId="77777777" w:rsidR="00D00033" w:rsidRDefault="00D00033" w:rsidP="004A3A49">
      <w:pPr>
        <w:pStyle w:val="TKMAINTITLE"/>
        <w:spacing w:before="0" w:after="0"/>
        <w:rPr>
          <w:rFonts w:ascii="Myriad Pro" w:hAnsi="Myriad Pro"/>
          <w:sz w:val="30"/>
          <w:szCs w:val="28"/>
          <w:lang w:val="fr-FR"/>
        </w:rPr>
      </w:pPr>
    </w:p>
    <w:p w14:paraId="651105CD" w14:textId="77777777" w:rsidR="00D00033" w:rsidRPr="00D00033" w:rsidRDefault="00D00033" w:rsidP="004A3A49">
      <w:pPr>
        <w:pStyle w:val="TKMAINTITLE"/>
        <w:spacing w:before="0" w:after="0"/>
        <w:rPr>
          <w:rFonts w:ascii="Myriad Pro" w:hAnsi="Myriad Pro"/>
          <w:sz w:val="30"/>
          <w:szCs w:val="28"/>
          <w:lang w:val="fr-FR"/>
        </w:rPr>
      </w:pPr>
    </w:p>
    <w:p w14:paraId="6D0BA1CB" w14:textId="3E61F4FA" w:rsidR="004A3A49" w:rsidRPr="006549F4" w:rsidRDefault="00067253" w:rsidP="003054E2">
      <w:pPr>
        <w:pStyle w:val="TKMAINTITLE"/>
        <w:shd w:val="clear" w:color="auto" w:fill="D9D9D9" w:themeFill="background1" w:themeFillShade="D9"/>
        <w:spacing w:after="240" w:line="276" w:lineRule="auto"/>
        <w:ind w:left="1411" w:hanging="1411"/>
        <w:jc w:val="both"/>
        <w:rPr>
          <w:rFonts w:ascii="Myriad Pro" w:hAnsi="Myriad Pro"/>
          <w:color w:val="auto"/>
          <w:sz w:val="24"/>
          <w:szCs w:val="22"/>
          <w:lang w:val="fr-FR"/>
        </w:rPr>
      </w:pPr>
      <w:proofErr w:type="gramStart"/>
      <w:r w:rsidRPr="006549F4">
        <w:rPr>
          <w:rFonts w:ascii="Myriad Pro" w:hAnsi="Myriad Pro"/>
          <w:color w:val="auto"/>
          <w:sz w:val="24"/>
          <w:szCs w:val="22"/>
          <w:lang w:val="fr-FR"/>
        </w:rPr>
        <w:t>Objectif:</w:t>
      </w:r>
      <w:proofErr w:type="gramEnd"/>
      <w:r w:rsidRPr="006549F4">
        <w:rPr>
          <w:rFonts w:ascii="Myriad Pro" w:hAnsi="Myriad Pro"/>
          <w:color w:val="auto"/>
          <w:sz w:val="24"/>
          <w:szCs w:val="22"/>
          <w:lang w:val="fr-FR"/>
        </w:rPr>
        <w:t xml:space="preserve"> </w:t>
      </w:r>
      <w:r w:rsidR="00D213E6" w:rsidRPr="006549F4">
        <w:rPr>
          <w:rFonts w:ascii="Myriad Pro" w:hAnsi="Myriad Pro"/>
          <w:color w:val="auto"/>
          <w:sz w:val="24"/>
          <w:szCs w:val="22"/>
          <w:lang w:val="fr-FR"/>
        </w:rPr>
        <w:tab/>
      </w:r>
      <w:r w:rsidR="00D00033" w:rsidRPr="006549F4">
        <w:rPr>
          <w:rFonts w:ascii="Myriad Pro" w:hAnsi="Myriad Pro"/>
          <w:color w:val="auto"/>
          <w:sz w:val="24"/>
          <w:szCs w:val="22"/>
          <w:lang w:val="fr-FR"/>
        </w:rPr>
        <w:t>suggérer des moyens d'aider les migrants récemment arrivés à comprendre leur nouvelle situation et leur nouvel environnement et à s'adapter à leur nouvelle situation.</w:t>
      </w:r>
    </w:p>
    <w:p w14:paraId="610C79AA" w14:textId="77777777" w:rsidR="00D00033" w:rsidRPr="002C3F5B" w:rsidRDefault="00D00033" w:rsidP="00D00033">
      <w:pPr>
        <w:pStyle w:val="TKMAINTITLE"/>
        <w:spacing w:after="0"/>
        <w:jc w:val="both"/>
        <w:rPr>
          <w:rFonts w:ascii="Myriad Pro" w:hAnsi="Myriad Pro"/>
          <w:b w:val="0"/>
          <w:bCs w:val="0"/>
          <w:color w:val="auto"/>
          <w:sz w:val="8"/>
          <w:szCs w:val="8"/>
          <w:lang w:val="fr-FR"/>
        </w:rPr>
      </w:pPr>
    </w:p>
    <w:p w14:paraId="4C2F1CF8" w14:textId="1F9638C4" w:rsidR="00D00033" w:rsidRPr="002C3F5B" w:rsidRDefault="00D00033" w:rsidP="00D00033">
      <w:pPr>
        <w:pStyle w:val="TKMAINTITLE"/>
        <w:spacing w:after="0"/>
        <w:jc w:val="both"/>
        <w:rPr>
          <w:rFonts w:ascii="Myriad Pro" w:hAnsi="Myriad Pro"/>
          <w:b w:val="0"/>
          <w:bCs w:val="0"/>
          <w:color w:val="auto"/>
          <w:sz w:val="22"/>
          <w:szCs w:val="22"/>
          <w:lang w:val="fr-FR"/>
        </w:rPr>
      </w:pPr>
      <w:r w:rsidRPr="002C3F5B">
        <w:rPr>
          <w:rFonts w:ascii="Myriad Pro" w:hAnsi="Myriad Pro"/>
          <w:b w:val="0"/>
          <w:bCs w:val="0"/>
          <w:color w:val="auto"/>
          <w:sz w:val="22"/>
          <w:szCs w:val="22"/>
          <w:lang w:val="fr-FR"/>
        </w:rPr>
        <w:t xml:space="preserve">Lorsqu'ils arrivent dans un nouveau pays, il est courant que les migrants ressentent diverses formes d'anxiété et d'appréhension face à leur environnement inconnu. D'un point de vue éducatif, ce "choc culturel" doit être géré par les institutions ou les personnes qui s'occupent de leur bien-être. </w:t>
      </w:r>
    </w:p>
    <w:p w14:paraId="467723CB" w14:textId="77777777" w:rsidR="00D00033" w:rsidRPr="002C3F5B" w:rsidRDefault="00D00033" w:rsidP="00D00033">
      <w:pPr>
        <w:pStyle w:val="TKMAINTITLE"/>
        <w:spacing w:after="0"/>
        <w:jc w:val="both"/>
        <w:rPr>
          <w:rFonts w:ascii="Myriad Pro" w:hAnsi="Myriad Pro"/>
          <w:b w:val="0"/>
          <w:bCs w:val="0"/>
          <w:color w:val="auto"/>
          <w:sz w:val="22"/>
          <w:szCs w:val="22"/>
        </w:rPr>
      </w:pPr>
      <w:r w:rsidRPr="002C3F5B">
        <w:rPr>
          <w:rFonts w:ascii="Myriad Pro" w:hAnsi="Myriad Pro"/>
          <w:b w:val="0"/>
          <w:bCs w:val="0"/>
          <w:color w:val="auto"/>
          <w:sz w:val="22"/>
          <w:szCs w:val="22"/>
          <w:lang w:val="fr-FR"/>
        </w:rPr>
        <w:t xml:space="preserve">La gestion des réactions inattendues et de la curiosité que les migrants nouvellement arrivés peuvent éprouver lorsqu'ils sont confrontés à des circonstances nouvelles et inhabituelles fait partie intégrante de l'éducation interculturelle. Le "choc" que subissent les apprenants migrants peut être une réaction à de nouvelles découvertes sur la communauté d'accueil et ses conditions de vie. </w:t>
      </w:r>
      <w:r w:rsidRPr="002C3F5B">
        <w:rPr>
          <w:rFonts w:ascii="Myriad Pro" w:hAnsi="Myriad Pro"/>
          <w:b w:val="0"/>
          <w:bCs w:val="0"/>
          <w:color w:val="auto"/>
          <w:sz w:val="22"/>
          <w:szCs w:val="22"/>
        </w:rPr>
        <w:t xml:space="preserve">Il </w:t>
      </w:r>
      <w:proofErr w:type="spellStart"/>
      <w:r w:rsidRPr="002C3F5B">
        <w:rPr>
          <w:rFonts w:ascii="Myriad Pro" w:hAnsi="Myriad Pro"/>
          <w:b w:val="0"/>
          <w:bCs w:val="0"/>
          <w:color w:val="auto"/>
          <w:sz w:val="22"/>
          <w:szCs w:val="22"/>
        </w:rPr>
        <w:t>peut</w:t>
      </w:r>
      <w:proofErr w:type="spellEnd"/>
      <w:r w:rsidRPr="002C3F5B">
        <w:rPr>
          <w:rFonts w:ascii="Myriad Pro" w:hAnsi="Myriad Pro"/>
          <w:b w:val="0"/>
          <w:bCs w:val="0"/>
          <w:color w:val="auto"/>
          <w:sz w:val="22"/>
          <w:szCs w:val="22"/>
        </w:rPr>
        <w:t xml:space="preserve"> </w:t>
      </w:r>
      <w:proofErr w:type="spellStart"/>
      <w:r w:rsidRPr="002C3F5B">
        <w:rPr>
          <w:rFonts w:ascii="Myriad Pro" w:hAnsi="Myriad Pro"/>
          <w:b w:val="0"/>
          <w:bCs w:val="0"/>
          <w:color w:val="auto"/>
          <w:sz w:val="22"/>
          <w:szCs w:val="22"/>
        </w:rPr>
        <w:t>s'agir</w:t>
      </w:r>
      <w:proofErr w:type="spellEnd"/>
      <w:r w:rsidRPr="002C3F5B">
        <w:rPr>
          <w:rFonts w:ascii="Myriad Pro" w:hAnsi="Myriad Pro"/>
          <w:b w:val="0"/>
          <w:bCs w:val="0"/>
          <w:color w:val="auto"/>
          <w:sz w:val="22"/>
          <w:szCs w:val="22"/>
        </w:rPr>
        <w:t xml:space="preserve"> de</w:t>
      </w:r>
    </w:p>
    <w:p w14:paraId="63A50A72" w14:textId="77777777" w:rsidR="00D00033" w:rsidRPr="002C3F5B" w:rsidRDefault="00D00033" w:rsidP="00D00033">
      <w:pPr>
        <w:pStyle w:val="TKMAINTITLE"/>
        <w:numPr>
          <w:ilvl w:val="0"/>
          <w:numId w:val="15"/>
        </w:numPr>
        <w:spacing w:before="0" w:after="0"/>
        <w:jc w:val="both"/>
        <w:rPr>
          <w:rFonts w:ascii="Myriad Pro" w:hAnsi="Myriad Pro"/>
          <w:b w:val="0"/>
          <w:bCs w:val="0"/>
          <w:color w:val="auto"/>
          <w:sz w:val="22"/>
          <w:szCs w:val="22"/>
          <w:lang w:val="fr-FR"/>
        </w:rPr>
      </w:pPr>
      <w:proofErr w:type="gramStart"/>
      <w:r w:rsidRPr="002C3F5B">
        <w:rPr>
          <w:rFonts w:ascii="Myriad Pro" w:hAnsi="Myriad Pro"/>
          <w:b w:val="0"/>
          <w:bCs w:val="0"/>
          <w:color w:val="auto"/>
          <w:sz w:val="22"/>
          <w:szCs w:val="22"/>
          <w:lang w:val="fr-FR"/>
        </w:rPr>
        <w:t>la</w:t>
      </w:r>
      <w:proofErr w:type="gramEnd"/>
      <w:r w:rsidRPr="002C3F5B">
        <w:rPr>
          <w:rFonts w:ascii="Myriad Pro" w:hAnsi="Myriad Pro"/>
          <w:b w:val="0"/>
          <w:bCs w:val="0"/>
          <w:color w:val="auto"/>
          <w:sz w:val="22"/>
          <w:szCs w:val="22"/>
          <w:lang w:val="fr-FR"/>
        </w:rPr>
        <w:t xml:space="preserve"> culture éducative qui leur est peu familière</w:t>
      </w:r>
    </w:p>
    <w:p w14:paraId="4D8EA03D" w14:textId="77777777" w:rsidR="00D00033" w:rsidRPr="002C3F5B" w:rsidRDefault="00D00033" w:rsidP="00D00033">
      <w:pPr>
        <w:pStyle w:val="TKMAINTITLE"/>
        <w:numPr>
          <w:ilvl w:val="0"/>
          <w:numId w:val="15"/>
        </w:numPr>
        <w:spacing w:before="0" w:after="0"/>
        <w:jc w:val="both"/>
        <w:rPr>
          <w:rFonts w:ascii="Myriad Pro" w:hAnsi="Myriad Pro"/>
          <w:b w:val="0"/>
          <w:bCs w:val="0"/>
          <w:color w:val="auto"/>
          <w:sz w:val="22"/>
          <w:szCs w:val="22"/>
          <w:lang w:val="fr-FR"/>
        </w:rPr>
      </w:pPr>
      <w:proofErr w:type="gramStart"/>
      <w:r w:rsidRPr="002C3F5B">
        <w:rPr>
          <w:rFonts w:ascii="Myriad Pro" w:hAnsi="Myriad Pro"/>
          <w:b w:val="0"/>
          <w:bCs w:val="0"/>
          <w:color w:val="auto"/>
          <w:sz w:val="22"/>
          <w:szCs w:val="22"/>
          <w:lang w:val="fr-FR"/>
        </w:rPr>
        <w:t>l'alimentation</w:t>
      </w:r>
      <w:proofErr w:type="gramEnd"/>
      <w:r w:rsidRPr="002C3F5B">
        <w:rPr>
          <w:rFonts w:ascii="Myriad Pro" w:hAnsi="Myriad Pro"/>
          <w:b w:val="0"/>
          <w:bCs w:val="0"/>
          <w:color w:val="auto"/>
          <w:sz w:val="22"/>
          <w:szCs w:val="22"/>
          <w:lang w:val="fr-FR"/>
        </w:rPr>
        <w:t>, l'organisation des repas, les heures de repas, etc.</w:t>
      </w:r>
    </w:p>
    <w:p w14:paraId="73A6226B" w14:textId="77777777" w:rsidR="00D00033" w:rsidRPr="002C3F5B" w:rsidRDefault="00D00033" w:rsidP="00D00033">
      <w:pPr>
        <w:pStyle w:val="TKMAINTITLE"/>
        <w:numPr>
          <w:ilvl w:val="0"/>
          <w:numId w:val="15"/>
        </w:numPr>
        <w:spacing w:before="0" w:after="0"/>
        <w:jc w:val="both"/>
        <w:rPr>
          <w:rFonts w:ascii="Myriad Pro" w:hAnsi="Myriad Pro"/>
          <w:b w:val="0"/>
          <w:bCs w:val="0"/>
          <w:color w:val="auto"/>
          <w:sz w:val="22"/>
          <w:szCs w:val="22"/>
          <w:lang w:val="fr-FR"/>
        </w:rPr>
      </w:pPr>
      <w:proofErr w:type="gramStart"/>
      <w:r w:rsidRPr="002C3F5B">
        <w:rPr>
          <w:rFonts w:ascii="Myriad Pro" w:hAnsi="Myriad Pro"/>
          <w:b w:val="0"/>
          <w:bCs w:val="0"/>
          <w:color w:val="auto"/>
          <w:sz w:val="22"/>
          <w:szCs w:val="22"/>
          <w:lang w:val="fr-FR"/>
        </w:rPr>
        <w:t>les</w:t>
      </w:r>
      <w:proofErr w:type="gramEnd"/>
      <w:r w:rsidRPr="002C3F5B">
        <w:rPr>
          <w:rFonts w:ascii="Myriad Pro" w:hAnsi="Myriad Pro"/>
          <w:b w:val="0"/>
          <w:bCs w:val="0"/>
          <w:color w:val="auto"/>
          <w:sz w:val="22"/>
          <w:szCs w:val="22"/>
          <w:lang w:val="fr-FR"/>
        </w:rPr>
        <w:t xml:space="preserve"> vêtements que portent les gens</w:t>
      </w:r>
    </w:p>
    <w:p w14:paraId="4783500B" w14:textId="77777777" w:rsidR="00D00033" w:rsidRPr="002C3F5B" w:rsidRDefault="00D00033" w:rsidP="00D00033">
      <w:pPr>
        <w:pStyle w:val="TKMAINTITLE"/>
        <w:numPr>
          <w:ilvl w:val="0"/>
          <w:numId w:val="15"/>
        </w:numPr>
        <w:spacing w:before="0" w:after="0"/>
        <w:jc w:val="both"/>
        <w:rPr>
          <w:rFonts w:ascii="Myriad Pro" w:hAnsi="Myriad Pro"/>
          <w:b w:val="0"/>
          <w:bCs w:val="0"/>
          <w:color w:val="auto"/>
          <w:sz w:val="22"/>
          <w:szCs w:val="22"/>
          <w:lang w:val="fr-FR"/>
        </w:rPr>
      </w:pPr>
      <w:proofErr w:type="gramStart"/>
      <w:r w:rsidRPr="002C3F5B">
        <w:rPr>
          <w:rFonts w:ascii="Myriad Pro" w:hAnsi="Myriad Pro"/>
          <w:b w:val="0"/>
          <w:bCs w:val="0"/>
          <w:color w:val="auto"/>
          <w:sz w:val="22"/>
          <w:szCs w:val="22"/>
          <w:lang w:val="fr-FR"/>
        </w:rPr>
        <w:t>les</w:t>
      </w:r>
      <w:proofErr w:type="gramEnd"/>
      <w:r w:rsidRPr="002C3F5B">
        <w:rPr>
          <w:rFonts w:ascii="Myriad Pro" w:hAnsi="Myriad Pro"/>
          <w:b w:val="0"/>
          <w:bCs w:val="0"/>
          <w:color w:val="auto"/>
          <w:sz w:val="22"/>
          <w:szCs w:val="22"/>
          <w:lang w:val="fr-FR"/>
        </w:rPr>
        <w:t xml:space="preserve"> types de sports, de jeux ou de loisirs les plus populaires </w:t>
      </w:r>
    </w:p>
    <w:p w14:paraId="13A28280" w14:textId="77777777" w:rsidR="00D00033" w:rsidRPr="002C3F5B" w:rsidRDefault="00D00033" w:rsidP="00D00033">
      <w:pPr>
        <w:pStyle w:val="TKMAINTITLE"/>
        <w:numPr>
          <w:ilvl w:val="0"/>
          <w:numId w:val="15"/>
        </w:numPr>
        <w:spacing w:before="0" w:after="0"/>
        <w:jc w:val="both"/>
        <w:rPr>
          <w:rFonts w:ascii="Myriad Pro" w:hAnsi="Myriad Pro"/>
          <w:b w:val="0"/>
          <w:bCs w:val="0"/>
          <w:color w:val="auto"/>
          <w:sz w:val="22"/>
          <w:szCs w:val="22"/>
          <w:lang w:val="fr-FR"/>
        </w:rPr>
      </w:pPr>
      <w:proofErr w:type="gramStart"/>
      <w:r w:rsidRPr="002C3F5B">
        <w:rPr>
          <w:rFonts w:ascii="Myriad Pro" w:hAnsi="Myriad Pro"/>
          <w:b w:val="0"/>
          <w:bCs w:val="0"/>
          <w:color w:val="auto"/>
          <w:sz w:val="22"/>
          <w:szCs w:val="22"/>
          <w:lang w:val="fr-FR"/>
        </w:rPr>
        <w:t>les</w:t>
      </w:r>
      <w:proofErr w:type="gramEnd"/>
      <w:r w:rsidRPr="002C3F5B">
        <w:rPr>
          <w:rFonts w:ascii="Myriad Pro" w:hAnsi="Myriad Pro"/>
          <w:b w:val="0"/>
          <w:bCs w:val="0"/>
          <w:color w:val="auto"/>
          <w:sz w:val="22"/>
          <w:szCs w:val="22"/>
          <w:lang w:val="fr-FR"/>
        </w:rPr>
        <w:t xml:space="preserve"> médias, tels que la télévision locale ou nationale</w:t>
      </w:r>
    </w:p>
    <w:p w14:paraId="5C752D6F" w14:textId="77777777" w:rsidR="00D00033" w:rsidRPr="002C3F5B" w:rsidRDefault="00D00033" w:rsidP="00D00033">
      <w:pPr>
        <w:pStyle w:val="TKMAINTITLE"/>
        <w:numPr>
          <w:ilvl w:val="0"/>
          <w:numId w:val="15"/>
        </w:numPr>
        <w:spacing w:before="0"/>
        <w:ind w:left="714" w:hanging="357"/>
        <w:jc w:val="both"/>
        <w:rPr>
          <w:rFonts w:ascii="Myriad Pro" w:hAnsi="Myriad Pro"/>
          <w:b w:val="0"/>
          <w:bCs w:val="0"/>
          <w:color w:val="auto"/>
          <w:sz w:val="22"/>
          <w:szCs w:val="22"/>
          <w:lang w:val="fr-FR"/>
        </w:rPr>
      </w:pPr>
      <w:proofErr w:type="gramStart"/>
      <w:r w:rsidRPr="002C3F5B">
        <w:rPr>
          <w:rFonts w:ascii="Myriad Pro" w:hAnsi="Myriad Pro"/>
          <w:b w:val="0"/>
          <w:bCs w:val="0"/>
          <w:color w:val="auto"/>
          <w:sz w:val="22"/>
          <w:szCs w:val="22"/>
          <w:lang w:val="fr-FR"/>
        </w:rPr>
        <w:t>l'organisation</w:t>
      </w:r>
      <w:proofErr w:type="gramEnd"/>
      <w:r w:rsidRPr="002C3F5B">
        <w:rPr>
          <w:rFonts w:ascii="Myriad Pro" w:hAnsi="Myriad Pro"/>
          <w:b w:val="0"/>
          <w:bCs w:val="0"/>
          <w:color w:val="auto"/>
          <w:sz w:val="22"/>
          <w:szCs w:val="22"/>
          <w:lang w:val="fr-FR"/>
        </w:rPr>
        <w:t xml:space="preserve"> du temps libre, y compris les vacances nationales, etc.</w:t>
      </w:r>
    </w:p>
    <w:p w14:paraId="582B7F9F" w14:textId="7218E4C9" w:rsidR="00D00033" w:rsidRPr="002C3F5B" w:rsidRDefault="00D00033">
      <w:pPr>
        <w:spacing w:after="160" w:line="259" w:lineRule="auto"/>
        <w:rPr>
          <w:rFonts w:ascii="Myriad Pro" w:eastAsia="Calibri" w:hAnsi="Myriad Pro" w:cs="Calibri"/>
          <w:b/>
          <w:bCs/>
          <w:sz w:val="22"/>
        </w:rPr>
      </w:pPr>
    </w:p>
    <w:p w14:paraId="715E2D48" w14:textId="77777777" w:rsidR="002C3F5B" w:rsidRDefault="002C3F5B">
      <w:pPr>
        <w:spacing w:after="160" w:line="259" w:lineRule="auto"/>
        <w:rPr>
          <w:rFonts w:ascii="Myriad Pro" w:eastAsia="Calibri" w:hAnsi="Myriad Pro" w:cs="Calibri"/>
          <w:b/>
          <w:bCs/>
          <w:sz w:val="22"/>
        </w:rPr>
      </w:pPr>
      <w:r>
        <w:rPr>
          <w:rFonts w:ascii="Myriad Pro" w:hAnsi="Myriad Pro"/>
          <w:sz w:val="22"/>
        </w:rPr>
        <w:br w:type="page"/>
      </w:r>
    </w:p>
    <w:p w14:paraId="165CD95D" w14:textId="400DED87" w:rsidR="00D00033" w:rsidRPr="002C3F5B" w:rsidRDefault="00D00033" w:rsidP="00D00033">
      <w:pPr>
        <w:pStyle w:val="TKMAINTITLE"/>
        <w:jc w:val="both"/>
        <w:rPr>
          <w:rFonts w:ascii="Myriad Pro" w:hAnsi="Myriad Pro"/>
          <w:color w:val="auto"/>
          <w:sz w:val="22"/>
          <w:szCs w:val="22"/>
          <w:lang w:val="fr-FR"/>
        </w:rPr>
      </w:pPr>
      <w:r w:rsidRPr="002C3F5B">
        <w:rPr>
          <w:rFonts w:ascii="Myriad Pro" w:hAnsi="Myriad Pro"/>
          <w:color w:val="auto"/>
          <w:sz w:val="22"/>
          <w:szCs w:val="22"/>
          <w:lang w:val="fr-FR"/>
        </w:rPr>
        <w:lastRenderedPageBreak/>
        <w:t>Quelques lignes directrices générales</w:t>
      </w:r>
    </w:p>
    <w:p w14:paraId="030B76B1" w14:textId="77777777" w:rsidR="00D00033" w:rsidRPr="002C3F5B" w:rsidRDefault="00D00033" w:rsidP="00D00033">
      <w:pPr>
        <w:pStyle w:val="TKMAINTITLE"/>
        <w:jc w:val="both"/>
        <w:rPr>
          <w:rFonts w:ascii="Myriad Pro" w:hAnsi="Myriad Pro"/>
          <w:b w:val="0"/>
          <w:bCs w:val="0"/>
          <w:color w:val="auto"/>
          <w:sz w:val="22"/>
          <w:szCs w:val="22"/>
          <w:lang w:val="fr-FR"/>
        </w:rPr>
      </w:pPr>
      <w:r w:rsidRPr="002C3F5B">
        <w:rPr>
          <w:rFonts w:ascii="Myriad Pro" w:hAnsi="Myriad Pro"/>
          <w:b w:val="0"/>
          <w:bCs w:val="0"/>
          <w:color w:val="auto"/>
          <w:sz w:val="22"/>
          <w:szCs w:val="22"/>
          <w:lang w:val="fr-FR"/>
        </w:rPr>
        <w:t>Les réactions des migrants à ce type de découvertes sont généralement immédiates et spontanées. Elles prennent souvent la forme d'un jugement tel que "c'est bien" ou d'une comparaison avec ce qu'ils connaissent, comme "c'est mieux que là où je vis". Pour éviter que ces découvertes ne soient rejetées comme "étrangères" ou acceptées sans esprit critique, elles doivent être traitées dans le cadre de votre soutien linguistique. Il est préférable de le faire dans une langue que les apprenants connaissent bien. Vous trouverez ci-dessous quelques suggestions sur la manière de procéder.</w:t>
      </w:r>
    </w:p>
    <w:p w14:paraId="69D516BA" w14:textId="77777777" w:rsidR="00D00033" w:rsidRPr="002C3F5B" w:rsidRDefault="00D00033" w:rsidP="00D00033">
      <w:pPr>
        <w:pStyle w:val="TKMAINTITLE"/>
        <w:numPr>
          <w:ilvl w:val="0"/>
          <w:numId w:val="16"/>
        </w:numPr>
        <w:spacing w:before="0" w:after="80"/>
        <w:ind w:left="714" w:hanging="357"/>
        <w:jc w:val="both"/>
        <w:rPr>
          <w:rFonts w:ascii="Myriad Pro" w:hAnsi="Myriad Pro"/>
          <w:b w:val="0"/>
          <w:bCs w:val="0"/>
          <w:color w:val="auto"/>
          <w:sz w:val="22"/>
          <w:szCs w:val="22"/>
          <w:lang w:val="fr-FR"/>
        </w:rPr>
      </w:pPr>
      <w:r w:rsidRPr="002C3F5B">
        <w:rPr>
          <w:rFonts w:ascii="Myriad Pro" w:hAnsi="Myriad Pro"/>
          <w:b w:val="0"/>
          <w:bCs w:val="0"/>
          <w:color w:val="auto"/>
          <w:sz w:val="22"/>
          <w:szCs w:val="22"/>
          <w:lang w:val="fr-FR"/>
        </w:rPr>
        <w:t>Informez-vous sur les réactions des apprenants à leur nouvelle situation et/ou organisez un moment pour leur permettre de parler de leurs sentiments.</w:t>
      </w:r>
    </w:p>
    <w:p w14:paraId="2ED5C0C7" w14:textId="77777777" w:rsidR="00D00033" w:rsidRPr="002C3F5B" w:rsidRDefault="00D00033" w:rsidP="00D00033">
      <w:pPr>
        <w:pStyle w:val="TKMAINTITLE"/>
        <w:numPr>
          <w:ilvl w:val="0"/>
          <w:numId w:val="16"/>
        </w:numPr>
        <w:spacing w:before="0" w:after="80"/>
        <w:ind w:left="714" w:hanging="357"/>
        <w:jc w:val="both"/>
        <w:rPr>
          <w:rFonts w:ascii="Myriad Pro" w:hAnsi="Myriad Pro"/>
          <w:b w:val="0"/>
          <w:bCs w:val="0"/>
          <w:color w:val="auto"/>
          <w:sz w:val="22"/>
          <w:szCs w:val="22"/>
          <w:lang w:val="fr-FR"/>
        </w:rPr>
      </w:pPr>
      <w:r w:rsidRPr="002C3F5B">
        <w:rPr>
          <w:rFonts w:ascii="Myriad Pro" w:hAnsi="Myriad Pro"/>
          <w:b w:val="0"/>
          <w:bCs w:val="0"/>
          <w:color w:val="auto"/>
          <w:sz w:val="22"/>
          <w:szCs w:val="22"/>
          <w:lang w:val="fr-FR"/>
        </w:rPr>
        <w:t>Essayez de les amener à exprimer leur point de vue verbalement dans leur propre langue (bien qu'il y ait probablement des problèmes de compréhension) ou dans la langue de la communauté d'accueil (bien que leur connaissance de la langue puisse être trop limitée).</w:t>
      </w:r>
    </w:p>
    <w:p w14:paraId="59516FA7" w14:textId="77777777" w:rsidR="00D00033" w:rsidRPr="002C3F5B" w:rsidRDefault="00D00033" w:rsidP="00D00033">
      <w:pPr>
        <w:pStyle w:val="TKMAINTITLE"/>
        <w:numPr>
          <w:ilvl w:val="0"/>
          <w:numId w:val="16"/>
        </w:numPr>
        <w:spacing w:before="0" w:after="80"/>
        <w:ind w:left="714" w:hanging="357"/>
        <w:jc w:val="both"/>
        <w:rPr>
          <w:rFonts w:ascii="Myriad Pro" w:hAnsi="Myriad Pro"/>
          <w:b w:val="0"/>
          <w:bCs w:val="0"/>
          <w:color w:val="auto"/>
          <w:sz w:val="22"/>
          <w:szCs w:val="22"/>
          <w:lang w:val="fr-FR"/>
        </w:rPr>
      </w:pPr>
      <w:r w:rsidRPr="002C3F5B">
        <w:rPr>
          <w:rFonts w:ascii="Myriad Pro" w:hAnsi="Myriad Pro"/>
          <w:b w:val="0"/>
          <w:bCs w:val="0"/>
          <w:color w:val="auto"/>
          <w:sz w:val="22"/>
          <w:szCs w:val="22"/>
          <w:lang w:val="fr-FR"/>
        </w:rPr>
        <w:t xml:space="preserve">Recueillez des informations fiables sur le sujet en question ou, si possible, demandez aux apprenants </w:t>
      </w:r>
      <w:proofErr w:type="gramStart"/>
      <w:r w:rsidRPr="002C3F5B">
        <w:rPr>
          <w:rFonts w:ascii="Myriad Pro" w:hAnsi="Myriad Pro"/>
          <w:b w:val="0"/>
          <w:bCs w:val="0"/>
          <w:color w:val="auto"/>
          <w:sz w:val="22"/>
          <w:szCs w:val="22"/>
          <w:lang w:val="fr-FR"/>
        </w:rPr>
        <w:t>de faire</w:t>
      </w:r>
      <w:proofErr w:type="gramEnd"/>
      <w:r w:rsidRPr="002C3F5B">
        <w:rPr>
          <w:rFonts w:ascii="Myriad Pro" w:hAnsi="Myriad Pro"/>
          <w:b w:val="0"/>
          <w:bCs w:val="0"/>
          <w:color w:val="auto"/>
          <w:sz w:val="22"/>
          <w:szCs w:val="22"/>
          <w:lang w:val="fr-FR"/>
        </w:rPr>
        <w:t xml:space="preserve"> des recherches de base sur le sujet. </w:t>
      </w:r>
    </w:p>
    <w:p w14:paraId="24353FF2" w14:textId="77777777" w:rsidR="00D00033" w:rsidRPr="002C3F5B" w:rsidRDefault="00D00033" w:rsidP="00D00033">
      <w:pPr>
        <w:pStyle w:val="TKMAINTITLE"/>
        <w:numPr>
          <w:ilvl w:val="0"/>
          <w:numId w:val="16"/>
        </w:numPr>
        <w:spacing w:before="0" w:after="80"/>
        <w:ind w:left="714" w:hanging="357"/>
        <w:jc w:val="both"/>
        <w:rPr>
          <w:rFonts w:ascii="Myriad Pro" w:hAnsi="Myriad Pro"/>
          <w:b w:val="0"/>
          <w:bCs w:val="0"/>
          <w:color w:val="auto"/>
          <w:sz w:val="22"/>
          <w:szCs w:val="22"/>
          <w:lang w:val="fr-FR"/>
        </w:rPr>
      </w:pPr>
      <w:r w:rsidRPr="002C3F5B">
        <w:rPr>
          <w:rFonts w:ascii="Myriad Pro" w:hAnsi="Myriad Pro"/>
          <w:b w:val="0"/>
          <w:bCs w:val="0"/>
          <w:color w:val="auto"/>
          <w:sz w:val="22"/>
          <w:szCs w:val="22"/>
          <w:lang w:val="fr-FR"/>
        </w:rPr>
        <w:t>Évitez de parler de "caractéristiques nationales" ou de sous-estimer la diversité qui existe au sein de la communauté d'accueil.</w:t>
      </w:r>
    </w:p>
    <w:p w14:paraId="29E2FE6F" w14:textId="77777777" w:rsidR="00D00033" w:rsidRPr="002C3F5B" w:rsidRDefault="00D00033" w:rsidP="00D00033">
      <w:pPr>
        <w:pStyle w:val="TKMAINTITLE"/>
        <w:numPr>
          <w:ilvl w:val="0"/>
          <w:numId w:val="16"/>
        </w:numPr>
        <w:spacing w:before="0" w:after="80"/>
        <w:ind w:left="714" w:hanging="357"/>
        <w:jc w:val="both"/>
        <w:rPr>
          <w:rFonts w:ascii="Myriad Pro" w:hAnsi="Myriad Pro"/>
          <w:b w:val="0"/>
          <w:bCs w:val="0"/>
          <w:color w:val="auto"/>
          <w:sz w:val="22"/>
          <w:szCs w:val="22"/>
        </w:rPr>
      </w:pPr>
      <w:r w:rsidRPr="002C3F5B">
        <w:rPr>
          <w:rFonts w:ascii="Myriad Pro" w:hAnsi="Myriad Pro"/>
          <w:b w:val="0"/>
          <w:bCs w:val="0"/>
          <w:color w:val="auto"/>
          <w:sz w:val="22"/>
          <w:szCs w:val="22"/>
          <w:lang w:val="fr-FR"/>
        </w:rPr>
        <w:t xml:space="preserve">Évitez les comparaisons directes entre les caractéristiques de la communauté d'accueil et celles des pays d'origine, car elles pourraient être trompeuses. </w:t>
      </w:r>
      <w:proofErr w:type="spellStart"/>
      <w:r w:rsidRPr="002C3F5B">
        <w:rPr>
          <w:rFonts w:ascii="Myriad Pro" w:hAnsi="Myriad Pro"/>
          <w:b w:val="0"/>
          <w:bCs w:val="0"/>
          <w:color w:val="auto"/>
          <w:sz w:val="22"/>
          <w:szCs w:val="22"/>
        </w:rPr>
        <w:t>Ajoutez</w:t>
      </w:r>
      <w:proofErr w:type="spellEnd"/>
      <w:r w:rsidRPr="002C3F5B">
        <w:rPr>
          <w:rFonts w:ascii="Myriad Pro" w:hAnsi="Myriad Pro"/>
          <w:b w:val="0"/>
          <w:bCs w:val="0"/>
          <w:color w:val="auto"/>
          <w:sz w:val="22"/>
          <w:szCs w:val="22"/>
        </w:rPr>
        <w:t xml:space="preserve"> au </w:t>
      </w:r>
      <w:proofErr w:type="spellStart"/>
      <w:r w:rsidRPr="002C3F5B">
        <w:rPr>
          <w:rFonts w:ascii="Myriad Pro" w:hAnsi="Myriad Pro"/>
          <w:b w:val="0"/>
          <w:bCs w:val="0"/>
          <w:color w:val="auto"/>
          <w:sz w:val="22"/>
          <w:szCs w:val="22"/>
        </w:rPr>
        <w:t>moins</w:t>
      </w:r>
      <w:proofErr w:type="spellEnd"/>
      <w:r w:rsidRPr="002C3F5B">
        <w:rPr>
          <w:rFonts w:ascii="Myriad Pro" w:hAnsi="Myriad Pro"/>
          <w:b w:val="0"/>
          <w:bCs w:val="0"/>
          <w:color w:val="auto"/>
          <w:sz w:val="22"/>
          <w:szCs w:val="22"/>
        </w:rPr>
        <w:t xml:space="preserve"> un </w:t>
      </w:r>
      <w:proofErr w:type="spellStart"/>
      <w:r w:rsidRPr="002C3F5B">
        <w:rPr>
          <w:rFonts w:ascii="Myriad Pro" w:hAnsi="Myriad Pro"/>
          <w:b w:val="0"/>
          <w:bCs w:val="0"/>
          <w:color w:val="auto"/>
          <w:sz w:val="22"/>
          <w:szCs w:val="22"/>
        </w:rPr>
        <w:t>autre</w:t>
      </w:r>
      <w:proofErr w:type="spellEnd"/>
      <w:r w:rsidRPr="002C3F5B">
        <w:rPr>
          <w:rFonts w:ascii="Myriad Pro" w:hAnsi="Myriad Pro"/>
          <w:b w:val="0"/>
          <w:bCs w:val="0"/>
          <w:color w:val="auto"/>
          <w:sz w:val="22"/>
          <w:szCs w:val="22"/>
        </w:rPr>
        <w:t xml:space="preserve"> point de </w:t>
      </w:r>
      <w:proofErr w:type="spellStart"/>
      <w:r w:rsidRPr="002C3F5B">
        <w:rPr>
          <w:rFonts w:ascii="Myriad Pro" w:hAnsi="Myriad Pro"/>
          <w:b w:val="0"/>
          <w:bCs w:val="0"/>
          <w:color w:val="auto"/>
          <w:sz w:val="22"/>
          <w:szCs w:val="22"/>
        </w:rPr>
        <w:t>comparaison</w:t>
      </w:r>
      <w:proofErr w:type="spellEnd"/>
      <w:r w:rsidRPr="002C3F5B">
        <w:rPr>
          <w:rFonts w:ascii="Myriad Pro" w:hAnsi="Myriad Pro"/>
          <w:b w:val="0"/>
          <w:bCs w:val="0"/>
          <w:color w:val="auto"/>
          <w:sz w:val="22"/>
          <w:szCs w:val="22"/>
        </w:rPr>
        <w:t>.</w:t>
      </w:r>
    </w:p>
    <w:p w14:paraId="0447A1CC" w14:textId="77777777" w:rsidR="00D00033" w:rsidRPr="002C3F5B" w:rsidRDefault="00D00033" w:rsidP="00D00033">
      <w:pPr>
        <w:pStyle w:val="TKMAINTITLE"/>
        <w:numPr>
          <w:ilvl w:val="0"/>
          <w:numId w:val="16"/>
        </w:numPr>
        <w:spacing w:before="0" w:after="80"/>
        <w:ind w:left="714" w:hanging="357"/>
        <w:jc w:val="both"/>
        <w:rPr>
          <w:rFonts w:ascii="Myriad Pro" w:hAnsi="Myriad Pro"/>
          <w:b w:val="0"/>
          <w:bCs w:val="0"/>
          <w:color w:val="auto"/>
          <w:sz w:val="22"/>
          <w:szCs w:val="22"/>
          <w:lang w:val="fr-FR"/>
        </w:rPr>
      </w:pPr>
      <w:r w:rsidRPr="002C3F5B">
        <w:rPr>
          <w:rFonts w:ascii="Myriad Pro" w:hAnsi="Myriad Pro"/>
          <w:b w:val="0"/>
          <w:bCs w:val="0"/>
          <w:color w:val="auto"/>
          <w:sz w:val="22"/>
          <w:szCs w:val="22"/>
          <w:lang w:val="fr-FR"/>
        </w:rPr>
        <w:t>Organisez la discussion en groupe de manière à faire ressortir les différents points de vue des apprenants.</w:t>
      </w:r>
    </w:p>
    <w:p w14:paraId="4B16CECC" w14:textId="77777777" w:rsidR="00D00033" w:rsidRPr="002C3F5B" w:rsidRDefault="00D00033" w:rsidP="00D00033">
      <w:pPr>
        <w:pStyle w:val="TKMAINTITLE"/>
        <w:numPr>
          <w:ilvl w:val="0"/>
          <w:numId w:val="16"/>
        </w:numPr>
        <w:spacing w:before="0" w:after="80"/>
        <w:ind w:left="714" w:hanging="357"/>
        <w:jc w:val="both"/>
        <w:rPr>
          <w:rFonts w:ascii="Myriad Pro" w:hAnsi="Myriad Pro"/>
          <w:b w:val="0"/>
          <w:bCs w:val="0"/>
          <w:color w:val="auto"/>
          <w:sz w:val="22"/>
          <w:szCs w:val="22"/>
          <w:lang w:val="fr-FR"/>
        </w:rPr>
      </w:pPr>
      <w:r w:rsidRPr="002C3F5B">
        <w:rPr>
          <w:rFonts w:ascii="Myriad Pro" w:hAnsi="Myriad Pro"/>
          <w:b w:val="0"/>
          <w:bCs w:val="0"/>
          <w:color w:val="auto"/>
          <w:sz w:val="22"/>
          <w:szCs w:val="22"/>
          <w:lang w:val="fr-FR"/>
        </w:rPr>
        <w:t>Lorsque vous dirigez la discussion, n'essayez pas de modifier les réactions des apprenants ; essayez plutôt de leur faire prendre conscience de la complexité des sujets abordés et des raisons pour lesquelles des réactions plus réfléchies sont nécessaires.</w:t>
      </w:r>
    </w:p>
    <w:p w14:paraId="45085115" w14:textId="77777777" w:rsidR="00D00033" w:rsidRPr="002C3F5B" w:rsidRDefault="00D00033" w:rsidP="00D00033">
      <w:pPr>
        <w:pStyle w:val="ListParagraph"/>
        <w:numPr>
          <w:ilvl w:val="0"/>
          <w:numId w:val="16"/>
        </w:numPr>
        <w:rPr>
          <w:rFonts w:ascii="Myriad Pro" w:hAnsi="Myriad Pro"/>
          <w:sz w:val="22"/>
        </w:rPr>
      </w:pPr>
      <w:r w:rsidRPr="002C3F5B">
        <w:rPr>
          <w:rFonts w:ascii="Myriad Pro" w:hAnsi="Myriad Pro"/>
          <w:sz w:val="22"/>
        </w:rPr>
        <w:t>Donnez des exemples de la manière dont ces réactions peuvent affecter les relations et la vie démocratique, y compris dans les environnements éducatifs et/ou professionnels.</w:t>
      </w:r>
    </w:p>
    <w:p w14:paraId="724ACA00" w14:textId="77777777" w:rsidR="00287745" w:rsidRPr="002C3F5B" w:rsidRDefault="00287745" w:rsidP="00D00033">
      <w:pPr>
        <w:spacing w:after="120"/>
        <w:jc w:val="both"/>
        <w:rPr>
          <w:rFonts w:ascii="Myriad Pro" w:hAnsi="Myriad Pro"/>
          <w:sz w:val="18"/>
          <w:szCs w:val="18"/>
        </w:rPr>
      </w:pPr>
    </w:p>
    <w:sectPr w:rsidR="00287745" w:rsidRPr="002C3F5B"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CF73C" w14:textId="77777777" w:rsidR="007538B4" w:rsidRDefault="007538B4" w:rsidP="00C523EA">
      <w:r>
        <w:separator/>
      </w:r>
    </w:p>
  </w:endnote>
  <w:endnote w:type="continuationSeparator" w:id="0">
    <w:p w14:paraId="26562685" w14:textId="77777777" w:rsidR="007538B4" w:rsidRDefault="007538B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trPr>
        <w:cantSplit/>
      </w:trPr>
      <w:tc>
        <w:tcPr>
          <w:tcW w:w="1667" w:type="pct"/>
        </w:tcPr>
        <w:p w14:paraId="6247A2A8" w14:textId="77777777" w:rsidR="00186952" w:rsidRPr="00FB70A6" w:rsidRDefault="00186952" w:rsidP="00B33421">
          <w:pPr>
            <w:tabs>
              <w:tab w:val="center" w:pos="4820"/>
            </w:tabs>
            <w:spacing w:before="60"/>
            <w:rPr>
              <w:rFonts w:eastAsia="Calibri" w:cs="Cambria"/>
              <w:sz w:val="18"/>
              <w:szCs w:val="18"/>
              <w:lang w:val="en-US"/>
            </w:rPr>
          </w:pPr>
        </w:p>
        <w:p w14:paraId="7137E7E9" w14:textId="349FB86A" w:rsidR="00186952" w:rsidRPr="001E0E29" w:rsidRDefault="001E0E29" w:rsidP="00B3342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D00033">
            <w:rPr>
              <w:rFonts w:eastAsia="Calibri" w:cs="Cambria"/>
              <w:b/>
              <w:sz w:val="18"/>
              <w:szCs w:val="18"/>
            </w:rPr>
            <w:t>2</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7777777" w:rsidR="00186952" w:rsidRDefault="00CC5573" w:rsidP="00B3342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1AF4A0B0" w14:textId="77777777" w:rsidR="00186952" w:rsidRDefault="00186952" w:rsidP="00B33421">
          <w:pPr>
            <w:tabs>
              <w:tab w:val="center" w:pos="4820"/>
            </w:tabs>
            <w:spacing w:before="60"/>
            <w:jc w:val="right"/>
            <w:rPr>
              <w:rFonts w:eastAsia="Calibri" w:cs="Cambria"/>
              <w:sz w:val="18"/>
              <w:szCs w:val="18"/>
              <w:lang w:val="en-US"/>
            </w:rPr>
          </w:pPr>
        </w:p>
        <w:p w14:paraId="35C54B04" w14:textId="77777777" w:rsidR="00642211" w:rsidRPr="00642211" w:rsidRDefault="00000000" w:rsidP="00B03F98">
          <w:pPr>
            <w:jc w:val="right"/>
            <w:rPr>
              <w:rFonts w:eastAsia="Calibri" w:cs="Cambria"/>
              <w:sz w:val="18"/>
              <w:szCs w:val="18"/>
              <w:lang w:val="en-US"/>
            </w:rPr>
          </w:pPr>
          <w:hyperlink r:id="rId1" w:history="1">
            <w:r w:rsidR="00642211" w:rsidRPr="005C4790">
              <w:rPr>
                <w:rStyle w:val="Hyperlink"/>
                <w:rFonts w:eastAsia="Calibri" w:cs="Cambria"/>
                <w:color w:val="0070C0"/>
                <w:sz w:val="18"/>
                <w:szCs w:val="18"/>
                <w:lang w:val="en-US"/>
              </w:rPr>
              <w:t>www.coe.int/education</w:t>
            </w:r>
          </w:hyperlink>
          <w:r w:rsidR="00642211">
            <w:rPr>
              <w:rFonts w:eastAsia="Calibri" w:cs="Cambria"/>
              <w:sz w:val="18"/>
              <w:szCs w:val="18"/>
              <w:lang w:val="en-US"/>
            </w:rPr>
            <w:t xml:space="preserve">  </w:t>
          </w:r>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2AA7" w14:textId="77777777" w:rsidR="007538B4" w:rsidRDefault="007538B4" w:rsidP="00C523EA">
      <w:r>
        <w:separator/>
      </w:r>
    </w:p>
  </w:footnote>
  <w:footnote w:type="continuationSeparator" w:id="0">
    <w:p w14:paraId="30561C39" w14:textId="77777777" w:rsidR="007538B4" w:rsidRDefault="007538B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6"/>
  </w:num>
  <w:num w:numId="3" w16cid:durableId="695236864">
    <w:abstractNumId w:val="12"/>
  </w:num>
  <w:num w:numId="4" w16cid:durableId="1869487878">
    <w:abstractNumId w:val="1"/>
  </w:num>
  <w:num w:numId="5" w16cid:durableId="1229881289">
    <w:abstractNumId w:val="9"/>
  </w:num>
  <w:num w:numId="6" w16cid:durableId="847334046">
    <w:abstractNumId w:val="8"/>
  </w:num>
  <w:num w:numId="7" w16cid:durableId="855851539">
    <w:abstractNumId w:val="6"/>
  </w:num>
  <w:num w:numId="8" w16cid:durableId="1438527522">
    <w:abstractNumId w:val="4"/>
  </w:num>
  <w:num w:numId="9" w16cid:durableId="66462525">
    <w:abstractNumId w:val="7"/>
  </w:num>
  <w:num w:numId="10" w16cid:durableId="1083332573">
    <w:abstractNumId w:val="13"/>
  </w:num>
  <w:num w:numId="11" w16cid:durableId="110051674">
    <w:abstractNumId w:val="6"/>
  </w:num>
  <w:num w:numId="12" w16cid:durableId="1751926612">
    <w:abstractNumId w:val="5"/>
  </w:num>
  <w:num w:numId="13" w16cid:durableId="1973290193">
    <w:abstractNumId w:val="11"/>
  </w:num>
  <w:num w:numId="14" w16cid:durableId="1677918417">
    <w:abstractNumId w:val="0"/>
  </w:num>
  <w:num w:numId="15" w16cid:durableId="1918592726">
    <w:abstractNumId w:val="10"/>
  </w:num>
  <w:num w:numId="16" w16cid:durableId="51919687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618A7"/>
    <w:rsid w:val="00066FE4"/>
    <w:rsid w:val="00067253"/>
    <w:rsid w:val="0007023B"/>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646C"/>
    <w:rsid w:val="001B0010"/>
    <w:rsid w:val="001B29DB"/>
    <w:rsid w:val="001B602D"/>
    <w:rsid w:val="001B71AD"/>
    <w:rsid w:val="001C7918"/>
    <w:rsid w:val="001D46D0"/>
    <w:rsid w:val="001E0E29"/>
    <w:rsid w:val="001F7AFA"/>
    <w:rsid w:val="00201D74"/>
    <w:rsid w:val="0020300A"/>
    <w:rsid w:val="00214CD0"/>
    <w:rsid w:val="00233192"/>
    <w:rsid w:val="00246E8E"/>
    <w:rsid w:val="00254DC5"/>
    <w:rsid w:val="0026293F"/>
    <w:rsid w:val="002860CD"/>
    <w:rsid w:val="00287745"/>
    <w:rsid w:val="002A0CEF"/>
    <w:rsid w:val="002A3476"/>
    <w:rsid w:val="002C3F5B"/>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D1E0B"/>
    <w:rsid w:val="005E3C38"/>
    <w:rsid w:val="005E4CA5"/>
    <w:rsid w:val="005F3597"/>
    <w:rsid w:val="00615101"/>
    <w:rsid w:val="00616125"/>
    <w:rsid w:val="00617D74"/>
    <w:rsid w:val="00622CF9"/>
    <w:rsid w:val="00634900"/>
    <w:rsid w:val="00637850"/>
    <w:rsid w:val="0064154F"/>
    <w:rsid w:val="00642211"/>
    <w:rsid w:val="006455D0"/>
    <w:rsid w:val="00651E90"/>
    <w:rsid w:val="006549F4"/>
    <w:rsid w:val="00655B1E"/>
    <w:rsid w:val="00655CCE"/>
    <w:rsid w:val="006627B2"/>
    <w:rsid w:val="0068078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538B4"/>
    <w:rsid w:val="00773ACD"/>
    <w:rsid w:val="00786599"/>
    <w:rsid w:val="007B4D14"/>
    <w:rsid w:val="007C6439"/>
    <w:rsid w:val="007F5F10"/>
    <w:rsid w:val="0080462C"/>
    <w:rsid w:val="0080506D"/>
    <w:rsid w:val="00805257"/>
    <w:rsid w:val="008067EC"/>
    <w:rsid w:val="008252DE"/>
    <w:rsid w:val="0083366C"/>
    <w:rsid w:val="00844534"/>
    <w:rsid w:val="008461D1"/>
    <w:rsid w:val="008469DE"/>
    <w:rsid w:val="008506D5"/>
    <w:rsid w:val="0085300B"/>
    <w:rsid w:val="008812F6"/>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C71B6"/>
    <w:rsid w:val="009D7994"/>
    <w:rsid w:val="009E735E"/>
    <w:rsid w:val="00A00C5E"/>
    <w:rsid w:val="00A03292"/>
    <w:rsid w:val="00A1258A"/>
    <w:rsid w:val="00A12745"/>
    <w:rsid w:val="00A2026E"/>
    <w:rsid w:val="00A36998"/>
    <w:rsid w:val="00A3749C"/>
    <w:rsid w:val="00A37741"/>
    <w:rsid w:val="00A46F35"/>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0D6"/>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36E3"/>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1</TotalTime>
  <Pages>2</Pages>
  <Words>518</Words>
  <Characters>2954</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2025-03-10T13:05:00Z</cp:lastPrinted>
  <dcterms:created xsi:type="dcterms:W3CDTF">2025-03-10T13:07:00Z</dcterms:created>
  <dcterms:modified xsi:type="dcterms:W3CDTF">2025-04-08T09:39:00Z</dcterms:modified>
</cp:coreProperties>
</file>