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8.00000000000006" w:lineRule="auto"/>
        <w:rPr>
          <w:b w:val="1"/>
          <w:bCs w:val="1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75"/>
        <w:gridCol w:w="5325"/>
        <w:gridCol w:w="3360"/>
        <w:tblGridChange w:id="0">
          <w:tblGrid>
            <w:gridCol w:w="1875"/>
            <w:gridCol w:w="5325"/>
            <w:gridCol w:w="3360"/>
          </w:tblGrid>
        </w:tblGridChange>
      </w:tblGrid>
      <w:tr>
        <w:trPr>
          <w:cantSplit w:val="0"/>
          <w:trHeight w:val="2582.4487304687505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78.00000000000006" w:lineRule="auto"/>
              <w:jc w:val="both"/>
              <w:rPr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733425</wp:posOffset>
                  </wp:positionV>
                  <wp:extent cx="922973" cy="839754"/>
                  <wp:effectExtent b="0" l="0" r="0" t="0"/>
                  <wp:wrapNone/>
                  <wp:docPr id="72716606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3" cy="8397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Supporto Linguistico fornito a Migranti 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Il Toolkit SLM del Consiglio d’Europa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240" w:line="278.0000000000000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  <w:drawing>
                <wp:inline distB="114300" distT="114300" distL="114300" distR="114300">
                  <wp:extent cx="3571875" cy="12700"/>
                  <wp:effectExtent b="0" l="0" r="0" t="0"/>
                  <wp:docPr id="72716606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78.0000000000000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</w:rPr>
              <w:drawing>
                <wp:inline distB="114300" distT="114300" distL="114300" distR="114300">
                  <wp:extent cx="1058228" cy="865823"/>
                  <wp:effectExtent b="0" l="0" r="0" t="0"/>
                  <wp:docPr id="72716606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228" cy="8658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color w:val="004f88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4f88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4f88"/>
          <w:sz w:val="32"/>
          <w:szCs w:val="32"/>
          <w:u w:val="none"/>
          <w:shd w:fill="auto" w:val="clear"/>
          <w:vertAlign w:val="baseline"/>
          <w:rtl w:val="0"/>
        </w:rPr>
        <w:t xml:space="preserve">Strumento 17 – Una lista di controllo per riflettere sulla diversità all’interno di un gruppo di migranti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3399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ddddd" w:val="clear"/>
        <w:tabs>
          <w:tab w:val="left" w:leader="none" w:pos="709"/>
        </w:tabs>
        <w:spacing w:after="0" w:before="0" w:line="240" w:lineRule="auto"/>
        <w:ind w:left="709" w:right="0" w:hanging="709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Obiettivo - Sensibilizzare sulle differenze che possono esistere all'interno di un gruppo </w:t>
        <w:tab/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ddddd" w:val="clear"/>
        <w:tabs>
          <w:tab w:val="left" w:leader="none" w:pos="709"/>
        </w:tabs>
        <w:spacing w:after="0" w:before="0" w:line="240" w:lineRule="auto"/>
        <w:ind w:left="709" w:right="0" w:hanging="709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apprendenti.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Tutti noi abbiamo esperienze afferenti al far parte di gruppi eterogenei o al relazionarsi con essi. In qualsiasi contesto, anche tra gli spettatori di una partita di calcio o tra un pubblico a teatro, nonostante la condivisione di un interesse comune, le persone presentano diversità sotto molti aspetti.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si supporta l’apprendimento linguistico di una nuova lingua è fondamentale tenere conto della diversità dei contesti sociali, linguistici, educativi e culturali. Ciò, infatti, si riflette inevitabilmente sulla varietà di atteggiamenti, bisogni, aspirazioni e obiettivi anche rispetto all’apprendimento.</w:t>
        <w:br w:type="textWrapping"/>
        <w:t xml:space="preserve">Per questo motivo, è essenziale offrire ai migranti, in particolare a quelli di età pari o superiore ai 16 anni, l’opportunità di scegliere cosa desiderano apprendere e in quale modalità. Questo approccio consente di rispettare i diversi ritmi di apprendimento e di adottare attività e strategie didattiche diversificate, più efficaci e inclusive (vedi anche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Strumento 6 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Supportare l’apprendimento linguistico dei migranti di diverse età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9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Riflettere sul proprio gruppo di apprendenti </w:t>
      </w:r>
    </w:p>
    <w:p w:rsidR="00000000" w:rsidDel="00000000" w:rsidP="00000000" w:rsidRDefault="00000000" w:rsidRPr="00000000" w14:paraId="00000013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La lista di controllo che trovi nelle pagine seguenti comprende 15 tra i principali fattori che contribuiscono a caratterizzare la diversità all'interno dei gruppi di apprendenti migranti, siano essi adulti, adolescenti o bambini. Tali fattori sono elencati senza alcun ordine di importanza.</w:t>
      </w:r>
    </w:p>
    <w:p w:rsidR="00000000" w:rsidDel="00000000" w:rsidP="00000000" w:rsidRDefault="00000000" w:rsidRPr="00000000" w14:paraId="00000014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Leggi la checklist che ha l’obiettivo di aumentare la tua consapevolezza rispetto alle diversità: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pensi che alcuni fattori siano rilevanti o molto rilevanti, metti rispettivamente un segno di spunta (</w:t>
      </w:r>
      <w:r w:rsidDel="00000000" w:rsidR="00000000" w:rsidRPr="00000000">
        <w:rPr>
          <w:rFonts w:ascii="Wingdings" w:cs="Wingdings" w:eastAsia="Wingdings" w:hAnsi="Wingding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o un doppio segno di spunta (</w:t>
      </w:r>
      <w:r w:rsidDel="00000000" w:rsidR="00000000" w:rsidRPr="00000000">
        <w:rPr>
          <w:rFonts w:ascii="Wingdings" w:cs="Wingdings" w:eastAsia="Wingdings" w:hAnsi="Wingding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✔✔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ritieni necessario operare una riflessione più approfondita su come affrontare determinati fattori nella pianificazione del supporto linguistico, aggiungi un punto interrogativo e scrivi accanto delle brevi note.</w:t>
      </w:r>
    </w:p>
    <w:p w:rsidR="00000000" w:rsidDel="00000000" w:rsidP="00000000" w:rsidRDefault="00000000" w:rsidRPr="00000000" w14:paraId="00000017">
      <w:pPr>
        <w:spacing w:after="160" w:line="259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7"/>
        <w:gridCol w:w="4987"/>
        <w:gridCol w:w="1852"/>
        <w:gridCol w:w="1560"/>
        <w:gridCol w:w="1530"/>
        <w:tblGridChange w:id="0">
          <w:tblGrid>
            <w:gridCol w:w="527"/>
            <w:gridCol w:w="4987"/>
            <w:gridCol w:w="1852"/>
            <w:gridCol w:w="1560"/>
            <w:gridCol w:w="1530"/>
          </w:tblGrid>
        </w:tblGridChange>
      </w:tblGrid>
      <w:tr>
        <w:trPr>
          <w:cantSplit w:val="0"/>
          <w:trHeight w:val="124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g4nac5uy6vly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Fattori che possono influenzare l’eterogeneità all'interno di un gruppo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Questo fattore è rilevante (</w:t>
            </w:r>
            <w:r w:rsidDel="00000000" w:rsidR="00000000" w:rsidRPr="00000000">
              <w:rPr>
                <w:rFonts w:ascii="Wingdings" w:cs="Wingdings" w:eastAsia="Wingdings" w:hAnsi="Wingding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 o molto rilevante (</w:t>
            </w:r>
            <w:r w:rsidDel="00000000" w:rsidR="00000000" w:rsidRPr="00000000">
              <w:rPr>
                <w:rFonts w:ascii="Wingdings" w:cs="Wingdings" w:eastAsia="Wingdings" w:hAnsi="Wingding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✔✔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 bisogno di pensare a come gestire questo fattore (?)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Note per me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Differenti età.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Apprendenti adulti, adolescenti e bambini.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Profili linguistici disomogenei/abilità differenziate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Persone che hanno già alcune competenze nella nuova lingua, ad esempio nel parlare o nell’ascoltare, e altre che non conoscono neanche una parola.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Differenti profili di alfabetizzazione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Persone che non hanno mai imparato a leggere e scrivere quindi non sono alfabetizzate in nessuna lingua, e altre che invece, sanno leggere e scrivere in almeno una delle lingue del loro repertorio.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Diversi approcci all’apprendimento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Alcune persone iniziano a parlare senza preoccuparsi di eventuali errori, altre invece, rimangono in silenzio finché non si sentono sicure della correttezza dell’output.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Ampiezza del repertorio plurilingue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Persone competenti in più lingue, e altre che conoscono solo una lingua prima.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Differenti livelli di scolarizzazione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Persone con un buon livello di istruzione, e altre con poca o nessuna esperienza di istruzione formale.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Domini d’uso della nuova lingua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Persone che hanno opportunità di usare la nuova lingua al di fuori dell’ambiente di apprendimento e altre che non ne hanno.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Contatti con la nuova lingua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(ad esempio quotidiani, frequenti, rari, solo con la mediazione di altri, ecc.). Apprendenti che hanno occasione di praticare la nuova lingua al di fuori dell’ambiente di apprendimento e altri che la usano pochissimo.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Fattori interni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Personalità, motivazione, atteggiamenti, attitudine, modi di comportarsi, ecc. diversi, che possono influire in modo differente sull’apprendimento.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3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Fattori esterni.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Il contesto familiare, la comunità in cui vivono, gli impegni di lavoro o di studio, ecc., possono influenzare il processo di apprendimento in modo diverso.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e3sjlgmco38e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Distanze tra la nuova lingua e le lingue prime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a partire dal differente alfabeto.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Progetti migratori diversi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Ad esempio, richiedenti asilo che vedono il nuovo Paese come luogo di transito, ponte temporaneo per raggiungere altre destinazioni, e altri che si sono trasferiti per ricongiungersi con la famiglia già residente o che, in ogni caso, hanno un progetto migratorio stanziale.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Diversi livelli di accesso alle risorse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 l’apprendimento, in particolare Internet, dispositivi digitali, software e app, buona connessione Wi-Fi, ecc.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Apprendenti con bisogni speciali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(ad esempio disabilità, problemi visivi, dislessia, ecc.)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Distanze culturali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(ad esempio relative ai rapporti di genere) tra il contesto del nuovo Paese e le realtà proprie del vissuto degli apprendenti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160" w:line="259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720" w:top="810" w:left="720" w:right="720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Georgia"/>
  <w:font w:name="Courier New"/>
  <w:font w:name="Aptos"/>
  <w:font w:name="Wingdings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tabs>
        <w:tab w:val="center" w:leader="none" w:pos="5400"/>
        <w:tab w:val="right" w:leader="none" w:pos="10530"/>
      </w:tabs>
      <w:rPr>
        <w:rFonts w:ascii="Aptos" w:cs="Aptos" w:eastAsia="Aptos" w:hAnsi="Aptos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tabs>
        <w:tab w:val="center" w:leader="none" w:pos="5400"/>
        <w:tab w:val="right" w:leader="none" w:pos="10530"/>
      </w:tabs>
      <w:rPr>
        <w:rFonts w:ascii="Aptos" w:cs="Aptos" w:eastAsia="Aptos" w:hAnsi="Aptos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tabs>
        <w:tab w:val="center" w:leader="none" w:pos="5400"/>
        <w:tab w:val="right" w:leader="none" w:pos="10530"/>
      </w:tabs>
      <w:rPr/>
    </w:pPr>
    <w:r w:rsidDel="00000000" w:rsidR="00000000" w:rsidRPr="00000000">
      <w:rPr>
        <w:b w:val="1"/>
        <w:bCs w:val="1"/>
        <w:color w:val="434343"/>
        <w:sz w:val="18"/>
        <w:szCs w:val="18"/>
        <w:highlight w:val="white"/>
        <w:rtl w:val="0"/>
      </w:rPr>
      <w:t xml:space="preserve">Strumento 17 – Supporto Linguistico fornito a Migranti</w:t>
    </w:r>
    <w:r w:rsidDel="00000000" w:rsidR="00000000" w:rsidRPr="00000000">
      <w:rPr>
        <w:rFonts w:ascii="Aptos" w:cs="Aptos" w:eastAsia="Aptos" w:hAnsi="Aptos"/>
        <w:rtl w:val="0"/>
      </w:rPr>
      <w:tab/>
    </w:r>
    <w:r w:rsidDel="00000000" w:rsidR="00000000" w:rsidRPr="00000000">
      <w:rPr>
        <w:color w:val="434343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434343"/>
        <w:sz w:val="18"/>
        <w:szCs w:val="18"/>
        <w:rtl w:val="0"/>
      </w:rPr>
      <w:t xml:space="preserve">/3</w:t>
    </w:r>
    <w:r w:rsidDel="00000000" w:rsidR="00000000" w:rsidRPr="00000000">
      <w:rPr>
        <w:sz w:val="18"/>
        <w:szCs w:val="18"/>
        <w:rtl w:val="0"/>
      </w:rPr>
      <w:tab/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www.coe.int/education</w:t>
      </w:r>
    </w:hyperlink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="240" w:lineRule="auto"/>
      <w:ind w:left="0" w:right="0" w:firstLine="0"/>
      <w:jc w:val="center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70c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spacing w:before="240" w:line="360" w:lineRule="auto"/>
      <w:ind w:left="340"/>
    </w:pPr>
    <w:rPr>
      <w:rFonts w:ascii="Arial Black" w:cs="Arial Black" w:eastAsia="Arial Black" w:hAnsi="Arial Black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before="240" w:line="360" w:lineRule="auto"/>
      <w:ind w:left="340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before="240" w:line="360" w:lineRule="auto"/>
      <w:ind w:left="340"/>
    </w:pPr>
    <w:rPr>
      <w:rFonts w:ascii="Arial" w:cs="Arial" w:eastAsia="Arial" w:hAnsi="Arial"/>
      <w:b w:val="1"/>
      <w:bCs w:val="1"/>
    </w:rPr>
  </w:style>
  <w:style w:type="paragraph" w:styleId="Heading5">
    <w:name w:val="heading 5"/>
    <w:basedOn w:val="Normal"/>
    <w:next w:val="Normal"/>
    <w:pPr>
      <w:keepNext w:val="1"/>
    </w:pPr>
    <w:rPr>
      <w:rFonts w:ascii="Times New Roman" w:cs="Times New Roman" w:eastAsia="Times New Roman" w:hAnsi="Times New Roman"/>
      <w:i w:val="1"/>
      <w:iCs w:val="1"/>
    </w:rPr>
  </w:style>
  <w:style w:type="paragraph" w:styleId="Heading6">
    <w:name w:val="heading 6"/>
    <w:basedOn w:val="Normal"/>
    <w:next w:val="Normal"/>
    <w:pPr>
      <w:spacing w:after="240" w:before="240" w:lineRule="auto"/>
      <w:ind w:left="284"/>
    </w:pPr>
    <w:rPr>
      <w:rFonts w:ascii="Arial" w:cs="Arial" w:eastAsia="Arial" w:hAnsi="Arial"/>
      <w:i w:val="1"/>
      <w:i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itolo7">
    <w:name w:val="heading 7"/>
    <w:basedOn w:val="Normale"/>
    <w:next w:val="Normale"/>
    <w:link w:val="Titolo7Carattere"/>
    <w:uiPriority w:val="99"/>
    <w:rsid w:val="00BB182D"/>
    <w:pPr>
      <w:keepNext w:val="1"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 w:val="1"/>
      <w:iCs w:val="1"/>
      <w:szCs w:val="24"/>
      <w:lang w:eastAsia="fr-FR"/>
    </w:rPr>
  </w:style>
  <w:style w:type="paragraph" w:styleId="Titolo8">
    <w:name w:val="heading 8"/>
    <w:basedOn w:val="Normale"/>
    <w:next w:val="Normale"/>
    <w:link w:val="Titolo8Carattere"/>
    <w:uiPriority w:val="99"/>
    <w:rsid w:val="00BB182D"/>
    <w:pPr>
      <w:keepNext w:val="1"/>
      <w:spacing w:line="360" w:lineRule="auto"/>
      <w:outlineLvl w:val="7"/>
    </w:pPr>
    <w:rPr>
      <w:rFonts w:ascii="Times New Roman" w:hAnsi="Times New Roman"/>
      <w:b w:val="1"/>
      <w:bCs w:val="1"/>
      <w:szCs w:val="24"/>
      <w:lang w:eastAsia="fr-FR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9"/>
    <w:rsid w:val="000618A7"/>
    <w:rPr>
      <w:rFonts w:ascii="Calibri Light" w:cs="Times New Roman" w:eastAsia="Times New Roman" w:hAnsi="Calibri Light"/>
      <w:b w:val="1"/>
      <w:color w:val="0070c0"/>
      <w:sz w:val="40"/>
      <w:szCs w:val="32"/>
      <w:lang w:val="en-US"/>
    </w:rPr>
  </w:style>
  <w:style w:type="paragraph" w:styleId="TKTITRE1" w:customStyle="1">
    <w:name w:val="TK TITRE1"/>
    <w:qFormat w:val="1"/>
    <w:rsid w:val="0080462C"/>
    <w:pPr>
      <w:spacing w:after="120" w:before="120" w:line="240" w:lineRule="auto"/>
    </w:pPr>
    <w:rPr>
      <w:rFonts w:ascii="Calibri" w:cs="Calibri" w:eastAsia="Times New Roman" w:hAnsi="Calibri"/>
      <w:b w:val="1"/>
      <w:bCs w:val="1"/>
      <w:sz w:val="32"/>
      <w:szCs w:val="32"/>
      <w:lang w:val="en-US"/>
    </w:rPr>
  </w:style>
  <w:style w:type="paragraph" w:styleId="TKTITRE3" w:customStyle="1">
    <w:name w:val="TK TITRE 3"/>
    <w:qFormat w:val="1"/>
    <w:rsid w:val="0080462C"/>
    <w:pPr>
      <w:spacing w:after="120" w:before="120" w:line="240" w:lineRule="auto"/>
    </w:pPr>
    <w:rPr>
      <w:rFonts w:ascii="Calibri" w:cs="Calibri" w:eastAsia="Calibri" w:hAnsi="Calibri"/>
      <w:i w:val="1"/>
      <w:iCs w:val="1"/>
      <w:noProof w:val="1"/>
      <w:sz w:val="24"/>
      <w:szCs w:val="24"/>
      <w:u w:val="single"/>
      <w:lang w:val="en-US"/>
    </w:rPr>
  </w:style>
  <w:style w:type="character" w:styleId="Titolo2Carattere" w:customStyle="1">
    <w:name w:val="Titolo 2 Carattere"/>
    <w:basedOn w:val="Carpredefinitoparagrafo"/>
    <w:link w:val="Titolo2"/>
    <w:uiPriority w:val="99"/>
    <w:rsid w:val="00BB182D"/>
    <w:rPr>
      <w:rFonts w:ascii="Arial Black" w:cs="Times New Roman" w:eastAsia="Times New Roman" w:hAnsi="Arial Black"/>
      <w:b w:val="1"/>
      <w:bCs w:val="1"/>
      <w:sz w:val="32"/>
      <w:szCs w:val="32"/>
      <w:lang w:eastAsia="de-DE"/>
    </w:rPr>
  </w:style>
  <w:style w:type="character" w:styleId="Titolo3Carattere" w:customStyle="1">
    <w:name w:val="Titolo 3 Carattere"/>
    <w:basedOn w:val="Carpredefinitoparagrafo"/>
    <w:link w:val="Titolo3"/>
    <w:uiPriority w:val="99"/>
    <w:rsid w:val="00BB182D"/>
    <w:rPr>
      <w:rFonts w:ascii="Arial" w:cs="Arial" w:eastAsia="Times New Roman" w:hAnsi="Arial"/>
      <w:b w:val="1"/>
      <w:bCs w:val="1"/>
      <w:sz w:val="28"/>
      <w:szCs w:val="28"/>
      <w:lang w:eastAsia="de-DE"/>
    </w:rPr>
  </w:style>
  <w:style w:type="character" w:styleId="Titolo4Carattere" w:customStyle="1">
    <w:name w:val="Titolo 4 Carattere"/>
    <w:basedOn w:val="Carpredefinitoparagrafo"/>
    <w:link w:val="Titolo4"/>
    <w:uiPriority w:val="99"/>
    <w:rsid w:val="00BB182D"/>
    <w:rPr>
      <w:rFonts w:ascii="Arial" w:cs="Arial" w:eastAsia="Times New Roman" w:hAnsi="Arial"/>
      <w:b w:val="1"/>
      <w:bCs w:val="1"/>
      <w:sz w:val="24"/>
      <w:szCs w:val="24"/>
      <w:lang w:eastAsia="de-DE"/>
    </w:rPr>
  </w:style>
  <w:style w:type="character" w:styleId="Titolo5Carattere" w:customStyle="1">
    <w:name w:val="Titolo 5 Carattere"/>
    <w:basedOn w:val="Carpredefinitoparagrafo"/>
    <w:link w:val="Titolo5"/>
    <w:uiPriority w:val="99"/>
    <w:rsid w:val="00BB182D"/>
    <w:rPr>
      <w:rFonts w:ascii="Times New Roman" w:cs="Times New Roman" w:eastAsia="Times New Roman" w:hAnsi="Times New Roman"/>
      <w:i w:val="1"/>
      <w:iCs w:val="1"/>
      <w:sz w:val="24"/>
      <w:szCs w:val="24"/>
      <w:lang w:eastAsia="fr-FR"/>
    </w:rPr>
  </w:style>
  <w:style w:type="character" w:styleId="Titolo6Carattere" w:customStyle="1">
    <w:name w:val="Titolo 6 Carattere"/>
    <w:basedOn w:val="Carpredefinitoparagrafo"/>
    <w:link w:val="Titolo6"/>
    <w:uiPriority w:val="99"/>
    <w:rsid w:val="00BB182D"/>
    <w:rPr>
      <w:rFonts w:ascii="Arial" w:cs="Arial" w:eastAsia="Times New Roman" w:hAnsi="Arial"/>
      <w:i w:val="1"/>
      <w:iCs w:val="1"/>
      <w:sz w:val="20"/>
      <w:szCs w:val="20"/>
      <w:lang w:eastAsia="de-DE"/>
    </w:rPr>
  </w:style>
  <w:style w:type="character" w:styleId="Titolo7Carattere" w:customStyle="1">
    <w:name w:val="Titolo 7 Carattere"/>
    <w:basedOn w:val="Carpredefinitoparagrafo"/>
    <w:link w:val="Titolo7"/>
    <w:uiPriority w:val="99"/>
    <w:rsid w:val="00BB182D"/>
    <w:rPr>
      <w:rFonts w:ascii="Times New Roman" w:cs="Times New Roman" w:eastAsia="Times New Roman" w:hAnsi="Times New Roman"/>
      <w:i w:val="1"/>
      <w:iCs w:val="1"/>
      <w:sz w:val="24"/>
      <w:szCs w:val="24"/>
      <w:lang w:eastAsia="fr-FR"/>
    </w:rPr>
  </w:style>
  <w:style w:type="character" w:styleId="Titolo8Carattere" w:customStyle="1">
    <w:name w:val="Titolo 8 Carattere"/>
    <w:basedOn w:val="Carpredefinitoparagrafo"/>
    <w:link w:val="Titolo8"/>
    <w:uiPriority w:val="99"/>
    <w:rsid w:val="00BB182D"/>
    <w:rPr>
      <w:rFonts w:ascii="Times New Roman" w:cs="Times New Roman" w:eastAsia="Times New Roman" w:hAnsi="Times New Roman"/>
      <w:b w:val="1"/>
      <w:bCs w:val="1"/>
      <w:sz w:val="24"/>
      <w:szCs w:val="24"/>
      <w:lang w:eastAsia="fr-FR"/>
    </w:rPr>
  </w:style>
  <w:style w:type="paragraph" w:styleId="Pidipagina">
    <w:name w:val="footer"/>
    <w:basedOn w:val="Normale"/>
    <w:link w:val="PidipaginaCarattere"/>
    <w:uiPriority w:val="99"/>
    <w:unhideWhenUsed w:val="1"/>
    <w:rsid w:val="00BB182D"/>
    <w:pPr>
      <w:tabs>
        <w:tab w:val="center" w:pos="4536"/>
        <w:tab w:val="right" w:pos="9072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B182D"/>
    <w:rPr>
      <w:rFonts w:ascii="Calibri" w:cs="Times New Roman" w:eastAsia="Times New Roman" w:hAnsi="Calibri"/>
      <w:sz w:val="24"/>
    </w:rPr>
  </w:style>
  <w:style w:type="character" w:styleId="Collegamentoipertestuale">
    <w:name w:val="Hyperlink"/>
    <w:uiPriority w:val="99"/>
    <w:rsid w:val="00BB182D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rsid w:val="00BB182D"/>
    <w:pPr>
      <w:shd w:color="auto" w:fill="000080" w:val="clear"/>
    </w:pPr>
    <w:rPr>
      <w:rFonts w:ascii="Tahoma" w:cs="Tahoma" w:hAnsi="Tahoma"/>
      <w:szCs w:val="24"/>
      <w:lang w:eastAsia="fr-FR"/>
    </w:rPr>
  </w:style>
  <w:style w:type="character" w:styleId="MappadocumentoCarattere" w:customStyle="1">
    <w:name w:val="Mappa documento Carattere"/>
    <w:basedOn w:val="Carpredefinitoparagrafo"/>
    <w:link w:val="Mappadocumento"/>
    <w:uiPriority w:val="99"/>
    <w:rsid w:val="00BB182D"/>
    <w:rPr>
      <w:rFonts w:ascii="Tahoma" w:cs="Tahoma" w:eastAsia="Times New Roman" w:hAnsi="Tahoma"/>
      <w:sz w:val="24"/>
      <w:szCs w:val="24"/>
      <w:shd w:color="auto" w:fill="000080" w:val="clear"/>
      <w:lang w:eastAsia="fr-FR"/>
    </w:rPr>
  </w:style>
  <w:style w:type="table" w:styleId="Grigliatabella">
    <w:name w:val="Table Grid"/>
    <w:basedOn w:val="Tabellanormale"/>
    <w:uiPriority w:val="99"/>
    <w:rsid w:val="00BB182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Toolkit" w:customStyle="1">
    <w:name w:val="Table_Toolkit"/>
    <w:basedOn w:val="Tabellanormale"/>
    <w:uiPriority w:val="99"/>
    <w:rsid w:val="007458E1"/>
    <w:tblPr/>
  </w:style>
  <w:style w:type="paragraph" w:styleId="TKTextetableau" w:customStyle="1">
    <w:name w:val="TK Texte tableau"/>
    <w:qFormat w:val="1"/>
    <w:rsid w:val="0080462C"/>
    <w:pPr>
      <w:spacing w:after="0" w:line="240" w:lineRule="auto"/>
    </w:pPr>
    <w:rPr>
      <w:rFonts w:ascii="Calibri" w:cs="Calibri" w:eastAsia="Times New Roman" w:hAnsi="Calibri"/>
      <w:lang w:val="en-GB"/>
    </w:rPr>
  </w:style>
  <w:style w:type="paragraph" w:styleId="TKAIM" w:customStyle="1">
    <w:name w:val="TK AIM"/>
    <w:qFormat w:val="1"/>
    <w:rsid w:val="00E53152"/>
    <w:pPr>
      <w:shd w:color="auto" w:fill="dddddd" w:val="clear"/>
      <w:tabs>
        <w:tab w:val="left" w:pos="709"/>
      </w:tabs>
      <w:spacing w:after="480" w:before="480" w:line="240" w:lineRule="auto"/>
      <w:ind w:left="709" w:hanging="709"/>
    </w:pPr>
    <w:rPr>
      <w:rFonts w:ascii="Calibri" w:cs="Times New Roman" w:eastAsia="Calibri" w:hAnsi="Calibri"/>
      <w:b w:val="1"/>
      <w:sz w:val="28"/>
      <w:szCs w:val="32"/>
      <w:lang w:val="en-GB"/>
    </w:rPr>
  </w:style>
  <w:style w:type="paragraph" w:styleId="Testonormale">
    <w:name w:val="Plain Text"/>
    <w:basedOn w:val="Normale"/>
    <w:link w:val="TestonormaleCarattere"/>
    <w:uiPriority w:val="99"/>
    <w:semiHidden w:val="1"/>
    <w:unhideWhenUsed w:val="1"/>
    <w:rsid w:val="00526886"/>
    <w:rPr>
      <w:rFonts w:ascii="Consolas" w:hAnsi="Consolas"/>
      <w:sz w:val="21"/>
      <w:szCs w:val="21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semiHidden w:val="1"/>
    <w:rsid w:val="00526886"/>
    <w:rPr>
      <w:rFonts w:ascii="Consolas" w:cs="Times New Roman" w:eastAsia="Times New Roman" w:hAnsi="Consolas"/>
      <w:sz w:val="21"/>
      <w:szCs w:val="21"/>
    </w:rPr>
  </w:style>
  <w:style w:type="paragraph" w:styleId="TKMAINTITLE" w:customStyle="1">
    <w:name w:val="TK MAIN TITLE"/>
    <w:basedOn w:val="Normale"/>
    <w:qFormat w:val="1"/>
    <w:rsid w:val="0080462C"/>
    <w:pPr>
      <w:spacing w:after="120" w:before="120"/>
      <w:jc w:val="center"/>
    </w:pPr>
    <w:rPr>
      <w:rFonts w:cs="Calibri" w:eastAsia="Calibri"/>
      <w:b w:val="1"/>
      <w:bCs w:val="1"/>
      <w:color w:val="2f5496" w:themeColor="accent1" w:themeShade="0000BF"/>
      <w:sz w:val="40"/>
      <w:szCs w:val="40"/>
      <w:lang w:val="en-GB"/>
    </w:rPr>
  </w:style>
  <w:style w:type="paragraph" w:styleId="TKTEXTE" w:customStyle="1">
    <w:name w:val="TK TEXTE"/>
    <w:qFormat w:val="1"/>
    <w:rsid w:val="0097497F"/>
    <w:pPr>
      <w:spacing w:after="120" w:before="120" w:line="240" w:lineRule="auto"/>
    </w:pPr>
    <w:rPr>
      <w:rFonts w:ascii="Calibri" w:cs="Calibri" w:eastAsia="Times New Roman" w:hAnsi="Calibri"/>
      <w:sz w:val="24"/>
      <w:szCs w:val="24"/>
      <w:lang w:val="en-GB"/>
    </w:rPr>
  </w:style>
  <w:style w:type="paragraph" w:styleId="TKBulletLevel1" w:customStyle="1">
    <w:name w:val="TK Bullet Level1"/>
    <w:next w:val="Normale"/>
    <w:qFormat w:val="1"/>
    <w:rsid w:val="00D61794"/>
    <w:pPr>
      <w:numPr>
        <w:numId w:val="11"/>
      </w:numPr>
      <w:tabs>
        <w:tab w:val="left" w:pos="567"/>
      </w:tabs>
      <w:spacing w:after="60" w:before="60" w:line="240" w:lineRule="auto"/>
    </w:pPr>
    <w:rPr>
      <w:rFonts w:ascii="Calibri" w:cs="Calibri" w:eastAsia="Calibri" w:hAnsi="Calibri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3E358D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3E358D"/>
    <w:rPr>
      <w:rFonts w:ascii="Tahoma" w:cs="Tahoma" w:eastAsia="Times New Roman" w:hAnsi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 w:val="1"/>
    <w:rsid w:val="00FB70A6"/>
    <w:pPr>
      <w:tabs>
        <w:tab w:val="center" w:pos="4536"/>
        <w:tab w:val="right" w:pos="9072"/>
      </w:tabs>
    </w:pPr>
    <w:rPr>
      <w:sz w:val="22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B70A6"/>
    <w:rPr>
      <w:rFonts w:ascii="Calibri" w:cs="Times New Roman" w:eastAsia="Times New Roman" w:hAnsi="Calibri"/>
    </w:rPr>
  </w:style>
  <w:style w:type="paragraph" w:styleId="TKTITRE2" w:customStyle="1">
    <w:name w:val="TK TITRE 2"/>
    <w:next w:val="Normale"/>
    <w:qFormat w:val="1"/>
    <w:rsid w:val="0080462C"/>
    <w:pPr>
      <w:spacing w:after="120" w:before="120" w:line="240" w:lineRule="auto"/>
    </w:pPr>
    <w:rPr>
      <w:rFonts w:ascii="Calibri" w:cs="Calibri" w:eastAsia="Times New Roman" w:hAnsi="Calibri"/>
      <w:b w:val="1"/>
      <w:bCs w:val="1"/>
      <w:sz w:val="28"/>
      <w:szCs w:val="28"/>
      <w:lang w:val="en-US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9025F0"/>
    <w:rPr>
      <w:color w:val="954f72" w:themeColor="followedHyperlink"/>
      <w:u w:val="single"/>
    </w:rPr>
  </w:style>
  <w:style w:type="paragraph" w:styleId="TKBulletLevel2" w:customStyle="1">
    <w:name w:val="TK Bullet Level2"/>
    <w:basedOn w:val="TKBulletLevel1"/>
    <w:qFormat w:val="1"/>
    <w:rsid w:val="009A4759"/>
    <w:pPr>
      <w:ind w:left="1135"/>
    </w:pPr>
  </w:style>
  <w:style w:type="paragraph" w:styleId="TKNbrsLevel2" w:customStyle="1">
    <w:name w:val="TK Nbrs Level2"/>
    <w:qFormat w:val="1"/>
    <w:rsid w:val="00E90A39"/>
    <w:pPr>
      <w:numPr>
        <w:numId w:val="10"/>
      </w:numPr>
      <w:spacing w:after="60" w:before="60" w:line="240" w:lineRule="auto"/>
      <w:ind w:left="1208" w:hanging="357"/>
    </w:pPr>
    <w:rPr>
      <w:rFonts w:ascii="Calibri" w:cs="Times New Roman" w:eastAsia="Calibri" w:hAnsi="Calibri"/>
      <w:sz w:val="24"/>
      <w:szCs w:val="24"/>
      <w:lang w:val="en-US"/>
    </w:rPr>
  </w:style>
  <w:style w:type="paragraph" w:styleId="TKNbrsLevel1" w:customStyle="1">
    <w:name w:val="TK_Nbrs Level1"/>
    <w:qFormat w:val="1"/>
    <w:rsid w:val="009A4759"/>
    <w:pPr>
      <w:numPr>
        <w:numId w:val="9"/>
      </w:numPr>
      <w:spacing w:after="60" w:before="60" w:line="240" w:lineRule="auto"/>
      <w:ind w:left="851" w:hanging="284"/>
    </w:pPr>
    <w:rPr>
      <w:rFonts w:ascii="Calibri" w:cs="Calibri" w:eastAsia="Times New Roman" w:hAnsi="Calibri"/>
      <w:sz w:val="24"/>
      <w:szCs w:val="24"/>
    </w:rPr>
  </w:style>
  <w:style w:type="paragraph" w:styleId="TKnotes" w:customStyle="1">
    <w:name w:val="TK_notes"/>
    <w:qFormat w:val="1"/>
    <w:rsid w:val="00634900"/>
    <w:pPr>
      <w:spacing w:after="120" w:before="120" w:line="240" w:lineRule="auto"/>
    </w:pPr>
    <w:rPr>
      <w:rFonts w:ascii="Calibri" w:cs="Calibri" w:eastAsia="Times New Roman" w:hAnsi="Calibri"/>
      <w:sz w:val="20"/>
      <w:lang w:val="en-GB"/>
    </w:rPr>
  </w:style>
  <w:style w:type="character" w:styleId="Mention1" w:customStyle="1">
    <w:name w:val="Mention1"/>
    <w:basedOn w:val="Carpredefinitoparagrafo"/>
    <w:uiPriority w:val="99"/>
    <w:semiHidden w:val="1"/>
    <w:unhideWhenUsed w:val="1"/>
    <w:rsid w:val="008A1CEA"/>
    <w:rPr>
      <w:color w:val="2b579a"/>
      <w:shd w:color="auto" w:fill="e6e6e6" w:val="clear"/>
    </w:rPr>
  </w:style>
  <w:style w:type="paragraph" w:styleId="Revisione">
    <w:name w:val="Revision"/>
    <w:hidden w:val="1"/>
    <w:uiPriority w:val="99"/>
    <w:semiHidden w:val="1"/>
    <w:rsid w:val="00A77F97"/>
    <w:pPr>
      <w:spacing w:after="0" w:line="240" w:lineRule="auto"/>
    </w:pPr>
    <w:rPr>
      <w:rFonts w:ascii="Calibri" w:cs="Times New Roman" w:eastAsia="Times New Roman" w:hAnsi="Calibri"/>
      <w:sz w:val="24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A77F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 w:val="1"/>
    <w:rsid w:val="00A77F97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A77F97"/>
    <w:rPr>
      <w:rFonts w:ascii="Calibri" w:cs="Times New Roman" w:eastAsia="Times New Roman" w:hAnsi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A77F97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A77F97"/>
    <w:rPr>
      <w:rFonts w:ascii="Calibri" w:cs="Times New Roman" w:eastAsia="Times New Roman" w:hAnsi="Calibri"/>
      <w:b w:val="1"/>
      <w:bCs w:val="1"/>
      <w:sz w:val="20"/>
      <w:szCs w:val="20"/>
    </w:rPr>
  </w:style>
  <w:style w:type="paragraph" w:styleId="Paragrafoelenco">
    <w:name w:val="List Paragraph"/>
    <w:basedOn w:val="Normale"/>
    <w:uiPriority w:val="34"/>
    <w:qFormat w:val="1"/>
    <w:rsid w:val="00FF6950"/>
    <w:pPr>
      <w:spacing w:after="160" w:line="278" w:lineRule="auto"/>
      <w:ind w:left="720"/>
      <w:contextualSpacing w:val="1"/>
    </w:pPr>
    <w:rPr>
      <w:rFonts w:asciiTheme="minorHAnsi" w:cstheme="minorBidi" w:eastAsiaTheme="minorHAnsi" w:hAnsiTheme="minorHAnsi"/>
      <w:kern w:val="2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xxNyZhdh5vB65WzsIVQ2swdE6A==">CgMxLjAyDmguZzRuYWM1dXk2dmx5Mg5oLmUzc2psZ21jbzM4ZTgAaikKFHN1Z2dlc3QuOHNtMzk0NnFmbG12EhFNYWRkYWxlbmEgRm9ybWljYWopChRzdWdnZXN0LmpkOW8yeHB1OGNncBIRTWFkZGFsZW5hIEZvcm1pY2FqKQoUc3VnZ2VzdC50dzZ4YWY0NnY4NjQSEU1hZGRhbGVuYSBGb3JtaWNhciExQ01XZEV4Z1NMUExvd2JOYlY4QTVWN01PTlA5U0tGSlA=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2025-08-06T16:04:00Z</dcterms:created>
  <dc:creator>utilisateur</dc:creator>
</cp:coreProperties>
</file>