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7F36E"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EA5E3D" w:rsidRDefault="00D71E86" w:rsidP="009D7D7C">
      <w:pPr>
        <w:pStyle w:val="Header"/>
        <w:spacing w:line="276" w:lineRule="auto"/>
        <w:rPr>
          <w:rFonts w:ascii="Myriad Pro" w:hAnsi="Myriad Pro"/>
          <w:sz w:val="8"/>
          <w:szCs w:val="8"/>
        </w:rPr>
      </w:pPr>
    </w:p>
    <w:p w14:paraId="203956A2" w14:textId="77777777" w:rsidR="00D71E86" w:rsidRPr="00EA5E3D" w:rsidRDefault="00D71E86" w:rsidP="009D7D7C">
      <w:pPr>
        <w:pStyle w:val="TKMAINTITLE"/>
        <w:spacing w:before="0" w:after="0" w:line="276" w:lineRule="auto"/>
        <w:jc w:val="left"/>
        <w:rPr>
          <w:rFonts w:ascii="Myriad Pro" w:hAnsi="Myriad Pro"/>
          <w:sz w:val="12"/>
          <w:szCs w:val="6"/>
          <w:lang w:val="fr-FR"/>
        </w:rPr>
      </w:pPr>
    </w:p>
    <w:p w14:paraId="52BD370D" w14:textId="77777777" w:rsidR="003100ED" w:rsidRPr="00EA5E3D" w:rsidRDefault="003100ED" w:rsidP="009D7D7C">
      <w:pPr>
        <w:pStyle w:val="TKMAINTITLE"/>
        <w:spacing w:before="0" w:after="0" w:line="276" w:lineRule="auto"/>
        <w:rPr>
          <w:rFonts w:ascii="Myriad Pro" w:hAnsi="Myriad Pro"/>
          <w:sz w:val="20"/>
          <w:szCs w:val="14"/>
          <w:lang w:val="fr-FR"/>
        </w:rPr>
      </w:pPr>
    </w:p>
    <w:p w14:paraId="5F0C7526" w14:textId="3869F192" w:rsidR="00DE7788" w:rsidRPr="001824B6" w:rsidRDefault="00DE7788" w:rsidP="00DE7788">
      <w:pPr>
        <w:pStyle w:val="TKMAINTITLE"/>
        <w:spacing w:after="360"/>
        <w:rPr>
          <w:rFonts w:ascii="Myriad Pro" w:hAnsi="Myriad Pro"/>
          <w:sz w:val="36"/>
          <w:szCs w:val="36"/>
          <w:lang w:val="fr-FR"/>
        </w:rPr>
      </w:pPr>
      <w:r w:rsidRPr="001824B6">
        <w:rPr>
          <w:rFonts w:ascii="Myriad Pro" w:hAnsi="Myriad Pro"/>
          <w:sz w:val="36"/>
          <w:szCs w:val="36"/>
          <w:lang w:val="fr-FR"/>
        </w:rPr>
        <w:t>1</w:t>
      </w:r>
      <w:r w:rsidR="00F75E66">
        <w:rPr>
          <w:rFonts w:ascii="Myriad Pro" w:hAnsi="Myriad Pro"/>
          <w:sz w:val="36"/>
          <w:szCs w:val="36"/>
          <w:lang w:val="fr-FR"/>
        </w:rPr>
        <w:t>7</w:t>
      </w:r>
      <w:r w:rsidRPr="001824B6">
        <w:rPr>
          <w:rFonts w:ascii="Myriad Pro" w:hAnsi="Myriad Pro"/>
          <w:sz w:val="36"/>
          <w:szCs w:val="36"/>
          <w:lang w:val="fr-FR"/>
        </w:rPr>
        <w:t xml:space="preserve"> - </w:t>
      </w:r>
      <w:r w:rsidR="00F75E66" w:rsidRPr="00F75E66">
        <w:rPr>
          <w:rFonts w:ascii="Myriad Pro" w:hAnsi="Myriad Pro"/>
          <w:sz w:val="36"/>
          <w:szCs w:val="36"/>
          <w:lang w:val="fr-FR"/>
        </w:rPr>
        <w:t xml:space="preserve">Une liste de contrôle pour réfléchir </w:t>
      </w:r>
      <w:r w:rsidR="00F75E66">
        <w:rPr>
          <w:rFonts w:ascii="Myriad Pro" w:hAnsi="Myriad Pro"/>
          <w:sz w:val="36"/>
          <w:szCs w:val="36"/>
          <w:lang w:val="fr-FR"/>
        </w:rPr>
        <w:br/>
      </w:r>
      <w:r w:rsidR="00F75E66" w:rsidRPr="00F75E66">
        <w:rPr>
          <w:rFonts w:ascii="Myriad Pro" w:hAnsi="Myriad Pro"/>
          <w:sz w:val="36"/>
          <w:szCs w:val="36"/>
          <w:lang w:val="fr-FR"/>
        </w:rPr>
        <w:t>aux différences au sein des groupes de migrants</w:t>
      </w:r>
    </w:p>
    <w:p w14:paraId="1339E2AA" w14:textId="77777777" w:rsidR="0072586C" w:rsidRPr="0033248B" w:rsidRDefault="0072586C" w:rsidP="009D7D7C">
      <w:pPr>
        <w:pStyle w:val="TKMAINTITLE"/>
        <w:spacing w:before="0" w:after="0" w:line="276" w:lineRule="auto"/>
        <w:rPr>
          <w:rFonts w:ascii="Myriad Pro" w:hAnsi="Myriad Pro"/>
          <w:sz w:val="28"/>
          <w:szCs w:val="24"/>
          <w:lang w:val="fr-FR"/>
        </w:rPr>
      </w:pPr>
    </w:p>
    <w:p w14:paraId="42D74EFA" w14:textId="521E1134" w:rsidR="00624ED4" w:rsidRPr="00175CDE" w:rsidRDefault="00067253" w:rsidP="00282559">
      <w:pPr>
        <w:pStyle w:val="TKAIM"/>
        <w:spacing w:before="0" w:after="0"/>
        <w:ind w:left="1410" w:hanging="1410"/>
        <w:rPr>
          <w:rFonts w:ascii="Myriad Pro" w:hAnsi="Myriad Pro"/>
          <w:sz w:val="24"/>
          <w:szCs w:val="22"/>
          <w:lang w:val="fr-FR"/>
        </w:rPr>
      </w:pPr>
      <w:proofErr w:type="gramStart"/>
      <w:r w:rsidRPr="00175CDE">
        <w:rPr>
          <w:rFonts w:ascii="Myriad Pro" w:hAnsi="Myriad Pro"/>
          <w:sz w:val="24"/>
          <w:szCs w:val="22"/>
          <w:lang w:val="fr-FR"/>
        </w:rPr>
        <w:t>Objectif:</w:t>
      </w:r>
      <w:proofErr w:type="gramEnd"/>
      <w:r w:rsidRPr="00175CDE">
        <w:rPr>
          <w:rFonts w:ascii="Myriad Pro" w:hAnsi="Myriad Pro"/>
          <w:sz w:val="20"/>
          <w:szCs w:val="18"/>
          <w:lang w:val="fr-FR"/>
        </w:rPr>
        <w:t xml:space="preserve"> </w:t>
      </w:r>
      <w:r w:rsidR="00D213E6" w:rsidRPr="00175CDE">
        <w:rPr>
          <w:rFonts w:ascii="Myriad Pro" w:hAnsi="Myriad Pro"/>
          <w:sz w:val="20"/>
          <w:szCs w:val="18"/>
          <w:lang w:val="fr-FR"/>
        </w:rPr>
        <w:tab/>
      </w:r>
      <w:r w:rsidR="00F75E66" w:rsidRPr="00175CDE">
        <w:rPr>
          <w:rFonts w:ascii="Myriad Pro" w:hAnsi="Myriad Pro"/>
          <w:sz w:val="24"/>
          <w:szCs w:val="22"/>
          <w:lang w:val="fr-FR"/>
        </w:rPr>
        <w:t>sensibiliser aux différences qui peuvent exister entre les individus d'un groupe.</w:t>
      </w:r>
    </w:p>
    <w:p w14:paraId="37003D6F" w14:textId="77777777" w:rsidR="00F75E66" w:rsidRPr="00175CDE" w:rsidRDefault="00F75E66" w:rsidP="00F75E66">
      <w:pPr>
        <w:pStyle w:val="TKTEXTE"/>
        <w:jc w:val="both"/>
        <w:rPr>
          <w:rFonts w:ascii="Myriad Pro" w:hAnsi="Myriad Pro"/>
          <w:sz w:val="22"/>
          <w:szCs w:val="22"/>
          <w:lang w:val="fr-FR"/>
        </w:rPr>
      </w:pPr>
      <w:bookmarkStart w:id="0" w:name="_Hlk192514635"/>
    </w:p>
    <w:p w14:paraId="7CD4CBD9" w14:textId="2C2588DC" w:rsidR="00F75E66" w:rsidRPr="00175CDE" w:rsidRDefault="00F75E66" w:rsidP="00F75E66">
      <w:pPr>
        <w:pStyle w:val="TKTEXTE"/>
        <w:jc w:val="both"/>
        <w:rPr>
          <w:rFonts w:ascii="Myriad Pro" w:hAnsi="Myriad Pro"/>
          <w:sz w:val="22"/>
          <w:szCs w:val="22"/>
          <w:lang w:val="fr-FR"/>
        </w:rPr>
      </w:pPr>
      <w:r w:rsidRPr="00175CDE">
        <w:rPr>
          <w:rFonts w:ascii="Myriad Pro" w:hAnsi="Myriad Pro"/>
          <w:sz w:val="22"/>
          <w:szCs w:val="22"/>
          <w:lang w:val="fr-FR"/>
        </w:rPr>
        <w:t>Nous avons tous fait l'expérience de traiter avec des groupes mixtes ou d'en faire partie. Parmi les spectateurs d'un match de football ou le public d'un théâtre, les gens partagent un intérêt particulier, mais sont très différents à bien d'autres égards.</w:t>
      </w:r>
    </w:p>
    <w:p w14:paraId="0A9D4E87" w14:textId="77777777" w:rsidR="00F75E66" w:rsidRPr="00175CDE" w:rsidRDefault="00F75E66" w:rsidP="00F75E66">
      <w:pPr>
        <w:contextualSpacing/>
        <w:jc w:val="both"/>
        <w:rPr>
          <w:rFonts w:ascii="Myriad Pro" w:eastAsiaTheme="minorEastAsia" w:hAnsi="Myriad Pro"/>
          <w:sz w:val="22"/>
          <w:highlight w:val="yellow"/>
          <w:lang w:eastAsia="zh-CN"/>
        </w:rPr>
      </w:pPr>
      <w:r w:rsidRPr="00175CDE">
        <w:rPr>
          <w:rFonts w:ascii="Myriad Pro" w:hAnsi="Myriad Pro"/>
          <w:sz w:val="22"/>
        </w:rPr>
        <w:t xml:space="preserve">Lorsque vous soutenez l'apprentissage d'une langue par un groupe de migrants, qu'il s'agisse d'adultes ou d'enfants, il est important de garder à l'esprit que les membres du groupe sont susceptibles d'être issus de milieux sociaux, éducatifs et culturels différents. Elles ont probablement aussi des attitudes et des ambitions différentes en ce qui concerne l'apprentissage d'une nouvelle langue. Il est important de donner aux migrants, en particulier à ceux qui ont plus de 16 ans, la possibilité de décider ce qu'ils veulent apprendre et comment, de leur permettre d'apprendre à différents rythmes et d'utiliser différentes activités et approches de l'apprentissage des langues (voir également l'Outil 6 - </w:t>
      </w:r>
      <w:r w:rsidRPr="00175CDE">
        <w:rPr>
          <w:rFonts w:ascii="Myriad Pro" w:eastAsiaTheme="minorEastAsia" w:hAnsi="Myriad Pro"/>
          <w:i/>
          <w:iCs/>
          <w:sz w:val="22"/>
          <w:u w:val="single"/>
          <w:lang w:eastAsia="zh-CN"/>
        </w:rPr>
        <w:t>Soutenir les migrants de différents âges qui apprennent une nouvelle langue</w:t>
      </w:r>
      <w:r w:rsidRPr="00175CDE">
        <w:rPr>
          <w:rFonts w:ascii="Myriad Pro" w:eastAsiaTheme="minorEastAsia" w:hAnsi="Myriad Pro"/>
          <w:sz w:val="22"/>
          <w:lang w:eastAsia="zh-CN"/>
        </w:rPr>
        <w:t>).</w:t>
      </w:r>
    </w:p>
    <w:p w14:paraId="4FDA4CE9" w14:textId="77777777" w:rsidR="00F75E66" w:rsidRPr="00175CDE" w:rsidRDefault="00F75E66" w:rsidP="00F75E66">
      <w:pPr>
        <w:pStyle w:val="TKTITRE1"/>
        <w:jc w:val="both"/>
        <w:rPr>
          <w:rFonts w:ascii="Myriad Pro" w:hAnsi="Myriad Pro"/>
          <w:sz w:val="30"/>
          <w:szCs w:val="28"/>
          <w:lang w:val="fr-FR"/>
        </w:rPr>
      </w:pPr>
    </w:p>
    <w:p w14:paraId="04C56582" w14:textId="77777777" w:rsidR="00F75E66" w:rsidRPr="00175CDE" w:rsidRDefault="00F75E66" w:rsidP="00F75E66">
      <w:pPr>
        <w:pStyle w:val="TKTITRE1"/>
        <w:jc w:val="both"/>
        <w:rPr>
          <w:rFonts w:ascii="Myriad Pro" w:hAnsi="Myriad Pro"/>
          <w:sz w:val="26"/>
          <w:szCs w:val="24"/>
          <w:lang w:val="fr-FR"/>
        </w:rPr>
      </w:pPr>
      <w:r w:rsidRPr="00175CDE">
        <w:rPr>
          <w:rFonts w:ascii="Myriad Pro" w:hAnsi="Myriad Pro"/>
          <w:sz w:val="26"/>
          <w:szCs w:val="24"/>
          <w:lang w:val="fr-FR"/>
        </w:rPr>
        <w:t>Réflexion sur votre groupe d'apprenants en langues</w:t>
      </w:r>
    </w:p>
    <w:p w14:paraId="23D3DE0E" w14:textId="77A30E57" w:rsidR="00F75E66" w:rsidRPr="00175CDE" w:rsidRDefault="00F75E66" w:rsidP="00F75E66">
      <w:pPr>
        <w:jc w:val="both"/>
        <w:rPr>
          <w:rFonts w:ascii="Myriad Pro" w:hAnsi="Myriad Pro"/>
          <w:sz w:val="22"/>
        </w:rPr>
      </w:pPr>
      <w:r w:rsidRPr="00175CDE">
        <w:rPr>
          <w:rFonts w:ascii="Myriad Pro" w:hAnsi="Myriad Pro"/>
          <w:sz w:val="22"/>
        </w:rPr>
        <w:t>La liste de contrôle ci-dessous contient quelques-uns des principaux facteurs qui contribuent à la diversité des groupes d'apprenants migrants, qu'il s'agisse d'adultes, d'adolescents ou d'enfants d'âges différents. Lisez les facteurs de la liste et notez brièvement ceux qui sont pertinents pour votre/vos groupe(s) d'apprenants. Si vous pensez que l'un des facteurs est important ou très important, cochez (</w:t>
      </w:r>
      <w:r w:rsidRPr="00175CDE">
        <w:rPr>
          <w:rFonts w:ascii="Myriad Pro" w:hAnsi="Myriad Pro" w:cstheme="minorHAnsi"/>
          <w:sz w:val="22"/>
        </w:rPr>
        <w:sym w:font="Wingdings" w:char="F0FC"/>
      </w:r>
      <w:r w:rsidRPr="00175CDE">
        <w:rPr>
          <w:rFonts w:ascii="Myriad Pro" w:hAnsi="Myriad Pro" w:cstheme="minorHAnsi"/>
          <w:sz w:val="22"/>
        </w:rPr>
        <w:t xml:space="preserve">) ou </w:t>
      </w:r>
      <w:r w:rsidRPr="00175CDE">
        <w:rPr>
          <w:rFonts w:ascii="Myriad Pro" w:hAnsi="Myriad Pro"/>
          <w:sz w:val="22"/>
        </w:rPr>
        <w:t>doublez (</w:t>
      </w:r>
      <w:bookmarkStart w:id="1" w:name="_Hlk121731998"/>
      <w:r w:rsidRPr="00175CDE">
        <w:rPr>
          <w:rFonts w:ascii="Myriad Pro" w:hAnsi="Myriad Pro" w:cstheme="minorHAnsi"/>
          <w:sz w:val="22"/>
        </w:rPr>
        <w:sym w:font="Wingdings" w:char="F0FC"/>
      </w:r>
      <w:r w:rsidRPr="00175CDE">
        <w:rPr>
          <w:rFonts w:ascii="Myriad Pro" w:hAnsi="Myriad Pro" w:cstheme="minorHAnsi"/>
          <w:sz w:val="22"/>
        </w:rPr>
        <w:sym w:font="Wingdings" w:char="F0FC"/>
      </w:r>
      <w:bookmarkEnd w:id="1"/>
      <w:r w:rsidRPr="00175CDE">
        <w:rPr>
          <w:rFonts w:ascii="Myriad Pro" w:hAnsi="Myriad Pro" w:cstheme="minorHAnsi"/>
          <w:sz w:val="22"/>
        </w:rPr>
        <w:t>)</w:t>
      </w:r>
      <w:r w:rsidRPr="00175CDE">
        <w:rPr>
          <w:rFonts w:ascii="Myriad Pro" w:hAnsi="Myriad Pro"/>
          <w:sz w:val="22"/>
        </w:rPr>
        <w:t xml:space="preserve"> pour le mettre en évidence et, si vous devez réfléchir à la manière de traiter ces facteurs dans la planification du soutien linguistique, mettez un point d'interrogation et écrivez de brèves notes à côté de ces facteurs.</w:t>
      </w:r>
      <w:bookmarkEnd w:id="0"/>
    </w:p>
    <w:p w14:paraId="456A24FA" w14:textId="77777777" w:rsidR="00F75E66" w:rsidRPr="00175CDE" w:rsidRDefault="00F75E66">
      <w:pPr>
        <w:spacing w:after="160" w:line="259" w:lineRule="auto"/>
        <w:rPr>
          <w:rFonts w:ascii="Myriad Pro" w:hAnsi="Myriad Pro"/>
          <w:sz w:val="22"/>
        </w:rPr>
      </w:pPr>
      <w:r w:rsidRPr="00175CDE">
        <w:rPr>
          <w:rFonts w:ascii="Myriad Pro" w:hAnsi="Myriad Pro"/>
          <w:sz w:val="22"/>
        </w:rPr>
        <w:br w:type="page"/>
      </w:r>
    </w:p>
    <w:tbl>
      <w:tblPr>
        <w:tblStyle w:val="TableGrid"/>
        <w:tblW w:w="5114" w:type="pct"/>
        <w:tblLayout w:type="fixed"/>
        <w:tblLook w:val="04A0" w:firstRow="1" w:lastRow="0" w:firstColumn="1" w:lastColumn="0" w:noHBand="0" w:noVBand="1"/>
      </w:tblPr>
      <w:tblGrid>
        <w:gridCol w:w="533"/>
        <w:gridCol w:w="4282"/>
        <w:gridCol w:w="2214"/>
        <w:gridCol w:w="1756"/>
        <w:gridCol w:w="1701"/>
      </w:tblGrid>
      <w:tr w:rsidR="00F75E66" w:rsidRPr="00175CDE" w14:paraId="40DD760B" w14:textId="77777777" w:rsidTr="00F75E66">
        <w:trPr>
          <w:trHeight w:val="1245"/>
        </w:trPr>
        <w:tc>
          <w:tcPr>
            <w:tcW w:w="4815" w:type="dxa"/>
            <w:gridSpan w:val="2"/>
            <w:vAlign w:val="center"/>
          </w:tcPr>
          <w:p w14:paraId="0730BD04" w14:textId="4E9AB05F" w:rsidR="00F75E66" w:rsidRPr="00175CDE" w:rsidRDefault="00F75E66" w:rsidP="00D02227">
            <w:pPr>
              <w:pStyle w:val="TKTextetableau"/>
              <w:jc w:val="center"/>
              <w:rPr>
                <w:rFonts w:ascii="Myriad Pro" w:hAnsi="Myriad Pro"/>
                <w:b/>
                <w:bCs/>
                <w:sz w:val="18"/>
                <w:szCs w:val="18"/>
                <w:lang w:val="fr-FR"/>
              </w:rPr>
            </w:pPr>
            <w:bookmarkStart w:id="2" w:name="_Hlk121732479"/>
            <w:r w:rsidRPr="00175CDE">
              <w:rPr>
                <w:rFonts w:ascii="Myriad Pro" w:hAnsi="Myriad Pro"/>
                <w:b/>
                <w:bCs/>
                <w:sz w:val="18"/>
                <w:szCs w:val="18"/>
                <w:lang w:val="fr-FR"/>
              </w:rPr>
              <w:lastRenderedPageBreak/>
              <w:t xml:space="preserve">Facteurs influençant la diversité </w:t>
            </w:r>
            <w:r w:rsidRPr="00175CDE">
              <w:rPr>
                <w:rFonts w:ascii="Myriad Pro" w:hAnsi="Myriad Pro"/>
                <w:b/>
                <w:bCs/>
                <w:sz w:val="18"/>
                <w:szCs w:val="18"/>
                <w:lang w:val="fr-FR"/>
              </w:rPr>
              <w:br/>
              <w:t>au sein d'un groupe</w:t>
            </w:r>
          </w:p>
        </w:tc>
        <w:tc>
          <w:tcPr>
            <w:tcW w:w="2214" w:type="dxa"/>
            <w:vAlign w:val="center"/>
          </w:tcPr>
          <w:p w14:paraId="73D00091" w14:textId="39B6739F" w:rsidR="00F75E66" w:rsidRPr="00175CDE" w:rsidRDefault="00F75E66" w:rsidP="00D02227">
            <w:pPr>
              <w:pStyle w:val="TKTextetableau"/>
              <w:jc w:val="center"/>
              <w:rPr>
                <w:rFonts w:ascii="Myriad Pro" w:hAnsi="Myriad Pro"/>
                <w:b/>
                <w:bCs/>
                <w:sz w:val="18"/>
                <w:szCs w:val="18"/>
                <w:lang w:val="fr-FR"/>
              </w:rPr>
            </w:pPr>
            <w:r w:rsidRPr="00175CDE">
              <w:rPr>
                <w:rFonts w:ascii="Myriad Pro" w:hAnsi="Myriad Pro"/>
                <w:b/>
                <w:bCs/>
                <w:sz w:val="18"/>
                <w:szCs w:val="18"/>
                <w:lang w:val="fr-FR"/>
              </w:rPr>
              <w:t xml:space="preserve">Ce facteur est </w:t>
            </w:r>
            <w:r w:rsidR="001370B7">
              <w:rPr>
                <w:rFonts w:ascii="Myriad Pro" w:hAnsi="Myriad Pro"/>
                <w:b/>
                <w:bCs/>
                <w:sz w:val="18"/>
                <w:szCs w:val="18"/>
                <w:lang w:val="fr-FR"/>
              </w:rPr>
              <w:br/>
            </w:r>
            <w:r w:rsidRPr="00175CDE">
              <w:rPr>
                <w:rFonts w:ascii="Myriad Pro" w:hAnsi="Myriad Pro"/>
                <w:b/>
                <w:bCs/>
                <w:sz w:val="18"/>
                <w:szCs w:val="18"/>
                <w:lang w:val="fr-FR"/>
              </w:rPr>
              <w:t>pertinent (</w:t>
            </w:r>
            <w:r w:rsidRPr="00175CDE">
              <w:rPr>
                <w:rFonts w:ascii="Myriad Pro" w:hAnsi="Myriad Pro"/>
                <w:b/>
                <w:bCs/>
                <w:sz w:val="18"/>
                <w:szCs w:val="18"/>
              </w:rPr>
              <w:sym w:font="Wingdings" w:char="F0FC"/>
            </w:r>
            <w:r w:rsidRPr="00175CDE">
              <w:rPr>
                <w:rFonts w:ascii="Myriad Pro" w:hAnsi="Myriad Pro"/>
                <w:b/>
                <w:bCs/>
                <w:sz w:val="18"/>
                <w:szCs w:val="18"/>
                <w:lang w:val="fr-FR"/>
              </w:rPr>
              <w:t xml:space="preserve">) ou </w:t>
            </w:r>
            <w:r w:rsidR="001370B7">
              <w:rPr>
                <w:rFonts w:ascii="Myriad Pro" w:hAnsi="Myriad Pro"/>
                <w:b/>
                <w:bCs/>
                <w:sz w:val="18"/>
                <w:szCs w:val="18"/>
                <w:lang w:val="fr-FR"/>
              </w:rPr>
              <w:br/>
            </w:r>
            <w:r w:rsidRPr="00175CDE">
              <w:rPr>
                <w:rFonts w:ascii="Myriad Pro" w:hAnsi="Myriad Pro"/>
                <w:b/>
                <w:bCs/>
                <w:sz w:val="18"/>
                <w:szCs w:val="18"/>
                <w:lang w:val="fr-FR"/>
              </w:rPr>
              <w:t>très pertinent (</w:t>
            </w:r>
            <w:r w:rsidRPr="00175CDE">
              <w:rPr>
                <w:rFonts w:ascii="Myriad Pro" w:hAnsi="Myriad Pro"/>
                <w:b/>
                <w:bCs/>
                <w:sz w:val="18"/>
                <w:szCs w:val="18"/>
              </w:rPr>
              <w:sym w:font="Wingdings" w:char="F0FC"/>
            </w:r>
            <w:r w:rsidRPr="00175CDE">
              <w:rPr>
                <w:rFonts w:ascii="Myriad Pro" w:hAnsi="Myriad Pro"/>
                <w:b/>
                <w:bCs/>
                <w:sz w:val="18"/>
                <w:szCs w:val="18"/>
              </w:rPr>
              <w:sym w:font="Wingdings" w:char="F0FC"/>
            </w:r>
            <w:r w:rsidRPr="00175CDE">
              <w:rPr>
                <w:rFonts w:ascii="Myriad Pro" w:hAnsi="Myriad Pro"/>
                <w:b/>
                <w:bCs/>
                <w:sz w:val="18"/>
                <w:szCs w:val="18"/>
                <w:lang w:val="fr-FR"/>
              </w:rPr>
              <w:t>)</w:t>
            </w:r>
          </w:p>
        </w:tc>
        <w:tc>
          <w:tcPr>
            <w:tcW w:w="1756" w:type="dxa"/>
            <w:vAlign w:val="center"/>
          </w:tcPr>
          <w:p w14:paraId="0DB2AAC6" w14:textId="77777777" w:rsidR="00F75E66" w:rsidRPr="00175CDE" w:rsidRDefault="00F75E66" w:rsidP="00D02227">
            <w:pPr>
              <w:pStyle w:val="TKTextetableau"/>
              <w:jc w:val="center"/>
              <w:rPr>
                <w:rFonts w:ascii="Myriad Pro" w:hAnsi="Myriad Pro"/>
                <w:b/>
                <w:bCs/>
                <w:sz w:val="18"/>
                <w:szCs w:val="18"/>
                <w:lang w:val="fr-FR"/>
              </w:rPr>
            </w:pPr>
            <w:r w:rsidRPr="00175CDE">
              <w:rPr>
                <w:rFonts w:ascii="Myriad Pro" w:hAnsi="Myriad Pro"/>
                <w:b/>
                <w:bCs/>
                <w:sz w:val="18"/>
                <w:szCs w:val="18"/>
                <w:lang w:val="fr-FR"/>
              </w:rPr>
              <w:t>Je dois réfléchir à la manière dont je vais gérer cela (?).</w:t>
            </w:r>
          </w:p>
        </w:tc>
        <w:tc>
          <w:tcPr>
            <w:tcW w:w="1701" w:type="dxa"/>
            <w:vAlign w:val="center"/>
          </w:tcPr>
          <w:p w14:paraId="1A4E1738" w14:textId="63F2C0C5" w:rsidR="00F75E66" w:rsidRPr="00175CDE" w:rsidRDefault="00F75E66" w:rsidP="00D02227">
            <w:pPr>
              <w:pStyle w:val="TKTextetableau"/>
              <w:jc w:val="center"/>
              <w:rPr>
                <w:rFonts w:ascii="Myriad Pro" w:hAnsi="Myriad Pro"/>
                <w:b/>
                <w:bCs/>
                <w:sz w:val="18"/>
                <w:szCs w:val="18"/>
              </w:rPr>
            </w:pPr>
            <w:r w:rsidRPr="00175CDE">
              <w:rPr>
                <w:rFonts w:ascii="Myriad Pro" w:hAnsi="Myriad Pro"/>
                <w:b/>
                <w:bCs/>
                <w:sz w:val="18"/>
                <w:szCs w:val="18"/>
              </w:rPr>
              <w:t xml:space="preserve">Notes à </w:t>
            </w:r>
            <w:r w:rsidR="001370B7">
              <w:rPr>
                <w:rFonts w:ascii="Myriad Pro" w:hAnsi="Myriad Pro"/>
                <w:b/>
                <w:bCs/>
                <w:sz w:val="18"/>
                <w:szCs w:val="18"/>
              </w:rPr>
              <w:br/>
            </w:r>
            <w:proofErr w:type="spellStart"/>
            <w:r w:rsidRPr="00175CDE">
              <w:rPr>
                <w:rFonts w:ascii="Myriad Pro" w:hAnsi="Myriad Pro"/>
                <w:b/>
                <w:bCs/>
                <w:sz w:val="18"/>
                <w:szCs w:val="18"/>
              </w:rPr>
              <w:t>moi-même</w:t>
            </w:r>
            <w:proofErr w:type="spellEnd"/>
          </w:p>
        </w:tc>
      </w:tr>
      <w:bookmarkEnd w:id="2"/>
      <w:tr w:rsidR="00F75E66" w:rsidRPr="00175CDE" w14:paraId="1A542566" w14:textId="77777777" w:rsidTr="00F75E66">
        <w:trPr>
          <w:trHeight w:val="270"/>
        </w:trPr>
        <w:tc>
          <w:tcPr>
            <w:tcW w:w="533" w:type="dxa"/>
            <w:shd w:val="clear" w:color="auto" w:fill="FFFFFF" w:themeFill="background1"/>
            <w:vAlign w:val="center"/>
          </w:tcPr>
          <w:p w14:paraId="0B064E67"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1</w:t>
            </w:r>
          </w:p>
        </w:tc>
        <w:tc>
          <w:tcPr>
            <w:tcW w:w="4282" w:type="dxa"/>
            <w:shd w:val="clear" w:color="auto" w:fill="FFFFFF" w:themeFill="background1"/>
            <w:vAlign w:val="center"/>
          </w:tcPr>
          <w:p w14:paraId="0BFA870F"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Un large éventail d'âges parmi les apprenants</w:t>
            </w:r>
          </w:p>
        </w:tc>
        <w:tc>
          <w:tcPr>
            <w:tcW w:w="2214" w:type="dxa"/>
            <w:shd w:val="clear" w:color="auto" w:fill="FFFFFF" w:themeFill="background1"/>
            <w:vAlign w:val="center"/>
          </w:tcPr>
          <w:p w14:paraId="251C026C"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FFFFFF" w:themeFill="background1"/>
            <w:vAlign w:val="center"/>
          </w:tcPr>
          <w:p w14:paraId="3E95B703"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FFFFFF" w:themeFill="background1"/>
            <w:vAlign w:val="center"/>
          </w:tcPr>
          <w:p w14:paraId="109AB666"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76736E38" w14:textId="77777777" w:rsidTr="00F75E66">
        <w:trPr>
          <w:trHeight w:val="834"/>
        </w:trPr>
        <w:tc>
          <w:tcPr>
            <w:tcW w:w="533" w:type="dxa"/>
            <w:shd w:val="clear" w:color="auto" w:fill="D9D9D9" w:themeFill="background1" w:themeFillShade="D9"/>
            <w:vAlign w:val="center"/>
          </w:tcPr>
          <w:p w14:paraId="292B7254"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2</w:t>
            </w:r>
          </w:p>
        </w:tc>
        <w:tc>
          <w:tcPr>
            <w:tcW w:w="4282" w:type="dxa"/>
            <w:shd w:val="clear" w:color="auto" w:fill="D9D9D9" w:themeFill="background1" w:themeFillShade="D9"/>
            <w:vAlign w:val="center"/>
          </w:tcPr>
          <w:p w14:paraId="02CDC3CE"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Les personnes qui ont déjà des compétences dans la nouvelle langue, par exemple pour parler ou écouter, ainsi que les personnes qui ne connaissent pas un mot de cette langue.</w:t>
            </w:r>
          </w:p>
        </w:tc>
        <w:tc>
          <w:tcPr>
            <w:tcW w:w="2214" w:type="dxa"/>
            <w:shd w:val="clear" w:color="auto" w:fill="D9D9D9" w:themeFill="background1" w:themeFillShade="D9"/>
            <w:vAlign w:val="center"/>
          </w:tcPr>
          <w:p w14:paraId="2ADD6DA9"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D9D9D9" w:themeFill="background1" w:themeFillShade="D9"/>
            <w:vAlign w:val="center"/>
          </w:tcPr>
          <w:p w14:paraId="0BC4AC3D"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D9D9D9" w:themeFill="background1" w:themeFillShade="D9"/>
            <w:vAlign w:val="center"/>
          </w:tcPr>
          <w:p w14:paraId="1310615A"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08CAF3B5" w14:textId="77777777" w:rsidTr="00F75E66">
        <w:trPr>
          <w:trHeight w:val="772"/>
        </w:trPr>
        <w:tc>
          <w:tcPr>
            <w:tcW w:w="533" w:type="dxa"/>
            <w:vAlign w:val="center"/>
          </w:tcPr>
          <w:p w14:paraId="455840D8"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3</w:t>
            </w:r>
          </w:p>
        </w:tc>
        <w:tc>
          <w:tcPr>
            <w:tcW w:w="4282" w:type="dxa"/>
            <w:vAlign w:val="center"/>
          </w:tcPr>
          <w:p w14:paraId="65BC8AE3"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Les personnes qui n'ont jamais appris à lire et à écrire, et ne sont donc alphabétisées dans aucune langue, ainsi que les personnes qui savent lire et écrire, au moins dans leur propre langue.</w:t>
            </w:r>
          </w:p>
        </w:tc>
        <w:tc>
          <w:tcPr>
            <w:tcW w:w="2214" w:type="dxa"/>
            <w:vAlign w:val="center"/>
          </w:tcPr>
          <w:p w14:paraId="0D29204D" w14:textId="77777777" w:rsidR="00F75E66" w:rsidRPr="00175CDE" w:rsidRDefault="00F75E66" w:rsidP="00F75E66">
            <w:pPr>
              <w:pStyle w:val="TKTextetableau"/>
              <w:spacing w:after="240" w:line="276" w:lineRule="auto"/>
              <w:rPr>
                <w:rFonts w:ascii="Myriad Pro" w:hAnsi="Myriad Pro"/>
                <w:lang w:val="fr-FR"/>
              </w:rPr>
            </w:pPr>
          </w:p>
        </w:tc>
        <w:tc>
          <w:tcPr>
            <w:tcW w:w="1756" w:type="dxa"/>
            <w:vAlign w:val="center"/>
          </w:tcPr>
          <w:p w14:paraId="7DC8EAC8" w14:textId="77777777" w:rsidR="00F75E66" w:rsidRPr="00175CDE" w:rsidRDefault="00F75E66" w:rsidP="00F75E66">
            <w:pPr>
              <w:pStyle w:val="TKTextetableau"/>
              <w:spacing w:after="240" w:line="276" w:lineRule="auto"/>
              <w:rPr>
                <w:rFonts w:ascii="Myriad Pro" w:hAnsi="Myriad Pro"/>
                <w:lang w:val="fr-FR"/>
              </w:rPr>
            </w:pPr>
          </w:p>
        </w:tc>
        <w:tc>
          <w:tcPr>
            <w:tcW w:w="1701" w:type="dxa"/>
            <w:vAlign w:val="center"/>
          </w:tcPr>
          <w:p w14:paraId="1FE3FF6E"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505C93DB" w14:textId="77777777" w:rsidTr="00F75E66">
        <w:trPr>
          <w:trHeight w:val="1043"/>
        </w:trPr>
        <w:tc>
          <w:tcPr>
            <w:tcW w:w="533" w:type="dxa"/>
            <w:shd w:val="clear" w:color="auto" w:fill="D9D9D9" w:themeFill="background1" w:themeFillShade="D9"/>
            <w:vAlign w:val="center"/>
          </w:tcPr>
          <w:p w14:paraId="6CF42AF0"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4</w:t>
            </w:r>
          </w:p>
        </w:tc>
        <w:tc>
          <w:tcPr>
            <w:tcW w:w="4282" w:type="dxa"/>
            <w:shd w:val="clear" w:color="auto" w:fill="D9D9D9" w:themeFill="background1" w:themeFillShade="D9"/>
            <w:vAlign w:val="center"/>
          </w:tcPr>
          <w:p w14:paraId="6E201E43"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 xml:space="preserve">Il y a des personnes qui commencent à parler sans se soucier de </w:t>
            </w:r>
            <w:proofErr w:type="gramStart"/>
            <w:r w:rsidRPr="00175CDE">
              <w:rPr>
                <w:rFonts w:ascii="Myriad Pro" w:hAnsi="Myriad Pro"/>
                <w:lang w:val="fr-FR"/>
              </w:rPr>
              <w:t>faire</w:t>
            </w:r>
            <w:proofErr w:type="gramEnd"/>
            <w:r w:rsidRPr="00175CDE">
              <w:rPr>
                <w:rFonts w:ascii="Myriad Pro" w:hAnsi="Myriad Pro"/>
                <w:lang w:val="fr-FR"/>
              </w:rPr>
              <w:t xml:space="preserve"> des fautes, et d'autres qui restent silencieuses jusqu'à ce qu'elles soient sûres de savoir comment prononcer un mot correctement ou comment former une phrase correcte.</w:t>
            </w:r>
          </w:p>
        </w:tc>
        <w:tc>
          <w:tcPr>
            <w:tcW w:w="2214" w:type="dxa"/>
            <w:shd w:val="clear" w:color="auto" w:fill="D9D9D9" w:themeFill="background1" w:themeFillShade="D9"/>
            <w:vAlign w:val="center"/>
          </w:tcPr>
          <w:p w14:paraId="6135F1E4"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D9D9D9" w:themeFill="background1" w:themeFillShade="D9"/>
            <w:vAlign w:val="center"/>
          </w:tcPr>
          <w:p w14:paraId="6D8D93EA"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D9D9D9" w:themeFill="background1" w:themeFillShade="D9"/>
            <w:vAlign w:val="center"/>
          </w:tcPr>
          <w:p w14:paraId="6B705AE9"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43B7D9CF" w14:textId="77777777" w:rsidTr="00F75E66">
        <w:trPr>
          <w:trHeight w:val="709"/>
        </w:trPr>
        <w:tc>
          <w:tcPr>
            <w:tcW w:w="533" w:type="dxa"/>
            <w:vAlign w:val="center"/>
          </w:tcPr>
          <w:p w14:paraId="0AA1121A"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5</w:t>
            </w:r>
          </w:p>
        </w:tc>
        <w:tc>
          <w:tcPr>
            <w:tcW w:w="4282" w:type="dxa"/>
            <w:vAlign w:val="center"/>
          </w:tcPr>
          <w:p w14:paraId="6040253E"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Les personnes qui maîtrisent plus de deux langues, ainsi que celles qui n'ont jamais appris une autre langue.</w:t>
            </w:r>
          </w:p>
        </w:tc>
        <w:tc>
          <w:tcPr>
            <w:tcW w:w="2214" w:type="dxa"/>
            <w:vAlign w:val="center"/>
          </w:tcPr>
          <w:p w14:paraId="17E1A566" w14:textId="77777777" w:rsidR="00F75E66" w:rsidRPr="00175CDE" w:rsidRDefault="00F75E66" w:rsidP="00F75E66">
            <w:pPr>
              <w:pStyle w:val="TKTextetableau"/>
              <w:spacing w:after="240" w:line="276" w:lineRule="auto"/>
              <w:rPr>
                <w:rFonts w:ascii="Myriad Pro" w:hAnsi="Myriad Pro"/>
                <w:lang w:val="fr-FR"/>
              </w:rPr>
            </w:pPr>
          </w:p>
        </w:tc>
        <w:tc>
          <w:tcPr>
            <w:tcW w:w="1756" w:type="dxa"/>
            <w:vAlign w:val="center"/>
          </w:tcPr>
          <w:p w14:paraId="469306C8" w14:textId="77777777" w:rsidR="00F75E66" w:rsidRPr="00175CDE" w:rsidRDefault="00F75E66" w:rsidP="00F75E66">
            <w:pPr>
              <w:pStyle w:val="TKTextetableau"/>
              <w:spacing w:after="240" w:line="276" w:lineRule="auto"/>
              <w:rPr>
                <w:rFonts w:ascii="Myriad Pro" w:hAnsi="Myriad Pro"/>
                <w:lang w:val="fr-FR"/>
              </w:rPr>
            </w:pPr>
          </w:p>
        </w:tc>
        <w:tc>
          <w:tcPr>
            <w:tcW w:w="1701" w:type="dxa"/>
            <w:vAlign w:val="center"/>
          </w:tcPr>
          <w:p w14:paraId="11780080"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676F68D2" w14:textId="77777777" w:rsidTr="00F75E66">
        <w:trPr>
          <w:trHeight w:val="536"/>
        </w:trPr>
        <w:tc>
          <w:tcPr>
            <w:tcW w:w="533" w:type="dxa"/>
            <w:shd w:val="clear" w:color="auto" w:fill="D9D9D9" w:themeFill="background1" w:themeFillShade="D9"/>
            <w:vAlign w:val="center"/>
          </w:tcPr>
          <w:p w14:paraId="7F2BB396"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6</w:t>
            </w:r>
          </w:p>
        </w:tc>
        <w:tc>
          <w:tcPr>
            <w:tcW w:w="4282" w:type="dxa"/>
            <w:shd w:val="clear" w:color="auto" w:fill="D9D9D9" w:themeFill="background1" w:themeFillShade="D9"/>
            <w:vAlign w:val="center"/>
          </w:tcPr>
          <w:p w14:paraId="4A957615"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Les personnes éduquées, ainsi que les personnes ayant peu ou pas d'éducation formelle</w:t>
            </w:r>
          </w:p>
        </w:tc>
        <w:tc>
          <w:tcPr>
            <w:tcW w:w="2214" w:type="dxa"/>
            <w:shd w:val="clear" w:color="auto" w:fill="D9D9D9" w:themeFill="background1" w:themeFillShade="D9"/>
            <w:vAlign w:val="center"/>
          </w:tcPr>
          <w:p w14:paraId="62DFCF61"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D9D9D9" w:themeFill="background1" w:themeFillShade="D9"/>
            <w:vAlign w:val="center"/>
          </w:tcPr>
          <w:p w14:paraId="3F23AE94"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D9D9D9" w:themeFill="background1" w:themeFillShade="D9"/>
            <w:vAlign w:val="center"/>
          </w:tcPr>
          <w:p w14:paraId="56ED44A6"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61AA8EE4" w14:textId="77777777" w:rsidTr="00F75E66">
        <w:trPr>
          <w:trHeight w:val="429"/>
        </w:trPr>
        <w:tc>
          <w:tcPr>
            <w:tcW w:w="533" w:type="dxa"/>
          </w:tcPr>
          <w:p w14:paraId="38153C4C"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7</w:t>
            </w:r>
          </w:p>
        </w:tc>
        <w:tc>
          <w:tcPr>
            <w:tcW w:w="4282" w:type="dxa"/>
          </w:tcPr>
          <w:p w14:paraId="21B6FAB1"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Les personnes qui ont l'occasion d'utiliser la nouvelle langue en dehors de l'environnement d'apprentissage et celles qui ne l'ont pas.</w:t>
            </w:r>
          </w:p>
        </w:tc>
        <w:tc>
          <w:tcPr>
            <w:tcW w:w="2214" w:type="dxa"/>
          </w:tcPr>
          <w:p w14:paraId="03BC0BEE" w14:textId="77777777" w:rsidR="00F75E66" w:rsidRPr="00175CDE" w:rsidRDefault="00F75E66" w:rsidP="00F75E66">
            <w:pPr>
              <w:pStyle w:val="TKTextetableau"/>
              <w:spacing w:after="240" w:line="276" w:lineRule="auto"/>
              <w:rPr>
                <w:rFonts w:ascii="Myriad Pro" w:hAnsi="Myriad Pro"/>
                <w:lang w:val="fr-FR"/>
              </w:rPr>
            </w:pPr>
          </w:p>
        </w:tc>
        <w:tc>
          <w:tcPr>
            <w:tcW w:w="1756" w:type="dxa"/>
          </w:tcPr>
          <w:p w14:paraId="602262B4" w14:textId="77777777" w:rsidR="00F75E66" w:rsidRPr="00175CDE" w:rsidRDefault="00F75E66" w:rsidP="00F75E66">
            <w:pPr>
              <w:pStyle w:val="TKTextetableau"/>
              <w:spacing w:after="240" w:line="276" w:lineRule="auto"/>
              <w:rPr>
                <w:rFonts w:ascii="Myriad Pro" w:hAnsi="Myriad Pro"/>
                <w:lang w:val="fr-FR"/>
              </w:rPr>
            </w:pPr>
          </w:p>
        </w:tc>
        <w:tc>
          <w:tcPr>
            <w:tcW w:w="1701" w:type="dxa"/>
          </w:tcPr>
          <w:p w14:paraId="22318AE7"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1578958A" w14:textId="77777777" w:rsidTr="00F75E66">
        <w:trPr>
          <w:trHeight w:val="622"/>
        </w:trPr>
        <w:tc>
          <w:tcPr>
            <w:tcW w:w="533" w:type="dxa"/>
            <w:shd w:val="clear" w:color="auto" w:fill="D9D9D9" w:themeFill="background1" w:themeFillShade="D9"/>
          </w:tcPr>
          <w:p w14:paraId="6738ABE6"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8</w:t>
            </w:r>
          </w:p>
        </w:tc>
        <w:tc>
          <w:tcPr>
            <w:tcW w:w="4282" w:type="dxa"/>
            <w:shd w:val="clear" w:color="auto" w:fill="D9D9D9" w:themeFill="background1" w:themeFillShade="D9"/>
          </w:tcPr>
          <w:p w14:paraId="0427860D"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Les apprenants qui ont différents niveaux de contact avec la nouvelle langue en dehors de l'environnement d'apprentissage (par exemple, quotidiennement, rarement, uniquement avec la médiation d'autres personnes, etc.)</w:t>
            </w:r>
          </w:p>
        </w:tc>
        <w:tc>
          <w:tcPr>
            <w:tcW w:w="2214" w:type="dxa"/>
            <w:shd w:val="clear" w:color="auto" w:fill="D9D9D9" w:themeFill="background1" w:themeFillShade="D9"/>
          </w:tcPr>
          <w:p w14:paraId="7B4E5EFC"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D9D9D9" w:themeFill="background1" w:themeFillShade="D9"/>
          </w:tcPr>
          <w:p w14:paraId="089EE794"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D9D9D9" w:themeFill="background1" w:themeFillShade="D9"/>
          </w:tcPr>
          <w:p w14:paraId="5326E052"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34D581C6" w14:textId="77777777" w:rsidTr="00F75E66">
        <w:trPr>
          <w:trHeight w:val="536"/>
        </w:trPr>
        <w:tc>
          <w:tcPr>
            <w:tcW w:w="533" w:type="dxa"/>
            <w:shd w:val="clear" w:color="auto" w:fill="FFFFFF" w:themeFill="background1"/>
          </w:tcPr>
          <w:p w14:paraId="4E0D8A40"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9</w:t>
            </w:r>
          </w:p>
        </w:tc>
        <w:tc>
          <w:tcPr>
            <w:tcW w:w="4282" w:type="dxa"/>
            <w:shd w:val="clear" w:color="auto" w:fill="FFFFFF" w:themeFill="background1"/>
          </w:tcPr>
          <w:p w14:paraId="787D9F26"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Des personnes ayant des personnalités, des niveaux de motivation, des attitudes, des modes de comportement, etc. différents, qui peuvent affecter l'apprentissage individuel et collectif de différentes manières.</w:t>
            </w:r>
          </w:p>
        </w:tc>
        <w:tc>
          <w:tcPr>
            <w:tcW w:w="2214" w:type="dxa"/>
            <w:shd w:val="clear" w:color="auto" w:fill="FFFFFF" w:themeFill="background1"/>
          </w:tcPr>
          <w:p w14:paraId="064F7636"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FFFFFF" w:themeFill="background1"/>
          </w:tcPr>
          <w:p w14:paraId="31769D68"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FFFFFF" w:themeFill="background1"/>
          </w:tcPr>
          <w:p w14:paraId="2E816391"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045FA443" w14:textId="77777777" w:rsidTr="00F75E66">
        <w:trPr>
          <w:trHeight w:val="983"/>
        </w:trPr>
        <w:tc>
          <w:tcPr>
            <w:tcW w:w="533" w:type="dxa"/>
            <w:shd w:val="clear" w:color="auto" w:fill="D9D9D9" w:themeFill="background1" w:themeFillShade="D9"/>
          </w:tcPr>
          <w:p w14:paraId="7DE0696F"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lastRenderedPageBreak/>
              <w:t>10</w:t>
            </w:r>
          </w:p>
        </w:tc>
        <w:tc>
          <w:tcPr>
            <w:tcW w:w="4282" w:type="dxa"/>
            <w:shd w:val="clear" w:color="auto" w:fill="D9D9D9" w:themeFill="background1" w:themeFillShade="D9"/>
          </w:tcPr>
          <w:p w14:paraId="2539C5BB"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 xml:space="preserve">Les personnes pour lesquelles des facteurs externes tels que le contexte familial, la communauté dans laquelle elles vivent, les engagements professionnels ou d'études, le niveau de familiarité avec le système éducatif, etc. peuvent affecter différemment le processus d'apprentissage. </w:t>
            </w:r>
          </w:p>
        </w:tc>
        <w:tc>
          <w:tcPr>
            <w:tcW w:w="2214" w:type="dxa"/>
            <w:shd w:val="clear" w:color="auto" w:fill="D9D9D9" w:themeFill="background1" w:themeFillShade="D9"/>
          </w:tcPr>
          <w:p w14:paraId="34635AE5"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D9D9D9" w:themeFill="background1" w:themeFillShade="D9"/>
          </w:tcPr>
          <w:p w14:paraId="62A2D35D"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D9D9D9" w:themeFill="background1" w:themeFillShade="D9"/>
          </w:tcPr>
          <w:p w14:paraId="1B937E44"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69EEBA89" w14:textId="77777777" w:rsidTr="00F75E66">
        <w:trPr>
          <w:trHeight w:val="615"/>
        </w:trPr>
        <w:tc>
          <w:tcPr>
            <w:tcW w:w="533" w:type="dxa"/>
            <w:shd w:val="clear" w:color="auto" w:fill="FFFFFF" w:themeFill="background1"/>
          </w:tcPr>
          <w:p w14:paraId="642D6299" w14:textId="77777777" w:rsidR="00F75E66" w:rsidRPr="00175CDE" w:rsidRDefault="00F75E66" w:rsidP="00F75E66">
            <w:pPr>
              <w:pStyle w:val="TKTextetableau"/>
              <w:spacing w:after="240" w:line="276" w:lineRule="auto"/>
              <w:rPr>
                <w:rFonts w:ascii="Myriad Pro" w:hAnsi="Myriad Pro"/>
                <w:sz w:val="18"/>
                <w:szCs w:val="18"/>
                <w:lang w:val="en-US"/>
              </w:rPr>
            </w:pPr>
            <w:bookmarkStart w:id="3" w:name="_Hlk120632064"/>
            <w:r w:rsidRPr="00175CDE">
              <w:rPr>
                <w:rFonts w:ascii="Myriad Pro" w:hAnsi="Myriad Pro"/>
                <w:sz w:val="18"/>
                <w:szCs w:val="18"/>
                <w:lang w:val="en-US"/>
              </w:rPr>
              <w:t>11</w:t>
            </w:r>
          </w:p>
        </w:tc>
        <w:tc>
          <w:tcPr>
            <w:tcW w:w="4282" w:type="dxa"/>
            <w:shd w:val="clear" w:color="auto" w:fill="FFFFFF" w:themeFill="background1"/>
          </w:tcPr>
          <w:p w14:paraId="3C2C73A1"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Pour certains apprenants, il existe une différence d'écriture entre leur première langue (par exemple l'arabe) et la nouvelle langue européenne.</w:t>
            </w:r>
          </w:p>
        </w:tc>
        <w:tc>
          <w:tcPr>
            <w:tcW w:w="2214" w:type="dxa"/>
            <w:shd w:val="clear" w:color="auto" w:fill="FFFFFF" w:themeFill="background1"/>
          </w:tcPr>
          <w:p w14:paraId="105CBE7C"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FFFFFF" w:themeFill="background1"/>
          </w:tcPr>
          <w:p w14:paraId="51044A1A"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FFFFFF" w:themeFill="background1"/>
          </w:tcPr>
          <w:p w14:paraId="2C9BA3FC"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6D2E40A0" w14:textId="77777777" w:rsidTr="00F75E66">
        <w:trPr>
          <w:trHeight w:val="1155"/>
        </w:trPr>
        <w:tc>
          <w:tcPr>
            <w:tcW w:w="533" w:type="dxa"/>
            <w:shd w:val="clear" w:color="auto" w:fill="D9D9D9" w:themeFill="background1" w:themeFillShade="D9"/>
          </w:tcPr>
          <w:p w14:paraId="0676F842"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12</w:t>
            </w:r>
          </w:p>
        </w:tc>
        <w:tc>
          <w:tcPr>
            <w:tcW w:w="4282" w:type="dxa"/>
            <w:shd w:val="clear" w:color="auto" w:fill="D9D9D9" w:themeFill="background1" w:themeFillShade="D9"/>
          </w:tcPr>
          <w:p w14:paraId="1D1EB154"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Divers projets de migration parmi les apprenants (par exemple, des demandeurs d'asile qui considèrent le pays d'accueil comme un pont temporaire pour atteindre un autre pays, et d'autres qui ont migré pour rejoindre leur famille qui est déjà résidente).</w:t>
            </w:r>
          </w:p>
        </w:tc>
        <w:tc>
          <w:tcPr>
            <w:tcW w:w="2214" w:type="dxa"/>
            <w:shd w:val="clear" w:color="auto" w:fill="D9D9D9" w:themeFill="background1" w:themeFillShade="D9"/>
          </w:tcPr>
          <w:p w14:paraId="3D85A394"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D9D9D9" w:themeFill="background1" w:themeFillShade="D9"/>
          </w:tcPr>
          <w:p w14:paraId="4AE14A38"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D9D9D9" w:themeFill="background1" w:themeFillShade="D9"/>
          </w:tcPr>
          <w:p w14:paraId="3FE91DEF" w14:textId="77777777" w:rsidR="00F75E66" w:rsidRPr="00175CDE" w:rsidRDefault="00F75E66" w:rsidP="00F75E66">
            <w:pPr>
              <w:pStyle w:val="TKTextetableau"/>
              <w:spacing w:after="240" w:line="276" w:lineRule="auto"/>
              <w:rPr>
                <w:rFonts w:ascii="Myriad Pro" w:hAnsi="Myriad Pro"/>
                <w:lang w:val="fr-FR"/>
              </w:rPr>
            </w:pPr>
          </w:p>
        </w:tc>
      </w:tr>
      <w:bookmarkEnd w:id="3"/>
      <w:tr w:rsidR="00F75E66" w:rsidRPr="00175CDE" w14:paraId="6248E5EF" w14:textId="77777777" w:rsidTr="00F75E66">
        <w:trPr>
          <w:trHeight w:val="737"/>
        </w:trPr>
        <w:tc>
          <w:tcPr>
            <w:tcW w:w="533" w:type="dxa"/>
            <w:shd w:val="clear" w:color="auto" w:fill="FFFFFF" w:themeFill="background1"/>
          </w:tcPr>
          <w:p w14:paraId="22721C0F"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13</w:t>
            </w:r>
          </w:p>
        </w:tc>
        <w:tc>
          <w:tcPr>
            <w:tcW w:w="4282" w:type="dxa"/>
            <w:shd w:val="clear" w:color="auto" w:fill="FFFFFF" w:themeFill="background1"/>
          </w:tcPr>
          <w:p w14:paraId="0EAB2E83" w14:textId="7777777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Différents niveaux d'accès aux ressources d'apprentissage, en particulier l'internet, les appareils numériques, les logiciels et les applications, les niveaux de compétence numérique, une bonne connexion Wi-Fi, etc.</w:t>
            </w:r>
          </w:p>
        </w:tc>
        <w:tc>
          <w:tcPr>
            <w:tcW w:w="2214" w:type="dxa"/>
            <w:shd w:val="clear" w:color="auto" w:fill="FFFFFF" w:themeFill="background1"/>
          </w:tcPr>
          <w:p w14:paraId="582420DE"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FFFFFF" w:themeFill="background1"/>
          </w:tcPr>
          <w:p w14:paraId="7D0DD736"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FFFFFF" w:themeFill="background1"/>
          </w:tcPr>
          <w:p w14:paraId="17062868" w14:textId="77777777" w:rsidR="00F75E66" w:rsidRPr="00175CDE" w:rsidRDefault="00F75E66" w:rsidP="00F75E66">
            <w:pPr>
              <w:pStyle w:val="TKTextetableau"/>
              <w:spacing w:after="240" w:line="276" w:lineRule="auto"/>
              <w:rPr>
                <w:rFonts w:ascii="Myriad Pro" w:hAnsi="Myriad Pro"/>
                <w:lang w:val="fr-FR"/>
              </w:rPr>
            </w:pPr>
          </w:p>
        </w:tc>
      </w:tr>
      <w:tr w:rsidR="00F75E66" w:rsidRPr="00175CDE" w14:paraId="7CABFBC0" w14:textId="77777777" w:rsidTr="00F75E66">
        <w:trPr>
          <w:trHeight w:val="534"/>
        </w:trPr>
        <w:tc>
          <w:tcPr>
            <w:tcW w:w="533" w:type="dxa"/>
            <w:shd w:val="clear" w:color="auto" w:fill="D9D9D9" w:themeFill="background1" w:themeFillShade="D9"/>
          </w:tcPr>
          <w:p w14:paraId="21A9FEF5" w14:textId="77777777" w:rsidR="00F75E66" w:rsidRPr="00175CDE" w:rsidRDefault="00F75E66" w:rsidP="00F75E66">
            <w:pPr>
              <w:pStyle w:val="TKTextetableau"/>
              <w:spacing w:after="240" w:line="276" w:lineRule="auto"/>
              <w:rPr>
                <w:rFonts w:ascii="Myriad Pro" w:hAnsi="Myriad Pro"/>
                <w:sz w:val="18"/>
                <w:szCs w:val="18"/>
              </w:rPr>
            </w:pPr>
            <w:r w:rsidRPr="00175CDE">
              <w:rPr>
                <w:rFonts w:ascii="Myriad Pro" w:hAnsi="Myriad Pro"/>
                <w:sz w:val="18"/>
                <w:szCs w:val="18"/>
              </w:rPr>
              <w:t>14</w:t>
            </w:r>
          </w:p>
        </w:tc>
        <w:tc>
          <w:tcPr>
            <w:tcW w:w="4282" w:type="dxa"/>
            <w:shd w:val="clear" w:color="auto" w:fill="D9D9D9" w:themeFill="background1" w:themeFillShade="D9"/>
          </w:tcPr>
          <w:p w14:paraId="0263249A" w14:textId="1B3415E7" w:rsidR="00F75E66" w:rsidRPr="00175CDE" w:rsidRDefault="00F75E66" w:rsidP="00F75E66">
            <w:pPr>
              <w:pStyle w:val="TKTextetableau"/>
              <w:spacing w:after="240" w:line="276" w:lineRule="auto"/>
              <w:rPr>
                <w:rFonts w:ascii="Myriad Pro" w:hAnsi="Myriad Pro"/>
                <w:lang w:val="fr-FR"/>
              </w:rPr>
            </w:pPr>
            <w:r w:rsidRPr="00175CDE">
              <w:rPr>
                <w:rFonts w:ascii="Myriad Pro" w:hAnsi="Myriad Pro"/>
                <w:lang w:val="fr-FR"/>
              </w:rPr>
              <w:t>Apprenants ayant des besoins particuliers</w:t>
            </w:r>
            <w:r w:rsidR="00175CDE">
              <w:rPr>
                <w:rFonts w:ascii="Myriad Pro" w:hAnsi="Myriad Pro"/>
                <w:lang w:val="fr-FR"/>
              </w:rPr>
              <w:t xml:space="preserve">, (par </w:t>
            </w:r>
            <w:r w:rsidRPr="00175CDE">
              <w:rPr>
                <w:rFonts w:ascii="Myriad Pro" w:hAnsi="Myriad Pro"/>
                <w:lang w:val="fr-FR"/>
              </w:rPr>
              <w:t xml:space="preserve">exemple, handicaps, déficiences visuelles, dyslexie, etc.) </w:t>
            </w:r>
          </w:p>
        </w:tc>
        <w:tc>
          <w:tcPr>
            <w:tcW w:w="2214" w:type="dxa"/>
            <w:shd w:val="clear" w:color="auto" w:fill="D9D9D9" w:themeFill="background1" w:themeFillShade="D9"/>
          </w:tcPr>
          <w:p w14:paraId="307FCF22" w14:textId="77777777" w:rsidR="00F75E66" w:rsidRPr="00175CDE" w:rsidRDefault="00F75E66" w:rsidP="00F75E66">
            <w:pPr>
              <w:pStyle w:val="TKTextetableau"/>
              <w:spacing w:after="240" w:line="276" w:lineRule="auto"/>
              <w:rPr>
                <w:rFonts w:ascii="Myriad Pro" w:hAnsi="Myriad Pro"/>
                <w:lang w:val="fr-FR"/>
              </w:rPr>
            </w:pPr>
          </w:p>
        </w:tc>
        <w:tc>
          <w:tcPr>
            <w:tcW w:w="1756" w:type="dxa"/>
            <w:shd w:val="clear" w:color="auto" w:fill="D9D9D9" w:themeFill="background1" w:themeFillShade="D9"/>
          </w:tcPr>
          <w:p w14:paraId="323A251F" w14:textId="77777777" w:rsidR="00F75E66" w:rsidRPr="00175CDE" w:rsidRDefault="00F75E66" w:rsidP="00F75E66">
            <w:pPr>
              <w:pStyle w:val="TKTextetableau"/>
              <w:spacing w:after="240" w:line="276" w:lineRule="auto"/>
              <w:rPr>
                <w:rFonts w:ascii="Myriad Pro" w:hAnsi="Myriad Pro"/>
                <w:lang w:val="fr-FR"/>
              </w:rPr>
            </w:pPr>
          </w:p>
        </w:tc>
        <w:tc>
          <w:tcPr>
            <w:tcW w:w="1701" w:type="dxa"/>
            <w:shd w:val="clear" w:color="auto" w:fill="D9D9D9" w:themeFill="background1" w:themeFillShade="D9"/>
          </w:tcPr>
          <w:p w14:paraId="7BAED19A" w14:textId="77777777" w:rsidR="00F75E66" w:rsidRPr="00175CDE" w:rsidRDefault="00F75E66" w:rsidP="00F75E66">
            <w:pPr>
              <w:pStyle w:val="TKTextetableau"/>
              <w:spacing w:after="240" w:line="276" w:lineRule="auto"/>
              <w:rPr>
                <w:rFonts w:ascii="Myriad Pro" w:hAnsi="Myriad Pro"/>
                <w:lang w:val="fr-FR"/>
              </w:rPr>
            </w:pPr>
          </w:p>
        </w:tc>
      </w:tr>
    </w:tbl>
    <w:p w14:paraId="1C4A8586" w14:textId="77777777" w:rsidR="00C27ACB" w:rsidRDefault="00C27ACB" w:rsidP="00F75E66">
      <w:pPr>
        <w:pStyle w:val="TKMAINTITLE"/>
        <w:rPr>
          <w:rFonts w:ascii="Myriad Pro" w:hAnsi="Myriad Pro"/>
          <w:sz w:val="8"/>
          <w:szCs w:val="2"/>
          <w:lang w:val="fr-FR"/>
        </w:rPr>
      </w:pPr>
    </w:p>
    <w:sectPr w:rsidR="00C27ACB"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4B35" w14:textId="77777777" w:rsidR="00312B3C" w:rsidRDefault="00312B3C" w:rsidP="00C523EA">
      <w:r>
        <w:separator/>
      </w:r>
    </w:p>
  </w:endnote>
  <w:endnote w:type="continuationSeparator" w:id="0">
    <w:p w14:paraId="5C710747" w14:textId="77777777" w:rsidR="00312B3C" w:rsidRDefault="00312B3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44BDD01E"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F75E66">
            <w:rPr>
              <w:rFonts w:eastAsia="Calibri" w:cs="Cambria"/>
              <w:b/>
              <w:sz w:val="18"/>
              <w:szCs w:val="18"/>
            </w:rPr>
            <w:t>7</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42F7" w14:textId="77777777" w:rsidR="00312B3C" w:rsidRDefault="00312B3C" w:rsidP="00C523EA">
      <w:r>
        <w:separator/>
      </w:r>
    </w:p>
  </w:footnote>
  <w:footnote w:type="continuationSeparator" w:id="0">
    <w:p w14:paraId="731EDD49" w14:textId="77777777" w:rsidR="00312B3C" w:rsidRDefault="00312B3C"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7"/>
  </w:num>
  <w:num w:numId="3" w16cid:durableId="695236864">
    <w:abstractNumId w:val="30"/>
  </w:num>
  <w:num w:numId="4" w16cid:durableId="1869487878">
    <w:abstractNumId w:val="4"/>
  </w:num>
  <w:num w:numId="5" w16cid:durableId="1229881289">
    <w:abstractNumId w:val="22"/>
  </w:num>
  <w:num w:numId="6" w16cid:durableId="847334046">
    <w:abstractNumId w:val="20"/>
  </w:num>
  <w:num w:numId="7" w16cid:durableId="855851539">
    <w:abstractNumId w:val="17"/>
  </w:num>
  <w:num w:numId="8" w16cid:durableId="1438527522">
    <w:abstractNumId w:val="8"/>
  </w:num>
  <w:num w:numId="9" w16cid:durableId="66462525">
    <w:abstractNumId w:val="19"/>
  </w:num>
  <w:num w:numId="10" w16cid:durableId="1083332573">
    <w:abstractNumId w:val="31"/>
  </w:num>
  <w:num w:numId="11" w16cid:durableId="110051674">
    <w:abstractNumId w:val="17"/>
  </w:num>
  <w:num w:numId="12" w16cid:durableId="1751926612">
    <w:abstractNumId w:val="14"/>
  </w:num>
  <w:num w:numId="13" w16cid:durableId="1973290193">
    <w:abstractNumId w:val="28"/>
  </w:num>
  <w:num w:numId="14" w16cid:durableId="1677918417">
    <w:abstractNumId w:val="3"/>
  </w:num>
  <w:num w:numId="15" w16cid:durableId="1918592726">
    <w:abstractNumId w:val="27"/>
  </w:num>
  <w:num w:numId="16" w16cid:durableId="519196879">
    <w:abstractNumId w:val="5"/>
  </w:num>
  <w:num w:numId="17" w16cid:durableId="1562711163">
    <w:abstractNumId w:val="10"/>
  </w:num>
  <w:num w:numId="18" w16cid:durableId="907498862">
    <w:abstractNumId w:val="18"/>
  </w:num>
  <w:num w:numId="19" w16cid:durableId="817650671">
    <w:abstractNumId w:val="12"/>
  </w:num>
  <w:num w:numId="20" w16cid:durableId="613252470">
    <w:abstractNumId w:val="23"/>
  </w:num>
  <w:num w:numId="21" w16cid:durableId="1362825367">
    <w:abstractNumId w:val="2"/>
  </w:num>
  <w:num w:numId="22" w16cid:durableId="2077317151">
    <w:abstractNumId w:val="13"/>
  </w:num>
  <w:num w:numId="23" w16cid:durableId="760639672">
    <w:abstractNumId w:val="24"/>
  </w:num>
  <w:num w:numId="24" w16cid:durableId="1540165557">
    <w:abstractNumId w:val="25"/>
  </w:num>
  <w:num w:numId="25" w16cid:durableId="438138192">
    <w:abstractNumId w:val="1"/>
  </w:num>
  <w:num w:numId="26" w16cid:durableId="816191009">
    <w:abstractNumId w:val="11"/>
  </w:num>
  <w:num w:numId="27" w16cid:durableId="241641262">
    <w:abstractNumId w:val="15"/>
  </w:num>
  <w:num w:numId="28" w16cid:durableId="1684210285">
    <w:abstractNumId w:val="19"/>
    <w:lvlOverride w:ilvl="0">
      <w:startOverride w:val="1"/>
    </w:lvlOverride>
  </w:num>
  <w:num w:numId="29" w16cid:durableId="372120992">
    <w:abstractNumId w:val="0"/>
  </w:num>
  <w:num w:numId="30" w16cid:durableId="2115898088">
    <w:abstractNumId w:val="16"/>
  </w:num>
  <w:num w:numId="31" w16cid:durableId="1261599658">
    <w:abstractNumId w:val="21"/>
  </w:num>
  <w:num w:numId="32" w16cid:durableId="1611547408">
    <w:abstractNumId w:val="9"/>
  </w:num>
  <w:num w:numId="33" w16cid:durableId="1843350608">
    <w:abstractNumId w:val="6"/>
  </w:num>
  <w:num w:numId="34" w16cid:durableId="1853060265">
    <w:abstractNumId w:val="26"/>
  </w:num>
  <w:num w:numId="35" w16cid:durableId="195154524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370B7"/>
    <w:rsid w:val="00140B7E"/>
    <w:rsid w:val="00154B1F"/>
    <w:rsid w:val="0017200A"/>
    <w:rsid w:val="00172C07"/>
    <w:rsid w:val="001741D1"/>
    <w:rsid w:val="00175CDE"/>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4E37"/>
    <w:rsid w:val="002250B2"/>
    <w:rsid w:val="00233192"/>
    <w:rsid w:val="00246E8E"/>
    <w:rsid w:val="002525B5"/>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28C2"/>
    <w:rsid w:val="00312B3C"/>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7764"/>
    <w:rsid w:val="006D0185"/>
    <w:rsid w:val="006D234F"/>
    <w:rsid w:val="006D71C7"/>
    <w:rsid w:val="006F56BB"/>
    <w:rsid w:val="00705BF1"/>
    <w:rsid w:val="0072586C"/>
    <w:rsid w:val="00732AFD"/>
    <w:rsid w:val="00734E55"/>
    <w:rsid w:val="0074542C"/>
    <w:rsid w:val="007458E1"/>
    <w:rsid w:val="00773ACD"/>
    <w:rsid w:val="00786599"/>
    <w:rsid w:val="007A1BBB"/>
    <w:rsid w:val="007B4D14"/>
    <w:rsid w:val="007C6439"/>
    <w:rsid w:val="007C6481"/>
    <w:rsid w:val="007F5F10"/>
    <w:rsid w:val="0080462C"/>
    <w:rsid w:val="0080506D"/>
    <w:rsid w:val="00805257"/>
    <w:rsid w:val="008067EC"/>
    <w:rsid w:val="008252DE"/>
    <w:rsid w:val="0082739A"/>
    <w:rsid w:val="008276D0"/>
    <w:rsid w:val="00830436"/>
    <w:rsid w:val="0083366C"/>
    <w:rsid w:val="00844534"/>
    <w:rsid w:val="008461D1"/>
    <w:rsid w:val="008469DE"/>
    <w:rsid w:val="008506D5"/>
    <w:rsid w:val="0085300B"/>
    <w:rsid w:val="00856A25"/>
    <w:rsid w:val="00865A81"/>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1354"/>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5B7D"/>
    <w:rsid w:val="00DE7788"/>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A5E3D"/>
    <w:rsid w:val="00EB13B1"/>
    <w:rsid w:val="00EB3411"/>
    <w:rsid w:val="00EC00E1"/>
    <w:rsid w:val="00ED4CB7"/>
    <w:rsid w:val="00EF4157"/>
    <w:rsid w:val="00F124E6"/>
    <w:rsid w:val="00F170B1"/>
    <w:rsid w:val="00F260E9"/>
    <w:rsid w:val="00F35E22"/>
    <w:rsid w:val="00F4620A"/>
    <w:rsid w:val="00F5126A"/>
    <w:rsid w:val="00F57C6C"/>
    <w:rsid w:val="00F70FEA"/>
    <w:rsid w:val="00F75E66"/>
    <w:rsid w:val="00F836E3"/>
    <w:rsid w:val="00F8747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5</TotalTime>
  <Pages>3</Pages>
  <Words>705</Words>
  <Characters>4024</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2025-03-10T14:54:00Z</dcterms:created>
  <dcterms:modified xsi:type="dcterms:W3CDTF">2025-04-14T07:05:00Z</dcterms:modified>
</cp:coreProperties>
</file>