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19"/>
        <w:gridCol w:w="5487"/>
        <w:gridCol w:w="2470"/>
      </w:tblGrid>
      <w:tr w:rsidR="004B24A8" w:rsidRPr="00A455B5" w14:paraId="6C7B4659" w14:textId="77777777" w:rsidTr="002B0CD7">
        <w:trPr>
          <w:trHeight w:val="1413"/>
        </w:trPr>
        <w:tc>
          <w:tcPr>
            <w:tcW w:w="2063" w:type="dxa"/>
          </w:tcPr>
          <w:p w14:paraId="31FE38E7" w14:textId="77777777" w:rsidR="004B24A8" w:rsidRPr="00D00033" w:rsidRDefault="004B24A8" w:rsidP="002B0CD7">
            <w:pPr>
              <w:rPr>
                <w:rFonts w:ascii="Myriad Pro" w:hAnsi="Myriad Pro"/>
              </w:rPr>
            </w:pPr>
            <w:bookmarkStart w:id="0" w:name="_Toc131525747"/>
            <w:r w:rsidRPr="00D00033">
              <w:rPr>
                <w:rFonts w:ascii="Myriad Pro" w:hAnsi="Myriad Pro"/>
                <w:noProof/>
              </w:rPr>
              <w:drawing>
                <wp:anchor distT="0" distB="0" distL="114300" distR="114300" simplePos="0" relativeHeight="251659264" behindDoc="0" locked="0" layoutInCell="1" allowOverlap="1" wp14:anchorId="5046C642" wp14:editId="4630AA9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00D9B96F" w14:textId="77777777" w:rsidR="004B24A8" w:rsidRPr="00D00033" w:rsidRDefault="004B24A8" w:rsidP="002B0CD7">
            <w:pPr>
              <w:jc w:val="center"/>
              <w:rPr>
                <w:rFonts w:ascii="Myriad Pro" w:eastAsiaTheme="minorHAnsi" w:hAnsi="Myriad Pro"/>
                <w:b/>
                <w:lang w:val="en-US"/>
              </w:rPr>
            </w:pPr>
          </w:p>
          <w:p w14:paraId="3BAB7DB0" w14:textId="77777777" w:rsidR="004B24A8" w:rsidRPr="00D00033" w:rsidRDefault="004B24A8" w:rsidP="002B0CD7">
            <w:pPr>
              <w:jc w:val="center"/>
              <w:rPr>
                <w:rFonts w:ascii="Myriad Pro" w:eastAsiaTheme="minorHAnsi" w:hAnsi="Myriad Pro"/>
                <w:b/>
                <w:sz w:val="26"/>
                <w:szCs w:val="18"/>
                <w:lang w:val="en-US"/>
              </w:rPr>
            </w:pPr>
          </w:p>
          <w:p w14:paraId="487B1255" w14:textId="77777777" w:rsidR="004B24A8" w:rsidRPr="00D00033" w:rsidRDefault="004B24A8" w:rsidP="002B0CD7">
            <w:pPr>
              <w:rPr>
                <w:rFonts w:ascii="Myriad Pro" w:eastAsiaTheme="minorHAnsi" w:hAnsi="Myriad Pro"/>
                <w:b/>
                <w:sz w:val="26"/>
                <w:szCs w:val="18"/>
                <w:lang w:val="en-US"/>
              </w:rPr>
            </w:pPr>
          </w:p>
          <w:p w14:paraId="347B2AC3" w14:textId="77777777" w:rsidR="004B24A8" w:rsidRPr="00536D1F" w:rsidRDefault="004B24A8" w:rsidP="002B0CD7">
            <w:pPr>
              <w:rPr>
                <w:rFonts w:ascii="Myriad Pro" w:eastAsiaTheme="minorHAnsi" w:hAnsi="Myriad Pro"/>
                <w:b/>
                <w:sz w:val="26"/>
                <w:szCs w:val="18"/>
              </w:rPr>
            </w:pPr>
            <w:r w:rsidRPr="00536D1F">
              <w:rPr>
                <w:rFonts w:ascii="Myriad Pro" w:eastAsiaTheme="minorHAnsi" w:hAnsi="Myriad Pro"/>
                <w:b/>
                <w:sz w:val="26"/>
                <w:szCs w:val="18"/>
              </w:rPr>
              <w:t>Göçmenlere Yönelik Dil Desteği</w:t>
            </w:r>
            <w:r w:rsidRPr="00536D1F">
              <w:rPr>
                <w:rFonts w:ascii="Myriad Pro" w:eastAsiaTheme="minorHAnsi" w:hAnsi="Myriad Pro"/>
                <w:b/>
                <w:sz w:val="26"/>
                <w:szCs w:val="18"/>
              </w:rPr>
              <w:br/>
            </w:r>
            <w:r w:rsidRPr="00536D1F">
              <w:rPr>
                <w:rFonts w:ascii="Myriad Pro" w:eastAsiaTheme="minorHAnsi" w:hAnsi="Myriad Pro"/>
                <w:b/>
                <w:i/>
                <w:iCs/>
                <w:sz w:val="26"/>
                <w:szCs w:val="18"/>
              </w:rPr>
              <w:t>Avrupa Konseyi Araç Kutusu</w:t>
            </w:r>
          </w:p>
          <w:p w14:paraId="74244A30" w14:textId="0956F9F7" w:rsidR="004B24A8" w:rsidRPr="00536D1F" w:rsidRDefault="004B24A8" w:rsidP="004B24A8">
            <w:pPr>
              <w:spacing w:after="0"/>
              <w:jc w:val="center"/>
              <w:rPr>
                <w:rFonts w:ascii="Myriad Pro" w:eastAsiaTheme="minorHAnsi" w:hAnsi="Myriad Pro"/>
                <w:color w:val="0000FF"/>
                <w:u w:val="single"/>
                <w:lang w:val="en-US"/>
              </w:rPr>
            </w:pPr>
            <w:r>
              <w:rPr>
                <w:rFonts w:ascii="Calibri" w:eastAsia="Times New Roman" w:hAnsi="Calibri"/>
                <w:noProof/>
                <w:lang w:val="fr-FR"/>
              </w:rPr>
              <mc:AlternateContent>
                <mc:Choice Requires="wps">
                  <w:drawing>
                    <wp:anchor distT="4294967294" distB="4294967294" distL="114300" distR="114300" simplePos="0" relativeHeight="251661312" behindDoc="1" locked="0" layoutInCell="1" allowOverlap="1" wp14:anchorId="1B29E9E2" wp14:editId="203416AF">
                      <wp:simplePos x="0" y="0"/>
                      <wp:positionH relativeFrom="column">
                        <wp:posOffset>-10795</wp:posOffset>
                      </wp:positionH>
                      <wp:positionV relativeFrom="paragraph">
                        <wp:posOffset>111124</wp:posOffset>
                      </wp:positionV>
                      <wp:extent cx="3146425" cy="0"/>
                      <wp:effectExtent l="0" t="0" r="0" b="0"/>
                      <wp:wrapThrough wrapText="bothSides">
                        <wp:wrapPolygon edited="0">
                          <wp:start x="0" y="0"/>
                          <wp:lineTo x="0" y="21600"/>
                          <wp:lineTo x="21600" y="21600"/>
                          <wp:lineTo x="21600" y="0"/>
                        </wp:wrapPolygon>
                      </wp:wrapThrough>
                      <wp:docPr id="184075756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42619E" id="Connecteur droit 1"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mc:Fallback>
              </mc:AlternateContent>
            </w:r>
          </w:p>
        </w:tc>
        <w:tc>
          <w:tcPr>
            <w:tcW w:w="2525" w:type="dxa"/>
          </w:tcPr>
          <w:p w14:paraId="2F3EFAFD" w14:textId="77777777" w:rsidR="004B24A8" w:rsidRPr="00536D1F" w:rsidRDefault="004B24A8"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540E44AA" wp14:editId="426D22B9">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1E2F96F3" w14:textId="77777777" w:rsidR="004B24A8" w:rsidRPr="00536D1F" w:rsidRDefault="004B24A8" w:rsidP="002B0CD7">
            <w:pPr>
              <w:tabs>
                <w:tab w:val="center" w:pos="4607"/>
                <w:tab w:val="right" w:pos="9214"/>
              </w:tabs>
              <w:jc w:val="right"/>
              <w:rPr>
                <w:rFonts w:ascii="Myriad Pro" w:eastAsiaTheme="minorHAnsi" w:hAnsi="Myriad Pro" w:cstheme="majorHAnsi"/>
                <w:color w:val="0000FF"/>
                <w:u w:val="single"/>
                <w:lang w:val="en-US"/>
              </w:rPr>
            </w:pPr>
          </w:p>
          <w:p w14:paraId="22BEB65B" w14:textId="77777777" w:rsidR="004B24A8" w:rsidRPr="00536D1F" w:rsidRDefault="004B24A8" w:rsidP="002B0CD7">
            <w:pPr>
              <w:ind w:firstLine="708"/>
              <w:rPr>
                <w:rFonts w:ascii="Myriad Pro" w:eastAsiaTheme="minorHAnsi" w:hAnsi="Myriad Pro" w:cstheme="majorHAnsi"/>
                <w:lang w:val="en-US"/>
              </w:rPr>
            </w:pPr>
          </w:p>
          <w:p w14:paraId="09667EE1" w14:textId="77777777" w:rsidR="004B24A8" w:rsidRPr="00536D1F" w:rsidRDefault="004B24A8" w:rsidP="002B0CD7">
            <w:pPr>
              <w:rPr>
                <w:rFonts w:ascii="Myriad Pro" w:eastAsiaTheme="minorHAnsi" w:hAnsi="Myriad Pro" w:cstheme="majorHAnsi"/>
                <w:lang w:val="en-US"/>
              </w:rPr>
            </w:pPr>
          </w:p>
          <w:p w14:paraId="3C1E2B98" w14:textId="77777777" w:rsidR="004B24A8" w:rsidRPr="00536D1F" w:rsidRDefault="004B24A8" w:rsidP="002B0CD7">
            <w:pPr>
              <w:jc w:val="center"/>
              <w:rPr>
                <w:rFonts w:ascii="Myriad Pro" w:eastAsiaTheme="minorHAnsi" w:hAnsi="Myriad Pro" w:cstheme="majorHAnsi"/>
                <w:lang w:val="en-US"/>
              </w:rPr>
            </w:pPr>
          </w:p>
        </w:tc>
      </w:tr>
    </w:tbl>
    <w:p w14:paraId="4462BE43" w14:textId="77777777" w:rsidR="004B24A8" w:rsidRPr="004B24A8" w:rsidRDefault="004B24A8" w:rsidP="00FC5DB4">
      <w:pPr>
        <w:pStyle w:val="Titre1"/>
        <w:numPr>
          <w:ilvl w:val="0"/>
          <w:numId w:val="0"/>
        </w:numPr>
        <w:spacing w:before="0" w:after="0"/>
        <w:rPr>
          <w:rFonts w:asciiTheme="minorHAnsi" w:hAnsiTheme="minorHAnsi"/>
          <w:bCs/>
        </w:rPr>
      </w:pPr>
    </w:p>
    <w:p w14:paraId="3B836298" w14:textId="6884A960" w:rsidR="00DE7097" w:rsidRPr="004B24A8" w:rsidRDefault="00ED01EB" w:rsidP="00FC5DB4">
      <w:pPr>
        <w:pStyle w:val="Titre1"/>
        <w:numPr>
          <w:ilvl w:val="0"/>
          <w:numId w:val="0"/>
        </w:numPr>
        <w:spacing w:before="0" w:after="0"/>
        <w:rPr>
          <w:rFonts w:asciiTheme="minorHAnsi" w:hAnsiTheme="minorHAnsi"/>
          <w:color w:val="2F5496" w:themeColor="accent5" w:themeShade="BF"/>
          <w:lang w:val="tr"/>
        </w:rPr>
      </w:pPr>
      <w:r w:rsidRPr="004B24A8">
        <w:rPr>
          <w:rFonts w:asciiTheme="minorHAnsi" w:hAnsiTheme="minorHAnsi"/>
          <w:bCs/>
          <w:color w:val="2F5496" w:themeColor="accent5" w:themeShade="BF"/>
          <w:lang w:val="tr"/>
        </w:rPr>
        <w:t>11 - Göçmenlerin ana dillerinden faydalanılması</w:t>
      </w:r>
      <w:bookmarkEnd w:id="0"/>
    </w:p>
    <w:p w14:paraId="3CE0FAC6" w14:textId="77777777" w:rsidR="00FC5DB4" w:rsidRPr="004B24A8" w:rsidRDefault="00FC5DB4" w:rsidP="00FC5DB4">
      <w:pPr>
        <w:spacing w:after="0"/>
        <w:rPr>
          <w:sz w:val="32"/>
          <w:szCs w:val="32"/>
          <w:lang w:val="tr"/>
        </w:rPr>
      </w:pPr>
    </w:p>
    <w:p w14:paraId="3A6A2DA5" w14:textId="71D93F31" w:rsidR="00DE7097" w:rsidRPr="004B24A8" w:rsidRDefault="00DE7097" w:rsidP="00FC5DB4">
      <w:pPr>
        <w:pStyle w:val="TKAIM"/>
        <w:spacing w:before="0" w:after="0"/>
        <w:jc w:val="both"/>
        <w:rPr>
          <w:lang w:val="tr"/>
        </w:rPr>
      </w:pPr>
      <w:r>
        <w:rPr>
          <w:bCs/>
          <w:lang w:val="tr"/>
        </w:rPr>
        <w:t>Amaç: Öğrencilerin ana dillerinin yeni bir dil öğrenmelerindeki önemli rolü ve öğrenme grubunun dinamiği konusunda farkındalık yaratmak.</w:t>
      </w:r>
    </w:p>
    <w:p w14:paraId="482E78A0" w14:textId="77777777" w:rsidR="00FC5DB4" w:rsidRPr="004B24A8" w:rsidRDefault="00FC5DB4" w:rsidP="00FC5DB4">
      <w:pPr>
        <w:pStyle w:val="TKTEXTE"/>
        <w:spacing w:before="0"/>
        <w:rPr>
          <w:b/>
          <w:bCs/>
          <w:lang w:val="tr"/>
        </w:rPr>
      </w:pPr>
    </w:p>
    <w:p w14:paraId="1665F746" w14:textId="43E520F7" w:rsidR="00DE7097" w:rsidRPr="004B24A8" w:rsidRDefault="00DE7097" w:rsidP="00DE7097">
      <w:pPr>
        <w:pStyle w:val="TKTEXTE"/>
        <w:rPr>
          <w:b/>
          <w:bCs/>
          <w:sz w:val="28"/>
          <w:szCs w:val="28"/>
          <w:lang w:val="tr"/>
        </w:rPr>
      </w:pPr>
      <w:r>
        <w:rPr>
          <w:b/>
          <w:bCs/>
          <w:sz w:val="28"/>
          <w:szCs w:val="28"/>
          <w:lang w:val="tr"/>
        </w:rPr>
        <w:t>Giriş</w:t>
      </w:r>
    </w:p>
    <w:p w14:paraId="0B65069A" w14:textId="6BD628FE" w:rsidR="00DE7097" w:rsidRPr="00D9715B" w:rsidRDefault="00DE7097" w:rsidP="00FC5DB4">
      <w:pPr>
        <w:pStyle w:val="TKTEXTE"/>
        <w:spacing w:before="0" w:after="0"/>
        <w:jc w:val="both"/>
        <w:rPr>
          <w:lang w:val="tr"/>
        </w:rPr>
      </w:pPr>
      <w:r>
        <w:rPr>
          <w:lang w:val="tr"/>
        </w:rPr>
        <w:t>Yakın zamanda göçmen olarak gelmiş kişiler için, öğrenmelerinin çoğu yeni bağlamlarının dilinde olacaktır. İster okulda öğrenim gören gençler ister başka bir eğitim kurumunda öğrenim gören yetişkin göçmenler olsun, öğrencilerin ana dilleri nadiren duyulur veya kullanılır. Hatta, yanlış bir şekilde, yeni eğitim dilini öğrenmelerine engel olacağı düşünüldüğü için öğretmenler tarafından kullanılmasından kaçınılabilir. Ancak göçmenlerin ilk dilleri, dil öğrenimi ve genel olarak öğrenim için değerli bir kaynaktır.</w:t>
      </w:r>
    </w:p>
    <w:p w14:paraId="70D0A1B8" w14:textId="77777777" w:rsidR="00FC5DB4" w:rsidRPr="00D9715B" w:rsidRDefault="00FC5DB4" w:rsidP="00FC5DB4">
      <w:pPr>
        <w:pStyle w:val="TKTEXTE"/>
        <w:spacing w:before="0"/>
        <w:rPr>
          <w:b/>
          <w:bCs/>
          <w:lang w:val="tr"/>
        </w:rPr>
      </w:pPr>
    </w:p>
    <w:p w14:paraId="388CA97C" w14:textId="5FECC23C" w:rsidR="00FC5DB4" w:rsidRPr="00D9715B" w:rsidRDefault="00DE7097" w:rsidP="00FC5DB4">
      <w:pPr>
        <w:pStyle w:val="TKTEXTE"/>
        <w:spacing w:before="0" w:after="0"/>
        <w:rPr>
          <w:b/>
          <w:bCs/>
          <w:sz w:val="28"/>
          <w:szCs w:val="28"/>
          <w:lang w:val="tr"/>
        </w:rPr>
      </w:pPr>
      <w:r>
        <w:rPr>
          <w:b/>
          <w:bCs/>
          <w:sz w:val="28"/>
          <w:szCs w:val="28"/>
          <w:lang w:val="tr"/>
        </w:rPr>
        <w:t>Göçmenlerin dillerine ilgiyi teşvik etmeye yönelik fikirler</w:t>
      </w:r>
    </w:p>
    <w:p w14:paraId="48C4DDA3" w14:textId="77777777" w:rsidR="00DE7097" w:rsidRPr="00D9715B" w:rsidRDefault="00DE7097" w:rsidP="00DE7097">
      <w:pPr>
        <w:pStyle w:val="TKTEXTE"/>
        <w:jc w:val="both"/>
        <w:rPr>
          <w:lang w:val="tr"/>
        </w:rPr>
      </w:pPr>
      <w:r>
        <w:rPr>
          <w:lang w:val="tr"/>
        </w:rPr>
        <w:t>Göçmen öğrencilerin ana dillerinin tüm sınıfın ve özellikle de bu dilleri konuşan gençlerin gözünde değer görmesi ve meşrulaştırılması gerekir. Aşağıda bu sürece yardımcı olmak için gerçekleştirilebilecek eylemlere örnekler verilmiştir:</w:t>
      </w:r>
    </w:p>
    <w:p w14:paraId="4377A110" w14:textId="12433C99" w:rsidR="00DE7097" w:rsidRPr="00D9715B" w:rsidRDefault="00FC5DB4" w:rsidP="00FC5DB4">
      <w:pPr>
        <w:pStyle w:val="TKTEXTE"/>
        <w:numPr>
          <w:ilvl w:val="0"/>
          <w:numId w:val="18"/>
        </w:numPr>
        <w:spacing w:after="0"/>
        <w:jc w:val="both"/>
        <w:rPr>
          <w:lang w:val="tr"/>
        </w:rPr>
      </w:pPr>
      <w:r>
        <w:rPr>
          <w:lang w:val="tr"/>
        </w:rPr>
        <w:t>Öğrencilerden adlarını ve soyadlarını doğru telaffuz ve doğru kelime vurgusu kullanarak söylemelerini isteyin.</w:t>
      </w:r>
    </w:p>
    <w:p w14:paraId="5F6ABD66" w14:textId="150C466C" w:rsidR="00DE7097" w:rsidRPr="00D9715B" w:rsidRDefault="00FC5DB4" w:rsidP="00FC5DB4">
      <w:pPr>
        <w:pStyle w:val="TKTEXTE"/>
        <w:numPr>
          <w:ilvl w:val="0"/>
          <w:numId w:val="18"/>
        </w:numPr>
        <w:spacing w:after="0"/>
        <w:jc w:val="both"/>
        <w:rPr>
          <w:lang w:val="tr"/>
        </w:rPr>
      </w:pPr>
      <w:r>
        <w:rPr>
          <w:lang w:val="tr"/>
        </w:rPr>
        <w:t>Daha sonra tüm grup tarafından söylenebilecek geleneksel veya modern şarkılar söylemeleri ve kendi dillerinde şarkılar dinlemeleri için onları teşvik edin.</w:t>
      </w:r>
    </w:p>
    <w:p w14:paraId="1CF0E30D" w14:textId="3BAA0D8D" w:rsidR="00DE7097" w:rsidRPr="00D9715B" w:rsidRDefault="00FC5DB4" w:rsidP="00FC5DB4">
      <w:pPr>
        <w:pStyle w:val="TKTEXTE"/>
        <w:numPr>
          <w:ilvl w:val="0"/>
          <w:numId w:val="18"/>
        </w:numPr>
        <w:spacing w:after="0"/>
        <w:jc w:val="both"/>
        <w:rPr>
          <w:lang w:val="tr"/>
        </w:rPr>
      </w:pPr>
      <w:r>
        <w:rPr>
          <w:lang w:val="tr"/>
        </w:rPr>
        <w:t>Onlardan tekerleme veya şiir okumalarını ya da atasözlerinden örnekler vermelerini isteyin.</w:t>
      </w:r>
    </w:p>
    <w:p w14:paraId="094584E5" w14:textId="24467F05" w:rsidR="00DE7097" w:rsidRPr="00D9715B" w:rsidRDefault="00FC5DB4" w:rsidP="00FC5DB4">
      <w:pPr>
        <w:pStyle w:val="TKTEXTE"/>
        <w:numPr>
          <w:ilvl w:val="0"/>
          <w:numId w:val="18"/>
        </w:numPr>
        <w:spacing w:after="0"/>
        <w:jc w:val="both"/>
        <w:rPr>
          <w:lang w:val="tr"/>
        </w:rPr>
      </w:pPr>
      <w:r>
        <w:rPr>
          <w:lang w:val="tr"/>
        </w:rPr>
        <w:t>Özellikle alfabe veya yazı sistemi farklıysa, tahtaya birkaç kelime yazmalarını isteyin.</w:t>
      </w:r>
    </w:p>
    <w:p w14:paraId="0A37DCAE" w14:textId="0FBE777D" w:rsidR="00DE7097" w:rsidRDefault="00DE7097" w:rsidP="00DE7097">
      <w:pPr>
        <w:pStyle w:val="TKTEXTE"/>
        <w:jc w:val="both"/>
      </w:pPr>
      <w:r>
        <w:rPr>
          <w:lang w:val="tr"/>
        </w:rPr>
        <w:t>Eğitim ortamında, göçmenlerin ana dilleri, tüm öğrencilerin dünyadaki dil çeşitliliğine ilişkin farkındalıklarını geliştirmenin bir yolu olarak okul dilindeki derslerde (örneğin Almanya'da Almanca dersleri, İtalya'da İtalyanca dersleri) kullanılabilir. Bu, çeşitli dilleri, özellikle de yeni gelen veya göçmen kökenli kişilerin dillerini içeren etkinlikler düzenleyerek yapılabilir. Bu oturumlarda, örneğin aşağıdakilerle ilgili kelimelere odaklanılabilir:</w:t>
      </w:r>
    </w:p>
    <w:p w14:paraId="1C19A61A" w14:textId="77777777" w:rsidR="00DE7097" w:rsidRDefault="00DE7097" w:rsidP="00DE7097">
      <w:pPr>
        <w:pStyle w:val="TKTEXTE"/>
        <w:numPr>
          <w:ilvl w:val="0"/>
          <w:numId w:val="9"/>
        </w:numPr>
        <w:spacing w:after="0"/>
      </w:pPr>
      <w:r>
        <w:rPr>
          <w:lang w:val="tr"/>
        </w:rPr>
        <w:t>Haftanın günleri veya yılın ayları;</w:t>
      </w:r>
    </w:p>
    <w:p w14:paraId="1F05F157" w14:textId="77777777" w:rsidR="00DE7097" w:rsidRDefault="00DE7097" w:rsidP="00DE7097">
      <w:pPr>
        <w:pStyle w:val="TKTEXTE"/>
        <w:numPr>
          <w:ilvl w:val="0"/>
          <w:numId w:val="9"/>
        </w:numPr>
        <w:spacing w:after="0"/>
      </w:pPr>
      <w:r>
        <w:rPr>
          <w:lang w:val="tr"/>
        </w:rPr>
        <w:t>Partiler: Doğum günü veya ilk isim günü partisi, yeni yıl partisi vb;</w:t>
      </w:r>
    </w:p>
    <w:p w14:paraId="42084B6E" w14:textId="77777777" w:rsidR="00DE7097" w:rsidRDefault="00DE7097" w:rsidP="00DE7097">
      <w:pPr>
        <w:pStyle w:val="TKTEXTE"/>
        <w:numPr>
          <w:ilvl w:val="0"/>
          <w:numId w:val="9"/>
        </w:numPr>
        <w:spacing w:after="0"/>
      </w:pPr>
      <w:r>
        <w:rPr>
          <w:lang w:val="tr"/>
        </w:rPr>
        <w:t>Sayılar ve alfabedeki harfler;</w:t>
      </w:r>
    </w:p>
    <w:p w14:paraId="534296F9" w14:textId="77777777" w:rsidR="00DE7097" w:rsidRDefault="00DE7097" w:rsidP="00DE7097">
      <w:pPr>
        <w:pStyle w:val="TKTEXTE"/>
        <w:numPr>
          <w:ilvl w:val="0"/>
          <w:numId w:val="9"/>
        </w:numPr>
        <w:spacing w:after="0"/>
      </w:pPr>
      <w:r>
        <w:rPr>
          <w:lang w:val="tr"/>
        </w:rPr>
        <w:lastRenderedPageBreak/>
        <w:t>Meyve, çiçek ve sebzeler;</w:t>
      </w:r>
    </w:p>
    <w:p w14:paraId="3CA6AA65" w14:textId="77777777" w:rsidR="00DE7097" w:rsidRDefault="00DE7097" w:rsidP="00DE7097">
      <w:pPr>
        <w:pStyle w:val="TKTEXTE"/>
        <w:numPr>
          <w:ilvl w:val="0"/>
          <w:numId w:val="9"/>
        </w:numPr>
        <w:spacing w:after="0"/>
      </w:pPr>
      <w:r>
        <w:rPr>
          <w:lang w:val="tr"/>
        </w:rPr>
        <w:t>Okyanuslar, denizler ve diğer coğrafi konumlar (örneğin Manche ile Kanal, Akdeniz ile Mediterranean);</w:t>
      </w:r>
    </w:p>
    <w:p w14:paraId="60E3B9A9" w14:textId="77777777" w:rsidR="00DE7097" w:rsidRDefault="00DE7097" w:rsidP="00DE7097">
      <w:pPr>
        <w:pStyle w:val="TKTEXTE"/>
        <w:numPr>
          <w:ilvl w:val="0"/>
          <w:numId w:val="9"/>
        </w:numPr>
        <w:spacing w:after="0"/>
        <w:ind w:left="714" w:hanging="357"/>
      </w:pPr>
      <w:r>
        <w:rPr>
          <w:lang w:val="tr"/>
        </w:rPr>
        <w:t xml:space="preserve">Kalıp ifadeler: Afiyet olsun, iyi yolculuklar, iyi hafta sonları, iyi şanslar vb. </w:t>
      </w:r>
    </w:p>
    <w:p w14:paraId="4DEF8E9F" w14:textId="7A3F50EF" w:rsidR="00FC5DB4" w:rsidRDefault="00FC5DB4">
      <w:pPr>
        <w:rPr>
          <w:rFonts w:ascii="Calibri" w:eastAsia="Times New Roman" w:hAnsi="Calibri" w:cs="Calibri"/>
          <w:sz w:val="24"/>
          <w:szCs w:val="24"/>
        </w:rPr>
      </w:pPr>
      <w:r>
        <w:rPr>
          <w:lang w:val="tr"/>
        </w:rPr>
        <w:br w:type="page"/>
      </w:r>
    </w:p>
    <w:p w14:paraId="0A44EA14" w14:textId="6E5D5DC7" w:rsidR="00FC5DB4" w:rsidRPr="00D9715B" w:rsidRDefault="00DE7097" w:rsidP="00DE7097">
      <w:pPr>
        <w:pStyle w:val="TKTEXTE"/>
        <w:rPr>
          <w:b/>
          <w:bCs/>
          <w:sz w:val="28"/>
          <w:szCs w:val="28"/>
          <w:lang w:val="es-ES"/>
        </w:rPr>
      </w:pPr>
      <w:r>
        <w:rPr>
          <w:b/>
          <w:bCs/>
          <w:sz w:val="28"/>
          <w:szCs w:val="28"/>
          <w:lang w:val="tr"/>
        </w:rPr>
        <w:lastRenderedPageBreak/>
        <w:t>Yeni bir dil öğrenmeye yardımcı olarak ana diller</w:t>
      </w:r>
    </w:p>
    <w:p w14:paraId="5BE6AAC3" w14:textId="77777777" w:rsidR="00DE7097" w:rsidRPr="00D9715B" w:rsidRDefault="00DE7097" w:rsidP="00DE7097">
      <w:pPr>
        <w:pStyle w:val="TKTEXTE"/>
        <w:rPr>
          <w:lang w:val="es-ES"/>
        </w:rPr>
      </w:pPr>
      <w:r>
        <w:rPr>
          <w:lang w:val="tr"/>
        </w:rPr>
        <w:t>Özellikle aşağıdaki gibi alanlarda ana dil ile basit gramer karşılaştırmaları da yeni dili öğrenmede yardımcı olabilir:</w:t>
      </w:r>
    </w:p>
    <w:p w14:paraId="3B31D714" w14:textId="77777777" w:rsidR="00DE7097" w:rsidRDefault="00DE7097" w:rsidP="00DE7097">
      <w:pPr>
        <w:pStyle w:val="TKTEXTE"/>
        <w:numPr>
          <w:ilvl w:val="0"/>
          <w:numId w:val="9"/>
        </w:numPr>
        <w:spacing w:before="0"/>
        <w:ind w:left="714" w:hanging="357"/>
      </w:pPr>
      <w:r>
        <w:rPr>
          <w:lang w:val="tr"/>
        </w:rPr>
        <w:t>Son eklerin, takıların ve edatların rolü;</w:t>
      </w:r>
    </w:p>
    <w:p w14:paraId="0214E4C0" w14:textId="77777777" w:rsidR="00DE7097" w:rsidRPr="00D9715B" w:rsidRDefault="00DE7097" w:rsidP="00DE7097">
      <w:pPr>
        <w:pStyle w:val="TKTEXTE"/>
        <w:numPr>
          <w:ilvl w:val="0"/>
          <w:numId w:val="9"/>
        </w:numPr>
        <w:spacing w:before="0"/>
        <w:ind w:left="714" w:hanging="357"/>
        <w:rPr>
          <w:lang w:val="de-DE"/>
        </w:rPr>
      </w:pPr>
      <w:r>
        <w:rPr>
          <w:lang w:val="tr"/>
        </w:rPr>
        <w:t>Çoğul isimlerin biçimleri ve miktar ifadeleri;</w:t>
      </w:r>
    </w:p>
    <w:p w14:paraId="76983BFD" w14:textId="77777777" w:rsidR="00DE7097" w:rsidRPr="00D9715B" w:rsidRDefault="00DE7097" w:rsidP="00DE7097">
      <w:pPr>
        <w:pStyle w:val="TKTEXTE"/>
        <w:numPr>
          <w:ilvl w:val="0"/>
          <w:numId w:val="9"/>
        </w:numPr>
        <w:spacing w:before="0"/>
        <w:ind w:left="714" w:hanging="357"/>
        <w:rPr>
          <w:lang w:val="de-DE"/>
        </w:rPr>
      </w:pPr>
      <w:r>
        <w:rPr>
          <w:lang w:val="tr"/>
        </w:rPr>
        <w:t>Uygulanabildiği yerlerde, isimlerin farklı cinsiyetleri;</w:t>
      </w:r>
    </w:p>
    <w:p w14:paraId="4942597D" w14:textId="77777777" w:rsidR="00DE7097" w:rsidRPr="00D9715B" w:rsidRDefault="00DE7097" w:rsidP="00DE7097">
      <w:pPr>
        <w:pStyle w:val="TKTEXTE"/>
        <w:numPr>
          <w:ilvl w:val="0"/>
          <w:numId w:val="9"/>
        </w:numPr>
        <w:spacing w:before="0"/>
        <w:ind w:left="714" w:hanging="357"/>
        <w:rPr>
          <w:lang w:val="es-ES"/>
        </w:rPr>
      </w:pPr>
      <w:r>
        <w:rPr>
          <w:lang w:val="tr"/>
        </w:rPr>
        <w:t xml:space="preserve">Hallerin varlığı ya da yokluğu ve bunların niteliği; </w:t>
      </w:r>
    </w:p>
    <w:p w14:paraId="116FF5A4" w14:textId="77777777" w:rsidR="00DE7097" w:rsidRDefault="00DE7097" w:rsidP="00DE7097">
      <w:pPr>
        <w:pStyle w:val="TKTEXTE"/>
        <w:numPr>
          <w:ilvl w:val="0"/>
          <w:numId w:val="9"/>
        </w:numPr>
        <w:spacing w:before="0"/>
        <w:ind w:left="714" w:hanging="357"/>
      </w:pPr>
      <w:r>
        <w:rPr>
          <w:lang w:val="tr"/>
        </w:rPr>
        <w:t>Fiil zamanlarının adları;</w:t>
      </w:r>
    </w:p>
    <w:p w14:paraId="0F2F5745" w14:textId="77777777" w:rsidR="00DE7097" w:rsidRDefault="00DE7097" w:rsidP="00DE7097">
      <w:pPr>
        <w:pStyle w:val="TKTEXTE"/>
        <w:numPr>
          <w:ilvl w:val="0"/>
          <w:numId w:val="9"/>
        </w:numPr>
        <w:spacing w:before="0"/>
        <w:ind w:left="714" w:hanging="357"/>
      </w:pPr>
      <w:r>
        <w:rPr>
          <w:lang w:val="tr"/>
        </w:rPr>
        <w:t>Fiil ve öznenin cümle içindeki konumu;</w:t>
      </w:r>
    </w:p>
    <w:p w14:paraId="26339882" w14:textId="77777777" w:rsidR="00DE7097" w:rsidRPr="00D9715B" w:rsidRDefault="00DE7097" w:rsidP="00DE7097">
      <w:pPr>
        <w:pStyle w:val="TKTEXTE"/>
        <w:numPr>
          <w:ilvl w:val="0"/>
          <w:numId w:val="9"/>
        </w:numPr>
        <w:spacing w:before="0"/>
        <w:ind w:left="714" w:hanging="357"/>
        <w:rPr>
          <w:lang w:val="de-DE"/>
        </w:rPr>
      </w:pPr>
      <w:r>
        <w:rPr>
          <w:lang w:val="tr"/>
        </w:rPr>
        <w:t>İsimlerden önce artikellerin gerekip gerekmediği;</w:t>
      </w:r>
    </w:p>
    <w:p w14:paraId="246E6DAC" w14:textId="77777777" w:rsidR="00DE7097" w:rsidRPr="00D9715B" w:rsidRDefault="00DE7097" w:rsidP="00DE7097">
      <w:pPr>
        <w:pStyle w:val="TKTEXTE"/>
        <w:numPr>
          <w:ilvl w:val="0"/>
          <w:numId w:val="9"/>
        </w:numPr>
        <w:spacing w:before="0"/>
        <w:ind w:left="714" w:hanging="357"/>
        <w:rPr>
          <w:lang w:val="de-DE"/>
        </w:rPr>
      </w:pPr>
      <w:r>
        <w:rPr>
          <w:lang w:val="tr"/>
        </w:rPr>
        <w:t>Zamirlerin fiillerden önce kullanılıp kullanılmadığı;</w:t>
      </w:r>
    </w:p>
    <w:p w14:paraId="3B722D09" w14:textId="77777777" w:rsidR="00DE7097" w:rsidRDefault="00DE7097" w:rsidP="00DE7097">
      <w:pPr>
        <w:pStyle w:val="TKTEXTE"/>
        <w:numPr>
          <w:ilvl w:val="0"/>
          <w:numId w:val="9"/>
        </w:numPr>
        <w:spacing w:before="0"/>
        <w:ind w:left="714" w:hanging="357"/>
      </w:pPr>
      <w:r>
        <w:rPr>
          <w:lang w:val="tr"/>
        </w:rPr>
        <w:t>Olumsuz cümlelerin yapısı;</w:t>
      </w:r>
    </w:p>
    <w:p w14:paraId="26368C09" w14:textId="77777777" w:rsidR="00DE7097" w:rsidRDefault="00DE7097" w:rsidP="00DE7097">
      <w:pPr>
        <w:pStyle w:val="TKTEXTE"/>
        <w:numPr>
          <w:ilvl w:val="0"/>
          <w:numId w:val="10"/>
        </w:numPr>
        <w:spacing w:before="0" w:after="240"/>
        <w:ind w:left="714" w:hanging="357"/>
      </w:pPr>
      <w:r>
        <w:rPr>
          <w:lang w:val="tr"/>
        </w:rPr>
        <w:t>Soru cümlelerinin yapısı vb.</w:t>
      </w:r>
    </w:p>
    <w:p w14:paraId="34713517" w14:textId="77777777" w:rsidR="00FC5DB4" w:rsidRDefault="00FC5DB4" w:rsidP="00DE7097">
      <w:pPr>
        <w:pStyle w:val="NormalWeb"/>
        <w:spacing w:before="0" w:beforeAutospacing="0" w:after="120" w:afterAutospacing="0" w:line="276" w:lineRule="auto"/>
        <w:rPr>
          <w:rFonts w:asciiTheme="minorHAnsi" w:hAnsiTheme="minorHAnsi" w:cstheme="minorHAnsi"/>
          <w:b/>
          <w:bCs/>
        </w:rPr>
      </w:pPr>
    </w:p>
    <w:p w14:paraId="15A6FFFA" w14:textId="1581ED16" w:rsidR="00DE7097" w:rsidRPr="00932DD0" w:rsidRDefault="00DE7097" w:rsidP="00DE7097">
      <w:pPr>
        <w:pStyle w:val="NormalWeb"/>
        <w:spacing w:before="0" w:beforeAutospacing="0" w:after="120" w:afterAutospacing="0" w:line="276" w:lineRule="auto"/>
        <w:rPr>
          <w:rFonts w:asciiTheme="minorHAnsi" w:hAnsiTheme="minorHAnsi" w:cstheme="minorHAnsi"/>
          <w:b/>
          <w:bCs/>
          <w:sz w:val="28"/>
          <w:szCs w:val="28"/>
        </w:rPr>
      </w:pPr>
      <w:r>
        <w:rPr>
          <w:rFonts w:asciiTheme="minorHAnsi" w:hAnsiTheme="minorHAnsi" w:cstheme="minorHAnsi"/>
          <w:b/>
          <w:bCs/>
          <w:sz w:val="28"/>
          <w:szCs w:val="28"/>
          <w:lang w:val="tr"/>
        </w:rPr>
        <w:t>Sonuç</w:t>
      </w:r>
    </w:p>
    <w:p w14:paraId="42B6D0F8" w14:textId="7207CC24" w:rsidR="00DE7097" w:rsidRPr="00B96C2B" w:rsidRDefault="00DE7097" w:rsidP="00DE7097">
      <w:pPr>
        <w:pStyle w:val="NormalWeb"/>
        <w:spacing w:before="0" w:beforeAutospacing="0" w:after="0" w:afterAutospacing="0" w:line="276" w:lineRule="auto"/>
        <w:jc w:val="both"/>
        <w:rPr>
          <w:rFonts w:asciiTheme="minorHAnsi" w:hAnsiTheme="minorHAnsi" w:cstheme="minorHAnsi"/>
        </w:rPr>
      </w:pPr>
      <w:r>
        <w:rPr>
          <w:rFonts w:asciiTheme="minorHAnsi" w:hAnsiTheme="minorHAnsi" w:cstheme="minorHAnsi"/>
          <w:lang w:val="tr"/>
        </w:rPr>
        <w:t>Göçmen öğrencilerin ana dilleri, ev sahibi toplumun dilleri gibi diğer dilleri öğrenmek için bir köprü veya yol sağladığından, öğrencilerin kendileri için zengin bir kaynaktır. Ayrıca, bir gruptaki göçmenlerin farklı kültürel ve dilsel geçmişleri hakkında farkındalıklarını artırmanın değerli bir yoludur. Buna ek olarak, dil desteği sağlayanlara, geçmişlerinin bu yönlerine ilgi göstererek ve onlara diller arasında bağlantı kurma ve dillerinin yanı sıra kültürlerinin unsurlarını gruptaki diğer kişilerle paylaşma fırsatı vererek öğrencilerinin öz güvenlerini artırma fırsatları sunarlar.</w:t>
      </w:r>
    </w:p>
    <w:p w14:paraId="7A7B87F1" w14:textId="77777777" w:rsidR="00DE7097" w:rsidRPr="00D9715B" w:rsidRDefault="00DE7097" w:rsidP="00DE7097">
      <w:pPr>
        <w:pStyle w:val="TKNbrsLevel1"/>
        <w:numPr>
          <w:ilvl w:val="0"/>
          <w:numId w:val="0"/>
        </w:numPr>
        <w:ind w:left="851" w:hanging="284"/>
        <w:rPr>
          <w:lang w:val="tr"/>
        </w:rPr>
      </w:pPr>
    </w:p>
    <w:p w14:paraId="5B61F82B" w14:textId="301E4F30" w:rsidR="00BC276E" w:rsidRPr="00D9715B" w:rsidRDefault="00BC276E">
      <w:pPr>
        <w:rPr>
          <w:rFonts w:ascii="Calibri" w:eastAsia="Calibri" w:hAnsi="Calibri" w:cs="Calibri"/>
          <w:b/>
          <w:bCs/>
          <w:color w:val="2E74B5" w:themeColor="accent1" w:themeShade="BF"/>
          <w:sz w:val="36"/>
          <w:szCs w:val="36"/>
          <w:lang w:val="tr"/>
        </w:rPr>
      </w:pPr>
    </w:p>
    <w:sectPr w:rsidR="00BC276E" w:rsidRPr="00D9715B" w:rsidSect="004B24A8">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5E874" w14:textId="77777777" w:rsidR="0026162D" w:rsidRDefault="0026162D" w:rsidP="00FC5DB4">
      <w:pPr>
        <w:spacing w:after="0" w:line="240" w:lineRule="auto"/>
      </w:pPr>
      <w:r>
        <w:separator/>
      </w:r>
    </w:p>
  </w:endnote>
  <w:endnote w:type="continuationSeparator" w:id="0">
    <w:p w14:paraId="2094C57D" w14:textId="77777777" w:rsidR="0026162D" w:rsidRDefault="0026162D" w:rsidP="00FC5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BB5E" w14:textId="77777777" w:rsidR="004B24A8" w:rsidRDefault="004B24A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E73F" w14:textId="6518269D" w:rsidR="00FC5DB4" w:rsidRDefault="00FC5DB4" w:rsidP="004B24A8">
    <w:pPr>
      <w:pStyle w:val="Pieddepage"/>
    </w:pPr>
  </w:p>
  <w:p w14:paraId="2682195C" w14:textId="2F2E0698" w:rsidR="00FC5DB4" w:rsidRPr="004B24A8" w:rsidRDefault="004B24A8" w:rsidP="004B24A8">
    <w:pPr>
      <w:pStyle w:val="Pieddepage"/>
      <w:pBdr>
        <w:top w:val="single" w:sz="4" w:space="15" w:color="auto"/>
      </w:pBdr>
      <w:spacing w:line="360" w:lineRule="auto"/>
      <w:rPr>
        <w:b/>
        <w:bCs/>
        <w:sz w:val="18"/>
        <w:szCs w:val="18"/>
      </w:rPr>
    </w:pPr>
    <w:r w:rsidRPr="00A455B5">
      <w:rPr>
        <w:rFonts w:cstheme="minorHAnsi"/>
        <w:b/>
        <w:bCs/>
        <w:sz w:val="18"/>
        <w:szCs w:val="18"/>
      </w:rPr>
      <w:t xml:space="preserve">Araç </w:t>
    </w:r>
    <w:r>
      <w:rPr>
        <w:rFonts w:cstheme="minorHAnsi"/>
        <w:b/>
        <w:bCs/>
        <w:sz w:val="18"/>
        <w:szCs w:val="18"/>
      </w:rPr>
      <w:t>11</w:t>
    </w:r>
    <w:r w:rsidRPr="00A455B5">
      <w:rPr>
        <w:rFonts w:cstheme="minorHAnsi"/>
        <w:b/>
        <w:bCs/>
        <w:sz w:val="18"/>
        <w:szCs w:val="18"/>
      </w:rPr>
      <w:t xml:space="preserve"> – Göçmenlere Yönelik Dil Desteği</w:t>
    </w:r>
    <w:r w:rsidRPr="00536D1F">
      <w:rPr>
        <w:rFonts w:cstheme="minorHAnsi"/>
        <w:sz w:val="18"/>
        <w:szCs w:val="18"/>
      </w:rPr>
      <w:ptab w:relativeTo="margin" w:alignment="center" w:leader="none"/>
    </w:r>
    <w:r w:rsidRPr="00536D1F">
      <w:rPr>
        <w:rFonts w:cstheme="minorHAnsi"/>
        <w:sz w:val="18"/>
        <w:szCs w:val="18"/>
      </w:rPr>
      <w:fldChar w:fldCharType="begin"/>
    </w:r>
    <w:r w:rsidRPr="00536D1F">
      <w:rPr>
        <w:rFonts w:cstheme="minorHAnsi"/>
        <w:sz w:val="18"/>
        <w:szCs w:val="18"/>
      </w:rPr>
      <w:instrText>PAGE   \* MERGEFORMAT</w:instrText>
    </w:r>
    <w:r w:rsidRPr="00536D1F">
      <w:rPr>
        <w:rFonts w:cstheme="minorHAnsi"/>
        <w:sz w:val="18"/>
        <w:szCs w:val="18"/>
      </w:rPr>
      <w:fldChar w:fldCharType="separate"/>
    </w:r>
    <w:r>
      <w:rPr>
        <w:rFonts w:cstheme="minorHAnsi"/>
        <w:sz w:val="18"/>
        <w:szCs w:val="18"/>
      </w:rPr>
      <w:t>1</w:t>
    </w:r>
    <w:r w:rsidRPr="00536D1F">
      <w:rPr>
        <w:rFonts w:cstheme="minorHAnsi"/>
        <w:sz w:val="18"/>
        <w:szCs w:val="18"/>
      </w:rPr>
      <w:fldChar w:fldCharType="end"/>
    </w:r>
    <w:r>
      <w:rPr>
        <w:rFonts w:cstheme="minorHAnsi"/>
        <w:sz w:val="18"/>
        <w:szCs w:val="18"/>
      </w:rPr>
      <w:t>/</w:t>
    </w:r>
    <w:r>
      <w:rPr>
        <w:rFonts w:cstheme="minorHAnsi"/>
        <w:sz w:val="18"/>
        <w:szCs w:val="18"/>
      </w:rPr>
      <w:t>3</w:t>
    </w:r>
    <w:r w:rsidRPr="00536D1F">
      <w:rPr>
        <w:rFonts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E32B" w14:textId="77777777" w:rsidR="004B24A8" w:rsidRDefault="004B24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770FA" w14:textId="77777777" w:rsidR="0026162D" w:rsidRDefault="0026162D" w:rsidP="00FC5DB4">
      <w:pPr>
        <w:spacing w:after="0" w:line="240" w:lineRule="auto"/>
      </w:pPr>
      <w:r>
        <w:separator/>
      </w:r>
    </w:p>
  </w:footnote>
  <w:footnote w:type="continuationSeparator" w:id="0">
    <w:p w14:paraId="16346562" w14:textId="77777777" w:rsidR="0026162D" w:rsidRDefault="0026162D" w:rsidP="00FC5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4A60" w14:textId="77777777" w:rsidR="004B24A8" w:rsidRDefault="004B24A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03F7" w14:textId="77777777" w:rsidR="004B24A8" w:rsidRDefault="004B24A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E754" w14:textId="77777777" w:rsidR="004B24A8" w:rsidRDefault="004B24A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2"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5E76BF"/>
    <w:multiLevelType w:val="hybridMultilevel"/>
    <w:tmpl w:val="971239BC"/>
    <w:lvl w:ilvl="0" w:tplc="824AC7CC">
      <w:start w:val="54"/>
      <w:numFmt w:val="decimal"/>
      <w:lvlText w:val="%1."/>
      <w:lvlJc w:val="left"/>
      <w:pPr>
        <w:ind w:left="1205" w:hanging="495"/>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4" w15:restartNumberingAfterBreak="0">
    <w:nsid w:val="1FCF02B2"/>
    <w:multiLevelType w:val="hybridMultilevel"/>
    <w:tmpl w:val="436CD394"/>
    <w:lvl w:ilvl="0" w:tplc="A34401C6">
      <w:start w:val="3"/>
      <w:numFmt w:val="decimal"/>
      <w:lvlText w:val="(%1)"/>
      <w:lvlJc w:val="left"/>
      <w:pPr>
        <w:ind w:left="1790" w:hanging="720"/>
      </w:pPr>
      <w:rPr>
        <w:rFonts w:hint="default"/>
      </w:rPr>
    </w:lvl>
    <w:lvl w:ilvl="1" w:tplc="04100019" w:tentative="1">
      <w:start w:val="1"/>
      <w:numFmt w:val="lowerLetter"/>
      <w:lvlText w:val="%2."/>
      <w:lvlJc w:val="left"/>
      <w:pPr>
        <w:ind w:left="2150" w:hanging="360"/>
      </w:pPr>
    </w:lvl>
    <w:lvl w:ilvl="2" w:tplc="0410001B" w:tentative="1">
      <w:start w:val="1"/>
      <w:numFmt w:val="lowerRoman"/>
      <w:lvlText w:val="%3."/>
      <w:lvlJc w:val="right"/>
      <w:pPr>
        <w:ind w:left="2870" w:hanging="180"/>
      </w:pPr>
    </w:lvl>
    <w:lvl w:ilvl="3" w:tplc="0410000F" w:tentative="1">
      <w:start w:val="1"/>
      <w:numFmt w:val="decimal"/>
      <w:lvlText w:val="%4."/>
      <w:lvlJc w:val="left"/>
      <w:pPr>
        <w:ind w:left="3590" w:hanging="360"/>
      </w:pPr>
    </w:lvl>
    <w:lvl w:ilvl="4" w:tplc="04100019" w:tentative="1">
      <w:start w:val="1"/>
      <w:numFmt w:val="lowerLetter"/>
      <w:lvlText w:val="%5."/>
      <w:lvlJc w:val="left"/>
      <w:pPr>
        <w:ind w:left="4310" w:hanging="360"/>
      </w:pPr>
    </w:lvl>
    <w:lvl w:ilvl="5" w:tplc="0410001B" w:tentative="1">
      <w:start w:val="1"/>
      <w:numFmt w:val="lowerRoman"/>
      <w:lvlText w:val="%6."/>
      <w:lvlJc w:val="right"/>
      <w:pPr>
        <w:ind w:left="5030" w:hanging="180"/>
      </w:pPr>
    </w:lvl>
    <w:lvl w:ilvl="6" w:tplc="0410000F" w:tentative="1">
      <w:start w:val="1"/>
      <w:numFmt w:val="decimal"/>
      <w:lvlText w:val="%7."/>
      <w:lvlJc w:val="left"/>
      <w:pPr>
        <w:ind w:left="5750" w:hanging="360"/>
      </w:pPr>
    </w:lvl>
    <w:lvl w:ilvl="7" w:tplc="04100019" w:tentative="1">
      <w:start w:val="1"/>
      <w:numFmt w:val="lowerLetter"/>
      <w:lvlText w:val="%8."/>
      <w:lvlJc w:val="left"/>
      <w:pPr>
        <w:ind w:left="6470" w:hanging="360"/>
      </w:pPr>
    </w:lvl>
    <w:lvl w:ilvl="8" w:tplc="0410001B" w:tentative="1">
      <w:start w:val="1"/>
      <w:numFmt w:val="lowerRoman"/>
      <w:lvlText w:val="%9."/>
      <w:lvlJc w:val="right"/>
      <w:pPr>
        <w:ind w:left="7190" w:hanging="180"/>
      </w:pPr>
    </w:lvl>
  </w:abstractNum>
  <w:abstractNum w:abstractNumId="5" w15:restartNumberingAfterBreak="0">
    <w:nsid w:val="214A44A5"/>
    <w:multiLevelType w:val="hybridMultilevel"/>
    <w:tmpl w:val="009A73D0"/>
    <w:lvl w:ilvl="0" w:tplc="80220604">
      <w:start w:val="1"/>
      <w:numFmt w:val="decimal"/>
      <w:pStyle w:val="Titre1"/>
      <w:lvlText w:val="%1."/>
      <w:lvlJc w:val="center"/>
      <w:pPr>
        <w:ind w:left="107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4B6693"/>
    <w:multiLevelType w:val="hybridMultilevel"/>
    <w:tmpl w:val="42F2B910"/>
    <w:lvl w:ilvl="0" w:tplc="BF64F36E">
      <w:start w:val="6"/>
      <w:numFmt w:val="decimal"/>
      <w:lvlText w:val="(%1)"/>
      <w:lvlJc w:val="left"/>
      <w:pPr>
        <w:ind w:left="1430" w:hanging="72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7"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75045"/>
    <w:multiLevelType w:val="hybridMultilevel"/>
    <w:tmpl w:val="54162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C4B1CAE"/>
    <w:multiLevelType w:val="hybridMultilevel"/>
    <w:tmpl w:val="C296953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1585B7C"/>
    <w:multiLevelType w:val="hybridMultilevel"/>
    <w:tmpl w:val="63589E1A"/>
    <w:lvl w:ilvl="0" w:tplc="DE26FB18">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1" w15:restartNumberingAfterBreak="0">
    <w:nsid w:val="5A1E7BB8"/>
    <w:multiLevelType w:val="hybridMultilevel"/>
    <w:tmpl w:val="74E265F0"/>
    <w:lvl w:ilvl="0" w:tplc="1B62CD4C">
      <w:start w:val="1"/>
      <w:numFmt w:val="decimal"/>
      <w:pStyle w:val="TKNbrsLevel1"/>
      <w:lvlText w:val="%1."/>
      <w:lvlJc w:val="left"/>
      <w:pPr>
        <w:ind w:left="851" w:hanging="284"/>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ED51E1"/>
    <w:multiLevelType w:val="hybridMultilevel"/>
    <w:tmpl w:val="3E940E6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7024047">
    <w:abstractNumId w:val="5"/>
  </w:num>
  <w:num w:numId="2" w16cid:durableId="359478907">
    <w:abstractNumId w:val="14"/>
  </w:num>
  <w:num w:numId="3" w16cid:durableId="58752444">
    <w:abstractNumId w:val="11"/>
  </w:num>
  <w:num w:numId="4" w16cid:durableId="1974021475">
    <w:abstractNumId w:val="11"/>
    <w:lvlOverride w:ilvl="0">
      <w:startOverride w:val="1"/>
    </w:lvlOverride>
  </w:num>
  <w:num w:numId="5" w16cid:durableId="1261376637">
    <w:abstractNumId w:val="11"/>
    <w:lvlOverride w:ilvl="0">
      <w:startOverride w:val="1"/>
    </w:lvlOverride>
  </w:num>
  <w:num w:numId="6" w16cid:durableId="378667846">
    <w:abstractNumId w:val="11"/>
    <w:lvlOverride w:ilvl="0">
      <w:startOverride w:val="1"/>
    </w:lvlOverride>
  </w:num>
  <w:num w:numId="7" w16cid:durableId="677464112">
    <w:abstractNumId w:val="0"/>
  </w:num>
  <w:num w:numId="8" w16cid:durableId="987393778">
    <w:abstractNumId w:val="13"/>
  </w:num>
  <w:num w:numId="9" w16cid:durableId="702486490">
    <w:abstractNumId w:val="12"/>
  </w:num>
  <w:num w:numId="10" w16cid:durableId="1108548309">
    <w:abstractNumId w:val="7"/>
  </w:num>
  <w:num w:numId="11" w16cid:durableId="1838881191">
    <w:abstractNumId w:val="4"/>
  </w:num>
  <w:num w:numId="12" w16cid:durableId="1350133860">
    <w:abstractNumId w:val="6"/>
  </w:num>
  <w:num w:numId="13" w16cid:durableId="259875789">
    <w:abstractNumId w:val="10"/>
  </w:num>
  <w:num w:numId="14" w16cid:durableId="208228518">
    <w:abstractNumId w:val="1"/>
  </w:num>
  <w:num w:numId="15" w16cid:durableId="1551762823">
    <w:abstractNumId w:val="9"/>
  </w:num>
  <w:num w:numId="16" w16cid:durableId="1397051813">
    <w:abstractNumId w:val="8"/>
  </w:num>
  <w:num w:numId="17" w16cid:durableId="1773433195">
    <w:abstractNumId w:val="3"/>
  </w:num>
  <w:num w:numId="18" w16cid:durableId="1784886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DCB"/>
    <w:rsid w:val="00005978"/>
    <w:rsid w:val="00025021"/>
    <w:rsid w:val="00027676"/>
    <w:rsid w:val="00030421"/>
    <w:rsid w:val="00087987"/>
    <w:rsid w:val="00122DEB"/>
    <w:rsid w:val="001A2CEC"/>
    <w:rsid w:val="0026162D"/>
    <w:rsid w:val="002B3B6A"/>
    <w:rsid w:val="002D0C89"/>
    <w:rsid w:val="002E2195"/>
    <w:rsid w:val="00341A02"/>
    <w:rsid w:val="0035275E"/>
    <w:rsid w:val="003A76E3"/>
    <w:rsid w:val="003E66B5"/>
    <w:rsid w:val="00400F0C"/>
    <w:rsid w:val="004065E2"/>
    <w:rsid w:val="004B24A8"/>
    <w:rsid w:val="004B6F3D"/>
    <w:rsid w:val="005174C6"/>
    <w:rsid w:val="005304B1"/>
    <w:rsid w:val="00554006"/>
    <w:rsid w:val="00570875"/>
    <w:rsid w:val="005A6FDC"/>
    <w:rsid w:val="005D46C6"/>
    <w:rsid w:val="005D4BCE"/>
    <w:rsid w:val="005E7F62"/>
    <w:rsid w:val="006223AA"/>
    <w:rsid w:val="00705435"/>
    <w:rsid w:val="00751A29"/>
    <w:rsid w:val="00776354"/>
    <w:rsid w:val="007B3238"/>
    <w:rsid w:val="007C3333"/>
    <w:rsid w:val="007D6DCB"/>
    <w:rsid w:val="00851DEA"/>
    <w:rsid w:val="00886E56"/>
    <w:rsid w:val="00932DD0"/>
    <w:rsid w:val="009925C1"/>
    <w:rsid w:val="00A04C92"/>
    <w:rsid w:val="00AF2C4F"/>
    <w:rsid w:val="00B178CD"/>
    <w:rsid w:val="00B559C0"/>
    <w:rsid w:val="00BC276E"/>
    <w:rsid w:val="00BC7BAD"/>
    <w:rsid w:val="00BD7533"/>
    <w:rsid w:val="00C04DB0"/>
    <w:rsid w:val="00C708AC"/>
    <w:rsid w:val="00D15B3E"/>
    <w:rsid w:val="00D351F9"/>
    <w:rsid w:val="00D9715B"/>
    <w:rsid w:val="00DD4580"/>
    <w:rsid w:val="00DE7097"/>
    <w:rsid w:val="00DF734E"/>
    <w:rsid w:val="00E20E93"/>
    <w:rsid w:val="00E42117"/>
    <w:rsid w:val="00EB5F4E"/>
    <w:rsid w:val="00ED01EB"/>
    <w:rsid w:val="00EE06D5"/>
    <w:rsid w:val="00F13C0D"/>
    <w:rsid w:val="00FC5DB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5BFC"/>
  <w15:chartTrackingRefBased/>
  <w15:docId w15:val="{F4D2B867-1A31-4B44-AC08-F8583D2D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097"/>
    <w:rPr>
      <w:rFonts w:eastAsiaTheme="minorEastAsia"/>
      <w:lang w:val="en-GB" w:eastAsia="zh-CN"/>
    </w:rPr>
  </w:style>
  <w:style w:type="paragraph" w:styleId="Titre1">
    <w:name w:val="heading 1"/>
    <w:basedOn w:val="Normal"/>
    <w:next w:val="Normal"/>
    <w:link w:val="Titre1Car"/>
    <w:uiPriority w:val="9"/>
    <w:qFormat/>
    <w:rsid w:val="00DE7097"/>
    <w:pPr>
      <w:keepNext/>
      <w:keepLines/>
      <w:numPr>
        <w:numId w:val="1"/>
      </w:numPr>
      <w:spacing w:before="240" w:after="240"/>
      <w:jc w:val="center"/>
      <w:outlineLvl w:val="0"/>
    </w:pPr>
    <w:rPr>
      <w:rFonts w:asciiTheme="majorHAnsi" w:eastAsia="Calibri" w:hAnsiTheme="majorHAnsi" w:cstheme="minorHAnsi"/>
      <w:b/>
      <w:color w:val="2E74B5" w:themeColor="accent1" w:themeShade="BF"/>
      <w:sz w:val="36"/>
      <w:szCs w:val="3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7097"/>
    <w:rPr>
      <w:rFonts w:asciiTheme="majorHAnsi" w:eastAsia="Calibri" w:hAnsiTheme="majorHAnsi" w:cstheme="minorHAnsi"/>
      <w:b/>
      <w:color w:val="2E74B5" w:themeColor="accent1" w:themeShade="BF"/>
      <w:sz w:val="36"/>
      <w:szCs w:val="36"/>
      <w:lang w:val="en-GB"/>
    </w:rPr>
  </w:style>
  <w:style w:type="character" w:styleId="Lienhypertexte">
    <w:name w:val="Hyperlink"/>
    <w:basedOn w:val="Policepardfaut"/>
    <w:uiPriority w:val="99"/>
    <w:unhideWhenUsed/>
    <w:rsid w:val="00DE7097"/>
    <w:rPr>
      <w:color w:val="0563C1" w:themeColor="hyperlink"/>
      <w:u w:val="single"/>
    </w:rPr>
  </w:style>
  <w:style w:type="paragraph" w:customStyle="1" w:styleId="TKAIM">
    <w:name w:val="TK AIM"/>
    <w:uiPriority w:val="99"/>
    <w:qFormat/>
    <w:rsid w:val="00DE7097"/>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customStyle="1" w:styleId="TKTextetableau">
    <w:name w:val="TK Texte tableau"/>
    <w:uiPriority w:val="99"/>
    <w:qFormat/>
    <w:rsid w:val="00DE7097"/>
    <w:pPr>
      <w:framePr w:hSpace="141" w:wrap="around" w:vAnchor="text" w:hAnchor="text" w:y="1"/>
      <w:spacing w:after="0" w:line="240" w:lineRule="auto"/>
    </w:pPr>
    <w:rPr>
      <w:rFonts w:ascii="Calibri" w:eastAsia="Times New Roman" w:hAnsi="Calibri" w:cs="Times New Roman"/>
      <w:szCs w:val="24"/>
      <w:lang w:val="en-GB"/>
    </w:rPr>
  </w:style>
  <w:style w:type="paragraph" w:customStyle="1" w:styleId="TKTEXTE">
    <w:name w:val="TK TEXTE"/>
    <w:qFormat/>
    <w:rsid w:val="00DE7097"/>
    <w:pPr>
      <w:spacing w:before="120" w:after="120" w:line="240" w:lineRule="auto"/>
    </w:pPr>
    <w:rPr>
      <w:rFonts w:ascii="Calibri" w:eastAsia="Times New Roman" w:hAnsi="Calibri" w:cs="Calibri"/>
      <w:sz w:val="24"/>
      <w:szCs w:val="24"/>
      <w:lang w:val="en-GB"/>
    </w:rPr>
  </w:style>
  <w:style w:type="paragraph" w:customStyle="1" w:styleId="TKTITRE2">
    <w:name w:val="TK TITRE 2"/>
    <w:next w:val="Normal"/>
    <w:uiPriority w:val="99"/>
    <w:qFormat/>
    <w:rsid w:val="00DE7097"/>
    <w:pPr>
      <w:spacing w:before="120" w:after="120" w:line="240" w:lineRule="auto"/>
    </w:pPr>
    <w:rPr>
      <w:rFonts w:ascii="Calibri" w:eastAsia="Times New Roman" w:hAnsi="Calibri" w:cs="Calibri"/>
      <w:b/>
      <w:bCs/>
      <w:sz w:val="28"/>
      <w:szCs w:val="28"/>
      <w:lang w:val="en-US"/>
    </w:rPr>
  </w:style>
  <w:style w:type="paragraph" w:customStyle="1" w:styleId="TKTITRE1">
    <w:name w:val="TK TITRE1"/>
    <w:qFormat/>
    <w:rsid w:val="00DE7097"/>
    <w:pPr>
      <w:spacing w:before="120" w:after="120" w:line="240" w:lineRule="auto"/>
    </w:pPr>
    <w:rPr>
      <w:rFonts w:ascii="Calibri" w:eastAsia="Times New Roman" w:hAnsi="Calibri" w:cs="Calibri"/>
      <w:b/>
      <w:bCs/>
      <w:sz w:val="32"/>
      <w:szCs w:val="32"/>
      <w:lang w:val="en-US"/>
    </w:rPr>
  </w:style>
  <w:style w:type="table" w:styleId="Grilledutableau">
    <w:name w:val="Table Grid"/>
    <w:basedOn w:val="TableauNormal"/>
    <w:uiPriority w:val="99"/>
    <w:rsid w:val="00DE7097"/>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MAINTITLE">
    <w:name w:val="TK MAIN TITLE"/>
    <w:basedOn w:val="Normal"/>
    <w:qFormat/>
    <w:rsid w:val="00DE7097"/>
    <w:pPr>
      <w:spacing w:before="120" w:after="120" w:line="240" w:lineRule="auto"/>
      <w:jc w:val="center"/>
    </w:pPr>
    <w:rPr>
      <w:rFonts w:ascii="Calibri" w:eastAsia="Calibri" w:hAnsi="Calibri" w:cs="Calibri"/>
      <w:b/>
      <w:bCs/>
      <w:color w:val="2E74B5" w:themeColor="accent1" w:themeShade="BF"/>
      <w:sz w:val="40"/>
      <w:szCs w:val="40"/>
      <w:lang w:eastAsia="en-US"/>
    </w:rPr>
  </w:style>
  <w:style w:type="paragraph" w:customStyle="1" w:styleId="TKNbrsLevel1">
    <w:name w:val="TK_Nbrs Level1"/>
    <w:basedOn w:val="Normal"/>
    <w:qFormat/>
    <w:rsid w:val="00DE7097"/>
    <w:pPr>
      <w:numPr>
        <w:numId w:val="3"/>
      </w:numPr>
      <w:tabs>
        <w:tab w:val="left" w:pos="567"/>
      </w:tabs>
      <w:spacing w:before="60" w:after="60" w:line="240" w:lineRule="auto"/>
    </w:pPr>
    <w:rPr>
      <w:rFonts w:ascii="Calibri" w:eastAsia="Times New Roman" w:hAnsi="Calibri" w:cs="Calibri"/>
      <w:sz w:val="24"/>
      <w:szCs w:val="24"/>
      <w:lang w:eastAsia="en-US"/>
    </w:rPr>
  </w:style>
  <w:style w:type="paragraph" w:customStyle="1" w:styleId="TKnotes">
    <w:name w:val="TK_notes"/>
    <w:qFormat/>
    <w:rsid w:val="00DE7097"/>
    <w:pPr>
      <w:spacing w:before="120" w:after="120" w:line="240" w:lineRule="auto"/>
    </w:pPr>
    <w:rPr>
      <w:rFonts w:ascii="Calibri" w:eastAsia="Times New Roman" w:hAnsi="Calibri" w:cs="Calibri"/>
      <w:sz w:val="20"/>
      <w:lang w:val="en-GB"/>
    </w:rPr>
  </w:style>
  <w:style w:type="paragraph" w:styleId="NormalWeb">
    <w:name w:val="Normal (Web)"/>
    <w:basedOn w:val="Normal"/>
    <w:uiPriority w:val="99"/>
    <w:unhideWhenUsed/>
    <w:rsid w:val="00DE7097"/>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TKBulletLevel1">
    <w:name w:val="TK Bullet Level1"/>
    <w:next w:val="Normal"/>
    <w:uiPriority w:val="99"/>
    <w:qFormat/>
    <w:rsid w:val="00BC276E"/>
    <w:pPr>
      <w:numPr>
        <w:numId w:val="13"/>
      </w:numPr>
      <w:tabs>
        <w:tab w:val="left" w:pos="567"/>
      </w:tabs>
      <w:spacing w:before="60" w:after="60" w:line="240" w:lineRule="auto"/>
    </w:pPr>
    <w:rPr>
      <w:rFonts w:ascii="Calibri" w:eastAsia="Calibri" w:hAnsi="Calibri" w:cs="Calibri"/>
      <w:sz w:val="24"/>
      <w:szCs w:val="24"/>
      <w:lang w:val="en-US"/>
    </w:rPr>
  </w:style>
  <w:style w:type="paragraph" w:customStyle="1" w:styleId="TKTITRE3">
    <w:name w:val="TK TITRE 3"/>
    <w:uiPriority w:val="99"/>
    <w:qFormat/>
    <w:rsid w:val="00BC276E"/>
    <w:pPr>
      <w:spacing w:before="120" w:after="120" w:line="240" w:lineRule="auto"/>
    </w:pPr>
    <w:rPr>
      <w:rFonts w:ascii="Calibri" w:eastAsia="Calibri" w:hAnsi="Calibri" w:cs="Calibri"/>
      <w:i/>
      <w:iCs/>
      <w:noProof/>
      <w:sz w:val="24"/>
      <w:szCs w:val="24"/>
      <w:u w:val="single"/>
      <w:lang w:val="en-US"/>
    </w:rPr>
  </w:style>
  <w:style w:type="paragraph" w:styleId="En-tte">
    <w:name w:val="header"/>
    <w:basedOn w:val="Normal"/>
    <w:link w:val="En-tteCar"/>
    <w:uiPriority w:val="99"/>
    <w:unhideWhenUsed/>
    <w:rsid w:val="00FC5DB4"/>
    <w:pPr>
      <w:tabs>
        <w:tab w:val="center" w:pos="4819"/>
        <w:tab w:val="right" w:pos="9638"/>
      </w:tabs>
      <w:spacing w:after="0" w:line="240" w:lineRule="auto"/>
    </w:pPr>
  </w:style>
  <w:style w:type="character" w:customStyle="1" w:styleId="En-tteCar">
    <w:name w:val="En-tête Car"/>
    <w:basedOn w:val="Policepardfaut"/>
    <w:link w:val="En-tte"/>
    <w:uiPriority w:val="99"/>
    <w:rsid w:val="00FC5DB4"/>
    <w:rPr>
      <w:rFonts w:eastAsiaTheme="minorEastAsia"/>
      <w:lang w:val="en-GB" w:eastAsia="zh-CN"/>
    </w:rPr>
  </w:style>
  <w:style w:type="paragraph" w:styleId="Pieddepage">
    <w:name w:val="footer"/>
    <w:basedOn w:val="Normal"/>
    <w:link w:val="PieddepageCar"/>
    <w:uiPriority w:val="99"/>
    <w:unhideWhenUsed/>
    <w:rsid w:val="00FC5DB4"/>
    <w:pPr>
      <w:tabs>
        <w:tab w:val="center" w:pos="4819"/>
        <w:tab w:val="right" w:pos="9638"/>
      </w:tabs>
      <w:spacing w:after="0" w:line="240" w:lineRule="auto"/>
    </w:pPr>
  </w:style>
  <w:style w:type="character" w:customStyle="1" w:styleId="PieddepageCar">
    <w:name w:val="Pied de page Car"/>
    <w:basedOn w:val="Policepardfaut"/>
    <w:link w:val="Pieddepage"/>
    <w:uiPriority w:val="99"/>
    <w:rsid w:val="00FC5DB4"/>
    <w:rPr>
      <w:rFonts w:eastAsiaTheme="minorEastAsia"/>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3</Pages>
  <Words>542</Words>
  <Characters>2987</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Manager>Nazik ERENOĞLU</Manager>
  <Company>ERENOĞLU CONSULTANCY, TRANSLATION AND FOREIGN TRADE LTD. CO.</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ERENOĞLU DANIŞMANLIK, TERCÜMANLIK VE DIŞ TİCARET LTD. ŞTİ.</dc:creator>
  <cp:keywords>erenoglu@erenoglu.com.tr</cp:keywords>
  <dc:description>_x000d_
_x000d_
_x000d_
_x000d_
</dc:description>
  <cp:lastModifiedBy>VONAU Lucie</cp:lastModifiedBy>
  <cp:revision>55</cp:revision>
  <dcterms:created xsi:type="dcterms:W3CDTF">2023-06-27T09:05:00Z</dcterms:created>
  <dcterms:modified xsi:type="dcterms:W3CDTF">2025-10-15T16:11:00Z</dcterms:modified>
  <cp:category>www.erenoglu.com.tr</cp:category>
</cp:coreProperties>
</file>