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8.00000000000006" w:lineRule="auto"/>
        <w:rPr>
          <w:b w:val="1"/>
          <w:bCs w:val="1"/>
          <w:color w:val="2f5496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75"/>
        <w:gridCol w:w="5325"/>
        <w:gridCol w:w="3345"/>
        <w:tblGridChange w:id="0">
          <w:tblGrid>
            <w:gridCol w:w="1875"/>
            <w:gridCol w:w="5325"/>
            <w:gridCol w:w="3345"/>
          </w:tblGrid>
        </w:tblGridChange>
      </w:tblGrid>
      <w:tr>
        <w:trPr>
          <w:cantSplit w:val="0"/>
          <w:trHeight w:val="2582.4487304687505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line="278.00000000000006" w:lineRule="auto"/>
              <w:jc w:val="both"/>
              <w:rPr>
                <w:b w:val="1"/>
                <w:bCs w:val="1"/>
                <w:color w:val="2f5496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733425</wp:posOffset>
                  </wp:positionV>
                  <wp:extent cx="922973" cy="839754"/>
                  <wp:effectExtent b="0" l="0" r="0" t="0"/>
                  <wp:wrapNone/>
                  <wp:docPr id="164291471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973" cy="83975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="278.00000000000006" w:lineRule="auto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240" w:before="240" w:line="278.00000000000006" w:lineRule="auto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Supporto Linguistico fornito a Migranti 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Il Toolkit SLM del Consiglio d’Europa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240" w:line="278.0000000000000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2f5496"/>
                <w:sz w:val="26"/>
                <w:szCs w:val="26"/>
              </w:rPr>
              <w:drawing>
                <wp:inline distB="114300" distT="114300" distL="114300" distR="114300">
                  <wp:extent cx="3571875" cy="12700"/>
                  <wp:effectExtent b="0" l="0" r="0" t="0"/>
                  <wp:docPr id="1642914710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1875" cy="12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="278.00000000000006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ff"/>
                <w:sz w:val="32"/>
                <w:szCs w:val="32"/>
                <w:u w:val="single"/>
              </w:rPr>
              <w:drawing>
                <wp:inline distB="114300" distT="114300" distL="114300" distR="114300">
                  <wp:extent cx="1058228" cy="865823"/>
                  <wp:effectExtent b="0" l="0" r="0" t="0"/>
                  <wp:docPr id="164291471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228" cy="86582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ff"/>
                <w:sz w:val="32"/>
                <w:szCs w:val="32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4f88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4f88"/>
          <w:sz w:val="32"/>
          <w:szCs w:val="32"/>
          <w:u w:val="none"/>
          <w:shd w:fill="auto" w:val="clear"/>
          <w:vertAlign w:val="baseline"/>
          <w:rtl w:val="0"/>
        </w:rPr>
        <w:t xml:space="preserve">Strumento 10 – Fornire supporto linguistico a migranti per nulla o poco alfabetizzati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f5496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ddddd" w:val="clear"/>
        <w:tabs>
          <w:tab w:val="left" w:leader="none" w:pos="709"/>
        </w:tabs>
        <w:spacing w:after="0" w:before="0" w:line="276" w:lineRule="auto"/>
        <w:ind w:left="1416" w:right="0" w:hanging="1416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Obiettivo - Accrescere consapevolezza sui diversi profili di alfabetizzazione.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Molte persone sanno usare diversi sistemi di scrittura e altre sono in grado di leggere e scrivere solo nelle loro lingue prime. Vi sono inoltre persone che non sanno leggere o scrivere in nessuna lingua, anche se utilizzano diverse forme di comunicazione. Alcuni, ad esempio, non sono capaci di scrivere parole isolate con la penna o con la matita, ma riescono probabilmente a digitare un messaggio anche con una certa disinvoltura; altri invece sono in grado di comprendere un simbolo accompagnato da un testo esplicativo, come quello nell’avviso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Vietato fumare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4togu93zec9b" w:id="0"/>
      <w:bookmarkEnd w:id="0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È importante sottolineare che i migranti che sanno leggere e scrivere in un sistema di scrittura diverso da quello utilizzato in italiano non sono analfabeti. Quando devono imparare un nuovo sistema di scrittura (vedi Strumento 9 –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La sfida di imparare a leggere e scrivere in una nuova lingua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 possono utilizzare le competenze di alfabetizzazione già acquisite in uno o più altri sistemi di scrittura per aiutarli in questo processo.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concetto di alfabetizzazione si riferisce alla capacità di usare la lingua scritta, sia in testi stampati che digitali, per realizzare compiti della vita di tutti i giorni, per accedere a risorse, servizi e sistemi (compresi quelli relativi all’istruzione e all’apprendimento formale, non formale o informale) e per interagire in contesti sociali.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L’alfabetizzazione implica una progressione di competenze, che vanno dalla capacità di saper leggere e comprendere semplici parole, alla capacità di usare testi scritti per operare una riflessione critica e per comunicare in maniera efficace. In relazione a questa progressione, vedi la guida di riferimento ALSILMA del Consiglio d’Europa (Alfabetizzazione e apprendimento della lingua seconda per l’integrazione linguistica dei migranti adulti)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Questa guida definisce quattro livelli di alfabetizzazione di seguito descritti. </w:t>
      </w:r>
    </w:p>
    <w:p w:rsidR="00000000" w:rsidDel="00000000" w:rsidP="00000000" w:rsidRDefault="00000000" w:rsidRPr="00000000" w14:paraId="00000011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Livello 1: Scoprire l’alfabetismo</w:t>
      </w:r>
    </w:p>
    <w:p w:rsidR="00000000" w:rsidDel="00000000" w:rsidP="00000000" w:rsidRDefault="00000000" w:rsidRPr="00000000" w14:paraId="00000017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Leggere a questo livello significa, ad esempio, riconoscere le parole “a vista” che sono state imparate a memoria come un tutto. Scrivere significa disegnare o copiare da un esempio. Verso la fine di questo livello, l'apprendente è in grado di riconoscere le parole a vista, rilevanti, che ha esercitato (come il proprio nome e indirizzo, i giorni della settimana, i mesi dell'anno) e di riconoscere la maggior parte delle lettere dell'alfabeto e i simboli o i segni personalmente rilevanti come il logo della metropolitana o della farmacia. </w:t>
      </w:r>
    </w:p>
    <w:p w:rsidR="00000000" w:rsidDel="00000000" w:rsidP="00000000" w:rsidRDefault="00000000" w:rsidRPr="00000000" w14:paraId="00000018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Livello 2: Decodifica e codifica di base</w:t>
      </w:r>
    </w:p>
    <w:p w:rsidR="00000000" w:rsidDel="00000000" w:rsidP="00000000" w:rsidRDefault="00000000" w:rsidRPr="00000000" w14:paraId="0000001A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Questo livello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riguarda l'apprendimento del principio alfabetico, imparare cioè ad abbinare grafemi (lettere alfabetiche) a fonemi (suoni) in parole brevi con una struttura fonologica semplice, cioè con una corrispondenza biunivoca tra grafema e fonema.</w:t>
      </w:r>
      <w:r w:rsidDel="00000000" w:rsidR="00000000" w:rsidRPr="00000000">
        <w:rPr>
          <w:rtl w:val="0"/>
        </w:rPr>
        <w:t xml:space="preserve"> Al termine di questo livello, l'apprendente è in grado, ad esempio, di leggere autonomamente brevi e semplici parole. L'apprendente è anche in grado di scrivere brevi parole che ha esercitato, dove c'è una stretta corrispondenza tra suoni e lettere.</w:t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Livello 3: Decodifica e codifica estese</w:t>
      </w:r>
    </w:p>
    <w:p w:rsidR="00000000" w:rsidDel="00000000" w:rsidP="00000000" w:rsidRDefault="00000000" w:rsidRPr="00000000" w14:paraId="0000001D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 questo livello la decodifica e la codifica si estendono a parole in cui esiste una relazione più complessa tra grafemi e fonemi. Al termine di questa fase, l'apprendente è in grado, ad esempio, di leggere e scrivere parole note con strutture fonologiche più complesse. </w:t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Livello 4: Verso il consolidamento e la fluenza</w:t>
      </w:r>
    </w:p>
    <w:p w:rsidR="00000000" w:rsidDel="00000000" w:rsidP="00000000" w:rsidRDefault="00000000" w:rsidRPr="00000000" w14:paraId="00000020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 questo livello si consolida la capacità di leggere parole, espressioni e frasi su argomenti familiari e rilevanti. Alla fine del livello 4 l'apprendente è in grado, ad esempio, di scrivere le stesse parole del livello 3, ma a una velocità maggiore e fluenza.</w:t>
      </w:r>
    </w:p>
    <w:p w:rsidR="00000000" w:rsidDel="00000000" w:rsidP="00000000" w:rsidRDefault="00000000" w:rsidRPr="00000000" w14:paraId="00000021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I quattro stadi di alfabetizzazione sopra descritti possono aiutarti a capire di quale supporto possono aver bisogno i migranti. Tuttavia, è importante considerare che è probabile che vi siano differenze tra l'alfabetizzazione in uno qualsiasi dei livelli descritti e l’individuo, in quanto quest’ultimo può presentare caratteristiche trasversali ai quattro livelli. In altre parole, potrebbe avere un profilo irregolare di competenze, alfabetiche e linguistiche (vedi anche Strumento 18 – </w:t>
      </w:r>
      <w:r w:rsidDel="00000000" w:rsidR="00000000" w:rsidRPr="00000000">
        <w:rPr>
          <w:i w:val="1"/>
          <w:iCs w:val="1"/>
          <w:u w:val="single"/>
          <w:rtl w:val="0"/>
        </w:rPr>
        <w:t xml:space="preserve">Essere consapevoli dei profili linguistici disomogenei dei migranti e tenerli in considerazione</w:t>
      </w:r>
      <w:r w:rsidDel="00000000" w:rsidR="00000000" w:rsidRPr="00000000">
        <w:rPr>
          <w:rtl w:val="0"/>
        </w:rPr>
        <w:t xml:space="preserve">.) </w:t>
      </w:r>
    </w:p>
    <w:p w:rsidR="00000000" w:rsidDel="00000000" w:rsidP="00000000" w:rsidRDefault="00000000" w:rsidRPr="00000000" w14:paraId="00000023">
      <w:pPr>
        <w:spacing w:line="276" w:lineRule="auto"/>
        <w:jc w:val="both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Considera ora questi quattro esempi di profili e pensa a come il background di una persona possa influenzare l'apprendimento. In particolare, rifletti sui profili di Abdi e Natalie: stanno imparando a leggere e scrivere per la prima volta e contemporaneamente stanno imparando una nuova lingua. Si tratta di una grande sfida che richiede un grande sforzo, soprattutto per Abdi che è anche principiante assoluto nella lingua parlata.</w:t>
      </w:r>
    </w:p>
    <w:p w:rsidR="00000000" w:rsidDel="00000000" w:rsidP="00000000" w:rsidRDefault="00000000" w:rsidRPr="00000000" w14:paraId="00000025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1365123599"/>
        <w:tag w:val="goog_rdk_0"/>
      </w:sdtPr>
      <w:sdtContent>
        <w:tbl>
          <w:tblPr>
            <w:tblStyle w:val="Table2"/>
            <w:tblpPr w:leftFromText="141" w:rightFromText="141" w:topFromText="0" w:bottomFromText="0" w:vertAnchor="page" w:horzAnchor="margin" w:tblpX="0" w:tblpY="673.8281249999975"/>
            <w:tblW w:w="10456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0456"/>
            <w:tblGridChange w:id="0">
              <w:tblGrid>
                <w:gridCol w:w="10456"/>
              </w:tblGrid>
            </w:tblGridChange>
          </w:tblGrid>
          <w:tr>
            <w:trPr>
              <w:cantSplit w:val="0"/>
              <w:trHeight w:val="293.83789062500006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jc w:val="both"/>
                  <w:rPr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b w:val="1"/>
                    <w:bCs w:val="1"/>
                    <w:sz w:val="22"/>
                    <w:szCs w:val="22"/>
                    <w:rtl w:val="0"/>
                  </w:rPr>
                  <w:t xml:space="preserve">Profili</w:t>
                </w:r>
              </w:p>
            </w:tc>
          </w:tr>
          <w:tr>
            <w:trPr>
              <w:cantSplit w:val="0"/>
              <w:trHeight w:val="671" w:hRule="atLeast"/>
              <w:tblHeader w:val="0"/>
            </w:trPr>
            <w:tc>
              <w:tcPr>
                <w:shd w:fill="d9d9d9" w:val="clear"/>
              </w:tcPr>
              <w:p w:rsidR="00000000" w:rsidDel="00000000" w:rsidP="00000000" w:rsidRDefault="00000000" w:rsidRPr="00000000" w14:paraId="00000030">
                <w:pPr>
                  <w:spacing w:line="276" w:lineRule="auto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Abdi è un uomo bantu di 45 anni, proveniente dalla Somalia. La sua lingua prima, appartenente al gruppo cuscitico, è solo orale. Il suo livello di competenza orale in italiano è iniziale; non ha contatti con la comunità locale se non attraverso i mediatori. È analfabeta strumentale.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31">
                <w:pPr>
                  <w:spacing w:line="276" w:lineRule="auto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Natalie è una compagna di classe di Abdi. Ha 37 anni e viene dalla Costa d’Avorio. È arrivata in Italia tre anni fa grazie al ricongiungimento familiare. Natalie parla bete e francese. Non ha mai frequentato la scuola e non sa né leggere né scrivere. Ha imparato rapidamente a parlare la lingua italiana grazie alle sue buone competenze orali, sia nella lingua prima, sia in francese.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d9d9d9" w:val="clear"/>
              </w:tcPr>
              <w:p w:rsidR="00000000" w:rsidDel="00000000" w:rsidP="00000000" w:rsidRDefault="00000000" w:rsidRPr="00000000" w14:paraId="00000032">
                <w:pPr>
                  <w:spacing w:line="276" w:lineRule="auto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Abbas ha 17 anni e ha un basso livello di istruzione (4 anni) nel suo Paese di origine (Pakistan). Vive in Italia da 5 mesi in condizione di minore straniero non accompagnato (MSNA). Attualmente frequenta un corso di formazione professionale, quindi, ha contatti regolari con persone del Paese di reinsediamento.  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33">
                <w:pPr>
                  <w:spacing w:line="276" w:lineRule="auto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Fatima ha 58 anni e viene dall’Afghanistan, dove ha frequentato la scuola per 8 anni. Come Abbas, lei non è in grado di leggere o scrivere nella maggior parte delle situazioni quotidiane, è analfabeta funzionale; malgrado ciò, può leggere o scrivere determinate cose. Nel suo caso, ciò è dovuto a uno scarso allenamento nella letto-scrittura negli ultimi 30 anni (cosiddetto fenomeno dell’analfabetismo di ritorno). È arrivata in Italia 9 anni fa e ha buone competenze nella produzione orale, grazie a un’ottima rete di amici e interazioni giornaliere nell’ambiente lavorativo.  </w:t>
                </w:r>
              </w:p>
            </w:tc>
          </w:tr>
        </w:tbl>
      </w:sdtContent>
    </w:sdt>
    <w:p w:rsidR="00000000" w:rsidDel="00000000" w:rsidP="00000000" w:rsidRDefault="00000000" w:rsidRPr="00000000" w14:paraId="00000034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38" w:w="11906" w:orient="portrait"/>
      <w:pgMar w:bottom="720" w:top="142" w:left="720" w:right="720" w:header="283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Times New Roman"/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sz w:val="22"/>
        <w:szCs w:val="22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tabs>
        <w:tab w:val="center" w:leader="none" w:pos="5220"/>
        <w:tab w:val="right" w:leader="none" w:pos="10440"/>
      </w:tabs>
      <w:rPr/>
    </w:pPr>
    <w:r w:rsidDel="00000000" w:rsidR="00000000" w:rsidRPr="00000000">
      <w:rPr>
        <w:b w:val="1"/>
        <w:bCs w:val="1"/>
        <w:color w:val="434343"/>
        <w:sz w:val="18"/>
        <w:szCs w:val="18"/>
        <w:highlight w:val="white"/>
        <w:rtl w:val="0"/>
      </w:rPr>
      <w:t xml:space="preserve">Strumento 10 – Supporto Linguistico fornito a Migranti</w:t>
    </w:r>
    <w:r w:rsidDel="00000000" w:rsidR="00000000" w:rsidRPr="00000000">
      <w:rPr>
        <w:rFonts w:ascii="Aptos" w:cs="Aptos" w:eastAsia="Aptos" w:hAnsi="Aptos"/>
        <w:color w:val="434343"/>
        <w:rtl w:val="0"/>
      </w:rPr>
      <w:tab/>
    </w:r>
    <w:r w:rsidDel="00000000" w:rsidR="00000000" w:rsidRPr="00000000">
      <w:rPr>
        <w:color w:val="434343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434343"/>
        <w:sz w:val="18"/>
        <w:szCs w:val="18"/>
        <w:rtl w:val="0"/>
      </w:rPr>
      <w:t xml:space="preserve">/3</w:t>
    </w:r>
    <w:r w:rsidDel="00000000" w:rsidR="00000000" w:rsidRPr="00000000">
      <w:rPr>
        <w:sz w:val="18"/>
        <w:szCs w:val="18"/>
        <w:rtl w:val="0"/>
      </w:rPr>
      <w:tab/>
    </w:r>
    <w:hyperlink r:id="rId1">
      <w:r w:rsidDel="00000000" w:rsidR="00000000" w:rsidRPr="00000000">
        <w:rPr>
          <w:color w:val="1155cc"/>
          <w:sz w:val="18"/>
          <w:szCs w:val="18"/>
          <w:u w:val="single"/>
          <w:rtl w:val="0"/>
        </w:rPr>
        <w:t xml:space="preserve">www.coe.int/education</w:t>
      </w:r>
    </w:hyperlink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Versione in inglese: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Reference guide on Literacy and Second Language Learning for the Linguistic Integration of Adult Migrants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(LASLLIAM) -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11893"/>
          <w:sz w:val="20"/>
          <w:szCs w:val="20"/>
          <w:u w:val="single"/>
          <w:shd w:fill="auto" w:val="clear"/>
          <w:vertAlign w:val="baseline"/>
          <w:rtl w:val="0"/>
        </w:rPr>
        <w:t xml:space="preserve">https://www.coe.int/en/web/education/-/new-isbn-publication-6-reference-guide-literacy-and-second-language-for-the-linguistic-integration-of-adult-migrants-laslliam-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TKTITRE1" w:customStyle="1">
    <w:name w:val="TK TITRE1"/>
    <w:qFormat w:val="1"/>
    <w:rsid w:val="0008523A"/>
    <w:pPr>
      <w:spacing w:after="120" w:before="120" w:line="240" w:lineRule="auto"/>
    </w:pPr>
    <w:rPr>
      <w:rFonts w:ascii="Calibri" w:cs="Calibri" w:eastAsia="Times New Roman" w:hAnsi="Calibri"/>
      <w:b w:val="1"/>
      <w:bCs w:val="1"/>
      <w:sz w:val="32"/>
      <w:szCs w:val="32"/>
      <w:lang w:val="en-US"/>
    </w:rPr>
  </w:style>
  <w:style w:type="paragraph" w:styleId="Pidipagina">
    <w:name w:val="footer"/>
    <w:basedOn w:val="Normale"/>
    <w:link w:val="PidipaginaCarattere"/>
    <w:uiPriority w:val="99"/>
    <w:unhideWhenUsed w:val="1"/>
    <w:rsid w:val="0008523A"/>
    <w:pPr>
      <w:tabs>
        <w:tab w:val="center" w:pos="4536"/>
        <w:tab w:val="right" w:pos="9072"/>
      </w:tabs>
    </w:pPr>
    <w:rPr>
      <w:szCs w:val="20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08523A"/>
    <w:rPr>
      <w:rFonts w:ascii="Calibri" w:cs="Times New Roman" w:eastAsia="Times New Roman" w:hAnsi="Calibri"/>
      <w:sz w:val="24"/>
      <w:szCs w:val="20"/>
      <w:lang w:val="fr-FR"/>
    </w:rPr>
  </w:style>
  <w:style w:type="character" w:styleId="Collegamentoipertestuale">
    <w:name w:val="Hyperlink"/>
    <w:uiPriority w:val="99"/>
    <w:rsid w:val="0008523A"/>
    <w:rPr>
      <w:rFonts w:cs="Times New Roman"/>
      <w:color w:val="0000ff"/>
      <w:u w:val="single"/>
    </w:rPr>
  </w:style>
  <w:style w:type="paragraph" w:styleId="TKTextetableau" w:customStyle="1">
    <w:name w:val="TK Texte tableau"/>
    <w:qFormat w:val="1"/>
    <w:rsid w:val="0008523A"/>
    <w:pPr>
      <w:spacing w:after="0" w:line="240" w:lineRule="auto"/>
    </w:pPr>
    <w:rPr>
      <w:rFonts w:ascii="Calibri" w:cs="Calibri" w:eastAsia="Times New Roman" w:hAnsi="Calibri"/>
      <w:lang w:val="en-GB"/>
    </w:rPr>
  </w:style>
  <w:style w:type="paragraph" w:styleId="TKAIM" w:customStyle="1">
    <w:name w:val="TK AIM"/>
    <w:qFormat w:val="1"/>
    <w:rsid w:val="0008523A"/>
    <w:pPr>
      <w:shd w:color="auto" w:fill="dddddd" w:val="clear"/>
      <w:tabs>
        <w:tab w:val="left" w:pos="709"/>
      </w:tabs>
      <w:spacing w:after="480" w:before="480" w:line="240" w:lineRule="auto"/>
      <w:ind w:left="709" w:hanging="709"/>
    </w:pPr>
    <w:rPr>
      <w:rFonts w:ascii="Calibri" w:cs="Times New Roman" w:eastAsia="Calibri" w:hAnsi="Calibri"/>
      <w:b w:val="1"/>
      <w:sz w:val="28"/>
      <w:szCs w:val="32"/>
      <w:lang w:val="en-GB"/>
    </w:rPr>
  </w:style>
  <w:style w:type="paragraph" w:styleId="TKMAINTITLE" w:customStyle="1">
    <w:name w:val="TK MAIN TITLE"/>
    <w:basedOn w:val="Normale"/>
    <w:qFormat w:val="1"/>
    <w:rsid w:val="0008523A"/>
    <w:pPr>
      <w:spacing w:after="120" w:before="120"/>
      <w:jc w:val="center"/>
    </w:pPr>
    <w:rPr>
      <w:rFonts w:cs="Calibri" w:eastAsia="Calibri"/>
      <w:b w:val="1"/>
      <w:bCs w:val="1"/>
      <w:color w:val="2f5496"/>
      <w:sz w:val="40"/>
      <w:szCs w:val="40"/>
      <w:lang w:val="en-GB"/>
    </w:rPr>
  </w:style>
  <w:style w:type="paragraph" w:styleId="TKTEXTE" w:customStyle="1">
    <w:name w:val="TK TEXTE"/>
    <w:qFormat w:val="1"/>
    <w:rsid w:val="0008523A"/>
    <w:pPr>
      <w:spacing w:after="120" w:before="120" w:line="240" w:lineRule="auto"/>
    </w:pPr>
    <w:rPr>
      <w:rFonts w:ascii="Calibri" w:cs="Calibri" w:eastAsia="Times New Roman" w:hAnsi="Calibri"/>
      <w:sz w:val="24"/>
      <w:szCs w:val="24"/>
      <w:lang w:val="en-GB"/>
    </w:rPr>
  </w:style>
  <w:style w:type="paragraph" w:styleId="Intestazione">
    <w:name w:val="header"/>
    <w:basedOn w:val="Normale"/>
    <w:link w:val="IntestazioneCarattere"/>
    <w:uiPriority w:val="99"/>
    <w:unhideWhenUsed w:val="1"/>
    <w:rsid w:val="0008523A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08523A"/>
    <w:rPr>
      <w:rFonts w:ascii="Calibri" w:cs="Times New Roman" w:eastAsia="Times New Roman" w:hAnsi="Calibri"/>
      <w:sz w:val="20"/>
      <w:szCs w:val="20"/>
      <w:lang w:val="fr-FR"/>
    </w:rPr>
  </w:style>
  <w:style w:type="paragraph" w:styleId="TKTITRE2" w:customStyle="1">
    <w:name w:val="TK TITRE 2"/>
    <w:next w:val="Normale"/>
    <w:qFormat w:val="1"/>
    <w:rsid w:val="0008523A"/>
    <w:pPr>
      <w:spacing w:after="120" w:before="120" w:line="240" w:lineRule="auto"/>
    </w:pPr>
    <w:rPr>
      <w:rFonts w:ascii="Calibri" w:cs="Calibri" w:eastAsia="Times New Roman" w:hAnsi="Calibri"/>
      <w:b w:val="1"/>
      <w:bCs w:val="1"/>
      <w:sz w:val="28"/>
      <w:szCs w:val="28"/>
      <w:lang w:val="en-US"/>
    </w:rPr>
  </w:style>
  <w:style w:type="paragraph" w:styleId="TKnotes" w:customStyle="1">
    <w:name w:val="TK_notes"/>
    <w:qFormat w:val="1"/>
    <w:rsid w:val="0008523A"/>
    <w:pPr>
      <w:spacing w:after="120" w:before="120" w:line="240" w:lineRule="auto"/>
    </w:pPr>
    <w:rPr>
      <w:rFonts w:ascii="Calibri" w:cs="Calibri" w:eastAsia="Times New Roman" w:hAnsi="Calibri"/>
      <w:sz w:val="20"/>
      <w:lang w:val="en-GB"/>
    </w:rPr>
  </w:style>
  <w:style w:type="character" w:styleId="apple-converted-space" w:customStyle="1">
    <w:name w:val="apple-converted-space"/>
    <w:uiPriority w:val="99"/>
    <w:rsid w:val="0008523A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08523A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08523A"/>
    <w:rPr>
      <w:rFonts w:ascii="Tahoma" w:cs="Tahoma" w:eastAsia="Times New Roman" w:hAnsi="Tahoma"/>
      <w:sz w:val="16"/>
      <w:szCs w:val="16"/>
      <w:lang w:val="fr-FR"/>
    </w:rPr>
  </w:style>
  <w:style w:type="paragraph" w:styleId="PreformattatoHTML">
    <w:name w:val="HTML Preformatted"/>
    <w:basedOn w:val="Normale"/>
    <w:link w:val="PreformattatoHTMLCarattere"/>
    <w:uiPriority w:val="99"/>
    <w:semiHidden w:val="1"/>
    <w:unhideWhenUsed w:val="1"/>
    <w:rsid w:val="00EA244F"/>
    <w:rPr>
      <w:rFonts w:ascii="Consolas" w:hAnsi="Consolas"/>
      <w:sz w:val="20"/>
      <w:szCs w:val="20"/>
    </w:rPr>
  </w:style>
  <w:style w:type="character" w:styleId="PreformattatoHTMLCarattere" w:customStyle="1">
    <w:name w:val="Preformattato HTML Carattere"/>
    <w:basedOn w:val="Carpredefinitoparagrafo"/>
    <w:link w:val="PreformattatoHTML"/>
    <w:uiPriority w:val="99"/>
    <w:semiHidden w:val="1"/>
    <w:rsid w:val="00EA244F"/>
    <w:rPr>
      <w:rFonts w:ascii="Consolas" w:cs="Times New Roman" w:eastAsia="Times New Roman" w:hAnsi="Consolas"/>
      <w:sz w:val="20"/>
      <w:szCs w:val="20"/>
      <w:lang w:val="fr-FR"/>
    </w:rPr>
  </w:style>
  <w:style w:type="paragraph" w:styleId="Testonotaapidipagina">
    <w:name w:val="footnote text"/>
    <w:basedOn w:val="Normale"/>
    <w:link w:val="TestonotaapidipaginaCarattere"/>
    <w:uiPriority w:val="99"/>
    <w:semiHidden w:val="1"/>
    <w:unhideWhenUsed w:val="1"/>
    <w:rsid w:val="00EA244F"/>
    <w:rPr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 w:val="1"/>
    <w:rsid w:val="00EA244F"/>
    <w:rPr>
      <w:rFonts w:ascii="Calibri" w:cs="Times New Roman" w:eastAsia="Times New Roman" w:hAnsi="Calibri"/>
      <w:sz w:val="20"/>
      <w:szCs w:val="20"/>
      <w:lang w:val="fr-FR"/>
    </w:rPr>
  </w:style>
  <w:style w:type="character" w:styleId="Rimandonotaapidipagina">
    <w:name w:val="footnote reference"/>
    <w:basedOn w:val="Carpredefinitoparagrafo"/>
    <w:uiPriority w:val="99"/>
    <w:unhideWhenUsed w:val="1"/>
    <w:qFormat w:val="1"/>
    <w:rsid w:val="00EA244F"/>
    <w:rPr>
      <w:vertAlign w:val="superscript"/>
    </w:rPr>
  </w:style>
  <w:style w:type="character" w:styleId="Titolo1Carattere" w:customStyle="1">
    <w:name w:val="Titolo 1 Carattere"/>
    <w:basedOn w:val="Carpredefinitoparagrafo"/>
    <w:link w:val="Titolo1"/>
    <w:uiPriority w:val="9"/>
    <w:rsid w:val="00DD1B61"/>
    <w:rPr>
      <w:rFonts w:asciiTheme="majorHAnsi" w:cstheme="majorBidi" w:eastAsiaTheme="majorEastAsia" w:hAnsiTheme="majorHAnsi"/>
      <w:color w:val="365f91" w:themeColor="accent1" w:themeShade="0000BF"/>
      <w:sz w:val="32"/>
      <w:szCs w:val="32"/>
      <w:lang w:val="fr-F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header" Target="header1.xml"/><Relationship Id="rId10" Type="http://schemas.openxmlformats.org/officeDocument/2006/relationships/image" Target="media/image1.png"/><Relationship Id="rId12" Type="http://schemas.openxmlformats.org/officeDocument/2006/relationships/footer" Target="footer1.xml"/><Relationship Id="rId9" Type="http://schemas.openxmlformats.org/officeDocument/2006/relationships/image" Target="media/image2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3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coe.int/education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aDtx4wGFJGhFdsPjtdsjNhaD+Q==">CgMxLjAaHwoBMBIaChgICVIUChJ0YWJsZS5yMnFjbDg1ZGplazUyDmguNHRvZ3U5M3plYzliOABqKQoUc3VnZ2VzdC5pdXRtZ2s2b3ZhZHYSEU1hZGRhbGVuYSBGb3JtaWNhaikKFHN1Z2dlc3QucTd0cG1pODJ2aGQyEhFNYWRkYWxlbmEgRm9ybWljYWopChRzdWdnZXN0Lm54NzRwbDJseWpwcxIRTWFkZGFsZW5hIEZvcm1pY2FqKQoUc3VnZ2VzdC5wNHF1aDBqOGxlajASEU1hZGRhbGVuYSBGb3JtaWNhaikKFHN1Z2dlc3QudHFvYXRsdmhob25lEhFNYWRkYWxlbmEgRm9ybWljYXIhMTlZX19zTktBZ3VJdEI4bzdsVmRPanVwRjRPOXFpTWR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2025-05-08T11:50:00Z</dcterms:created>
  <dc:creator>Valentina</dc:creator>
</cp:coreProperties>
</file>