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8.00000000000006" w:lineRule="auto"/>
        <w:rPr>
          <w:b w:val="1"/>
          <w:bCs w:val="1"/>
          <w:color w:val="2f5496"/>
          <w:sz w:val="32"/>
          <w:szCs w:val="3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875"/>
        <w:gridCol w:w="5325"/>
        <w:gridCol w:w="3345"/>
        <w:tblGridChange w:id="0">
          <w:tblGrid>
            <w:gridCol w:w="1875"/>
            <w:gridCol w:w="5325"/>
            <w:gridCol w:w="3345"/>
          </w:tblGrid>
        </w:tblGridChange>
      </w:tblGrid>
      <w:tr>
        <w:trPr>
          <w:cantSplit w:val="0"/>
          <w:trHeight w:val="2582.4487304687505" w:hRule="atLeast"/>
          <w:tblHeader w:val="0"/>
        </w:trPr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spacing w:line="278.00000000000006" w:lineRule="auto"/>
              <w:jc w:val="both"/>
              <w:rPr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47626</wp:posOffset>
                  </wp:positionH>
                  <wp:positionV relativeFrom="paragraph">
                    <wp:posOffset>733425</wp:posOffset>
                  </wp:positionV>
                  <wp:extent cx="922973" cy="839754"/>
                  <wp:effectExtent b="0" l="0" r="0" t="0"/>
                  <wp:wrapNone/>
                  <wp:docPr id="1642914712" name="image3.png"/>
                  <a:graphic>
                    <a:graphicData uri="http://schemas.openxmlformats.org/drawingml/2006/picture">
                      <pic:pic>
                        <pic:nvPicPr>
                          <pic:cNvPr id="0" name="image3.pn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2973" cy="8397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4">
            <w:pPr>
              <w:spacing w:after="240" w:before="240" w:line="278.00000000000006" w:lineRule="auto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rPr>
                <w:b w:val="1"/>
                <w:bCs w:val="1"/>
                <w:sz w:val="28"/>
                <w:szCs w:val="28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Supporto Linguistico fornito a Migranti </w:t>
            </w:r>
          </w:p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b w:val="1"/>
                <w:bCs w:val="1"/>
                <w:i w:val="1"/>
                <w:iCs w:val="1"/>
                <w:sz w:val="28"/>
                <w:szCs w:val="28"/>
                <w:rtl w:val="0"/>
              </w:rPr>
              <w:t xml:space="preserve">Il Toolkit SLM del Consiglio d’Europa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spacing w:after="240" w:line="278.00000000000006" w:lineRule="auto"/>
              <w:jc w:val="both"/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i w:val="1"/>
                <w:iCs w:val="1"/>
                <w:color w:val="2f5496"/>
                <w:sz w:val="26"/>
                <w:szCs w:val="26"/>
              </w:rPr>
              <w:drawing>
                <wp:inline distB="114300" distT="114300" distL="114300" distR="114300">
                  <wp:extent cx="3571875" cy="12700"/>
                  <wp:effectExtent b="0" l="0" r="0" t="0"/>
                  <wp:docPr id="1642914710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71875" cy="127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="278.00000000000006" w:lineRule="auto"/>
              <w:jc w:val="right"/>
              <w:rPr>
                <w:rFonts w:ascii="Times New Roman" w:cs="Times New Roman" w:eastAsia="Times New Roman" w:hAnsi="Times New Roman"/>
                <w:b w:val="1"/>
                <w:bCs w:val="1"/>
                <w:color w:val="2f5496"/>
                <w:sz w:val="32"/>
                <w:szCs w:val="3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</w:rPr>
              <w:drawing>
                <wp:inline distB="114300" distT="114300" distL="114300" distR="114300">
                  <wp:extent cx="1058228" cy="865823"/>
                  <wp:effectExtent b="0" l="0" r="0" t="0"/>
                  <wp:docPr id="1642914711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10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8228" cy="865823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bCs w:val="1"/>
                <w:color w:val="0000ff"/>
                <w:sz w:val="32"/>
                <w:szCs w:val="32"/>
                <w:u w:val="singl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4f88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4f88"/>
          <w:sz w:val="32"/>
          <w:szCs w:val="32"/>
          <w:u w:val="none"/>
          <w:shd w:fill="auto" w:val="clear"/>
          <w:vertAlign w:val="baseline"/>
          <w:rtl w:val="0"/>
        </w:rPr>
        <w:t xml:space="preserve">Strumento 10 – Fornire supporto linguistico a migranti per nulla o poco alfabetizzati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2f5496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dddddd" w:val="clear"/>
        <w:tabs>
          <w:tab w:val="left" w:leader="none" w:pos="709"/>
        </w:tabs>
        <w:spacing w:after="0" w:before="0" w:line="276" w:lineRule="auto"/>
        <w:ind w:left="1416" w:right="0" w:hanging="1416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Obiettivo - Accrescere consapevolezza sui diversi profili di alfabetizzazione.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Molte persone sanno usare diversi sistemi di scrittura e altre sono in grado di leggere e scrivere solo nelle loro lingue prime. Vi sono inoltre persone che non sanno leggere o scrivere in nessuna lingua, anche se utilizzano diverse forme di comunicazione. Alcuni, ad esempio, non sono capaci di scrivere parole isolate con la penna o con la matita, ma riescono probabilmente a digitare un messaggio anche con una certa disinvoltura; altri invece sono in grado di comprendere un simbolo accompagnato da un testo esplicativo, come quello nell’avviso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Vietato fumare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4togu93zec9b" w:id="0"/>
      <w:bookmarkEnd w:id="0"/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È importante sottolineare che i migranti che sanno leggere e scrivere in un sistema di scrittura diverso da quello utilizzato in italiano non sono analfabeti. Quando devono imparare un nuovo sistema di scrittura (vedi Strumento 9 –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La sfida di imparare a leggere e scrivere in una nuova lingua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), possono utilizzare le competenze di alfabetizzazione già acquisite in uno o più altri sistemi di scrittura per aiutarli in questo processo.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 concetto di alfabetizzazione si riferisce alla capacità di usare la lingua scritta, sia in testi stampati che digitali, per realizzare compiti della vita di tutti i giorni, per accedere a risorse, servizi e sistemi (compresi quelli relativi all’istruzione e all’apprendimento formale, non formale o informale) e per interagire in contesti sociali.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L’alfabetizzazione implica una progressione di competenze, che vanno dalla capacità di saper leggere e comprendere semplici parole, alla capacità di usare testi scritti per operare una riflessione critica e per comunicare in maniera efficace. In relazione a questa progressione, vedi la guida di riferimento ALSILMA del Consiglio d’Europa (Alfabetizzazione e apprendimento della lingua seconda per l’integrazione linguistica dei migranti adulti)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  <w:footnoteReference w:customMarkFollows="0" w:id="0"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Questa guida definisce quattro livelli di alfabetizzazione di seguito descritti. </w:t>
      </w:r>
    </w:p>
    <w:p w:rsidR="00000000" w:rsidDel="00000000" w:rsidP="00000000" w:rsidRDefault="00000000" w:rsidRPr="00000000" w14:paraId="00000011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jc w:val="both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jc w:val="both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jc w:val="both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jc w:val="both"/>
        <w:rPr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jc w:val="both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Livello 1: Scoprire l’alfabetismo</w:t>
      </w:r>
    </w:p>
    <w:p w:rsidR="00000000" w:rsidDel="00000000" w:rsidP="00000000" w:rsidRDefault="00000000" w:rsidRPr="00000000" w14:paraId="00000017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Leggere a questo livello significa, ad esempio, riconoscere le parole “a vista” che sono state imparate a memoria come un tutto. Scrivere significa disegnare o copiare da un esempio. Verso la fine di questo livello, l'apprendente è in grado di riconoscere le parole a vista, rilevanti, che ha esercitato (come il proprio nome e indirizzo, i giorni della settimana, i mesi dell'anno) e di riconoscere la maggior parte delle lettere dell'alfabeto e i simboli o i segni personalmente rilevanti come il logo della metropolitana o della farmacia. </w:t>
      </w:r>
    </w:p>
    <w:p w:rsidR="00000000" w:rsidDel="00000000" w:rsidP="00000000" w:rsidRDefault="00000000" w:rsidRPr="00000000" w14:paraId="00000018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jc w:val="both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Livello 2: Decodifica e codifica di base</w:t>
      </w:r>
    </w:p>
    <w:p w:rsidR="00000000" w:rsidDel="00000000" w:rsidP="00000000" w:rsidRDefault="00000000" w:rsidRPr="00000000" w14:paraId="0000001A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Questo livello </w:t>
      </w:r>
      <w:r w:rsidDel="00000000" w:rsidR="00000000" w:rsidRPr="00000000">
        <w:rPr>
          <w:rFonts w:ascii="Calibri" w:cs="Calibri" w:eastAsia="Calibri" w:hAnsi="Calibri"/>
          <w:rtl w:val="0"/>
        </w:rPr>
        <w:t xml:space="preserve">riguarda l'apprendimento del principio alfabetico, imparare cioè ad abbinare grafemi (lettere alfabetiche) a fonemi (suoni) in parole brevi con una struttura fonologica semplice, cioè con una corrispondenza biunivoca tra grafema e fonema.</w:t>
      </w:r>
      <w:r w:rsidDel="00000000" w:rsidR="00000000" w:rsidRPr="00000000">
        <w:rPr>
          <w:rtl w:val="0"/>
        </w:rPr>
        <w:t xml:space="preserve"> Al termine di questo livello, l'apprendente è in grado, ad esempio, di leggere autonomamente brevi e semplici parole. L'apprendente è anche in grado di scrivere brevi parole che ha esercitato, dove c'è una stretta corrispondenza tra suoni e lettere.</w:t>
      </w:r>
    </w:p>
    <w:p w:rsidR="00000000" w:rsidDel="00000000" w:rsidP="00000000" w:rsidRDefault="00000000" w:rsidRPr="00000000" w14:paraId="0000001B">
      <w:pPr>
        <w:spacing w:line="276" w:lineRule="auto"/>
        <w:jc w:val="both"/>
        <w:rPr>
          <w:i w:val="1"/>
          <w:i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line="276" w:lineRule="auto"/>
        <w:jc w:val="both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Livello 3: Decodifica e codifica estese</w:t>
      </w:r>
    </w:p>
    <w:p w:rsidR="00000000" w:rsidDel="00000000" w:rsidP="00000000" w:rsidRDefault="00000000" w:rsidRPr="00000000" w14:paraId="0000001D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 questo livello la decodifica e la codifica si estendono a parole in cui esiste una relazione più complessa tra grafemi e fonemi. Al termine di questa fase, l'apprendente è in grado, ad esempio, di leggere e scrivere parole note con strutture fonologiche più complesse. </w:t>
      </w:r>
    </w:p>
    <w:p w:rsidR="00000000" w:rsidDel="00000000" w:rsidP="00000000" w:rsidRDefault="00000000" w:rsidRPr="00000000" w14:paraId="0000001E">
      <w:pPr>
        <w:spacing w:line="276" w:lineRule="auto"/>
        <w:jc w:val="both"/>
        <w:rPr>
          <w:i w:val="1"/>
          <w:iCs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jc w:val="both"/>
        <w:rPr>
          <w:i w:val="1"/>
          <w:iCs w:val="1"/>
        </w:rPr>
      </w:pPr>
      <w:r w:rsidDel="00000000" w:rsidR="00000000" w:rsidRPr="00000000">
        <w:rPr>
          <w:i w:val="1"/>
          <w:iCs w:val="1"/>
          <w:rtl w:val="0"/>
        </w:rPr>
        <w:t xml:space="preserve">Livello 4: Verso il consolidamento e la fluenza</w:t>
      </w:r>
    </w:p>
    <w:p w:rsidR="00000000" w:rsidDel="00000000" w:rsidP="00000000" w:rsidRDefault="00000000" w:rsidRPr="00000000" w14:paraId="00000020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A questo livello si consolida la capacità di leggere parole, espressioni e frasi su argomenti familiari e rilevanti. Alla fine del livello 4 l'apprendente è in grado, ad esempio, di scrivere le stesse parole del livello 3, ma a una velocità maggiore e fluenza.</w:t>
      </w:r>
    </w:p>
    <w:p w:rsidR="00000000" w:rsidDel="00000000" w:rsidP="00000000" w:rsidRDefault="00000000" w:rsidRPr="00000000" w14:paraId="00000021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I quattro stadi di alfabetizzazione sopra descritti possono aiutarti a capire di quale supporto possono aver bisogno i migranti. Tuttavia, è importante considerare che è probabile che vi siano differenze tra l'alfabetizzazione in uno qualsiasi dei livelli descritti e l’individuo, in quanto quest’ultimo può presentare caratteristiche trasversali ai quattro livelli. In altre parole, potrebbe avere un profilo irregolare di competenze, alfabetiche e linguistiche (vedi anche Strumento 18 – </w:t>
      </w:r>
      <w:r w:rsidDel="00000000" w:rsidR="00000000" w:rsidRPr="00000000">
        <w:rPr>
          <w:i w:val="1"/>
          <w:iCs w:val="1"/>
          <w:u w:val="single"/>
          <w:rtl w:val="0"/>
        </w:rPr>
        <w:t xml:space="preserve">Essere consapevoli dei profili linguistici disomogenei dei migranti e tenerli in considerazione</w:t>
      </w:r>
      <w:r w:rsidDel="00000000" w:rsidR="00000000" w:rsidRPr="00000000">
        <w:rPr>
          <w:rtl w:val="0"/>
        </w:rPr>
        <w:t xml:space="preserve">.) </w:t>
      </w:r>
    </w:p>
    <w:p w:rsidR="00000000" w:rsidDel="00000000" w:rsidP="00000000" w:rsidRDefault="00000000" w:rsidRPr="00000000" w14:paraId="00000023">
      <w:pPr>
        <w:spacing w:line="276" w:lineRule="auto"/>
        <w:jc w:val="both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jc w:val="both"/>
        <w:rPr/>
      </w:pPr>
      <w:r w:rsidDel="00000000" w:rsidR="00000000" w:rsidRPr="00000000">
        <w:rPr>
          <w:rtl w:val="0"/>
        </w:rPr>
        <w:t xml:space="preserve">Considera ora questi quattro esempi di profili e pensa a come il background di una persona possa influenzare l'apprendimento. In particolare, rifletti sui profili di Abdi e Natalie: stanno imparando a leggere e scrivere per la prima volta e contemporaneamente stanno imparando una nuova lingua. Si tratta di una grande sfida che richiede un grande sforzo, soprattutto per Abdi che è anche principiante assoluto nella lingua parlata.</w:t>
      </w:r>
    </w:p>
    <w:p w:rsidR="00000000" w:rsidDel="00000000" w:rsidP="00000000" w:rsidRDefault="00000000" w:rsidRPr="00000000" w14:paraId="00000025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sdt>
      <w:sdtPr>
        <w:lock w:val="contentLocked"/>
        <w:id w:val="-1365123599"/>
        <w:tag w:val="goog_rdk_0"/>
      </w:sdtPr>
      <w:sdtContent>
        <w:tbl>
          <w:tblPr>
            <w:tblStyle w:val="Table2"/>
            <w:tblpPr w:leftFromText="141" w:rightFromText="141" w:topFromText="0" w:bottomFromText="0" w:vertAnchor="page" w:horzAnchor="margin" w:tblpX="0" w:tblpY="673.8281249999975"/>
            <w:tblW w:w="10456.0" w:type="dxa"/>
            <w:jc w:val="left"/>
            <w:tbl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  <w:insideH w:color="000000" w:space="0" w:sz="4" w:val="single"/>
              <w:insideV w:color="000000" w:space="0" w:sz="4" w:val="single"/>
            </w:tblBorders>
            <w:tblLayout w:type="fixed"/>
            <w:tblLook w:val="0400"/>
          </w:tblPr>
          <w:tblGrid>
            <w:gridCol w:w="10456"/>
            <w:tblGridChange w:id="0">
              <w:tblGrid>
                <w:gridCol w:w="10456"/>
              </w:tblGrid>
            </w:tblGridChange>
          </w:tblGrid>
          <w:tr>
            <w:trPr>
              <w:cantSplit w:val="0"/>
              <w:trHeight w:val="293.83789062500006" w:hRule="atLeast"/>
              <w:tblHeader w:val="0"/>
            </w:trPr>
            <w:tc>
              <w:tcPr>
                <w:vAlign w:val="center"/>
              </w:tcPr>
              <w:p w:rsidR="00000000" w:rsidDel="00000000" w:rsidP="00000000" w:rsidRDefault="00000000" w:rsidRPr="00000000" w14:paraId="0000002F">
                <w:pPr>
                  <w:widowControl w:val="0"/>
                  <w:spacing w:line="276" w:lineRule="auto"/>
                  <w:jc w:val="both"/>
                  <w:rPr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b w:val="1"/>
                    <w:bCs w:val="1"/>
                    <w:sz w:val="22"/>
                    <w:szCs w:val="22"/>
                    <w:rtl w:val="0"/>
                  </w:rPr>
                  <w:t xml:space="preserve">Profili</w:t>
                </w:r>
              </w:p>
            </w:tc>
          </w:tr>
          <w:tr>
            <w:trPr>
              <w:cantSplit w:val="0"/>
              <w:trHeight w:val="671" w:hRule="atLeast"/>
              <w:tblHeader w:val="0"/>
            </w:trPr>
            <w:tc>
              <w:tcPr>
                <w:shd w:fill="d9d9d9" w:val="clear"/>
              </w:tcPr>
              <w:p w:rsidR="00000000" w:rsidDel="00000000" w:rsidP="00000000" w:rsidRDefault="00000000" w:rsidRPr="00000000" w14:paraId="00000030">
                <w:pPr>
                  <w:spacing w:line="276" w:lineRule="auto"/>
                  <w:jc w:val="both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Abdi è un uomo bantu di 45 anni, proveniente dalla Somalia. La sua lingua prima, appartenente al gruppo cuscitico, è solo orale. Il suo livello di competenza orale in italiano è iniziale; non ha contatti con la comunità locale se non attraverso i mediatori. È analfabeta strumentale.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31">
                <w:pPr>
                  <w:spacing w:line="276" w:lineRule="auto"/>
                  <w:jc w:val="both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Natalie è una compagna di classe di Abdi. Ha 37 anni e viene dalla Costa d’Avorio. È arrivata in Italia tre anni fa grazie al ricongiungimento familiare. Natalie parla bete e francese. Non ha mai frequentato la scuola e non sa né leggere né scrivere. Ha imparato rapidamente a parlare la lingua italiana grazie alle sue buone competenze orali, sia nella lingua prima, sia in francese.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d9d9d9" w:val="clear"/>
              </w:tcPr>
              <w:p w:rsidR="00000000" w:rsidDel="00000000" w:rsidP="00000000" w:rsidRDefault="00000000" w:rsidRPr="00000000" w14:paraId="00000032">
                <w:pPr>
                  <w:spacing w:line="276" w:lineRule="auto"/>
                  <w:jc w:val="both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Abbas ha 17 anni e ha un basso livello di istruzione (4 anni) nel suo Paese di origine (Pakistan). Vive in Italia da 5 mesi in condizione di minore straniero non accompagnato (MSNA). Attualmente frequenta un corso di formazione professionale, quindi, ha contatti regolari con persone del Paese di reinsediamento.  </w:t>
                </w:r>
              </w:p>
            </w:tc>
          </w:tr>
          <w:tr>
            <w:trPr>
              <w:cantSplit w:val="0"/>
              <w:tblHeader w:val="0"/>
            </w:trPr>
            <w:tc>
              <w:tcPr/>
              <w:p w:rsidR="00000000" w:rsidDel="00000000" w:rsidP="00000000" w:rsidRDefault="00000000" w:rsidRPr="00000000" w14:paraId="00000033">
                <w:pPr>
                  <w:spacing w:line="276" w:lineRule="auto"/>
                  <w:jc w:val="both"/>
                  <w:rPr>
                    <w:sz w:val="22"/>
                    <w:szCs w:val="22"/>
                  </w:rPr>
                </w:pPr>
                <w:r w:rsidDel="00000000" w:rsidR="00000000" w:rsidRPr="00000000">
                  <w:rPr>
                    <w:sz w:val="22"/>
                    <w:szCs w:val="22"/>
                    <w:rtl w:val="0"/>
                  </w:rPr>
                  <w:t xml:space="preserve">Fatima ha 58 anni e viene dall’Afghanistan, dove ha frequentato la scuola per 8 anni. Come Abbas, lei non è in grado di leggere o scrivere nella maggior parte delle situazioni quotidiane, è analfabeta funzionale; malgrado ciò, può leggere o scrivere determinate cose. Nel suo caso, ciò è dovuto a uno scarso allenamento nella letto-scrittura negli ultimi 30 anni (cosiddetto fenomeno dell’analfabetismo di ritorno). È arrivata in Italia 9 anni fa e ha buone competenze nella produzione orale, grazie a un’ottima rete di amici e interazioni giornaliere nell’ambiente lavorativo.  </w:t>
                </w:r>
              </w:p>
            </w:tc>
          </w:tr>
        </w:tbl>
      </w:sdtContent>
    </w:sdt>
    <w:p w:rsidR="00000000" w:rsidDel="00000000" w:rsidP="00000000" w:rsidRDefault="00000000" w:rsidRPr="00000000" w14:paraId="00000034">
      <w:pPr>
        <w:spacing w:line="276" w:lineRule="auto"/>
        <w:jc w:val="both"/>
        <w:rPr/>
      </w:pPr>
      <w:r w:rsidDel="00000000" w:rsidR="00000000" w:rsidRPr="00000000">
        <w:rPr>
          <w:rtl w:val="0"/>
        </w:rPr>
      </w:r>
    </w:p>
    <w:sectPr>
      <w:headerReference r:id="rId11" w:type="default"/>
      <w:footerReference r:id="rId12" w:type="default"/>
      <w:pgSz w:h="16838" w:w="11906" w:orient="portrait"/>
      <w:pgMar w:bottom="720" w:top="142" w:left="720" w:right="720" w:header="283" w:footer="283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Times New Roman"/>
  <w:font w:name="Apto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sz w:val="22"/>
        <w:szCs w:val="22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sz w:val="22"/>
        <w:szCs w:val="22"/>
      </w:rPr>
    </w:pPr>
    <w:r w:rsidDel="00000000" w:rsidR="00000000" w:rsidRPr="00000000">
      <w:pict>
        <v:rect style="width:0.0pt;height:1.5pt" o:hr="t" o:hrstd="t" o:hralign="center" fillcolor="#A0A0A0" stroked="f"/>
      </w:pic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tabs>
        <w:tab w:val="center" w:leader="none" w:pos="5220"/>
        <w:tab w:val="right" w:leader="none" w:pos="10440"/>
      </w:tabs>
      <w:rPr/>
    </w:pPr>
    <w:r w:rsidDel="00000000" w:rsidR="00000000" w:rsidRPr="00000000">
      <w:rPr>
        <w:b w:val="1"/>
        <w:bCs w:val="1"/>
        <w:color w:val="434343"/>
        <w:sz w:val="18"/>
        <w:szCs w:val="18"/>
        <w:highlight w:val="white"/>
        <w:rtl w:val="0"/>
      </w:rPr>
      <w:t xml:space="preserve">Strumento 10 – Supporto Linguistico fornito a Migranti</w:t>
    </w:r>
    <w:r w:rsidDel="00000000" w:rsidR="00000000" w:rsidRPr="00000000">
      <w:rPr>
        <w:rFonts w:ascii="Aptos" w:cs="Aptos" w:eastAsia="Aptos" w:hAnsi="Aptos"/>
        <w:color w:val="434343"/>
        <w:rtl w:val="0"/>
      </w:rPr>
      <w:tab/>
    </w:r>
    <w:r w:rsidDel="00000000" w:rsidR="00000000" w:rsidRPr="00000000">
      <w:rPr>
        <w:color w:val="434343"/>
        <w:sz w:val="18"/>
        <w:szCs w:val="18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color w:val="434343"/>
        <w:sz w:val="18"/>
        <w:szCs w:val="18"/>
        <w:rtl w:val="0"/>
      </w:rPr>
      <w:t xml:space="preserve">/3</w:t>
    </w:r>
    <w:r w:rsidDel="00000000" w:rsidR="00000000" w:rsidRPr="00000000">
      <w:rPr>
        <w:sz w:val="18"/>
        <w:szCs w:val="18"/>
        <w:rtl w:val="0"/>
      </w:rPr>
      <w:tab/>
    </w:r>
    <w:hyperlink r:id="rId1">
      <w:r w:rsidDel="00000000" w:rsidR="00000000" w:rsidRPr="00000000">
        <w:rPr>
          <w:color w:val="1155cc"/>
          <w:sz w:val="18"/>
          <w:szCs w:val="18"/>
          <w:u w:val="single"/>
          <w:rtl w:val="0"/>
        </w:rPr>
        <w:t xml:space="preserve">www.coe.int/education</w:t>
      </w:r>
    </w:hyperlink>
    <w:r w:rsidDel="00000000" w:rsidR="00000000" w:rsidRPr="00000000">
      <w:rPr>
        <w:rtl w:val="0"/>
      </w:rPr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Versione in inglese: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Reference guide on Literacy and Second Language Learning for the Linguistic Integration of Adult Migrants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(LASLLIAM) -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11893"/>
          <w:sz w:val="20"/>
          <w:szCs w:val="20"/>
          <w:u w:val="single"/>
          <w:shd w:fill="auto" w:val="clear"/>
          <w:vertAlign w:val="baseline"/>
          <w:rtl w:val="0"/>
        </w:rPr>
        <w:t xml:space="preserve">https://www.coe.int/en/web/education/-/new-isbn-publication-6-reference-guide-literacy-and-second-language-for-the-linguistic-integration-of-adult-migrants-laslliam-</w:t>
      </w:r>
      <w:r w:rsidDel="00000000" w:rsidR="00000000" w:rsidRPr="00000000">
        <w:rPr>
          <w:rtl w:val="0"/>
        </w:rPr>
      </w:r>
    </w:p>
  </w:footnote>
</w:footnote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240" w:lineRule="auto"/>
    </w:pPr>
    <w:rPr>
      <w:rFonts w:ascii="Cambria" w:cs="Cambria" w:eastAsia="Cambria" w:hAnsi="Cambria"/>
      <w:color w:val="3660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TKTITRE1" w:customStyle="1">
    <w:name w:val="TK TITRE1"/>
    <w:qFormat w:val="1"/>
    <w:rsid w:val="0008523A"/>
    <w:pPr>
      <w:spacing w:after="120" w:before="120" w:line="240" w:lineRule="auto"/>
    </w:pPr>
    <w:rPr>
      <w:rFonts w:ascii="Calibri" w:cs="Calibri" w:eastAsia="Times New Roman" w:hAnsi="Calibri"/>
      <w:b w:val="1"/>
      <w:bCs w:val="1"/>
      <w:sz w:val="32"/>
      <w:szCs w:val="32"/>
      <w:lang w:val="en-US"/>
    </w:rPr>
  </w:style>
  <w:style w:type="paragraph" w:styleId="Pidipagina">
    <w:name w:val="footer"/>
    <w:basedOn w:val="Normale"/>
    <w:link w:val="PidipaginaCarattere"/>
    <w:uiPriority w:val="99"/>
    <w:unhideWhenUsed w:val="1"/>
    <w:rsid w:val="0008523A"/>
    <w:pPr>
      <w:tabs>
        <w:tab w:val="center" w:pos="4536"/>
        <w:tab w:val="right" w:pos="9072"/>
      </w:tabs>
    </w:pPr>
    <w:rPr>
      <w:szCs w:val="20"/>
    </w:rPr>
  </w:style>
  <w:style w:type="character" w:styleId="PidipaginaCarattere" w:customStyle="1">
    <w:name w:val="Piè di pagina Carattere"/>
    <w:basedOn w:val="Carpredefinitoparagrafo"/>
    <w:link w:val="Pidipagina"/>
    <w:uiPriority w:val="99"/>
    <w:rsid w:val="0008523A"/>
    <w:rPr>
      <w:rFonts w:ascii="Calibri" w:cs="Times New Roman" w:eastAsia="Times New Roman" w:hAnsi="Calibri"/>
      <w:sz w:val="24"/>
      <w:szCs w:val="20"/>
      <w:lang w:val="fr-FR"/>
    </w:rPr>
  </w:style>
  <w:style w:type="character" w:styleId="Collegamentoipertestuale">
    <w:name w:val="Hyperlink"/>
    <w:uiPriority w:val="99"/>
    <w:rsid w:val="0008523A"/>
    <w:rPr>
      <w:rFonts w:cs="Times New Roman"/>
      <w:color w:val="0000ff"/>
      <w:u w:val="single"/>
    </w:rPr>
  </w:style>
  <w:style w:type="paragraph" w:styleId="TKTextetableau" w:customStyle="1">
    <w:name w:val="TK Texte tableau"/>
    <w:qFormat w:val="1"/>
    <w:rsid w:val="0008523A"/>
    <w:pPr>
      <w:spacing w:after="0" w:line="240" w:lineRule="auto"/>
    </w:pPr>
    <w:rPr>
      <w:rFonts w:ascii="Calibri" w:cs="Calibri" w:eastAsia="Times New Roman" w:hAnsi="Calibri"/>
      <w:lang w:val="en-GB"/>
    </w:rPr>
  </w:style>
  <w:style w:type="paragraph" w:styleId="TKAIM" w:customStyle="1">
    <w:name w:val="TK AIM"/>
    <w:qFormat w:val="1"/>
    <w:rsid w:val="0008523A"/>
    <w:pPr>
      <w:shd w:color="auto" w:fill="dddddd" w:val="clear"/>
      <w:tabs>
        <w:tab w:val="left" w:pos="709"/>
      </w:tabs>
      <w:spacing w:after="480" w:before="480" w:line="240" w:lineRule="auto"/>
      <w:ind w:left="709" w:hanging="709"/>
    </w:pPr>
    <w:rPr>
      <w:rFonts w:ascii="Calibri" w:cs="Times New Roman" w:eastAsia="Calibri" w:hAnsi="Calibri"/>
      <w:b w:val="1"/>
      <w:sz w:val="28"/>
      <w:szCs w:val="32"/>
      <w:lang w:val="en-GB"/>
    </w:rPr>
  </w:style>
  <w:style w:type="paragraph" w:styleId="TKMAINTITLE" w:customStyle="1">
    <w:name w:val="TK MAIN TITLE"/>
    <w:basedOn w:val="Normale"/>
    <w:qFormat w:val="1"/>
    <w:rsid w:val="0008523A"/>
    <w:pPr>
      <w:spacing w:after="120" w:before="120"/>
      <w:jc w:val="center"/>
    </w:pPr>
    <w:rPr>
      <w:rFonts w:cs="Calibri" w:eastAsia="Calibri"/>
      <w:b w:val="1"/>
      <w:bCs w:val="1"/>
      <w:color w:val="2f5496"/>
      <w:sz w:val="40"/>
      <w:szCs w:val="40"/>
      <w:lang w:val="en-GB"/>
    </w:rPr>
  </w:style>
  <w:style w:type="paragraph" w:styleId="TKTEXTE" w:customStyle="1">
    <w:name w:val="TK TEXTE"/>
    <w:qFormat w:val="1"/>
    <w:rsid w:val="0008523A"/>
    <w:pPr>
      <w:spacing w:after="120" w:before="120" w:line="240" w:lineRule="auto"/>
    </w:pPr>
    <w:rPr>
      <w:rFonts w:ascii="Calibri" w:cs="Calibri" w:eastAsia="Times New Roman" w:hAnsi="Calibri"/>
      <w:sz w:val="24"/>
      <w:szCs w:val="24"/>
      <w:lang w:val="en-GB"/>
    </w:rPr>
  </w:style>
  <w:style w:type="paragraph" w:styleId="Intestazione">
    <w:name w:val="header"/>
    <w:basedOn w:val="Normale"/>
    <w:link w:val="IntestazioneCarattere"/>
    <w:uiPriority w:val="99"/>
    <w:unhideWhenUsed w:val="1"/>
    <w:rsid w:val="0008523A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08523A"/>
    <w:rPr>
      <w:rFonts w:ascii="Calibri" w:cs="Times New Roman" w:eastAsia="Times New Roman" w:hAnsi="Calibri"/>
      <w:sz w:val="20"/>
      <w:szCs w:val="20"/>
      <w:lang w:val="fr-FR"/>
    </w:rPr>
  </w:style>
  <w:style w:type="paragraph" w:styleId="TKTITRE2" w:customStyle="1">
    <w:name w:val="TK TITRE 2"/>
    <w:next w:val="Normale"/>
    <w:qFormat w:val="1"/>
    <w:rsid w:val="0008523A"/>
    <w:pPr>
      <w:spacing w:after="120" w:before="120" w:line="240" w:lineRule="auto"/>
    </w:pPr>
    <w:rPr>
      <w:rFonts w:ascii="Calibri" w:cs="Calibri" w:eastAsia="Times New Roman" w:hAnsi="Calibri"/>
      <w:b w:val="1"/>
      <w:bCs w:val="1"/>
      <w:sz w:val="28"/>
      <w:szCs w:val="28"/>
      <w:lang w:val="en-US"/>
    </w:rPr>
  </w:style>
  <w:style w:type="paragraph" w:styleId="TKnotes" w:customStyle="1">
    <w:name w:val="TK_notes"/>
    <w:qFormat w:val="1"/>
    <w:rsid w:val="0008523A"/>
    <w:pPr>
      <w:spacing w:after="120" w:before="120" w:line="240" w:lineRule="auto"/>
    </w:pPr>
    <w:rPr>
      <w:rFonts w:ascii="Calibri" w:cs="Calibri" w:eastAsia="Times New Roman" w:hAnsi="Calibri"/>
      <w:sz w:val="20"/>
      <w:lang w:val="en-GB"/>
    </w:rPr>
  </w:style>
  <w:style w:type="character" w:styleId="apple-converted-space" w:customStyle="1">
    <w:name w:val="apple-converted-space"/>
    <w:uiPriority w:val="99"/>
    <w:rsid w:val="0008523A"/>
  </w:style>
  <w:style w:type="paragraph" w:styleId="Testofumetto">
    <w:name w:val="Balloon Text"/>
    <w:basedOn w:val="Normale"/>
    <w:link w:val="TestofumettoCarattere"/>
    <w:uiPriority w:val="99"/>
    <w:semiHidden w:val="1"/>
    <w:unhideWhenUsed w:val="1"/>
    <w:rsid w:val="0008523A"/>
    <w:rPr>
      <w:rFonts w:ascii="Tahoma" w:cs="Tahoma" w:hAnsi="Tahoma"/>
      <w:sz w:val="16"/>
      <w:szCs w:val="16"/>
    </w:rPr>
  </w:style>
  <w:style w:type="character" w:styleId="TestofumettoCarattere" w:customStyle="1">
    <w:name w:val="Testo fumetto Carattere"/>
    <w:basedOn w:val="Carpredefinitoparagrafo"/>
    <w:link w:val="Testofumetto"/>
    <w:uiPriority w:val="99"/>
    <w:semiHidden w:val="1"/>
    <w:rsid w:val="0008523A"/>
    <w:rPr>
      <w:rFonts w:ascii="Tahoma" w:cs="Tahoma" w:eastAsia="Times New Roman" w:hAnsi="Tahoma"/>
      <w:sz w:val="16"/>
      <w:szCs w:val="16"/>
      <w:lang w:val="fr-FR"/>
    </w:rPr>
  </w:style>
  <w:style w:type="paragraph" w:styleId="PreformattatoHTML">
    <w:name w:val="HTML Preformatted"/>
    <w:basedOn w:val="Normale"/>
    <w:link w:val="PreformattatoHTMLCarattere"/>
    <w:uiPriority w:val="99"/>
    <w:semiHidden w:val="1"/>
    <w:unhideWhenUsed w:val="1"/>
    <w:rsid w:val="00EA244F"/>
    <w:rPr>
      <w:rFonts w:ascii="Consolas" w:hAnsi="Consolas"/>
      <w:sz w:val="20"/>
      <w:szCs w:val="20"/>
    </w:rPr>
  </w:style>
  <w:style w:type="character" w:styleId="PreformattatoHTMLCarattere" w:customStyle="1">
    <w:name w:val="Preformattato HTML Carattere"/>
    <w:basedOn w:val="Carpredefinitoparagrafo"/>
    <w:link w:val="PreformattatoHTML"/>
    <w:uiPriority w:val="99"/>
    <w:semiHidden w:val="1"/>
    <w:rsid w:val="00EA244F"/>
    <w:rPr>
      <w:rFonts w:ascii="Consolas" w:cs="Times New Roman" w:eastAsia="Times New Roman" w:hAnsi="Consolas"/>
      <w:sz w:val="20"/>
      <w:szCs w:val="20"/>
      <w:lang w:val="fr-FR"/>
    </w:rPr>
  </w:style>
  <w:style w:type="paragraph" w:styleId="Testonotaapidipagina">
    <w:name w:val="footnote text"/>
    <w:basedOn w:val="Normale"/>
    <w:link w:val="TestonotaapidipaginaCarattere"/>
    <w:uiPriority w:val="99"/>
    <w:semiHidden w:val="1"/>
    <w:unhideWhenUsed w:val="1"/>
    <w:rsid w:val="00EA244F"/>
    <w:rPr>
      <w:sz w:val="20"/>
      <w:szCs w:val="20"/>
    </w:rPr>
  </w:style>
  <w:style w:type="character" w:styleId="TestonotaapidipaginaCarattere" w:customStyle="1">
    <w:name w:val="Testo nota a piè di pagina Carattere"/>
    <w:basedOn w:val="Carpredefinitoparagrafo"/>
    <w:link w:val="Testonotaapidipagina"/>
    <w:uiPriority w:val="99"/>
    <w:semiHidden w:val="1"/>
    <w:rsid w:val="00EA244F"/>
    <w:rPr>
      <w:rFonts w:ascii="Calibri" w:cs="Times New Roman" w:eastAsia="Times New Roman" w:hAnsi="Calibri"/>
      <w:sz w:val="20"/>
      <w:szCs w:val="20"/>
      <w:lang w:val="fr-FR"/>
    </w:rPr>
  </w:style>
  <w:style w:type="character" w:styleId="Rimandonotaapidipagina">
    <w:name w:val="footnote reference"/>
    <w:basedOn w:val="Carpredefinitoparagrafo"/>
    <w:uiPriority w:val="99"/>
    <w:unhideWhenUsed w:val="1"/>
    <w:qFormat w:val="1"/>
    <w:rsid w:val="00EA244F"/>
    <w:rPr>
      <w:vertAlign w:val="superscript"/>
    </w:rPr>
  </w:style>
  <w:style w:type="character" w:styleId="Titolo1Carattere" w:customStyle="1">
    <w:name w:val="Titolo 1 Carattere"/>
    <w:basedOn w:val="Carpredefinitoparagrafo"/>
    <w:link w:val="Titolo1"/>
    <w:uiPriority w:val="9"/>
    <w:rsid w:val="00DD1B61"/>
    <w:rPr>
      <w:rFonts w:asciiTheme="majorHAnsi" w:cstheme="majorBidi" w:eastAsiaTheme="majorEastAsia" w:hAnsiTheme="majorHAnsi"/>
      <w:color w:val="365f91" w:themeColor="accent1" w:themeShade="0000BF"/>
      <w:sz w:val="32"/>
      <w:szCs w:val="32"/>
      <w:lang w:val="fr-F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/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11" Type="http://schemas.openxmlformats.org/officeDocument/2006/relationships/header" Target="header1.xml"/><Relationship Id="rId10" Type="http://schemas.openxmlformats.org/officeDocument/2006/relationships/image" Target="media/image1.png"/><Relationship Id="rId12" Type="http://schemas.openxmlformats.org/officeDocument/2006/relationships/footer" Target="footer1.xml"/><Relationship Id="rId9" Type="http://schemas.openxmlformats.org/officeDocument/2006/relationships/image" Target="media/image2.png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Relationship Id="rId8" Type="http://schemas.openxmlformats.org/officeDocument/2006/relationships/image" Target="media/image3.png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http://www.coe.int/education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aDtx4wGFJGhFdsPjtdsjNhaD+Q==">CgMxLjAaHwoBMBIaChgICVIUChJ0YWJsZS5yMnFjbDg1ZGplazUyDmguNHRvZ3U5M3plYzliOABqKQoUc3VnZ2VzdC5pdXRtZ2s2b3ZhZHYSEU1hZGRhbGVuYSBGb3JtaWNhaikKFHN1Z2dlc3QucTd0cG1pODJ2aGQyEhFNYWRkYWxlbmEgRm9ybWljYWopChRzdWdnZXN0Lm54NzRwbDJseWpwcxIRTWFkZGFsZW5hIEZvcm1pY2FqKQoUc3VnZ2VzdC5wNHF1aDBqOGxlajASEU1hZGRhbGVuYSBGb3JtaWNhaikKFHN1Z2dlc3QudHFvYXRsdmhob25lEhFNYWRkYWxlbmEgRm9ybWljYXIhMTlZX19zTktBZ3VJdEI4bzdsVmRPanVwRjRPOXFpTWR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2025-05-08T11:50:00Z</dcterms:created>
  <dc:creator>Valentina</dc:creator>
</cp:coreProperties>
</file>