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640"/>
        <w:tblGridChange w:id="0">
          <w:tblGrid>
            <w:gridCol w:w="1875"/>
            <w:gridCol w:w="5325"/>
            <w:gridCol w:w="264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687"/>
        <w:jc w:val="center"/>
        <w:rPr>
          <w:b w:val="1"/>
          <w:bCs w:val="1"/>
          <w:color w:val="1f4e79"/>
          <w:sz w:val="32"/>
          <w:szCs w:val="32"/>
        </w:rPr>
      </w:pPr>
      <w:r w:rsidDel="00000000" w:rsidR="00000000" w:rsidRPr="00000000">
        <w:rPr>
          <w:b w:val="1"/>
          <w:bCs w:val="1"/>
          <w:color w:val="1f4e79"/>
          <w:sz w:val="32"/>
          <w:szCs w:val="32"/>
          <w:rtl w:val="0"/>
        </w:rPr>
        <w:t xml:space="preserve">Introduzione alla prima serie – Strumenti 21-22-23</w:t>
      </w:r>
    </w:p>
    <w:p w:rsidR="00000000" w:rsidDel="00000000" w:rsidP="00000000" w:rsidRDefault="00000000" w:rsidRPr="00000000" w14:paraId="0000000B">
      <w:pPr>
        <w:ind w:right="687"/>
        <w:jc w:val="center"/>
        <w:rPr>
          <w:b w:val="1"/>
          <w:bCs w:val="1"/>
          <w:color w:val="1f4e7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687"/>
        <w:jc w:val="center"/>
        <w:rPr>
          <w:b w:val="1"/>
          <w:bCs w:val="1"/>
          <w:color w:val="1f4e79"/>
          <w:sz w:val="32"/>
          <w:szCs w:val="32"/>
        </w:rPr>
      </w:pPr>
      <w:r w:rsidDel="00000000" w:rsidR="00000000" w:rsidRPr="00000000">
        <w:rPr>
          <w:b w:val="1"/>
          <w:bCs w:val="1"/>
          <w:color w:val="1f4e79"/>
          <w:sz w:val="32"/>
          <w:szCs w:val="32"/>
          <w:rtl w:val="0"/>
        </w:rPr>
        <w:t xml:space="preserve">Avvio del supporto linguistico fornito ai migranti</w:t>
      </w:r>
    </w:p>
    <w:p w:rsidR="00000000" w:rsidDel="00000000" w:rsidP="00000000" w:rsidRDefault="00000000" w:rsidRPr="00000000" w14:paraId="0000000D">
      <w:pPr>
        <w:ind w:right="687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  <w:t xml:space="preserve">Questa serie di tre strumenti ha l’obiettivo di dare indicazioni a coloro che forniscono supporto linguistico ai migranti riguardo ai seguenti aspetti: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426" w:right="687" w:hanging="360"/>
        <w:jc w:val="both"/>
        <w:rPr/>
      </w:pPr>
      <w:r w:rsidDel="00000000" w:rsidR="00000000" w:rsidRPr="00000000">
        <w:rPr>
          <w:rtl w:val="0"/>
        </w:rPr>
        <w:t xml:space="preserve">preparare un ambiente favorevole all’apprendimento linguistico (Strumento 21);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426" w:right="687" w:hanging="360"/>
        <w:jc w:val="both"/>
        <w:rPr/>
      </w:pPr>
      <w:r w:rsidDel="00000000" w:rsidR="00000000" w:rsidRPr="00000000">
        <w:rPr>
          <w:rtl w:val="0"/>
        </w:rPr>
        <w:t xml:space="preserve">riflettere su cosa comporta acquisire una competenza elementare nell’uso di una nuova lingua (Strumento 22);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426" w:right="687" w:hanging="360"/>
        <w:jc w:val="both"/>
        <w:rPr/>
      </w:pPr>
      <w:r w:rsidDel="00000000" w:rsidR="00000000" w:rsidRPr="00000000">
        <w:rPr>
          <w:rtl w:val="0"/>
        </w:rPr>
        <w:t xml:space="preserve">rilevare le situazioni in cui i migranti hanno bisogno di usare la nuova lingua (Strumento 23).</w:t>
      </w:r>
    </w:p>
    <w:p w:rsidR="00000000" w:rsidDel="00000000" w:rsidP="00000000" w:rsidRDefault="00000000" w:rsidRPr="00000000" w14:paraId="00000012">
      <w:pPr>
        <w:spacing w:line="276" w:lineRule="auto"/>
        <w:ind w:right="68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  <w:t xml:space="preserve">Puoi utilizzare questi strumenti in sequenza oppure separatamente. In entrambi i casi, può essere utile condividere le indicazioni fornite con altri colleghi che lavorano nel tuo stesso contesto.</w:t>
      </w:r>
    </w:p>
    <w:p w:rsidR="00000000" w:rsidDel="00000000" w:rsidP="00000000" w:rsidRDefault="00000000" w:rsidRPr="00000000" w14:paraId="00000014">
      <w:pPr>
        <w:ind w:right="68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ind w:right="687"/>
        <w:rPr>
          <w:b w:val="1"/>
          <w:bCs w:val="1"/>
          <w:color w:val="1f4e79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426" w:left="1440" w:right="42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Apto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3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819"/>
        <w:tab w:val="right" w:leader="none" w:pos="9638"/>
      </w:tabs>
      <w:rPr>
        <w:b w:val="1"/>
        <w:bCs w:val="1"/>
        <w:color w:val="434343"/>
        <w:sz w:val="18"/>
        <w:szCs w:val="18"/>
        <w:highlight w:val="white"/>
      </w:rPr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Introduzione alla prima serie - </w:t>
    </w: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Strumenti 21/22/23</w:t>
    </w:r>
  </w:p>
  <w:p w:rsidR="00000000" w:rsidDel="00000000" w:rsidP="00000000" w:rsidRDefault="00000000" w:rsidRPr="00000000" w14:paraId="0000001D">
    <w:pPr>
      <w:tabs>
        <w:tab w:val="center" w:leader="none" w:pos="4819"/>
        <w:tab w:val="right" w:leader="none" w:pos="9638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/1</w:t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9749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2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56D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56D7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156D7E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56D7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56D7E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E21780"/>
    <w:pPr>
      <w:spacing w:after="160" w:line="259" w:lineRule="auto"/>
      <w:ind w:left="720"/>
      <w:contextualSpacing w:val="1"/>
    </w:pPr>
    <w:rPr>
      <w:rFonts w:asciiTheme="minorHAnsi" w:cstheme="minorBidi" w:eastAsiaTheme="minorEastAsia" w:hAnsiTheme="minorHAnsi"/>
      <w:sz w:val="22"/>
      <w:lang w:eastAsia="zh-CN" w:val="en-GB"/>
    </w:rPr>
  </w:style>
  <w:style w:type="paragraph" w:styleId="Revisione">
    <w:name w:val="Revision"/>
    <w:hidden w:val="1"/>
    <w:uiPriority w:val="99"/>
    <w:semiHidden w:val="1"/>
    <w:rsid w:val="00F018F7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ZlUR9togDem1swmEQbunj1PPQ==">CgMxLjA4AGopChRzdWdnZXN0LnAwc3BpbmFzZnJpchIRTWFkZGFsZW5hIEZvcm1pY2FqKQoUc3VnZ2VzdC51cWgxeHFhdnVoM3kSEU1hZGRhbGVuYSBGb3JtaWNhciExYm1ybmgzbnJucHlsLUlxVGtGWmo3dnhBUElNaThPTXI=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2025-08-07T10:35:00Z</dcterms:created>
  <dc:creator>utilisateur</dc:creator>
</cp:coreProperties>
</file>