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66FA" w14:textId="35434FBE" w:rsidR="004E5C37" w:rsidRDefault="004E5C37" w:rsidP="00512F35">
      <w:pPr>
        <w:tabs>
          <w:tab w:val="left" w:pos="7686"/>
        </w:tabs>
        <w:jc w:val="center"/>
        <w:rPr>
          <w:rFonts w:ascii="Tahoma" w:hAnsi="Tahoma" w:cs="Tahoma"/>
          <w:b/>
          <w:caps/>
          <w:sz w:val="24"/>
          <w:szCs w:val="28"/>
          <w:lang w:val="en-US"/>
        </w:rPr>
      </w:pPr>
      <w:bookmarkStart w:id="0" w:name="_GoBack"/>
      <w:bookmarkEnd w:id="0"/>
    </w:p>
    <w:p w14:paraId="71E72A2A" w14:textId="349061DF" w:rsidR="004E5C37" w:rsidRDefault="0084496C" w:rsidP="0084496C">
      <w:pPr>
        <w:tabs>
          <w:tab w:val="left" w:pos="7686"/>
        </w:tabs>
        <w:jc w:val="center"/>
        <w:rPr>
          <w:rFonts w:ascii="Tahoma" w:hAnsi="Tahoma" w:cs="Tahoma"/>
          <w:b/>
          <w:caps/>
          <w:sz w:val="24"/>
          <w:szCs w:val="28"/>
          <w:lang w:val="en-US"/>
        </w:rPr>
      </w:pPr>
      <w:r>
        <w:rPr>
          <w:noProof/>
        </w:rPr>
        <w:drawing>
          <wp:inline distT="0" distB="0" distL="0" distR="0" wp14:anchorId="22078A2C" wp14:editId="6B94FA1D">
            <wp:extent cx="5884387" cy="108446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0368" cy="1118740"/>
                    </a:xfrm>
                    <a:prstGeom prst="rect">
                      <a:avLst/>
                    </a:prstGeom>
                    <a:noFill/>
                  </pic:spPr>
                </pic:pic>
              </a:graphicData>
            </a:graphic>
          </wp:inline>
        </w:drawing>
      </w:r>
    </w:p>
    <w:p w14:paraId="392B570C" w14:textId="77777777" w:rsidR="004E5C37" w:rsidRDefault="004E5C37" w:rsidP="00505356">
      <w:pPr>
        <w:tabs>
          <w:tab w:val="left" w:pos="7686"/>
        </w:tabs>
        <w:rPr>
          <w:rFonts w:ascii="Tahoma" w:hAnsi="Tahoma" w:cs="Tahoma"/>
          <w:b/>
          <w:caps/>
          <w:sz w:val="24"/>
          <w:szCs w:val="28"/>
          <w:lang w:val="en-US"/>
        </w:rPr>
      </w:pPr>
    </w:p>
    <w:p w14:paraId="3D65539C" w14:textId="4EB72FD1" w:rsidR="00D50F13" w:rsidRPr="00EB5355" w:rsidRDefault="00A91875" w:rsidP="00505356">
      <w:pPr>
        <w:tabs>
          <w:tab w:val="left" w:pos="7686"/>
        </w:tabs>
        <w:rPr>
          <w:rFonts w:ascii="Tahoma" w:hAnsi="Tahoma" w:cs="Tahoma"/>
          <w:b/>
          <w:caps/>
          <w:sz w:val="24"/>
          <w:szCs w:val="28"/>
        </w:rPr>
      </w:pPr>
      <w:r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3F4055E7" w14:textId="059BCE18" w:rsidR="00A80AEF" w:rsidRPr="00EB5355" w:rsidRDefault="00A80AEF" w:rsidP="00B71615">
      <w:pPr>
        <w:jc w:val="both"/>
        <w:rPr>
          <w:rFonts w:ascii="Tahoma" w:hAnsi="Tahoma" w:cs="Tahoma"/>
          <w:b/>
          <w:sz w:val="24"/>
          <w:szCs w:val="28"/>
          <w:highlight w:val="cyan"/>
        </w:rPr>
      </w:pPr>
      <w:r w:rsidRPr="00EB5355">
        <w:rPr>
          <w:rFonts w:ascii="Tahoma" w:hAnsi="Tahoma" w:cs="Tahoma"/>
          <w:b/>
          <w:sz w:val="24"/>
          <w:szCs w:val="28"/>
        </w:rPr>
        <w:t xml:space="preserve">Purchase of </w:t>
      </w:r>
      <w:r w:rsidR="005F2E70" w:rsidRPr="005F2E70">
        <w:rPr>
          <w:rFonts w:ascii="Tahoma" w:hAnsi="Tahoma" w:cs="Tahoma"/>
          <w:b/>
          <w:sz w:val="24"/>
          <w:szCs w:val="28"/>
        </w:rPr>
        <w:t xml:space="preserve">the </w:t>
      </w:r>
      <w:r w:rsidR="003307CC">
        <w:rPr>
          <w:rFonts w:ascii="Tahoma" w:hAnsi="Tahoma" w:cs="Tahoma"/>
          <w:b/>
          <w:sz w:val="24"/>
          <w:szCs w:val="28"/>
        </w:rPr>
        <w:t>communication</w:t>
      </w:r>
      <w:r w:rsidR="005F2E70" w:rsidRPr="005F2E70">
        <w:rPr>
          <w:rFonts w:ascii="Tahoma" w:hAnsi="Tahoma" w:cs="Tahoma"/>
          <w:b/>
          <w:sz w:val="24"/>
          <w:szCs w:val="28"/>
        </w:rPr>
        <w:t xml:space="preserve"> services relating to the </w:t>
      </w:r>
      <w:r w:rsidR="008B170C">
        <w:rPr>
          <w:rFonts w:ascii="Tahoma" w:hAnsi="Tahoma" w:cs="Tahoma"/>
          <w:b/>
          <w:sz w:val="24"/>
          <w:szCs w:val="28"/>
        </w:rPr>
        <w:t xml:space="preserve">Social Media </w:t>
      </w:r>
      <w:r w:rsidR="0048372A">
        <w:rPr>
          <w:rFonts w:ascii="Tahoma" w:hAnsi="Tahoma" w:cs="Tahoma"/>
          <w:b/>
          <w:sz w:val="24"/>
          <w:szCs w:val="28"/>
        </w:rPr>
        <w:t>awareness raising</w:t>
      </w:r>
      <w:r w:rsidR="00B71615">
        <w:rPr>
          <w:rFonts w:ascii="Tahoma" w:hAnsi="Tahoma" w:cs="Tahoma"/>
          <w:b/>
          <w:sz w:val="24"/>
          <w:szCs w:val="28"/>
        </w:rPr>
        <w:t xml:space="preserve"> </w:t>
      </w:r>
      <w:r w:rsidR="005F2E70" w:rsidRPr="005F2E70">
        <w:rPr>
          <w:rFonts w:ascii="Tahoma" w:hAnsi="Tahoma" w:cs="Tahoma"/>
          <w:b/>
          <w:sz w:val="24"/>
          <w:szCs w:val="28"/>
        </w:rPr>
        <w:t xml:space="preserve">campaign on </w:t>
      </w:r>
      <w:r w:rsidR="00B11208">
        <w:rPr>
          <w:rFonts w:ascii="Tahoma" w:hAnsi="Tahoma" w:cs="Tahoma"/>
          <w:b/>
          <w:sz w:val="24"/>
          <w:szCs w:val="28"/>
        </w:rPr>
        <w:t>freedom of expression and freedom of</w:t>
      </w:r>
      <w:r w:rsidR="00C830AC">
        <w:rPr>
          <w:rFonts w:ascii="Tahoma" w:hAnsi="Tahoma" w:cs="Tahoma"/>
          <w:b/>
          <w:sz w:val="24"/>
          <w:szCs w:val="28"/>
        </w:rPr>
        <w:t xml:space="preserve"> the</w:t>
      </w:r>
      <w:r w:rsidR="00B11208">
        <w:rPr>
          <w:rFonts w:ascii="Tahoma" w:hAnsi="Tahoma" w:cs="Tahoma"/>
          <w:b/>
          <w:sz w:val="24"/>
          <w:szCs w:val="28"/>
        </w:rPr>
        <w:t xml:space="preserve"> media</w:t>
      </w:r>
    </w:p>
    <w:p w14:paraId="24418C50" w14:textId="48F67BF8" w:rsidR="0028341F" w:rsidRPr="00EB5355" w:rsidRDefault="0028341F" w:rsidP="00A041D4">
      <w:pPr>
        <w:rPr>
          <w:rFonts w:ascii="Tahoma" w:hAnsi="Tahoma" w:cs="Tahoma"/>
          <w:b/>
          <w:sz w:val="24"/>
          <w:szCs w:val="28"/>
        </w:rPr>
      </w:pPr>
    </w:p>
    <w:p w14:paraId="55B0DEA1" w14:textId="77777777" w:rsidR="00622565" w:rsidRDefault="00622565" w:rsidP="00622565">
      <w:pPr>
        <w:pStyle w:val="ListParagraph"/>
        <w:spacing w:after="120"/>
        <w:ind w:left="0"/>
        <w:jc w:val="both"/>
        <w:rPr>
          <w:rFonts w:ascii="Tahoma" w:hAnsi="Tahoma" w:cs="Tahoma"/>
          <w:sz w:val="20"/>
          <w:szCs w:val="20"/>
        </w:rPr>
      </w:pPr>
    </w:p>
    <w:p w14:paraId="3CDBE886" w14:textId="5540E6EB" w:rsidR="00B11208" w:rsidRPr="00B11208" w:rsidRDefault="000F6BAA" w:rsidP="00B11208">
      <w:pPr>
        <w:pStyle w:val="ListParagraph"/>
        <w:spacing w:after="120"/>
        <w:ind w:left="0"/>
        <w:jc w:val="both"/>
        <w:rPr>
          <w:rFonts w:ascii="Tahoma" w:hAnsi="Tahoma" w:cs="Tahoma"/>
          <w:sz w:val="20"/>
          <w:szCs w:val="20"/>
        </w:rPr>
      </w:pPr>
      <w:r w:rsidRPr="00B11208">
        <w:rPr>
          <w:rFonts w:ascii="Tahoma" w:eastAsia="Calibri" w:hAnsi="Tahoma" w:cs="Tahoma"/>
          <w:sz w:val="20"/>
          <w:szCs w:val="20"/>
          <w:lang w:eastAsia="en-US"/>
        </w:rPr>
        <w:t>Under the joint European Union and the Council of Europe programm</w:t>
      </w:r>
      <w:r w:rsidR="00C830AC">
        <w:rPr>
          <w:rFonts w:ascii="Tahoma" w:eastAsia="Calibri" w:hAnsi="Tahoma" w:cs="Tahoma"/>
          <w:sz w:val="20"/>
          <w:szCs w:val="20"/>
          <w:lang w:eastAsia="en-US"/>
        </w:rPr>
        <w:t>e</w:t>
      </w:r>
      <w:r w:rsidRPr="00B11208">
        <w:rPr>
          <w:rFonts w:ascii="Tahoma" w:eastAsia="Calibri" w:hAnsi="Tahoma" w:cs="Tahoma"/>
          <w:sz w:val="20"/>
          <w:szCs w:val="20"/>
          <w:lang w:eastAsia="en-US"/>
        </w:rPr>
        <w:t xml:space="preserve"> “Horizontal Facility for the Western Balkans and Turkey 2019-2022”, t</w:t>
      </w:r>
      <w:r w:rsidR="00622565" w:rsidRPr="00B11208">
        <w:rPr>
          <w:rFonts w:ascii="Tahoma" w:hAnsi="Tahoma" w:cs="Tahoma"/>
          <w:sz w:val="20"/>
          <w:szCs w:val="20"/>
        </w:rPr>
        <w:t xml:space="preserve">he </w:t>
      </w:r>
      <w:r w:rsidR="00C830AC">
        <w:rPr>
          <w:rFonts w:ascii="Tahoma" w:hAnsi="Tahoma" w:cs="Tahoma"/>
          <w:sz w:val="20"/>
          <w:szCs w:val="20"/>
        </w:rPr>
        <w:t>a</w:t>
      </w:r>
      <w:r w:rsidR="00622565" w:rsidRPr="00B11208">
        <w:rPr>
          <w:rFonts w:ascii="Tahoma" w:hAnsi="Tahoma" w:cs="Tahoma"/>
          <w:sz w:val="20"/>
          <w:szCs w:val="20"/>
        </w:rPr>
        <w:t xml:space="preserve">ction </w:t>
      </w:r>
      <w:r w:rsidR="00AD6C00" w:rsidRPr="00B11208">
        <w:rPr>
          <w:rFonts w:ascii="Tahoma" w:hAnsi="Tahoma" w:cs="Tahoma"/>
          <w:sz w:val="20"/>
          <w:szCs w:val="20"/>
        </w:rPr>
        <w:t>“</w:t>
      </w:r>
      <w:r w:rsidR="00B71615" w:rsidRPr="00B11208">
        <w:rPr>
          <w:rFonts w:ascii="Tahoma" w:hAnsi="Tahoma" w:cs="Tahoma"/>
          <w:sz w:val="20"/>
          <w:szCs w:val="20"/>
        </w:rPr>
        <w:t xml:space="preserve">Freedom of </w:t>
      </w:r>
      <w:r w:rsidR="00C830AC">
        <w:rPr>
          <w:rFonts w:ascii="Tahoma" w:hAnsi="Tahoma" w:cs="Tahoma"/>
          <w:sz w:val="20"/>
          <w:szCs w:val="20"/>
        </w:rPr>
        <w:t>e</w:t>
      </w:r>
      <w:r w:rsidR="00B71615" w:rsidRPr="00B11208">
        <w:rPr>
          <w:rFonts w:ascii="Tahoma" w:hAnsi="Tahoma" w:cs="Tahoma"/>
          <w:sz w:val="20"/>
          <w:szCs w:val="20"/>
        </w:rPr>
        <w:t xml:space="preserve">xpression and </w:t>
      </w:r>
      <w:r w:rsidR="00C830AC">
        <w:rPr>
          <w:rFonts w:ascii="Tahoma" w:hAnsi="Tahoma" w:cs="Tahoma"/>
          <w:sz w:val="20"/>
          <w:szCs w:val="20"/>
        </w:rPr>
        <w:t>f</w:t>
      </w:r>
      <w:r w:rsidR="00B71615" w:rsidRPr="00B11208">
        <w:rPr>
          <w:rFonts w:ascii="Tahoma" w:hAnsi="Tahoma" w:cs="Tahoma"/>
          <w:sz w:val="20"/>
          <w:szCs w:val="20"/>
        </w:rPr>
        <w:t xml:space="preserve">reedom of </w:t>
      </w:r>
      <w:r w:rsidR="00C830AC">
        <w:rPr>
          <w:rFonts w:ascii="Tahoma" w:hAnsi="Tahoma" w:cs="Tahoma"/>
          <w:sz w:val="20"/>
          <w:szCs w:val="20"/>
        </w:rPr>
        <w:t>the m</w:t>
      </w:r>
      <w:r w:rsidR="00B71615" w:rsidRPr="00B11208">
        <w:rPr>
          <w:rFonts w:ascii="Tahoma" w:hAnsi="Tahoma" w:cs="Tahoma"/>
          <w:sz w:val="20"/>
          <w:szCs w:val="20"/>
        </w:rPr>
        <w:t xml:space="preserve">edia in </w:t>
      </w:r>
      <w:r w:rsidR="00622565" w:rsidRPr="00B11208">
        <w:rPr>
          <w:rFonts w:ascii="Tahoma" w:hAnsi="Tahoma" w:cs="Tahoma"/>
          <w:sz w:val="20"/>
          <w:szCs w:val="20"/>
        </w:rPr>
        <w:t>in Montenegro</w:t>
      </w:r>
      <w:r w:rsidR="00AD6C00" w:rsidRPr="00B11208">
        <w:rPr>
          <w:rFonts w:ascii="Tahoma" w:hAnsi="Tahoma" w:cs="Tahoma"/>
          <w:sz w:val="20"/>
          <w:szCs w:val="20"/>
        </w:rPr>
        <w:t>”</w:t>
      </w:r>
      <w:r w:rsidR="00622565" w:rsidRPr="00B11208">
        <w:rPr>
          <w:rFonts w:ascii="Tahoma" w:hAnsi="Tahoma" w:cs="Tahoma"/>
          <w:sz w:val="20"/>
          <w:szCs w:val="20"/>
        </w:rPr>
        <w:t xml:space="preserve">, </w:t>
      </w:r>
      <w:r w:rsidRPr="00B11208">
        <w:rPr>
          <w:rFonts w:ascii="Tahoma" w:hAnsi="Tahoma" w:cs="Tahoma"/>
          <w:sz w:val="20"/>
          <w:szCs w:val="20"/>
        </w:rPr>
        <w:t>is being implemented.</w:t>
      </w:r>
      <w:r w:rsidR="00622565" w:rsidRPr="00B11208">
        <w:rPr>
          <w:rFonts w:ascii="Tahoma" w:eastAsia="Calibri" w:hAnsi="Tahoma" w:cs="Tahoma"/>
          <w:sz w:val="20"/>
          <w:szCs w:val="20"/>
          <w:lang w:eastAsia="en-US"/>
        </w:rPr>
        <w:t xml:space="preserve"> </w:t>
      </w:r>
      <w:r w:rsidR="00622565" w:rsidRPr="00B11208">
        <w:rPr>
          <w:rFonts w:ascii="Tahoma" w:hAnsi="Tahoma" w:cs="Tahoma"/>
          <w:sz w:val="20"/>
          <w:szCs w:val="20"/>
        </w:rPr>
        <w:t xml:space="preserve">The </w:t>
      </w:r>
      <w:r w:rsidR="002C020B">
        <w:rPr>
          <w:rFonts w:ascii="Tahoma" w:hAnsi="Tahoma" w:cs="Tahoma"/>
          <w:sz w:val="20"/>
          <w:szCs w:val="20"/>
        </w:rPr>
        <w:t>a</w:t>
      </w:r>
      <w:r w:rsidR="00622565" w:rsidRPr="00B11208">
        <w:rPr>
          <w:rFonts w:ascii="Tahoma" w:hAnsi="Tahoma" w:cs="Tahoma"/>
          <w:sz w:val="20"/>
          <w:szCs w:val="20"/>
        </w:rPr>
        <w:t>ction started on 23 May 2019 and will last until 22 May 2022</w:t>
      </w:r>
      <w:r w:rsidR="00B11208" w:rsidRPr="00B11208">
        <w:rPr>
          <w:rFonts w:ascii="Tahoma" w:hAnsi="Tahoma" w:cs="Tahoma"/>
          <w:sz w:val="20"/>
          <w:szCs w:val="20"/>
        </w:rPr>
        <w:t>.</w:t>
      </w:r>
      <w:r w:rsidR="00622565" w:rsidRPr="00B11208">
        <w:rPr>
          <w:rFonts w:ascii="Tahoma" w:hAnsi="Tahoma" w:cs="Tahoma"/>
          <w:sz w:val="20"/>
          <w:szCs w:val="20"/>
        </w:rPr>
        <w:t xml:space="preserve"> </w:t>
      </w:r>
      <w:r w:rsidR="00B71615" w:rsidRPr="00B11208">
        <w:rPr>
          <w:rFonts w:ascii="Tahoma" w:hAnsi="Tahoma" w:cs="Tahoma"/>
          <w:sz w:val="20"/>
          <w:szCs w:val="20"/>
        </w:rPr>
        <w:t xml:space="preserve">The </w:t>
      </w:r>
      <w:r w:rsidR="00094C2A">
        <w:rPr>
          <w:rFonts w:ascii="Tahoma" w:hAnsi="Tahoma" w:cs="Tahoma"/>
          <w:sz w:val="20"/>
          <w:szCs w:val="20"/>
        </w:rPr>
        <w:t>a</w:t>
      </w:r>
      <w:r w:rsidR="00B71615" w:rsidRPr="00B11208">
        <w:rPr>
          <w:rFonts w:ascii="Tahoma" w:hAnsi="Tahoma" w:cs="Tahoma"/>
          <w:sz w:val="20"/>
          <w:szCs w:val="20"/>
        </w:rPr>
        <w:t xml:space="preserve">ction is conceived to promote freedom of expression and freedom of the media in Montenegro in line with European standards. It consists of three components targeting different groups of beneficiaries: </w:t>
      </w:r>
    </w:p>
    <w:p w14:paraId="123A3690" w14:textId="30791A60" w:rsidR="00B11208" w:rsidRPr="00B11208" w:rsidRDefault="00B71615" w:rsidP="00B11208">
      <w:pPr>
        <w:pStyle w:val="ListParagraph"/>
        <w:numPr>
          <w:ilvl w:val="0"/>
          <w:numId w:val="21"/>
        </w:numPr>
        <w:spacing w:after="120"/>
        <w:jc w:val="both"/>
        <w:rPr>
          <w:rFonts w:ascii="Tahoma" w:hAnsi="Tahoma" w:cs="Tahoma"/>
          <w:sz w:val="20"/>
          <w:szCs w:val="20"/>
        </w:rPr>
      </w:pPr>
      <w:r w:rsidRPr="00B11208">
        <w:rPr>
          <w:rFonts w:ascii="Tahoma" w:hAnsi="Tahoma" w:cs="Tahoma"/>
          <w:sz w:val="20"/>
          <w:szCs w:val="20"/>
        </w:rPr>
        <w:t xml:space="preserve">Legal professionals and law enforcement (judges, prosecutors, </w:t>
      </w:r>
      <w:r w:rsidR="00B11208">
        <w:rPr>
          <w:rFonts w:ascii="Tahoma" w:hAnsi="Tahoma" w:cs="Tahoma"/>
          <w:sz w:val="20"/>
          <w:szCs w:val="20"/>
        </w:rPr>
        <w:t xml:space="preserve">lawyers and </w:t>
      </w:r>
      <w:r w:rsidRPr="00B11208">
        <w:rPr>
          <w:rFonts w:ascii="Tahoma" w:hAnsi="Tahoma" w:cs="Tahoma"/>
          <w:sz w:val="20"/>
          <w:szCs w:val="20"/>
        </w:rPr>
        <w:t xml:space="preserve">police officers); </w:t>
      </w:r>
    </w:p>
    <w:p w14:paraId="57FF36FE" w14:textId="77777777" w:rsidR="00B11208" w:rsidRDefault="00B71615" w:rsidP="00B11208">
      <w:pPr>
        <w:pStyle w:val="ListParagraph"/>
        <w:numPr>
          <w:ilvl w:val="0"/>
          <w:numId w:val="21"/>
        </w:numPr>
        <w:spacing w:after="120"/>
        <w:jc w:val="both"/>
        <w:rPr>
          <w:rFonts w:ascii="Tahoma" w:hAnsi="Tahoma" w:cs="Tahoma"/>
          <w:sz w:val="20"/>
          <w:szCs w:val="20"/>
        </w:rPr>
      </w:pPr>
      <w:r w:rsidRPr="00B11208">
        <w:rPr>
          <w:rFonts w:ascii="Tahoma" w:hAnsi="Tahoma" w:cs="Tahoma"/>
          <w:sz w:val="20"/>
          <w:szCs w:val="20"/>
        </w:rPr>
        <w:t xml:space="preserve">Media Regulatory Authority and governmental bodies in charge of the media legislation and journalism related issues; </w:t>
      </w:r>
    </w:p>
    <w:p w14:paraId="260DFC6C" w14:textId="05E5B28B" w:rsidR="00B11208" w:rsidRPr="00B11208" w:rsidRDefault="00B71615" w:rsidP="00B11208">
      <w:pPr>
        <w:pStyle w:val="ListParagraph"/>
        <w:numPr>
          <w:ilvl w:val="0"/>
          <w:numId w:val="21"/>
        </w:numPr>
        <w:spacing w:after="120"/>
        <w:jc w:val="both"/>
        <w:rPr>
          <w:rFonts w:ascii="Tahoma" w:hAnsi="Tahoma" w:cs="Tahoma"/>
          <w:sz w:val="20"/>
          <w:szCs w:val="20"/>
        </w:rPr>
      </w:pPr>
      <w:r w:rsidRPr="00B11208">
        <w:rPr>
          <w:rFonts w:ascii="Tahoma" w:hAnsi="Tahoma" w:cs="Tahoma"/>
          <w:sz w:val="20"/>
          <w:szCs w:val="20"/>
        </w:rPr>
        <w:t xml:space="preserve">Media actors (journalists, journalistic associations, self-regulatory body, students of law and journalism and other media organisations). </w:t>
      </w:r>
    </w:p>
    <w:p w14:paraId="7A73D3A8" w14:textId="0B2C1DFA" w:rsidR="00886AF4" w:rsidRPr="00886AF4" w:rsidRDefault="00B11208" w:rsidP="00217FD8">
      <w:pPr>
        <w:spacing w:after="120"/>
        <w:jc w:val="both"/>
        <w:rPr>
          <w:rFonts w:ascii="Tahoma" w:hAnsi="Tahoma" w:cs="Tahoma"/>
          <w:sz w:val="20"/>
          <w:szCs w:val="20"/>
        </w:rPr>
      </w:pPr>
      <w:r>
        <w:rPr>
          <w:rFonts w:ascii="Tahoma" w:hAnsi="Tahoma" w:cs="Tahoma"/>
          <w:sz w:val="20"/>
          <w:szCs w:val="20"/>
        </w:rPr>
        <w:t>T</w:t>
      </w:r>
      <w:r w:rsidR="00217FD8" w:rsidRPr="00B11208">
        <w:rPr>
          <w:rFonts w:ascii="Tahoma" w:hAnsi="Tahoma" w:cs="Tahoma"/>
          <w:sz w:val="20"/>
          <w:szCs w:val="20"/>
        </w:rPr>
        <w:t xml:space="preserve">he </w:t>
      </w:r>
      <w:r w:rsidR="00A720C4">
        <w:rPr>
          <w:rFonts w:ascii="Tahoma" w:hAnsi="Tahoma" w:cs="Tahoma"/>
          <w:sz w:val="20"/>
          <w:szCs w:val="20"/>
        </w:rPr>
        <w:t>a</w:t>
      </w:r>
      <w:r w:rsidR="00217FD8" w:rsidRPr="00B11208">
        <w:rPr>
          <w:rFonts w:ascii="Tahoma" w:hAnsi="Tahoma" w:cs="Tahoma"/>
          <w:sz w:val="20"/>
          <w:szCs w:val="20"/>
        </w:rPr>
        <w:t xml:space="preserve">ction will implement the </w:t>
      </w:r>
      <w:r w:rsidR="008B170C">
        <w:rPr>
          <w:rFonts w:ascii="Tahoma" w:hAnsi="Tahoma" w:cs="Tahoma"/>
          <w:sz w:val="20"/>
          <w:szCs w:val="20"/>
        </w:rPr>
        <w:t>social media</w:t>
      </w:r>
      <w:r>
        <w:rPr>
          <w:rFonts w:ascii="Tahoma" w:hAnsi="Tahoma" w:cs="Tahoma"/>
          <w:sz w:val="20"/>
          <w:szCs w:val="20"/>
        </w:rPr>
        <w:t xml:space="preserve"> </w:t>
      </w:r>
      <w:r w:rsidR="0048372A" w:rsidRPr="0048372A">
        <w:rPr>
          <w:rFonts w:ascii="Tahoma" w:hAnsi="Tahoma" w:cs="Tahoma"/>
          <w:bCs/>
          <w:sz w:val="20"/>
          <w:szCs w:val="21"/>
        </w:rPr>
        <w:t>awareness raising</w:t>
      </w:r>
      <w:r w:rsidR="0048372A">
        <w:rPr>
          <w:rFonts w:ascii="Tahoma" w:hAnsi="Tahoma" w:cs="Tahoma"/>
          <w:sz w:val="20"/>
          <w:szCs w:val="20"/>
        </w:rPr>
        <w:t xml:space="preserve"> </w:t>
      </w:r>
      <w:r>
        <w:rPr>
          <w:rFonts w:ascii="Tahoma" w:hAnsi="Tahoma" w:cs="Tahoma"/>
          <w:sz w:val="20"/>
          <w:szCs w:val="20"/>
        </w:rPr>
        <w:t>campaign that would promote</w:t>
      </w:r>
      <w:r w:rsidRPr="00B11208">
        <w:rPr>
          <w:rFonts w:ascii="Tahoma" w:hAnsi="Tahoma" w:cs="Tahoma"/>
          <w:sz w:val="20"/>
          <w:szCs w:val="20"/>
        </w:rPr>
        <w:t xml:space="preserve"> the </w:t>
      </w:r>
      <w:r w:rsidR="00FD5374">
        <w:rPr>
          <w:rFonts w:ascii="Tahoma" w:hAnsi="Tahoma" w:cs="Tahoma"/>
          <w:sz w:val="20"/>
          <w:szCs w:val="20"/>
        </w:rPr>
        <w:t>European</w:t>
      </w:r>
      <w:r w:rsidRPr="00B11208">
        <w:rPr>
          <w:rFonts w:ascii="Tahoma" w:hAnsi="Tahoma" w:cs="Tahoma"/>
          <w:sz w:val="20"/>
          <w:szCs w:val="20"/>
        </w:rPr>
        <w:t xml:space="preserve"> standards in the areas of </w:t>
      </w:r>
      <w:r w:rsidR="00FD5374">
        <w:rPr>
          <w:rFonts w:ascii="Tahoma" w:hAnsi="Tahoma" w:cs="Tahoma"/>
          <w:sz w:val="20"/>
          <w:szCs w:val="20"/>
        </w:rPr>
        <w:t>f</w:t>
      </w:r>
      <w:r w:rsidRPr="00B11208">
        <w:rPr>
          <w:rFonts w:ascii="Tahoma" w:hAnsi="Tahoma" w:cs="Tahoma"/>
          <w:sz w:val="20"/>
          <w:szCs w:val="20"/>
        </w:rPr>
        <w:t xml:space="preserve">reedom of </w:t>
      </w:r>
      <w:r w:rsidR="00FD5374">
        <w:rPr>
          <w:rFonts w:ascii="Tahoma" w:hAnsi="Tahoma" w:cs="Tahoma"/>
          <w:sz w:val="20"/>
          <w:szCs w:val="20"/>
        </w:rPr>
        <w:t>e</w:t>
      </w:r>
      <w:r w:rsidRPr="00B11208">
        <w:rPr>
          <w:rFonts w:ascii="Tahoma" w:hAnsi="Tahoma" w:cs="Tahoma"/>
          <w:sz w:val="20"/>
          <w:szCs w:val="20"/>
        </w:rPr>
        <w:t xml:space="preserve">xpression </w:t>
      </w:r>
      <w:r>
        <w:rPr>
          <w:rFonts w:ascii="Tahoma" w:hAnsi="Tahoma" w:cs="Tahoma"/>
          <w:sz w:val="20"/>
          <w:szCs w:val="20"/>
        </w:rPr>
        <w:t xml:space="preserve">and </w:t>
      </w:r>
      <w:r w:rsidR="00FD5374">
        <w:rPr>
          <w:rFonts w:ascii="Tahoma" w:hAnsi="Tahoma" w:cs="Tahoma"/>
          <w:sz w:val="20"/>
          <w:szCs w:val="20"/>
        </w:rPr>
        <w:t>m</w:t>
      </w:r>
      <w:r>
        <w:rPr>
          <w:rFonts w:ascii="Tahoma" w:hAnsi="Tahoma" w:cs="Tahoma"/>
          <w:sz w:val="20"/>
          <w:szCs w:val="20"/>
        </w:rPr>
        <w:t xml:space="preserve">edia, as well as </w:t>
      </w:r>
      <w:r w:rsidR="00FD5374">
        <w:rPr>
          <w:rFonts w:ascii="Tahoma" w:hAnsi="Tahoma" w:cs="Tahoma"/>
          <w:sz w:val="20"/>
          <w:szCs w:val="20"/>
        </w:rPr>
        <w:t>p</w:t>
      </w:r>
      <w:r>
        <w:rPr>
          <w:rFonts w:ascii="Tahoma" w:hAnsi="Tahoma" w:cs="Tahoma"/>
          <w:sz w:val="20"/>
          <w:szCs w:val="20"/>
        </w:rPr>
        <w:t>rotection</w:t>
      </w:r>
      <w:r w:rsidRPr="00B11208">
        <w:rPr>
          <w:rFonts w:ascii="Tahoma" w:hAnsi="Tahoma" w:cs="Tahoma"/>
          <w:sz w:val="20"/>
          <w:szCs w:val="20"/>
        </w:rPr>
        <w:t xml:space="preserve"> of </w:t>
      </w:r>
      <w:r w:rsidR="00FD5374">
        <w:rPr>
          <w:rFonts w:ascii="Tahoma" w:hAnsi="Tahoma" w:cs="Tahoma"/>
          <w:sz w:val="20"/>
          <w:szCs w:val="20"/>
        </w:rPr>
        <w:t>j</w:t>
      </w:r>
      <w:r w:rsidRPr="00B11208">
        <w:rPr>
          <w:rFonts w:ascii="Tahoma" w:hAnsi="Tahoma" w:cs="Tahoma"/>
          <w:sz w:val="20"/>
          <w:szCs w:val="20"/>
        </w:rPr>
        <w:t>ournalists</w:t>
      </w:r>
      <w:r>
        <w:rPr>
          <w:rFonts w:ascii="Tahoma" w:hAnsi="Tahoma" w:cs="Tahoma"/>
          <w:sz w:val="20"/>
          <w:szCs w:val="20"/>
        </w:rPr>
        <w:t xml:space="preserve">, </w:t>
      </w:r>
      <w:r w:rsidR="00886AF4">
        <w:rPr>
          <w:rFonts w:ascii="Tahoma" w:hAnsi="Tahoma" w:cs="Tahoma"/>
          <w:sz w:val="20"/>
          <w:szCs w:val="20"/>
        </w:rPr>
        <w:t>and it would primarily target journalists, legal professionals, NGO activists and civil servants, while maintaining strong orienta</w:t>
      </w:r>
      <w:r w:rsidR="00886AF4" w:rsidRPr="00886AF4">
        <w:rPr>
          <w:rFonts w:ascii="Tahoma" w:hAnsi="Tahoma" w:cs="Tahoma"/>
          <w:sz w:val="20"/>
          <w:szCs w:val="20"/>
        </w:rPr>
        <w:t xml:space="preserve">tion towards general public audience and building their awareness on the importance of </w:t>
      </w:r>
      <w:r w:rsidR="00FA0CC4">
        <w:rPr>
          <w:rFonts w:ascii="Tahoma" w:hAnsi="Tahoma" w:cs="Tahoma"/>
          <w:sz w:val="20"/>
          <w:szCs w:val="20"/>
        </w:rPr>
        <w:t>f</w:t>
      </w:r>
      <w:r w:rsidR="00886AF4" w:rsidRPr="00886AF4">
        <w:rPr>
          <w:rFonts w:ascii="Tahoma" w:hAnsi="Tahoma" w:cs="Tahoma"/>
          <w:sz w:val="20"/>
          <w:szCs w:val="20"/>
        </w:rPr>
        <w:t xml:space="preserve">reedom of </w:t>
      </w:r>
      <w:r w:rsidR="00FA0CC4">
        <w:rPr>
          <w:rFonts w:ascii="Tahoma" w:hAnsi="Tahoma" w:cs="Tahoma"/>
          <w:sz w:val="20"/>
          <w:szCs w:val="20"/>
        </w:rPr>
        <w:t>e</w:t>
      </w:r>
      <w:r w:rsidR="00886AF4" w:rsidRPr="00886AF4">
        <w:rPr>
          <w:rFonts w:ascii="Tahoma" w:hAnsi="Tahoma" w:cs="Tahoma"/>
          <w:sz w:val="20"/>
          <w:szCs w:val="20"/>
        </w:rPr>
        <w:t>xpression</w:t>
      </w:r>
      <w:r w:rsidR="00217FD8" w:rsidRPr="00886AF4">
        <w:rPr>
          <w:rFonts w:ascii="Tahoma" w:hAnsi="Tahoma" w:cs="Tahoma"/>
          <w:sz w:val="20"/>
          <w:szCs w:val="20"/>
        </w:rPr>
        <w:t xml:space="preserve">. </w:t>
      </w:r>
    </w:p>
    <w:p w14:paraId="7F2D4EFF" w14:textId="2DF143FF" w:rsidR="00615FF8" w:rsidRDefault="00217FD8" w:rsidP="00217FD8">
      <w:pPr>
        <w:spacing w:after="120"/>
        <w:jc w:val="both"/>
        <w:rPr>
          <w:rFonts w:ascii="Tahoma" w:hAnsi="Tahoma" w:cs="Tahoma"/>
          <w:sz w:val="20"/>
          <w:szCs w:val="20"/>
        </w:rPr>
      </w:pPr>
      <w:r w:rsidRPr="00886AF4">
        <w:rPr>
          <w:rFonts w:ascii="Tahoma" w:hAnsi="Tahoma" w:cs="Tahoma"/>
          <w:sz w:val="20"/>
          <w:szCs w:val="20"/>
        </w:rPr>
        <w:t xml:space="preserve">Therefore, the </w:t>
      </w:r>
      <w:r w:rsidR="00637C62">
        <w:rPr>
          <w:rFonts w:ascii="Tahoma" w:hAnsi="Tahoma" w:cs="Tahoma"/>
          <w:sz w:val="20"/>
          <w:szCs w:val="20"/>
        </w:rPr>
        <w:t>a</w:t>
      </w:r>
      <w:r w:rsidRPr="00886AF4">
        <w:rPr>
          <w:rFonts w:ascii="Tahoma" w:hAnsi="Tahoma" w:cs="Tahoma"/>
          <w:sz w:val="20"/>
          <w:szCs w:val="20"/>
        </w:rPr>
        <w:t>ction</w:t>
      </w:r>
      <w:r w:rsidR="00615FF8" w:rsidRPr="00886AF4">
        <w:rPr>
          <w:rFonts w:ascii="Tahoma" w:hAnsi="Tahoma" w:cs="Tahoma"/>
          <w:sz w:val="20"/>
          <w:szCs w:val="20"/>
        </w:rPr>
        <w:t xml:space="preserve"> is looking for </w:t>
      </w:r>
      <w:r w:rsidR="003307CC" w:rsidRPr="00886AF4">
        <w:rPr>
          <w:rFonts w:ascii="Tahoma" w:hAnsi="Tahoma" w:cs="Tahoma"/>
          <w:sz w:val="20"/>
          <w:szCs w:val="20"/>
        </w:rPr>
        <w:t>communication</w:t>
      </w:r>
      <w:r w:rsidR="00622565" w:rsidRPr="00886AF4">
        <w:rPr>
          <w:rFonts w:ascii="Tahoma" w:hAnsi="Tahoma" w:cs="Tahoma"/>
          <w:sz w:val="20"/>
          <w:szCs w:val="20"/>
        </w:rPr>
        <w:t xml:space="preserve"> services </w:t>
      </w:r>
      <w:r w:rsidR="00886AF4" w:rsidRPr="00886AF4">
        <w:rPr>
          <w:rFonts w:ascii="Tahoma" w:hAnsi="Tahoma" w:cs="Tahoma"/>
          <w:sz w:val="20"/>
          <w:szCs w:val="20"/>
        </w:rPr>
        <w:t xml:space="preserve">Provider to conceptualise and implement </w:t>
      </w:r>
      <w:r w:rsidR="00622565" w:rsidRPr="00886AF4">
        <w:rPr>
          <w:rFonts w:ascii="Tahoma" w:hAnsi="Tahoma" w:cs="Tahoma"/>
          <w:sz w:val="20"/>
          <w:szCs w:val="20"/>
        </w:rPr>
        <w:t xml:space="preserve">the </w:t>
      </w:r>
      <w:r w:rsidR="008B170C">
        <w:rPr>
          <w:rFonts w:ascii="Tahoma" w:hAnsi="Tahoma" w:cs="Tahoma"/>
          <w:sz w:val="20"/>
          <w:szCs w:val="20"/>
        </w:rPr>
        <w:t>social media</w:t>
      </w:r>
      <w:r w:rsidR="00886AF4" w:rsidRPr="00886AF4">
        <w:rPr>
          <w:rFonts w:ascii="Tahoma" w:hAnsi="Tahoma" w:cs="Tahoma"/>
          <w:sz w:val="20"/>
          <w:szCs w:val="20"/>
        </w:rPr>
        <w:t xml:space="preserve"> </w:t>
      </w:r>
      <w:r w:rsidR="0048372A" w:rsidRPr="0048372A">
        <w:rPr>
          <w:rFonts w:ascii="Tahoma" w:hAnsi="Tahoma" w:cs="Tahoma"/>
          <w:bCs/>
          <w:sz w:val="20"/>
          <w:szCs w:val="21"/>
        </w:rPr>
        <w:t>awareness raising</w:t>
      </w:r>
      <w:r w:rsidR="0048372A" w:rsidRPr="00886AF4">
        <w:rPr>
          <w:rFonts w:ascii="Tahoma" w:hAnsi="Tahoma" w:cs="Tahoma"/>
          <w:sz w:val="20"/>
          <w:szCs w:val="20"/>
        </w:rPr>
        <w:t xml:space="preserve"> </w:t>
      </w:r>
      <w:r w:rsidR="00886AF4" w:rsidRPr="00886AF4">
        <w:rPr>
          <w:rFonts w:ascii="Tahoma" w:hAnsi="Tahoma" w:cs="Tahoma"/>
          <w:sz w:val="20"/>
          <w:szCs w:val="20"/>
        </w:rPr>
        <w:t>c</w:t>
      </w:r>
      <w:r w:rsidR="00622565" w:rsidRPr="00886AF4">
        <w:rPr>
          <w:rFonts w:ascii="Tahoma" w:hAnsi="Tahoma" w:cs="Tahoma"/>
          <w:sz w:val="20"/>
          <w:szCs w:val="20"/>
        </w:rPr>
        <w:t xml:space="preserve">ampaign on </w:t>
      </w:r>
      <w:r w:rsidR="00637C62">
        <w:rPr>
          <w:rFonts w:ascii="Tahoma" w:hAnsi="Tahoma" w:cs="Tahoma"/>
          <w:sz w:val="20"/>
          <w:szCs w:val="20"/>
        </w:rPr>
        <w:t>f</w:t>
      </w:r>
      <w:r w:rsidR="00886AF4" w:rsidRPr="00886AF4">
        <w:rPr>
          <w:rFonts w:ascii="Tahoma" w:hAnsi="Tahoma" w:cs="Tahoma"/>
          <w:sz w:val="20"/>
          <w:szCs w:val="20"/>
        </w:rPr>
        <w:t xml:space="preserve">reedom of </w:t>
      </w:r>
      <w:r w:rsidR="00637C62">
        <w:rPr>
          <w:rFonts w:ascii="Tahoma" w:hAnsi="Tahoma" w:cs="Tahoma"/>
          <w:sz w:val="20"/>
          <w:szCs w:val="20"/>
        </w:rPr>
        <w:t>e</w:t>
      </w:r>
      <w:r w:rsidR="00886AF4" w:rsidRPr="00886AF4">
        <w:rPr>
          <w:rFonts w:ascii="Tahoma" w:hAnsi="Tahoma" w:cs="Tahoma"/>
          <w:sz w:val="20"/>
          <w:szCs w:val="20"/>
        </w:rPr>
        <w:t xml:space="preserve">xpression and </w:t>
      </w:r>
      <w:r w:rsidR="00637C62">
        <w:rPr>
          <w:rFonts w:ascii="Tahoma" w:hAnsi="Tahoma" w:cs="Tahoma"/>
          <w:sz w:val="20"/>
          <w:szCs w:val="20"/>
        </w:rPr>
        <w:t>f</w:t>
      </w:r>
      <w:r w:rsidR="00886AF4" w:rsidRPr="00886AF4">
        <w:rPr>
          <w:rFonts w:ascii="Tahoma" w:hAnsi="Tahoma" w:cs="Tahoma"/>
          <w:sz w:val="20"/>
          <w:szCs w:val="20"/>
        </w:rPr>
        <w:t xml:space="preserve">reedom of </w:t>
      </w:r>
      <w:r w:rsidR="00637C62">
        <w:rPr>
          <w:rFonts w:ascii="Tahoma" w:hAnsi="Tahoma" w:cs="Tahoma"/>
          <w:sz w:val="20"/>
          <w:szCs w:val="20"/>
        </w:rPr>
        <w:t>m</w:t>
      </w:r>
      <w:r w:rsidR="00886AF4" w:rsidRPr="00886AF4">
        <w:rPr>
          <w:rFonts w:ascii="Tahoma" w:hAnsi="Tahoma" w:cs="Tahoma"/>
          <w:sz w:val="20"/>
          <w:szCs w:val="20"/>
        </w:rPr>
        <w:t>edia</w:t>
      </w:r>
      <w:r w:rsidR="00622565" w:rsidRPr="00886AF4">
        <w:rPr>
          <w:rFonts w:ascii="Tahoma" w:hAnsi="Tahoma" w:cs="Tahoma"/>
          <w:sz w:val="20"/>
          <w:szCs w:val="20"/>
        </w:rPr>
        <w:t xml:space="preserve"> </w:t>
      </w:r>
      <w:r w:rsidR="00615FF8" w:rsidRPr="00886AF4">
        <w:rPr>
          <w:rFonts w:ascii="Tahoma" w:hAnsi="Tahoma" w:cs="Tahoma"/>
          <w:sz w:val="20"/>
          <w:szCs w:val="20"/>
        </w:rPr>
        <w:t>(See Section A of the Act of Engagement).</w:t>
      </w:r>
    </w:p>
    <w:p w14:paraId="1BCA63A8" w14:textId="77777777" w:rsidR="00FA00E6" w:rsidRPr="00EB5355" w:rsidRDefault="00FA00E6" w:rsidP="00217FD8">
      <w:pPr>
        <w:spacing w:after="120"/>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4F2C1AB6" w:rsidR="0028341F" w:rsidRPr="00EB5355" w:rsidRDefault="0028341F" w:rsidP="0028341F">
      <w:pPr>
        <w:spacing w:after="120"/>
        <w:jc w:val="both"/>
        <w:rPr>
          <w:rFonts w:ascii="Tahoma" w:hAnsi="Tahoma" w:cs="Tahoma"/>
          <w:color w:val="000000" w:themeColor="text1"/>
          <w:sz w:val="20"/>
          <w:szCs w:val="20"/>
        </w:rPr>
      </w:pPr>
      <w:r w:rsidRPr="00622565">
        <w:rPr>
          <w:rFonts w:ascii="Tahoma" w:hAnsi="Tahoma" w:cs="Tahoma"/>
          <w:color w:val="000000" w:themeColor="text1"/>
          <w:sz w:val="20"/>
          <w:szCs w:val="20"/>
        </w:rPr>
        <w:t>The tenderer must be a legal person except consortia.</w:t>
      </w:r>
    </w:p>
    <w:p w14:paraId="56562203" w14:textId="5A2B5250"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w:t>
      </w:r>
      <w:r w:rsidRPr="00886AF4">
        <w:rPr>
          <w:rFonts w:ascii="Tahoma" w:hAnsi="Tahoma" w:cs="Tahoma"/>
          <w:b/>
          <w:color w:val="000000" w:themeColor="text1"/>
          <w:sz w:val="20"/>
          <w:szCs w:val="20"/>
        </w:rPr>
        <w:t xml:space="preserve">ted in </w:t>
      </w:r>
      <w:r w:rsidR="0028341F" w:rsidRPr="00886AF4">
        <w:rPr>
          <w:rFonts w:ascii="Tahoma" w:hAnsi="Tahoma" w:cs="Tahoma"/>
          <w:b/>
          <w:color w:val="000000" w:themeColor="text1"/>
          <w:sz w:val="20"/>
          <w:szCs w:val="20"/>
        </w:rPr>
        <w:t>the table below,</w:t>
      </w:r>
      <w:r w:rsidRPr="00886AF4">
        <w:rPr>
          <w:rFonts w:ascii="Tahoma" w:hAnsi="Tahoma" w:cs="Tahoma"/>
          <w:b/>
          <w:color w:val="000000" w:themeColor="text1"/>
          <w:sz w:val="20"/>
          <w:szCs w:val="20"/>
        </w:rPr>
        <w:t xml:space="preserve"> with the following reference in subject: </w:t>
      </w:r>
      <w:r w:rsidR="00622565" w:rsidRPr="00886AF4">
        <w:rPr>
          <w:rFonts w:ascii="Tahoma" w:hAnsi="Tahoma" w:cs="Tahoma"/>
          <w:b/>
          <w:color w:val="000000" w:themeColor="text1"/>
          <w:sz w:val="20"/>
          <w:szCs w:val="20"/>
        </w:rPr>
        <w:t xml:space="preserve">HF </w:t>
      </w:r>
      <w:r w:rsidR="00886AF4" w:rsidRPr="00886AF4">
        <w:rPr>
          <w:rFonts w:ascii="Tahoma" w:hAnsi="Tahoma" w:cs="Tahoma"/>
          <w:b/>
          <w:color w:val="000000" w:themeColor="text1"/>
          <w:sz w:val="20"/>
          <w:szCs w:val="20"/>
        </w:rPr>
        <w:t>35</w:t>
      </w:r>
      <w:r w:rsidR="00622565" w:rsidRPr="00886AF4">
        <w:rPr>
          <w:rFonts w:ascii="Tahoma" w:hAnsi="Tahoma" w:cs="Tahoma"/>
          <w:b/>
          <w:color w:val="000000" w:themeColor="text1"/>
          <w:sz w:val="20"/>
          <w:szCs w:val="20"/>
        </w:rPr>
        <w:t xml:space="preserve"> – </w:t>
      </w:r>
      <w:r w:rsidR="008B170C">
        <w:rPr>
          <w:rFonts w:ascii="Tahoma" w:hAnsi="Tahoma" w:cs="Tahoma"/>
          <w:b/>
          <w:color w:val="000000" w:themeColor="text1"/>
          <w:sz w:val="20"/>
          <w:szCs w:val="20"/>
        </w:rPr>
        <w:t>Social Media</w:t>
      </w:r>
      <w:r w:rsidR="00886AF4" w:rsidRPr="00886AF4">
        <w:rPr>
          <w:rFonts w:ascii="Tahoma" w:hAnsi="Tahoma" w:cs="Tahoma"/>
          <w:b/>
          <w:color w:val="000000" w:themeColor="text1"/>
          <w:sz w:val="20"/>
          <w:szCs w:val="20"/>
        </w:rPr>
        <w:t xml:space="preserve"> </w:t>
      </w:r>
      <w:r w:rsidR="0048372A">
        <w:rPr>
          <w:rFonts w:ascii="Tahoma" w:hAnsi="Tahoma" w:cs="Tahoma"/>
          <w:b/>
          <w:sz w:val="20"/>
          <w:szCs w:val="21"/>
        </w:rPr>
        <w:t>A</w:t>
      </w:r>
      <w:r w:rsidR="0048372A" w:rsidRPr="0048372A">
        <w:rPr>
          <w:rFonts w:ascii="Tahoma" w:hAnsi="Tahoma" w:cs="Tahoma"/>
          <w:b/>
          <w:sz w:val="20"/>
          <w:szCs w:val="21"/>
        </w:rPr>
        <w:t xml:space="preserve">wareness </w:t>
      </w:r>
      <w:r w:rsidR="0048372A">
        <w:rPr>
          <w:rFonts w:ascii="Tahoma" w:hAnsi="Tahoma" w:cs="Tahoma"/>
          <w:b/>
          <w:sz w:val="20"/>
          <w:szCs w:val="21"/>
        </w:rPr>
        <w:t>R</w:t>
      </w:r>
      <w:r w:rsidR="0048372A" w:rsidRPr="0048372A">
        <w:rPr>
          <w:rFonts w:ascii="Tahoma" w:hAnsi="Tahoma" w:cs="Tahoma"/>
          <w:b/>
          <w:sz w:val="20"/>
          <w:szCs w:val="21"/>
        </w:rPr>
        <w:t>aising</w:t>
      </w:r>
      <w:r w:rsidR="0048372A" w:rsidRPr="0048372A">
        <w:rPr>
          <w:rFonts w:ascii="Tahoma" w:hAnsi="Tahoma" w:cs="Tahoma"/>
          <w:b/>
          <w:color w:val="000000" w:themeColor="text1"/>
          <w:sz w:val="20"/>
          <w:szCs w:val="20"/>
        </w:rPr>
        <w:t xml:space="preserve"> </w:t>
      </w:r>
      <w:r w:rsidR="00622565" w:rsidRPr="00886AF4">
        <w:rPr>
          <w:rFonts w:ascii="Tahoma" w:hAnsi="Tahoma" w:cs="Tahoma"/>
          <w:b/>
          <w:color w:val="000000" w:themeColor="text1"/>
          <w:sz w:val="20"/>
          <w:szCs w:val="20"/>
        </w:rPr>
        <w:t>campaign</w:t>
      </w:r>
      <w:r w:rsidR="0044379B" w:rsidRPr="00886AF4">
        <w:rPr>
          <w:rFonts w:ascii="Tahoma" w:hAnsi="Tahoma" w:cs="Tahoma"/>
          <w:b/>
          <w:color w:val="000000" w:themeColor="text1"/>
          <w:sz w:val="20"/>
          <w:szCs w:val="20"/>
        </w:rPr>
        <w:t xml:space="preserve">. </w:t>
      </w:r>
      <w:r w:rsidR="0044379B" w:rsidRPr="00886AF4">
        <w:rPr>
          <w:rFonts w:ascii="Tahoma" w:hAnsi="Tahoma" w:cs="Tahoma"/>
          <w:color w:val="000000" w:themeColor="text1"/>
          <w:sz w:val="20"/>
          <w:szCs w:val="20"/>
        </w:rPr>
        <w:t>Tenders addressed to another email address</w:t>
      </w:r>
      <w:r w:rsidR="0044379B" w:rsidRPr="00886AF4">
        <w:rPr>
          <w:rFonts w:ascii="Tahoma" w:hAnsi="Tahoma" w:cs="Tahoma"/>
          <w:b/>
          <w:color w:val="000000" w:themeColor="text1"/>
          <w:sz w:val="20"/>
          <w:szCs w:val="20"/>
        </w:rPr>
        <w:t xml:space="preserve"> will be rejected.</w:t>
      </w:r>
    </w:p>
    <w:p w14:paraId="3D6553A0" w14:textId="1E7C5720" w:rsidR="009A20EC" w:rsidRDefault="00F63F67" w:rsidP="002D5FEC">
      <w:pPr>
        <w:spacing w:after="120"/>
        <w:jc w:val="both"/>
        <w:rPr>
          <w:rFonts w:ascii="Tahoma" w:hAnsi="Tahoma" w:cs="Tahoma"/>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w:t>
      </w:r>
      <w:r w:rsidRPr="00EB5355">
        <w:rPr>
          <w:rFonts w:ascii="Tahoma" w:hAnsi="Tahoma" w:cs="Tahoma"/>
          <w:b/>
          <w:color w:val="000000" w:themeColor="text1"/>
          <w:sz w:val="20"/>
          <w:szCs w:val="20"/>
        </w:rPr>
        <w:lastRenderedPageBreak/>
        <w:t xml:space="preserve">shall be exclusively addressed to the email address indicated below with the following reference in subject: </w:t>
      </w:r>
      <w:r w:rsidR="00DD14D5" w:rsidRPr="00886AF4">
        <w:rPr>
          <w:rFonts w:ascii="Tahoma" w:hAnsi="Tahoma" w:cs="Tahoma"/>
          <w:b/>
          <w:color w:val="000000" w:themeColor="text1"/>
          <w:sz w:val="20"/>
          <w:szCs w:val="20"/>
        </w:rPr>
        <w:t xml:space="preserve">HF 35 – </w:t>
      </w:r>
      <w:r w:rsidR="008B170C">
        <w:rPr>
          <w:rFonts w:ascii="Tahoma" w:hAnsi="Tahoma" w:cs="Tahoma"/>
          <w:b/>
          <w:color w:val="000000" w:themeColor="text1"/>
          <w:sz w:val="20"/>
          <w:szCs w:val="20"/>
        </w:rPr>
        <w:t>Social Media</w:t>
      </w:r>
      <w:r w:rsidR="00DD14D5" w:rsidRPr="00886AF4">
        <w:rPr>
          <w:rFonts w:ascii="Tahoma" w:hAnsi="Tahoma" w:cs="Tahoma"/>
          <w:b/>
          <w:color w:val="000000" w:themeColor="text1"/>
          <w:sz w:val="20"/>
          <w:szCs w:val="20"/>
        </w:rPr>
        <w:t xml:space="preserve"> </w:t>
      </w:r>
      <w:r w:rsidR="0048372A">
        <w:rPr>
          <w:rFonts w:ascii="Tahoma" w:hAnsi="Tahoma" w:cs="Tahoma"/>
          <w:b/>
          <w:sz w:val="20"/>
          <w:szCs w:val="21"/>
        </w:rPr>
        <w:t>A</w:t>
      </w:r>
      <w:r w:rsidR="0048372A" w:rsidRPr="0048372A">
        <w:rPr>
          <w:rFonts w:ascii="Tahoma" w:hAnsi="Tahoma" w:cs="Tahoma"/>
          <w:b/>
          <w:sz w:val="20"/>
          <w:szCs w:val="21"/>
        </w:rPr>
        <w:t xml:space="preserve">wareness </w:t>
      </w:r>
      <w:r w:rsidR="0048372A">
        <w:rPr>
          <w:rFonts w:ascii="Tahoma" w:hAnsi="Tahoma" w:cs="Tahoma"/>
          <w:b/>
          <w:sz w:val="20"/>
          <w:szCs w:val="21"/>
        </w:rPr>
        <w:t>R</w:t>
      </w:r>
      <w:r w:rsidR="0048372A" w:rsidRPr="0048372A">
        <w:rPr>
          <w:rFonts w:ascii="Tahoma" w:hAnsi="Tahoma" w:cs="Tahoma"/>
          <w:b/>
          <w:sz w:val="20"/>
          <w:szCs w:val="21"/>
        </w:rPr>
        <w:t>aising</w:t>
      </w:r>
      <w:r w:rsidR="0048372A" w:rsidRPr="0048372A">
        <w:rPr>
          <w:rFonts w:ascii="Tahoma" w:hAnsi="Tahoma" w:cs="Tahoma"/>
          <w:b/>
          <w:color w:val="000000" w:themeColor="text1"/>
          <w:sz w:val="20"/>
          <w:szCs w:val="20"/>
        </w:rPr>
        <w:t xml:space="preserve"> </w:t>
      </w:r>
      <w:r w:rsidR="00DD14D5" w:rsidRPr="00886AF4">
        <w:rPr>
          <w:rFonts w:ascii="Tahoma" w:hAnsi="Tahoma" w:cs="Tahoma"/>
          <w:b/>
          <w:color w:val="000000" w:themeColor="text1"/>
          <w:sz w:val="20"/>
          <w:szCs w:val="20"/>
        </w:rPr>
        <w:t>campaign</w:t>
      </w:r>
      <w:r w:rsidR="00622565" w:rsidRPr="00DD14D5">
        <w:rPr>
          <w:rFonts w:ascii="Tahoma" w:hAnsi="Tahoma" w:cs="Tahoma"/>
          <w:b/>
          <w:color w:val="000000" w:themeColor="text1"/>
          <w:sz w:val="20"/>
          <w:szCs w:val="20"/>
        </w:rPr>
        <w:t>: clarifications.</w:t>
      </w:r>
    </w:p>
    <w:p w14:paraId="40CBAB44" w14:textId="77777777" w:rsidR="0011096B" w:rsidRPr="00EB5355" w:rsidRDefault="0011096B"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D7CB2"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0-09-18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48F2A71" w:rsidR="002336A0" w:rsidRPr="00EB5355" w:rsidRDefault="00DD14D5" w:rsidP="002C6181">
                <w:pPr>
                  <w:rPr>
                    <w:rFonts w:ascii="Tahoma" w:hAnsi="Tahoma" w:cs="Tahoma"/>
                    <w:sz w:val="20"/>
                    <w:szCs w:val="20"/>
                    <w:lang w:eastAsia="fr-FR"/>
                  </w:rPr>
                </w:pPr>
                <w:r>
                  <w:rPr>
                    <w:rStyle w:val="Style60"/>
                    <w:rFonts w:ascii="Tahoma" w:hAnsi="Tahoma" w:cs="Tahoma"/>
                    <w:szCs w:val="20"/>
                  </w:rPr>
                  <w:t>1</w:t>
                </w:r>
                <w:r w:rsidR="002F2AC1">
                  <w:rPr>
                    <w:rStyle w:val="Style60"/>
                    <w:rFonts w:ascii="Tahoma" w:hAnsi="Tahoma" w:cs="Tahoma"/>
                    <w:szCs w:val="20"/>
                  </w:rPr>
                  <w:t>8</w:t>
                </w:r>
                <w:r w:rsidR="0072454C">
                  <w:rPr>
                    <w:rStyle w:val="Style60"/>
                    <w:rFonts w:ascii="Tahoma" w:hAnsi="Tahoma" w:cs="Tahoma"/>
                    <w:szCs w:val="20"/>
                  </w:rPr>
                  <w:t xml:space="preserve"> </w:t>
                </w:r>
                <w:r w:rsidR="006D682A">
                  <w:rPr>
                    <w:rStyle w:val="Style60"/>
                    <w:rFonts w:ascii="Tahoma" w:hAnsi="Tahoma" w:cs="Tahoma"/>
                    <w:szCs w:val="20"/>
                  </w:rPr>
                  <w:t>September</w:t>
                </w:r>
                <w:r w:rsidR="0072454C">
                  <w:rPr>
                    <w:rStyle w:val="Style60"/>
                    <w:rFonts w:ascii="Tahoma" w:hAnsi="Tahoma" w:cs="Tahoma"/>
                    <w:szCs w:val="20"/>
                  </w:rPr>
                  <w:t xml:space="preserve"> 2020</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45182E0" w:rsidR="0083377F" w:rsidRPr="00EB5355" w:rsidRDefault="006D682A" w:rsidP="00BB66CF">
                <w:pPr>
                  <w:rPr>
                    <w:rStyle w:val="Style60"/>
                    <w:rFonts w:ascii="Tahoma" w:hAnsi="Tahoma" w:cs="Tahoma"/>
                    <w:szCs w:val="20"/>
                  </w:rPr>
                </w:pPr>
                <w:r>
                  <w:rPr>
                    <w:rStyle w:val="Style61"/>
                    <w:rFonts w:ascii="Tahoma" w:hAnsi="Tahoma" w:cs="Tahoma"/>
                    <w:szCs w:val="20"/>
                  </w:rPr>
                  <w:t>ivana</w:t>
                </w:r>
                <w:r w:rsidR="00622565">
                  <w:rPr>
                    <w:rStyle w:val="Style61"/>
                    <w:rFonts w:ascii="Tahoma" w:hAnsi="Tahoma" w:cs="Tahoma"/>
                    <w:szCs w:val="20"/>
                  </w:rPr>
                  <w:t>.</w:t>
                </w:r>
                <w:r>
                  <w:rPr>
                    <w:rStyle w:val="Style61"/>
                    <w:rFonts w:ascii="Tahoma" w:hAnsi="Tahoma" w:cs="Tahoma"/>
                    <w:szCs w:val="20"/>
                  </w:rPr>
                  <w:t>noveljic</w:t>
                </w:r>
                <w:r w:rsidR="00622565">
                  <w:rPr>
                    <w:rStyle w:val="Style61"/>
                    <w:rFonts w:ascii="Tahoma" w:hAnsi="Tahoma" w:cs="Tahoma"/>
                    <w:szCs w:val="20"/>
                  </w:rPr>
                  <w:t>@coe.int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926109689"/>
                <w:placeholder>
                  <w:docPart w:val="C07870ACA25A43F9B6C492009BD2D73C"/>
                </w:placeholder>
              </w:sdtPr>
              <w:sdtEndPr>
                <w:rPr>
                  <w:rStyle w:val="DefaultParagraphFont"/>
                  <w:sz w:val="22"/>
                  <w:lang w:eastAsia="fr-FR"/>
                </w:rPr>
              </w:sdtEndPr>
              <w:sdtContent>
                <w:tc>
                  <w:tcPr>
                    <w:tcW w:w="6061" w:type="dxa"/>
                    <w:vAlign w:val="center"/>
                  </w:tcPr>
                  <w:p w14:paraId="0A136A63" w14:textId="73079B9F" w:rsidR="0044379B" w:rsidRPr="00EB5355" w:rsidRDefault="006D682A" w:rsidP="00BB66CF">
                    <w:pPr>
                      <w:rPr>
                        <w:rStyle w:val="Style61"/>
                        <w:rFonts w:ascii="Tahoma" w:hAnsi="Tahoma" w:cs="Tahoma"/>
                        <w:szCs w:val="20"/>
                      </w:rPr>
                    </w:pPr>
                    <w:proofErr w:type="spellStart"/>
                    <w:proofErr w:type="gramStart"/>
                    <w:r>
                      <w:rPr>
                        <w:rStyle w:val="Style61"/>
                        <w:rFonts w:ascii="Tahoma" w:hAnsi="Tahoma" w:cs="Tahoma"/>
                        <w:szCs w:val="20"/>
                      </w:rPr>
                      <w:t>ivana.noveljic</w:t>
                    </w:r>
                    <w:proofErr w:type="spellEnd"/>
                    <w:proofErr w:type="gramEnd"/>
                    <w:r>
                      <w:rPr>
                        <w:rStyle w:val="Style61"/>
                        <w:rFonts w:ascii="Tahoma" w:hAnsi="Tahoma" w:cs="Tahoma"/>
                        <w:szCs w:val="20"/>
                      </w:rPr>
                      <w:t xml:space="preserve"> </w:t>
                    </w:r>
                    <w:r w:rsidR="00622565">
                      <w:rPr>
                        <w:rStyle w:val="Style61"/>
                        <w:rFonts w:ascii="Tahoma" w:hAnsi="Tahoma" w:cs="Tahoma"/>
                        <w:szCs w:val="20"/>
                      </w:rPr>
                      <w:t>@coe.int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0-10-15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5F342650" w:rsidR="002336A0" w:rsidRPr="00EB5355" w:rsidRDefault="006D682A" w:rsidP="002C6181">
                <w:pPr>
                  <w:rPr>
                    <w:rFonts w:ascii="Tahoma" w:hAnsi="Tahoma" w:cs="Tahoma"/>
                    <w:sz w:val="20"/>
                    <w:szCs w:val="20"/>
                    <w:lang w:eastAsia="fr-FR"/>
                  </w:rPr>
                </w:pPr>
                <w:r>
                  <w:rPr>
                    <w:rStyle w:val="Style48"/>
                    <w:rFonts w:ascii="Tahoma" w:hAnsi="Tahoma" w:cs="Tahoma"/>
                    <w:sz w:val="20"/>
                    <w:szCs w:val="20"/>
                  </w:rPr>
                  <w:t>1</w:t>
                </w:r>
                <w:r w:rsidR="002F2AC1">
                  <w:rPr>
                    <w:rStyle w:val="Style48"/>
                    <w:rFonts w:ascii="Tahoma" w:hAnsi="Tahoma" w:cs="Tahoma"/>
                    <w:sz w:val="20"/>
                    <w:szCs w:val="20"/>
                  </w:rPr>
                  <w:t>5</w:t>
                </w:r>
                <w:r>
                  <w:rPr>
                    <w:rStyle w:val="Style48"/>
                    <w:rFonts w:ascii="Tahoma" w:hAnsi="Tahoma" w:cs="Tahoma"/>
                    <w:sz w:val="20"/>
                    <w:szCs w:val="20"/>
                  </w:rPr>
                  <w:t xml:space="preserve"> October</w:t>
                </w:r>
                <w:r w:rsidR="0072454C">
                  <w:rPr>
                    <w:rStyle w:val="Style48"/>
                    <w:rFonts w:ascii="Tahoma" w:hAnsi="Tahoma" w:cs="Tahoma"/>
                    <w:sz w:val="20"/>
                    <w:szCs w:val="20"/>
                  </w:rPr>
                  <w:t xml:space="preserve"> 2020</w:t>
                </w:r>
              </w:p>
            </w:tc>
          </w:sdtContent>
        </w:sdt>
      </w:tr>
    </w:tbl>
    <w:p w14:paraId="69878304" w14:textId="77777777" w:rsidR="00505356" w:rsidRPr="0007575C" w:rsidRDefault="00505356" w:rsidP="0007575C">
      <w:pPr>
        <w:spacing w:after="60"/>
        <w:rPr>
          <w:rFonts w:ascii="Tahoma" w:hAnsi="Tahoma" w:cs="Tahoma"/>
          <w:color w:val="000000" w:themeColor="text1"/>
          <w:sz w:val="20"/>
          <w:szCs w:val="20"/>
        </w:rPr>
        <w:sectPr w:rsidR="00505356" w:rsidRPr="0007575C" w:rsidSect="00D72AFB">
          <w:headerReference w:type="default" r:id="rId12"/>
          <w:type w:val="continuous"/>
          <w:pgSz w:w="11907" w:h="16840" w:code="9"/>
          <w:pgMar w:top="851" w:right="1134" w:bottom="568" w:left="1418" w:header="709" w:footer="322" w:gutter="0"/>
          <w:cols w:space="708"/>
          <w:titlePg/>
          <w:docGrid w:linePitch="360"/>
        </w:sectPr>
      </w:pPr>
    </w:p>
    <w:p w14:paraId="5BA0643B" w14:textId="77777777" w:rsidR="00177754" w:rsidRPr="00177754" w:rsidRDefault="00177754" w:rsidP="00177754">
      <w:pPr>
        <w:jc w:val="both"/>
        <w:rPr>
          <w:rFonts w:ascii="Tahoma" w:hAnsi="Tahoma" w:cs="Tahoma"/>
          <w:b/>
          <w:bCs/>
          <w:sz w:val="20"/>
          <w:szCs w:val="20"/>
        </w:rPr>
      </w:pPr>
      <w:r w:rsidRPr="00177754">
        <w:rPr>
          <w:rFonts w:ascii="Tahoma" w:hAnsi="Tahoma" w:cs="Tahoma"/>
          <w:b/>
          <w:bCs/>
          <w:sz w:val="20"/>
          <w:szCs w:val="20"/>
        </w:rPr>
        <w:lastRenderedPageBreak/>
        <w:t>Background information</w:t>
      </w:r>
    </w:p>
    <w:p w14:paraId="237C6386" w14:textId="77777777" w:rsidR="00177754" w:rsidRDefault="00177754" w:rsidP="00177754">
      <w:pPr>
        <w:jc w:val="both"/>
        <w:rPr>
          <w:rFonts w:ascii="Tahoma" w:hAnsi="Tahoma" w:cs="Tahoma"/>
          <w:sz w:val="20"/>
          <w:szCs w:val="20"/>
        </w:rPr>
      </w:pPr>
    </w:p>
    <w:p w14:paraId="19664AE6" w14:textId="54CC2D1B" w:rsidR="008879EA" w:rsidRPr="00CB51DF" w:rsidRDefault="008B170C" w:rsidP="00CB51DF">
      <w:pPr>
        <w:pStyle w:val="ListParagraph"/>
        <w:spacing w:after="120"/>
        <w:ind w:left="0"/>
        <w:jc w:val="both"/>
        <w:rPr>
          <w:rFonts w:ascii="Tahoma" w:hAnsi="Tahoma" w:cs="Tahoma"/>
          <w:sz w:val="20"/>
          <w:szCs w:val="20"/>
        </w:rPr>
      </w:pPr>
      <w:r w:rsidRPr="00B11208">
        <w:rPr>
          <w:rFonts w:ascii="Tahoma" w:eastAsia="Calibri" w:hAnsi="Tahoma" w:cs="Tahoma"/>
          <w:sz w:val="20"/>
          <w:szCs w:val="20"/>
          <w:lang w:eastAsia="en-US"/>
        </w:rPr>
        <w:t>Under the joint European Union and the Council of Europe programm</w:t>
      </w:r>
      <w:r w:rsidR="00CC2597">
        <w:rPr>
          <w:rFonts w:ascii="Tahoma" w:eastAsia="Calibri" w:hAnsi="Tahoma" w:cs="Tahoma"/>
          <w:sz w:val="20"/>
          <w:szCs w:val="20"/>
          <w:lang w:eastAsia="en-US"/>
        </w:rPr>
        <w:t>e</w:t>
      </w:r>
      <w:r w:rsidRPr="00B11208">
        <w:rPr>
          <w:rFonts w:ascii="Tahoma" w:eastAsia="Calibri" w:hAnsi="Tahoma" w:cs="Tahoma"/>
          <w:sz w:val="20"/>
          <w:szCs w:val="20"/>
          <w:lang w:eastAsia="en-US"/>
        </w:rPr>
        <w:t xml:space="preserve"> “Horizontal Facility for the Western Balkans and Turkey 2019-2022”, t</w:t>
      </w:r>
      <w:r w:rsidRPr="00B11208">
        <w:rPr>
          <w:rFonts w:ascii="Tahoma" w:hAnsi="Tahoma" w:cs="Tahoma"/>
          <w:sz w:val="20"/>
          <w:szCs w:val="20"/>
        </w:rPr>
        <w:t xml:space="preserve">he </w:t>
      </w:r>
      <w:r w:rsidR="00CC2597">
        <w:rPr>
          <w:rFonts w:ascii="Tahoma" w:hAnsi="Tahoma" w:cs="Tahoma"/>
          <w:sz w:val="20"/>
          <w:szCs w:val="20"/>
        </w:rPr>
        <w:t>a</w:t>
      </w:r>
      <w:r w:rsidRPr="00B11208">
        <w:rPr>
          <w:rFonts w:ascii="Tahoma" w:hAnsi="Tahoma" w:cs="Tahoma"/>
          <w:sz w:val="20"/>
          <w:szCs w:val="20"/>
        </w:rPr>
        <w:t xml:space="preserve">ction “Freedom of </w:t>
      </w:r>
      <w:r w:rsidR="00CC2597">
        <w:rPr>
          <w:rFonts w:ascii="Tahoma" w:hAnsi="Tahoma" w:cs="Tahoma"/>
          <w:sz w:val="20"/>
          <w:szCs w:val="20"/>
        </w:rPr>
        <w:t>e</w:t>
      </w:r>
      <w:r w:rsidRPr="00B11208">
        <w:rPr>
          <w:rFonts w:ascii="Tahoma" w:hAnsi="Tahoma" w:cs="Tahoma"/>
          <w:sz w:val="20"/>
          <w:szCs w:val="20"/>
        </w:rPr>
        <w:t xml:space="preserve">xpression and </w:t>
      </w:r>
      <w:r w:rsidR="00CC2597">
        <w:rPr>
          <w:rFonts w:ascii="Tahoma" w:hAnsi="Tahoma" w:cs="Tahoma"/>
          <w:sz w:val="20"/>
          <w:szCs w:val="20"/>
        </w:rPr>
        <w:t>f</w:t>
      </w:r>
      <w:r w:rsidRPr="00B11208">
        <w:rPr>
          <w:rFonts w:ascii="Tahoma" w:hAnsi="Tahoma" w:cs="Tahoma"/>
          <w:sz w:val="20"/>
          <w:szCs w:val="20"/>
        </w:rPr>
        <w:t>reedom of</w:t>
      </w:r>
      <w:r w:rsidR="00CC2597">
        <w:rPr>
          <w:rFonts w:ascii="Tahoma" w:hAnsi="Tahoma" w:cs="Tahoma"/>
          <w:sz w:val="20"/>
          <w:szCs w:val="20"/>
        </w:rPr>
        <w:t xml:space="preserve"> the</w:t>
      </w:r>
      <w:r w:rsidRPr="00B11208">
        <w:rPr>
          <w:rFonts w:ascii="Tahoma" w:hAnsi="Tahoma" w:cs="Tahoma"/>
          <w:sz w:val="20"/>
          <w:szCs w:val="20"/>
        </w:rPr>
        <w:t xml:space="preserve"> </w:t>
      </w:r>
      <w:r w:rsidR="00CC2597">
        <w:rPr>
          <w:rFonts w:ascii="Tahoma" w:hAnsi="Tahoma" w:cs="Tahoma"/>
          <w:sz w:val="20"/>
          <w:szCs w:val="20"/>
        </w:rPr>
        <w:t>m</w:t>
      </w:r>
      <w:r w:rsidRPr="00B11208">
        <w:rPr>
          <w:rFonts w:ascii="Tahoma" w:hAnsi="Tahoma" w:cs="Tahoma"/>
          <w:sz w:val="20"/>
          <w:szCs w:val="20"/>
        </w:rPr>
        <w:t>edia in in Montenegro”</w:t>
      </w:r>
      <w:r w:rsidR="00E37FD6">
        <w:rPr>
          <w:rFonts w:ascii="Tahoma" w:hAnsi="Tahoma" w:cs="Tahoma"/>
          <w:sz w:val="20"/>
          <w:szCs w:val="20"/>
        </w:rPr>
        <w:t xml:space="preserve"> (JUFREX 2)</w:t>
      </w:r>
      <w:r w:rsidRPr="00B11208">
        <w:rPr>
          <w:rFonts w:ascii="Tahoma" w:hAnsi="Tahoma" w:cs="Tahoma"/>
          <w:sz w:val="20"/>
          <w:szCs w:val="20"/>
        </w:rPr>
        <w:t xml:space="preserve"> will implement the </w:t>
      </w:r>
      <w:r>
        <w:rPr>
          <w:rFonts w:ascii="Tahoma" w:hAnsi="Tahoma" w:cs="Tahoma"/>
          <w:sz w:val="20"/>
          <w:szCs w:val="20"/>
        </w:rPr>
        <w:t xml:space="preserve">social media </w:t>
      </w:r>
      <w:r w:rsidR="0048372A" w:rsidRPr="0048372A">
        <w:rPr>
          <w:rFonts w:ascii="Tahoma" w:hAnsi="Tahoma" w:cs="Tahoma"/>
          <w:bCs/>
          <w:sz w:val="20"/>
          <w:szCs w:val="21"/>
        </w:rPr>
        <w:t>awareness raising</w:t>
      </w:r>
      <w:r w:rsidR="0048372A">
        <w:rPr>
          <w:rFonts w:ascii="Tahoma" w:hAnsi="Tahoma" w:cs="Tahoma"/>
          <w:sz w:val="20"/>
          <w:szCs w:val="20"/>
        </w:rPr>
        <w:t xml:space="preserve"> </w:t>
      </w:r>
      <w:r>
        <w:rPr>
          <w:rFonts w:ascii="Tahoma" w:hAnsi="Tahoma" w:cs="Tahoma"/>
          <w:sz w:val="20"/>
          <w:szCs w:val="20"/>
        </w:rPr>
        <w:t>campaign that would promote</w:t>
      </w:r>
      <w:r w:rsidRPr="00B11208">
        <w:rPr>
          <w:rFonts w:ascii="Tahoma" w:hAnsi="Tahoma" w:cs="Tahoma"/>
          <w:sz w:val="20"/>
          <w:szCs w:val="20"/>
        </w:rPr>
        <w:t xml:space="preserve"> the </w:t>
      </w:r>
      <w:r w:rsidR="005C4043">
        <w:rPr>
          <w:rFonts w:ascii="Tahoma" w:hAnsi="Tahoma" w:cs="Tahoma"/>
          <w:sz w:val="20"/>
          <w:szCs w:val="20"/>
        </w:rPr>
        <w:t>European</w:t>
      </w:r>
      <w:r w:rsidRPr="00B11208">
        <w:rPr>
          <w:rFonts w:ascii="Tahoma" w:hAnsi="Tahoma" w:cs="Tahoma"/>
          <w:sz w:val="20"/>
          <w:szCs w:val="20"/>
        </w:rPr>
        <w:t xml:space="preserve"> standards in the areas of </w:t>
      </w:r>
      <w:r w:rsidR="0045037C">
        <w:rPr>
          <w:rFonts w:ascii="Tahoma" w:hAnsi="Tahoma" w:cs="Tahoma"/>
          <w:sz w:val="20"/>
          <w:szCs w:val="20"/>
        </w:rPr>
        <w:t>f</w:t>
      </w:r>
      <w:r w:rsidRPr="00B11208">
        <w:rPr>
          <w:rFonts w:ascii="Tahoma" w:hAnsi="Tahoma" w:cs="Tahoma"/>
          <w:sz w:val="20"/>
          <w:szCs w:val="20"/>
        </w:rPr>
        <w:t xml:space="preserve">reedom of </w:t>
      </w:r>
      <w:r w:rsidR="0045037C">
        <w:rPr>
          <w:rFonts w:ascii="Tahoma" w:hAnsi="Tahoma" w:cs="Tahoma"/>
          <w:sz w:val="20"/>
          <w:szCs w:val="20"/>
        </w:rPr>
        <w:t>e</w:t>
      </w:r>
      <w:r w:rsidRPr="00B11208">
        <w:rPr>
          <w:rFonts w:ascii="Tahoma" w:hAnsi="Tahoma" w:cs="Tahoma"/>
          <w:sz w:val="20"/>
          <w:szCs w:val="20"/>
        </w:rPr>
        <w:t xml:space="preserve">xpression </w:t>
      </w:r>
      <w:r>
        <w:rPr>
          <w:rFonts w:ascii="Tahoma" w:hAnsi="Tahoma" w:cs="Tahoma"/>
          <w:sz w:val="20"/>
          <w:szCs w:val="20"/>
        </w:rPr>
        <w:t xml:space="preserve">and </w:t>
      </w:r>
      <w:r w:rsidR="0045037C">
        <w:rPr>
          <w:rFonts w:ascii="Tahoma" w:hAnsi="Tahoma" w:cs="Tahoma"/>
          <w:sz w:val="20"/>
          <w:szCs w:val="20"/>
        </w:rPr>
        <w:t>m</w:t>
      </w:r>
      <w:r>
        <w:rPr>
          <w:rFonts w:ascii="Tahoma" w:hAnsi="Tahoma" w:cs="Tahoma"/>
          <w:sz w:val="20"/>
          <w:szCs w:val="20"/>
        </w:rPr>
        <w:t xml:space="preserve">edia, as well as </w:t>
      </w:r>
      <w:r w:rsidR="0045037C">
        <w:rPr>
          <w:rFonts w:ascii="Tahoma" w:hAnsi="Tahoma" w:cs="Tahoma"/>
          <w:sz w:val="20"/>
          <w:szCs w:val="20"/>
        </w:rPr>
        <w:t>p</w:t>
      </w:r>
      <w:r>
        <w:rPr>
          <w:rFonts w:ascii="Tahoma" w:hAnsi="Tahoma" w:cs="Tahoma"/>
          <w:sz w:val="20"/>
          <w:szCs w:val="20"/>
        </w:rPr>
        <w:t>rotection</w:t>
      </w:r>
      <w:r w:rsidRPr="00B11208">
        <w:rPr>
          <w:rFonts w:ascii="Tahoma" w:hAnsi="Tahoma" w:cs="Tahoma"/>
          <w:sz w:val="20"/>
          <w:szCs w:val="20"/>
        </w:rPr>
        <w:t xml:space="preserve"> of </w:t>
      </w:r>
      <w:r w:rsidR="0045037C">
        <w:rPr>
          <w:rFonts w:ascii="Tahoma" w:hAnsi="Tahoma" w:cs="Tahoma"/>
          <w:sz w:val="20"/>
          <w:szCs w:val="20"/>
        </w:rPr>
        <w:t>j</w:t>
      </w:r>
      <w:r w:rsidRPr="00B11208">
        <w:rPr>
          <w:rFonts w:ascii="Tahoma" w:hAnsi="Tahoma" w:cs="Tahoma"/>
          <w:sz w:val="20"/>
          <w:szCs w:val="20"/>
        </w:rPr>
        <w:t>ournalists</w:t>
      </w:r>
      <w:r>
        <w:rPr>
          <w:rFonts w:ascii="Tahoma" w:hAnsi="Tahoma" w:cs="Tahoma"/>
          <w:sz w:val="20"/>
          <w:szCs w:val="20"/>
        </w:rPr>
        <w:t>, and it would primarily target journalists, legal professionals, NGO activists and civil servants, while maintaining strong orienta</w:t>
      </w:r>
      <w:r w:rsidRPr="00886AF4">
        <w:rPr>
          <w:rFonts w:ascii="Tahoma" w:hAnsi="Tahoma" w:cs="Tahoma"/>
          <w:sz w:val="20"/>
          <w:szCs w:val="20"/>
        </w:rPr>
        <w:t xml:space="preserve">tion towards general public audience and building their awareness on the importance of </w:t>
      </w:r>
      <w:r w:rsidR="00AC5C6C">
        <w:rPr>
          <w:rFonts w:ascii="Tahoma" w:hAnsi="Tahoma" w:cs="Tahoma"/>
          <w:sz w:val="20"/>
          <w:szCs w:val="20"/>
        </w:rPr>
        <w:t>f</w:t>
      </w:r>
      <w:r w:rsidRPr="00886AF4">
        <w:rPr>
          <w:rFonts w:ascii="Tahoma" w:hAnsi="Tahoma" w:cs="Tahoma"/>
          <w:sz w:val="20"/>
          <w:szCs w:val="20"/>
        </w:rPr>
        <w:t xml:space="preserve">reedom of </w:t>
      </w:r>
      <w:r w:rsidR="00AC5C6C">
        <w:rPr>
          <w:rFonts w:ascii="Tahoma" w:hAnsi="Tahoma" w:cs="Tahoma"/>
          <w:sz w:val="20"/>
          <w:szCs w:val="20"/>
        </w:rPr>
        <w:t>e</w:t>
      </w:r>
      <w:r w:rsidRPr="00886AF4">
        <w:rPr>
          <w:rFonts w:ascii="Tahoma" w:hAnsi="Tahoma" w:cs="Tahoma"/>
          <w:sz w:val="20"/>
          <w:szCs w:val="20"/>
        </w:rPr>
        <w:t xml:space="preserve">xpression. </w:t>
      </w:r>
      <w:r w:rsidR="008879EA" w:rsidRPr="006D682A">
        <w:rPr>
          <w:rFonts w:ascii="Tahoma" w:hAnsi="Tahoma" w:cs="Tahoma"/>
          <w:sz w:val="20"/>
          <w:szCs w:val="20"/>
          <w:highlight w:val="yellow"/>
        </w:rPr>
        <w:t xml:space="preserve"> </w:t>
      </w:r>
    </w:p>
    <w:p w14:paraId="26F7E3EB" w14:textId="77777777" w:rsidR="008879EA" w:rsidRPr="006D682A" w:rsidRDefault="008879EA" w:rsidP="00177754">
      <w:pPr>
        <w:jc w:val="both"/>
        <w:rPr>
          <w:rFonts w:ascii="Tahoma" w:hAnsi="Tahoma" w:cs="Tahoma"/>
          <w:sz w:val="20"/>
          <w:szCs w:val="20"/>
          <w:highlight w:val="yellow"/>
        </w:rPr>
      </w:pPr>
    </w:p>
    <w:p w14:paraId="64E37246" w14:textId="4BB5AA96" w:rsidR="00CB51DF" w:rsidRDefault="00DA7B8F" w:rsidP="008B170C">
      <w:pPr>
        <w:jc w:val="both"/>
        <w:rPr>
          <w:rFonts w:ascii="Tahoma" w:hAnsi="Tahoma" w:cs="Tahoma"/>
          <w:bCs/>
          <w:sz w:val="20"/>
          <w:szCs w:val="20"/>
        </w:rPr>
      </w:pPr>
      <w:r>
        <w:rPr>
          <w:rFonts w:ascii="Tahoma" w:hAnsi="Tahoma" w:cs="Tahoma"/>
          <w:bCs/>
          <w:sz w:val="20"/>
          <w:szCs w:val="20"/>
          <w:u w:val="single"/>
        </w:rPr>
        <w:t>Beneficiary</w:t>
      </w:r>
      <w:r w:rsidRPr="00CB51DF">
        <w:rPr>
          <w:rFonts w:ascii="Tahoma" w:hAnsi="Tahoma" w:cs="Tahoma"/>
          <w:bCs/>
          <w:sz w:val="20"/>
          <w:szCs w:val="20"/>
          <w:u w:val="single"/>
        </w:rPr>
        <w:t xml:space="preserve"> </w:t>
      </w:r>
      <w:r w:rsidR="00CB51DF" w:rsidRPr="00CB51DF">
        <w:rPr>
          <w:rFonts w:ascii="Tahoma" w:hAnsi="Tahoma" w:cs="Tahoma"/>
          <w:bCs/>
          <w:sz w:val="20"/>
          <w:szCs w:val="20"/>
          <w:u w:val="single"/>
        </w:rPr>
        <w:t>context</w:t>
      </w:r>
    </w:p>
    <w:p w14:paraId="76FCC54B" w14:textId="676459B3" w:rsidR="008B170C" w:rsidRPr="00DD14D5" w:rsidRDefault="007455D2" w:rsidP="008B170C">
      <w:pPr>
        <w:jc w:val="both"/>
        <w:rPr>
          <w:rFonts w:ascii="Tahoma" w:hAnsi="Tahoma" w:cs="Tahoma"/>
          <w:bCs/>
          <w:sz w:val="20"/>
          <w:szCs w:val="20"/>
        </w:rPr>
      </w:pPr>
      <w:r>
        <w:rPr>
          <w:rFonts w:ascii="Tahoma" w:hAnsi="Tahoma" w:cs="Tahoma"/>
          <w:bCs/>
          <w:sz w:val="20"/>
          <w:szCs w:val="20"/>
        </w:rPr>
        <w:t>According to</w:t>
      </w:r>
      <w:r w:rsidR="008676F0">
        <w:rPr>
          <w:rFonts w:ascii="Tahoma" w:hAnsi="Tahoma" w:cs="Tahoma"/>
          <w:bCs/>
          <w:sz w:val="20"/>
          <w:szCs w:val="20"/>
        </w:rPr>
        <w:t xml:space="preserve"> the European Commission Progress Report</w:t>
      </w:r>
      <w:r w:rsidR="00D056FF">
        <w:rPr>
          <w:rStyle w:val="FootnoteReference"/>
          <w:rFonts w:ascii="Tahoma" w:hAnsi="Tahoma" w:cs="Tahoma"/>
          <w:bCs/>
          <w:sz w:val="20"/>
          <w:szCs w:val="20"/>
        </w:rPr>
        <w:footnoteReference w:id="2"/>
      </w:r>
      <w:r w:rsidR="008676F0">
        <w:rPr>
          <w:rFonts w:ascii="Tahoma" w:hAnsi="Tahoma" w:cs="Tahoma"/>
          <w:bCs/>
          <w:sz w:val="20"/>
          <w:szCs w:val="20"/>
        </w:rPr>
        <w:t xml:space="preserve">, </w:t>
      </w:r>
      <w:r w:rsidR="00DD14D5" w:rsidRPr="00DD14D5">
        <w:rPr>
          <w:rFonts w:ascii="Tahoma" w:hAnsi="Tahoma" w:cs="Tahoma"/>
          <w:bCs/>
          <w:sz w:val="20"/>
          <w:szCs w:val="20"/>
        </w:rPr>
        <w:t>Montenegro has some level of preparation on freedom of expression. No progress was made in the reporting period</w:t>
      </w:r>
      <w:r w:rsidR="0048372A">
        <w:rPr>
          <w:rFonts w:ascii="Tahoma" w:hAnsi="Tahoma" w:cs="Tahoma"/>
          <w:bCs/>
          <w:sz w:val="20"/>
          <w:szCs w:val="20"/>
        </w:rPr>
        <w:t xml:space="preserve"> 2018-2019</w:t>
      </w:r>
      <w:r w:rsidR="00DD14D5" w:rsidRPr="00DD14D5">
        <w:rPr>
          <w:rFonts w:ascii="Tahoma" w:hAnsi="Tahoma" w:cs="Tahoma"/>
          <w:bCs/>
          <w:sz w:val="20"/>
          <w:szCs w:val="20"/>
        </w:rPr>
        <w:t xml:space="preserve">. There have been no notable developments on investigations into old cases of violence against journalists. Political interference in the national public broadcaster (RTCG) and the Agency for Electronic Media (AEM) are a matter of serious concern. The media scene remains highly polarised and challenges persist in understanding the role of free media. The number of defamation cases remains high, also due to weak self-regulatory mechanisms. Training of the judiciary on </w:t>
      </w:r>
      <w:r w:rsidR="00AB7C01">
        <w:rPr>
          <w:rFonts w:ascii="Tahoma" w:hAnsi="Tahoma" w:cs="Tahoma"/>
          <w:bCs/>
          <w:sz w:val="20"/>
          <w:szCs w:val="20"/>
        </w:rPr>
        <w:t>European Court of Human Rights (</w:t>
      </w:r>
      <w:r w:rsidR="00DD14D5" w:rsidRPr="00DD14D5">
        <w:rPr>
          <w:rFonts w:ascii="Tahoma" w:hAnsi="Tahoma" w:cs="Tahoma"/>
          <w:bCs/>
          <w:sz w:val="20"/>
          <w:szCs w:val="20"/>
        </w:rPr>
        <w:t>ECtHR</w:t>
      </w:r>
      <w:r w:rsidR="00AB7C01">
        <w:rPr>
          <w:rFonts w:ascii="Tahoma" w:hAnsi="Tahoma" w:cs="Tahoma"/>
          <w:bCs/>
          <w:sz w:val="20"/>
          <w:szCs w:val="20"/>
        </w:rPr>
        <w:t>)</w:t>
      </w:r>
      <w:r w:rsidR="00DD14D5" w:rsidRPr="00DD14D5">
        <w:rPr>
          <w:rFonts w:ascii="Tahoma" w:hAnsi="Tahoma" w:cs="Tahoma"/>
          <w:bCs/>
          <w:sz w:val="20"/>
          <w:szCs w:val="20"/>
        </w:rPr>
        <w:t xml:space="preserve"> case-law on freedom of expression needs to continue. On freedom of expression, progress on addressing violence against journalists and media remains very limited, especially in dealing with old unsolved cases. The report took into account the findings of the Media Sector Inquiry in Montenegro that was prepared through the JUFREX programme</w:t>
      </w:r>
      <w:r w:rsidR="000E2502">
        <w:rPr>
          <w:rFonts w:ascii="Tahoma" w:hAnsi="Tahoma" w:cs="Tahoma"/>
          <w:bCs/>
          <w:sz w:val="20"/>
          <w:szCs w:val="20"/>
        </w:rPr>
        <w:t xml:space="preserve"> (implemented between 2016 and 2019)</w:t>
      </w:r>
      <w:r w:rsidR="00DD14D5" w:rsidRPr="00DD14D5">
        <w:rPr>
          <w:rFonts w:ascii="Tahoma" w:hAnsi="Tahoma" w:cs="Tahoma"/>
          <w:bCs/>
          <w:sz w:val="20"/>
          <w:szCs w:val="20"/>
        </w:rPr>
        <w:t xml:space="preserve"> as a support to the country in the framework of the European Union accession process, with the aim to define recommendations that could serve as a guide for setting and implementing national media policies and prepare better for the next phase of accession negotiations on the negotiating </w:t>
      </w:r>
      <w:r w:rsidR="008B170C">
        <w:rPr>
          <w:rFonts w:ascii="Tahoma" w:hAnsi="Tahoma" w:cs="Tahoma"/>
          <w:bCs/>
          <w:sz w:val="20"/>
          <w:szCs w:val="20"/>
        </w:rPr>
        <w:t>C</w:t>
      </w:r>
      <w:r w:rsidR="00DD14D5" w:rsidRPr="00DD14D5">
        <w:rPr>
          <w:rFonts w:ascii="Tahoma" w:hAnsi="Tahoma" w:cs="Tahoma"/>
          <w:bCs/>
          <w:sz w:val="20"/>
          <w:szCs w:val="20"/>
        </w:rPr>
        <w:t>hapter 23</w:t>
      </w:r>
      <w:r w:rsidR="008B170C">
        <w:rPr>
          <w:rStyle w:val="FootnoteReference"/>
          <w:rFonts w:ascii="Tahoma" w:hAnsi="Tahoma" w:cs="Tahoma"/>
          <w:bCs/>
          <w:sz w:val="20"/>
          <w:szCs w:val="20"/>
        </w:rPr>
        <w:footnoteReference w:id="3"/>
      </w:r>
      <w:r w:rsidR="00DD14D5" w:rsidRPr="00DD14D5">
        <w:rPr>
          <w:rFonts w:ascii="Tahoma" w:hAnsi="Tahoma" w:cs="Tahoma"/>
          <w:bCs/>
          <w:sz w:val="20"/>
          <w:szCs w:val="20"/>
        </w:rPr>
        <w:t xml:space="preserve">. </w:t>
      </w:r>
    </w:p>
    <w:p w14:paraId="1A04167E" w14:textId="0EC55CD3" w:rsidR="008B170C" w:rsidRDefault="008B170C" w:rsidP="00DD14D5">
      <w:pPr>
        <w:jc w:val="both"/>
        <w:rPr>
          <w:rFonts w:ascii="Tahoma" w:hAnsi="Tahoma" w:cs="Tahoma"/>
          <w:bCs/>
          <w:sz w:val="20"/>
          <w:szCs w:val="20"/>
        </w:rPr>
      </w:pPr>
    </w:p>
    <w:p w14:paraId="02203A36" w14:textId="77777777" w:rsidR="00CB51DF" w:rsidRDefault="00CB51DF" w:rsidP="008B170C">
      <w:pPr>
        <w:jc w:val="both"/>
        <w:rPr>
          <w:rFonts w:ascii="Tahoma" w:hAnsi="Tahoma" w:cs="Tahoma"/>
          <w:bCs/>
          <w:sz w:val="20"/>
          <w:szCs w:val="20"/>
        </w:rPr>
      </w:pPr>
      <w:r w:rsidRPr="00CB51DF">
        <w:rPr>
          <w:rFonts w:ascii="Tahoma" w:hAnsi="Tahoma" w:cs="Tahoma"/>
          <w:bCs/>
          <w:sz w:val="20"/>
          <w:szCs w:val="20"/>
          <w:u w:val="single"/>
        </w:rPr>
        <w:t>Action context</w:t>
      </w:r>
    </w:p>
    <w:p w14:paraId="574A57DD" w14:textId="32C1DB6A" w:rsidR="008B170C" w:rsidRPr="008B170C" w:rsidRDefault="008B170C" w:rsidP="008B170C">
      <w:pPr>
        <w:jc w:val="both"/>
        <w:rPr>
          <w:rFonts w:ascii="Tahoma" w:hAnsi="Tahoma" w:cs="Tahoma"/>
          <w:bCs/>
          <w:sz w:val="20"/>
          <w:szCs w:val="20"/>
        </w:rPr>
      </w:pPr>
      <w:r>
        <w:rPr>
          <w:rFonts w:ascii="Tahoma" w:hAnsi="Tahoma" w:cs="Tahoma"/>
          <w:bCs/>
          <w:sz w:val="20"/>
          <w:szCs w:val="20"/>
        </w:rPr>
        <w:t xml:space="preserve">Social Media </w:t>
      </w:r>
      <w:r w:rsidR="0048372A" w:rsidRPr="0048372A">
        <w:rPr>
          <w:rFonts w:ascii="Tahoma" w:hAnsi="Tahoma" w:cs="Tahoma"/>
          <w:bCs/>
          <w:sz w:val="20"/>
          <w:szCs w:val="21"/>
        </w:rPr>
        <w:t>awareness raising</w:t>
      </w:r>
      <w:r w:rsidR="0048372A">
        <w:rPr>
          <w:rFonts w:ascii="Tahoma" w:hAnsi="Tahoma" w:cs="Tahoma"/>
          <w:bCs/>
          <w:sz w:val="20"/>
          <w:szCs w:val="20"/>
        </w:rPr>
        <w:t xml:space="preserve"> </w:t>
      </w:r>
      <w:r>
        <w:rPr>
          <w:rFonts w:ascii="Tahoma" w:hAnsi="Tahoma" w:cs="Tahoma"/>
          <w:bCs/>
          <w:sz w:val="20"/>
          <w:szCs w:val="20"/>
        </w:rPr>
        <w:t xml:space="preserve">campaign is conceptualised under the context of </w:t>
      </w:r>
      <w:r w:rsidRPr="008B170C">
        <w:rPr>
          <w:rFonts w:ascii="Tahoma" w:hAnsi="Tahoma" w:cs="Tahoma"/>
          <w:bCs/>
          <w:sz w:val="20"/>
          <w:szCs w:val="20"/>
        </w:rPr>
        <w:t>the</w:t>
      </w:r>
      <w:r>
        <w:rPr>
          <w:rFonts w:ascii="Tahoma" w:hAnsi="Tahoma" w:cs="Tahoma"/>
          <w:bCs/>
          <w:sz w:val="20"/>
          <w:szCs w:val="20"/>
        </w:rPr>
        <w:t xml:space="preserve"> overall </w:t>
      </w:r>
      <w:r w:rsidR="006E6F8B">
        <w:rPr>
          <w:rFonts w:ascii="Tahoma" w:hAnsi="Tahoma" w:cs="Tahoma"/>
          <w:bCs/>
          <w:sz w:val="20"/>
          <w:szCs w:val="20"/>
        </w:rPr>
        <w:t>a</w:t>
      </w:r>
      <w:r>
        <w:rPr>
          <w:rFonts w:ascii="Tahoma" w:hAnsi="Tahoma" w:cs="Tahoma"/>
          <w:bCs/>
          <w:sz w:val="20"/>
          <w:szCs w:val="20"/>
        </w:rPr>
        <w:t>ction c</w:t>
      </w:r>
      <w:r w:rsidRPr="008B170C">
        <w:rPr>
          <w:rFonts w:ascii="Tahoma" w:hAnsi="Tahoma" w:cs="Tahoma"/>
          <w:bCs/>
          <w:sz w:val="20"/>
          <w:szCs w:val="20"/>
        </w:rPr>
        <w:t>ommunication</w:t>
      </w:r>
      <w:r>
        <w:rPr>
          <w:rFonts w:ascii="Tahoma" w:hAnsi="Tahoma" w:cs="Tahoma"/>
          <w:bCs/>
          <w:sz w:val="20"/>
          <w:szCs w:val="20"/>
        </w:rPr>
        <w:t xml:space="preserve"> objectives to</w:t>
      </w:r>
      <w:r w:rsidRPr="008B170C">
        <w:rPr>
          <w:rFonts w:ascii="Tahoma" w:hAnsi="Tahoma" w:cs="Tahoma"/>
          <w:bCs/>
          <w:sz w:val="20"/>
          <w:szCs w:val="20"/>
        </w:rPr>
        <w:t xml:space="preserve">: </w:t>
      </w:r>
    </w:p>
    <w:p w14:paraId="47BE99FD" w14:textId="4E72C58C" w:rsidR="008B170C" w:rsidRDefault="008B170C" w:rsidP="008B170C">
      <w:pPr>
        <w:pStyle w:val="ListParagraph"/>
        <w:numPr>
          <w:ilvl w:val="0"/>
          <w:numId w:val="24"/>
        </w:numPr>
        <w:jc w:val="both"/>
        <w:rPr>
          <w:rFonts w:ascii="Tahoma" w:hAnsi="Tahoma" w:cs="Tahoma"/>
          <w:bCs/>
          <w:sz w:val="20"/>
          <w:szCs w:val="20"/>
        </w:rPr>
      </w:pPr>
      <w:r>
        <w:rPr>
          <w:rFonts w:ascii="Tahoma" w:hAnsi="Tahoma" w:cs="Tahoma"/>
          <w:bCs/>
          <w:sz w:val="20"/>
          <w:szCs w:val="20"/>
        </w:rPr>
        <w:t>P</w:t>
      </w:r>
      <w:r w:rsidRPr="008B170C">
        <w:rPr>
          <w:rFonts w:ascii="Tahoma" w:hAnsi="Tahoma" w:cs="Tahoma"/>
          <w:bCs/>
          <w:sz w:val="20"/>
          <w:szCs w:val="20"/>
        </w:rPr>
        <w:t xml:space="preserve">rovide regular and up-to-date information on the </w:t>
      </w:r>
      <w:r w:rsidR="006E6F8B">
        <w:rPr>
          <w:rFonts w:ascii="Tahoma" w:hAnsi="Tahoma" w:cs="Tahoma"/>
          <w:bCs/>
          <w:sz w:val="20"/>
          <w:szCs w:val="20"/>
        </w:rPr>
        <w:t>a</w:t>
      </w:r>
      <w:r w:rsidRPr="008B170C">
        <w:rPr>
          <w:rFonts w:ascii="Tahoma" w:hAnsi="Tahoma" w:cs="Tahoma"/>
          <w:bCs/>
          <w:sz w:val="20"/>
          <w:szCs w:val="20"/>
        </w:rPr>
        <w:t>ction;</w:t>
      </w:r>
    </w:p>
    <w:p w14:paraId="72BB14BA" w14:textId="2411609B" w:rsidR="008B170C" w:rsidRDefault="008B170C" w:rsidP="008B170C">
      <w:pPr>
        <w:pStyle w:val="ListParagraph"/>
        <w:numPr>
          <w:ilvl w:val="0"/>
          <w:numId w:val="24"/>
        </w:numPr>
        <w:jc w:val="both"/>
        <w:rPr>
          <w:rFonts w:ascii="Tahoma" w:hAnsi="Tahoma" w:cs="Tahoma"/>
          <w:bCs/>
          <w:sz w:val="20"/>
          <w:szCs w:val="20"/>
        </w:rPr>
      </w:pPr>
      <w:r>
        <w:rPr>
          <w:rFonts w:ascii="Tahoma" w:hAnsi="Tahoma" w:cs="Tahoma"/>
          <w:bCs/>
          <w:sz w:val="20"/>
          <w:szCs w:val="20"/>
        </w:rPr>
        <w:t>P</w:t>
      </w:r>
      <w:r w:rsidRPr="008B170C">
        <w:rPr>
          <w:rFonts w:ascii="Tahoma" w:hAnsi="Tahoma" w:cs="Tahoma"/>
          <w:bCs/>
          <w:sz w:val="20"/>
          <w:szCs w:val="20"/>
        </w:rPr>
        <w:t xml:space="preserve">romote the </w:t>
      </w:r>
      <w:r w:rsidR="006E6F8B">
        <w:rPr>
          <w:rFonts w:ascii="Tahoma" w:hAnsi="Tahoma" w:cs="Tahoma"/>
          <w:bCs/>
          <w:sz w:val="20"/>
          <w:szCs w:val="20"/>
        </w:rPr>
        <w:t>European</w:t>
      </w:r>
      <w:r w:rsidRPr="008B170C">
        <w:rPr>
          <w:rFonts w:ascii="Tahoma" w:hAnsi="Tahoma" w:cs="Tahoma"/>
          <w:bCs/>
          <w:sz w:val="20"/>
          <w:szCs w:val="20"/>
        </w:rPr>
        <w:t xml:space="preserve"> standards in the areas of freedom of expression and protection of journalists;</w:t>
      </w:r>
    </w:p>
    <w:p w14:paraId="4486BEE1" w14:textId="7712259F" w:rsidR="008B170C" w:rsidRPr="008B170C" w:rsidRDefault="008B170C" w:rsidP="008B170C">
      <w:pPr>
        <w:pStyle w:val="ListParagraph"/>
        <w:numPr>
          <w:ilvl w:val="0"/>
          <w:numId w:val="24"/>
        </w:numPr>
        <w:jc w:val="both"/>
        <w:rPr>
          <w:rFonts w:ascii="Tahoma" w:hAnsi="Tahoma" w:cs="Tahoma"/>
          <w:bCs/>
          <w:sz w:val="20"/>
          <w:szCs w:val="20"/>
        </w:rPr>
      </w:pPr>
      <w:r>
        <w:rPr>
          <w:rFonts w:ascii="Tahoma" w:hAnsi="Tahoma" w:cs="Tahoma"/>
          <w:bCs/>
          <w:sz w:val="20"/>
          <w:szCs w:val="20"/>
        </w:rPr>
        <w:t>R</w:t>
      </w:r>
      <w:r w:rsidRPr="008B170C">
        <w:rPr>
          <w:rFonts w:ascii="Tahoma" w:hAnsi="Tahoma" w:cs="Tahoma"/>
          <w:bCs/>
          <w:sz w:val="20"/>
          <w:szCs w:val="20"/>
        </w:rPr>
        <w:t>aise awareness with the stakeholders and the general public on how the European Union and the Council of Europe work together to support freedom of expression and protection of journalists</w:t>
      </w:r>
      <w:r w:rsidR="000F76B3">
        <w:rPr>
          <w:rFonts w:ascii="Tahoma" w:hAnsi="Tahoma" w:cs="Tahoma"/>
          <w:bCs/>
          <w:sz w:val="20"/>
          <w:szCs w:val="20"/>
        </w:rPr>
        <w:t xml:space="preserve"> in Montenegro</w:t>
      </w:r>
      <w:r w:rsidRPr="008B170C">
        <w:rPr>
          <w:rFonts w:ascii="Tahoma" w:hAnsi="Tahoma" w:cs="Tahoma"/>
          <w:bCs/>
          <w:sz w:val="20"/>
          <w:szCs w:val="20"/>
        </w:rPr>
        <w:t>;</w:t>
      </w:r>
    </w:p>
    <w:p w14:paraId="6C5D54B0" w14:textId="77777777" w:rsidR="008B170C" w:rsidRPr="00DD14D5" w:rsidRDefault="008B170C" w:rsidP="00DD14D5">
      <w:pPr>
        <w:jc w:val="both"/>
        <w:rPr>
          <w:rFonts w:ascii="Tahoma" w:hAnsi="Tahoma" w:cs="Tahoma"/>
          <w:bCs/>
          <w:sz w:val="20"/>
          <w:szCs w:val="20"/>
        </w:rPr>
      </w:pPr>
    </w:p>
    <w:p w14:paraId="59780499" w14:textId="1CA63C19" w:rsidR="00CB51DF" w:rsidRPr="00CB51DF" w:rsidRDefault="00CB51DF" w:rsidP="00CB51DF">
      <w:pPr>
        <w:jc w:val="both"/>
        <w:rPr>
          <w:rFonts w:ascii="Tahoma" w:hAnsi="Tahoma" w:cs="Tahoma"/>
          <w:bCs/>
          <w:sz w:val="20"/>
          <w:szCs w:val="20"/>
        </w:rPr>
      </w:pPr>
      <w:r w:rsidRPr="00CB51DF">
        <w:rPr>
          <w:rFonts w:ascii="Tahoma" w:hAnsi="Tahoma" w:cs="Tahoma"/>
          <w:bCs/>
          <w:sz w:val="20"/>
          <w:szCs w:val="20"/>
        </w:rPr>
        <w:t xml:space="preserve">The goal of the social media campaign, conceptualised and implemented under the JUFREX2 </w:t>
      </w:r>
      <w:r w:rsidR="000F76B3">
        <w:rPr>
          <w:rFonts w:ascii="Tahoma" w:hAnsi="Tahoma" w:cs="Tahoma"/>
          <w:bCs/>
          <w:sz w:val="20"/>
          <w:szCs w:val="20"/>
        </w:rPr>
        <w:t>a</w:t>
      </w:r>
      <w:r w:rsidRPr="00CB51DF">
        <w:rPr>
          <w:rFonts w:ascii="Tahoma" w:hAnsi="Tahoma" w:cs="Tahoma"/>
          <w:bCs/>
          <w:sz w:val="20"/>
          <w:szCs w:val="20"/>
        </w:rPr>
        <w:t xml:space="preserve">ction would be to promote the </w:t>
      </w:r>
      <w:r w:rsidR="000F76B3">
        <w:rPr>
          <w:rFonts w:ascii="Tahoma" w:hAnsi="Tahoma" w:cs="Tahoma"/>
          <w:bCs/>
          <w:sz w:val="20"/>
          <w:szCs w:val="20"/>
        </w:rPr>
        <w:t>European</w:t>
      </w:r>
      <w:r w:rsidRPr="00CB51DF">
        <w:rPr>
          <w:rFonts w:ascii="Tahoma" w:hAnsi="Tahoma" w:cs="Tahoma"/>
          <w:bCs/>
          <w:sz w:val="20"/>
          <w:szCs w:val="20"/>
        </w:rPr>
        <w:t xml:space="preserve"> standards in the areas of </w:t>
      </w:r>
      <w:r w:rsidR="000F76B3">
        <w:rPr>
          <w:rFonts w:ascii="Tahoma" w:hAnsi="Tahoma" w:cs="Tahoma"/>
          <w:bCs/>
          <w:sz w:val="20"/>
          <w:szCs w:val="20"/>
        </w:rPr>
        <w:t>f</w:t>
      </w:r>
      <w:r w:rsidRPr="00CB51DF">
        <w:rPr>
          <w:rFonts w:ascii="Tahoma" w:hAnsi="Tahoma" w:cs="Tahoma"/>
          <w:bCs/>
          <w:sz w:val="20"/>
          <w:szCs w:val="20"/>
        </w:rPr>
        <w:t xml:space="preserve">reedom of </w:t>
      </w:r>
      <w:r w:rsidR="000F76B3">
        <w:rPr>
          <w:rFonts w:ascii="Tahoma" w:hAnsi="Tahoma" w:cs="Tahoma"/>
          <w:bCs/>
          <w:sz w:val="20"/>
          <w:szCs w:val="20"/>
        </w:rPr>
        <w:t>e</w:t>
      </w:r>
      <w:r w:rsidRPr="00CB51DF">
        <w:rPr>
          <w:rFonts w:ascii="Tahoma" w:hAnsi="Tahoma" w:cs="Tahoma"/>
          <w:bCs/>
          <w:sz w:val="20"/>
          <w:szCs w:val="20"/>
        </w:rPr>
        <w:t xml:space="preserve">xpression and </w:t>
      </w:r>
      <w:r w:rsidR="000F76B3">
        <w:rPr>
          <w:rFonts w:ascii="Tahoma" w:hAnsi="Tahoma" w:cs="Tahoma"/>
          <w:bCs/>
          <w:sz w:val="20"/>
          <w:szCs w:val="20"/>
        </w:rPr>
        <w:t>s</w:t>
      </w:r>
      <w:r w:rsidRPr="00CB51DF">
        <w:rPr>
          <w:rFonts w:ascii="Tahoma" w:hAnsi="Tahoma" w:cs="Tahoma"/>
          <w:bCs/>
          <w:sz w:val="20"/>
          <w:szCs w:val="20"/>
        </w:rPr>
        <w:t xml:space="preserve">afety of </w:t>
      </w:r>
      <w:r w:rsidR="000F76B3">
        <w:rPr>
          <w:rFonts w:ascii="Tahoma" w:hAnsi="Tahoma" w:cs="Tahoma"/>
          <w:bCs/>
          <w:sz w:val="20"/>
          <w:szCs w:val="20"/>
        </w:rPr>
        <w:t>j</w:t>
      </w:r>
      <w:r w:rsidRPr="00CB51DF">
        <w:rPr>
          <w:rFonts w:ascii="Tahoma" w:hAnsi="Tahoma" w:cs="Tahoma"/>
          <w:bCs/>
          <w:sz w:val="20"/>
          <w:szCs w:val="20"/>
        </w:rPr>
        <w:t>ournalists.</w:t>
      </w:r>
    </w:p>
    <w:p w14:paraId="6C553580" w14:textId="77777777" w:rsidR="00CB51DF" w:rsidRPr="00CB51DF" w:rsidRDefault="00CB51DF" w:rsidP="00CB51DF">
      <w:pPr>
        <w:jc w:val="both"/>
        <w:rPr>
          <w:rFonts w:ascii="Tahoma" w:hAnsi="Tahoma" w:cs="Tahoma"/>
          <w:bCs/>
          <w:sz w:val="20"/>
          <w:szCs w:val="20"/>
        </w:rPr>
      </w:pPr>
    </w:p>
    <w:p w14:paraId="1BF25A20" w14:textId="6FF5F40C" w:rsidR="00CB51DF" w:rsidRPr="00CB51DF" w:rsidRDefault="00CB51DF" w:rsidP="00CB51DF">
      <w:pPr>
        <w:jc w:val="both"/>
        <w:rPr>
          <w:rFonts w:ascii="Tahoma" w:hAnsi="Tahoma" w:cs="Tahoma"/>
          <w:bCs/>
          <w:sz w:val="20"/>
          <w:szCs w:val="20"/>
        </w:rPr>
      </w:pPr>
      <w:r w:rsidRPr="00CB51DF">
        <w:rPr>
          <w:rFonts w:ascii="Tahoma" w:hAnsi="Tahoma" w:cs="Tahoma"/>
          <w:bCs/>
          <w:sz w:val="20"/>
          <w:szCs w:val="20"/>
        </w:rPr>
        <w:t>Campaign would have specific objective for each year</w:t>
      </w:r>
      <w:r>
        <w:rPr>
          <w:rFonts w:ascii="Tahoma" w:hAnsi="Tahoma" w:cs="Tahoma"/>
          <w:bCs/>
          <w:sz w:val="20"/>
          <w:szCs w:val="20"/>
        </w:rPr>
        <w:t>:</w:t>
      </w:r>
    </w:p>
    <w:p w14:paraId="3B784362" w14:textId="7EE3B52C" w:rsidR="00CB51DF" w:rsidRPr="00CB51DF" w:rsidRDefault="00CB51DF" w:rsidP="00CB51DF">
      <w:pPr>
        <w:pStyle w:val="ListParagraph"/>
        <w:numPr>
          <w:ilvl w:val="0"/>
          <w:numId w:val="24"/>
        </w:numPr>
        <w:jc w:val="both"/>
        <w:rPr>
          <w:rFonts w:ascii="Tahoma" w:hAnsi="Tahoma" w:cs="Tahoma"/>
          <w:bCs/>
          <w:sz w:val="20"/>
          <w:szCs w:val="20"/>
        </w:rPr>
      </w:pPr>
      <w:r w:rsidRPr="00CB51DF">
        <w:rPr>
          <w:rFonts w:ascii="Tahoma" w:hAnsi="Tahoma" w:cs="Tahoma"/>
          <w:bCs/>
          <w:sz w:val="20"/>
          <w:szCs w:val="20"/>
        </w:rPr>
        <w:t xml:space="preserve">In 2020: Focus on relevant </w:t>
      </w:r>
      <w:r w:rsidR="00AB73E5">
        <w:rPr>
          <w:rFonts w:ascii="Tahoma" w:hAnsi="Tahoma" w:cs="Tahoma"/>
          <w:bCs/>
          <w:sz w:val="20"/>
          <w:szCs w:val="20"/>
        </w:rPr>
        <w:t>European</w:t>
      </w:r>
      <w:r w:rsidRPr="00CB51DF">
        <w:rPr>
          <w:rFonts w:ascii="Tahoma" w:hAnsi="Tahoma" w:cs="Tahoma"/>
          <w:bCs/>
          <w:sz w:val="20"/>
          <w:szCs w:val="20"/>
        </w:rPr>
        <w:t xml:space="preserve"> standards, reflection on JUFREX1 results (e.g. Media Sector Inquiry recommendations), activities that might already yield tangible results (e.g. media legislative reforms), new </w:t>
      </w:r>
      <w:r w:rsidR="00AF6B98">
        <w:rPr>
          <w:rFonts w:ascii="Tahoma" w:hAnsi="Tahoma" w:cs="Tahoma"/>
          <w:bCs/>
          <w:sz w:val="20"/>
          <w:szCs w:val="20"/>
        </w:rPr>
        <w:t>online</w:t>
      </w:r>
      <w:r w:rsidR="00AF6B98" w:rsidRPr="00CB51DF">
        <w:rPr>
          <w:rFonts w:ascii="Tahoma" w:hAnsi="Tahoma" w:cs="Tahoma"/>
          <w:bCs/>
          <w:sz w:val="20"/>
          <w:szCs w:val="20"/>
        </w:rPr>
        <w:t xml:space="preserve"> </w:t>
      </w:r>
      <w:r w:rsidRPr="00CB51DF">
        <w:rPr>
          <w:rFonts w:ascii="Tahoma" w:hAnsi="Tahoma" w:cs="Tahoma"/>
          <w:bCs/>
          <w:sz w:val="20"/>
          <w:szCs w:val="20"/>
        </w:rPr>
        <w:t xml:space="preserve">platforms and their features; </w:t>
      </w:r>
      <w:r w:rsidR="006C1853">
        <w:rPr>
          <w:rFonts w:ascii="Tahoma" w:hAnsi="Tahoma" w:cs="Tahoma"/>
          <w:bCs/>
          <w:sz w:val="20"/>
          <w:szCs w:val="20"/>
        </w:rPr>
        <w:t xml:space="preserve">relevant </w:t>
      </w:r>
      <w:r w:rsidR="00F32CAF">
        <w:rPr>
          <w:rFonts w:ascii="Tahoma" w:hAnsi="Tahoma" w:cs="Tahoma"/>
          <w:bCs/>
          <w:sz w:val="20"/>
          <w:szCs w:val="20"/>
        </w:rPr>
        <w:t>information on Council of Europe activities</w:t>
      </w:r>
      <w:r w:rsidR="006C1853">
        <w:rPr>
          <w:rFonts w:ascii="Tahoma" w:hAnsi="Tahoma" w:cs="Tahoma"/>
          <w:bCs/>
          <w:sz w:val="20"/>
          <w:szCs w:val="20"/>
        </w:rPr>
        <w:t>;</w:t>
      </w:r>
    </w:p>
    <w:p w14:paraId="0FBDE491" w14:textId="49EE3565" w:rsidR="00CB51DF" w:rsidRPr="00CB51DF" w:rsidRDefault="00CB51DF" w:rsidP="00CB51DF">
      <w:pPr>
        <w:pStyle w:val="ListParagraph"/>
        <w:numPr>
          <w:ilvl w:val="0"/>
          <w:numId w:val="24"/>
        </w:numPr>
        <w:jc w:val="both"/>
        <w:rPr>
          <w:rFonts w:ascii="Tahoma" w:hAnsi="Tahoma" w:cs="Tahoma"/>
          <w:bCs/>
          <w:sz w:val="20"/>
          <w:szCs w:val="20"/>
        </w:rPr>
      </w:pPr>
      <w:r w:rsidRPr="00CB51DF">
        <w:rPr>
          <w:rFonts w:ascii="Tahoma" w:hAnsi="Tahoma" w:cs="Tahoma"/>
          <w:bCs/>
          <w:sz w:val="20"/>
          <w:szCs w:val="20"/>
        </w:rPr>
        <w:t xml:space="preserve">In 2021: Focus on tangible results of the core JUFREX activities (e.g. Police guidelines for Risk Assessment of journalists, Interim report findings) and </w:t>
      </w:r>
    </w:p>
    <w:p w14:paraId="3B0CF295" w14:textId="349909BC" w:rsidR="00CB51DF" w:rsidRPr="00CB51DF" w:rsidRDefault="00CB51DF" w:rsidP="00CB51DF">
      <w:pPr>
        <w:pStyle w:val="ListParagraph"/>
        <w:numPr>
          <w:ilvl w:val="0"/>
          <w:numId w:val="24"/>
        </w:numPr>
        <w:jc w:val="both"/>
        <w:rPr>
          <w:rFonts w:ascii="Tahoma" w:hAnsi="Tahoma" w:cs="Tahoma"/>
          <w:bCs/>
          <w:sz w:val="20"/>
          <w:szCs w:val="20"/>
        </w:rPr>
      </w:pPr>
      <w:r w:rsidRPr="00CB51DF">
        <w:rPr>
          <w:rFonts w:ascii="Tahoma" w:hAnsi="Tahoma" w:cs="Tahoma"/>
          <w:bCs/>
          <w:sz w:val="20"/>
          <w:szCs w:val="20"/>
        </w:rPr>
        <w:t xml:space="preserve">In 2022: Focus on would be on analytical summaries of JUFREX results (e.g. evaluation findings, </w:t>
      </w:r>
      <w:proofErr w:type="spellStart"/>
      <w:r w:rsidRPr="00CB51DF">
        <w:rPr>
          <w:rFonts w:ascii="Tahoma" w:hAnsi="Tahoma" w:cs="Tahoma"/>
          <w:bCs/>
          <w:sz w:val="20"/>
          <w:szCs w:val="20"/>
        </w:rPr>
        <w:t>FoE</w:t>
      </w:r>
      <w:proofErr w:type="spellEnd"/>
      <w:r w:rsidRPr="00CB51DF">
        <w:rPr>
          <w:rFonts w:ascii="Tahoma" w:hAnsi="Tahoma" w:cs="Tahoma"/>
          <w:bCs/>
          <w:sz w:val="20"/>
          <w:szCs w:val="20"/>
        </w:rPr>
        <w:t xml:space="preserve"> caselaw report).</w:t>
      </w:r>
    </w:p>
    <w:p w14:paraId="31620E01" w14:textId="77777777" w:rsidR="00823470" w:rsidRDefault="00823470" w:rsidP="00CB51DF">
      <w:pPr>
        <w:jc w:val="both"/>
        <w:rPr>
          <w:rFonts w:ascii="Tahoma" w:hAnsi="Tahoma" w:cs="Tahoma"/>
          <w:bCs/>
          <w:sz w:val="20"/>
          <w:szCs w:val="20"/>
        </w:rPr>
      </w:pPr>
    </w:p>
    <w:p w14:paraId="41770D78" w14:textId="247ED16F" w:rsidR="001C3566" w:rsidRPr="008B170C" w:rsidRDefault="00CB51DF" w:rsidP="00CB51DF">
      <w:pPr>
        <w:jc w:val="both"/>
        <w:rPr>
          <w:rFonts w:ascii="Tahoma" w:hAnsi="Tahoma" w:cs="Tahoma"/>
          <w:bCs/>
          <w:i/>
          <w:iCs/>
          <w:sz w:val="20"/>
          <w:szCs w:val="20"/>
        </w:rPr>
      </w:pPr>
      <w:r w:rsidRPr="00CB51DF">
        <w:rPr>
          <w:rFonts w:ascii="Tahoma" w:hAnsi="Tahoma" w:cs="Tahoma"/>
          <w:bCs/>
          <w:sz w:val="20"/>
          <w:szCs w:val="20"/>
        </w:rPr>
        <w:t>Regional and relevant/interesting activities of other JUFREX actions</w:t>
      </w:r>
      <w:r w:rsidR="00823470">
        <w:rPr>
          <w:rFonts w:ascii="Tahoma" w:hAnsi="Tahoma" w:cs="Tahoma"/>
          <w:bCs/>
          <w:sz w:val="20"/>
          <w:szCs w:val="20"/>
        </w:rPr>
        <w:t xml:space="preserve"> in the Western Balkans region</w:t>
      </w:r>
      <w:r w:rsidRPr="00CB51DF">
        <w:rPr>
          <w:rFonts w:ascii="Tahoma" w:hAnsi="Tahoma" w:cs="Tahoma"/>
          <w:bCs/>
          <w:sz w:val="20"/>
          <w:szCs w:val="20"/>
        </w:rPr>
        <w:t xml:space="preserve"> and partners</w:t>
      </w:r>
      <w:r w:rsidR="00823470">
        <w:rPr>
          <w:rFonts w:ascii="Tahoma" w:hAnsi="Tahoma" w:cs="Tahoma"/>
          <w:bCs/>
          <w:sz w:val="20"/>
          <w:szCs w:val="20"/>
        </w:rPr>
        <w:t xml:space="preserve"> of JUFREX action in Montenegro</w:t>
      </w:r>
      <w:r w:rsidRPr="00CB51DF">
        <w:rPr>
          <w:rFonts w:ascii="Tahoma" w:hAnsi="Tahoma" w:cs="Tahoma"/>
          <w:bCs/>
          <w:sz w:val="20"/>
          <w:szCs w:val="20"/>
        </w:rPr>
        <w:t>, as well as complementary EU</w:t>
      </w:r>
      <w:r w:rsidR="00823470">
        <w:rPr>
          <w:rFonts w:ascii="Tahoma" w:hAnsi="Tahoma" w:cs="Tahoma"/>
          <w:bCs/>
          <w:sz w:val="20"/>
          <w:szCs w:val="20"/>
        </w:rPr>
        <w:t>-</w:t>
      </w:r>
      <w:r w:rsidRPr="00CB51DF">
        <w:rPr>
          <w:rFonts w:ascii="Tahoma" w:hAnsi="Tahoma" w:cs="Tahoma"/>
          <w:bCs/>
          <w:sz w:val="20"/>
          <w:szCs w:val="20"/>
        </w:rPr>
        <w:t>funded actions would also be featured</w:t>
      </w:r>
      <w:r w:rsidRPr="00CB51DF">
        <w:rPr>
          <w:rFonts w:ascii="Tahoma" w:hAnsi="Tahoma" w:cs="Tahoma"/>
          <w:bCs/>
          <w:i/>
          <w:iCs/>
          <w:sz w:val="20"/>
          <w:szCs w:val="20"/>
        </w:rPr>
        <w:t>.</w:t>
      </w:r>
    </w:p>
    <w:p w14:paraId="0F666843" w14:textId="77777777" w:rsidR="008B170C" w:rsidRDefault="008B170C" w:rsidP="00177754">
      <w:pPr>
        <w:jc w:val="both"/>
        <w:rPr>
          <w:rFonts w:ascii="Tahoma" w:hAnsi="Tahoma" w:cs="Tahoma"/>
          <w:bCs/>
          <w:sz w:val="20"/>
          <w:szCs w:val="20"/>
        </w:rPr>
      </w:pPr>
    </w:p>
    <w:p w14:paraId="4A3770FE" w14:textId="7D3E67F0" w:rsidR="00177754" w:rsidRPr="00B71615" w:rsidRDefault="00177754" w:rsidP="00177754">
      <w:pPr>
        <w:jc w:val="both"/>
        <w:rPr>
          <w:rFonts w:ascii="Tahoma" w:hAnsi="Tahoma" w:cs="Tahoma"/>
          <w:sz w:val="20"/>
          <w:szCs w:val="20"/>
        </w:rPr>
      </w:pPr>
    </w:p>
    <w:p w14:paraId="4BF6AD98" w14:textId="5E266E60" w:rsidR="00177754" w:rsidRPr="00177754" w:rsidRDefault="00177754" w:rsidP="00B71615">
      <w:pPr>
        <w:jc w:val="both"/>
        <w:rPr>
          <w:rFonts w:ascii="Tahoma" w:hAnsi="Tahoma" w:cs="Tahoma"/>
          <w:sz w:val="20"/>
          <w:szCs w:val="20"/>
        </w:rPr>
      </w:pPr>
      <w:r w:rsidRPr="00B71615">
        <w:rPr>
          <w:rFonts w:ascii="Tahoma" w:hAnsi="Tahoma" w:cs="Tahoma"/>
          <w:b/>
          <w:bCs/>
          <w:sz w:val="20"/>
          <w:szCs w:val="20"/>
        </w:rPr>
        <w:t>Partners:</w:t>
      </w:r>
      <w:r w:rsidRPr="00B71615">
        <w:rPr>
          <w:rFonts w:ascii="Tahoma" w:hAnsi="Tahoma" w:cs="Tahoma"/>
          <w:sz w:val="20"/>
          <w:szCs w:val="20"/>
        </w:rPr>
        <w:t xml:space="preserve"> The campaign will be developed / implemented in close co</w:t>
      </w:r>
      <w:r w:rsidR="00F87204" w:rsidRPr="00B71615">
        <w:rPr>
          <w:rFonts w:ascii="Tahoma" w:hAnsi="Tahoma" w:cs="Tahoma"/>
          <w:sz w:val="20"/>
          <w:szCs w:val="20"/>
        </w:rPr>
        <w:t>-</w:t>
      </w:r>
      <w:r w:rsidRPr="00B71615">
        <w:rPr>
          <w:rFonts w:ascii="Tahoma" w:hAnsi="Tahoma" w:cs="Tahoma"/>
          <w:sz w:val="20"/>
          <w:szCs w:val="20"/>
        </w:rPr>
        <w:t xml:space="preserve">operation with </w:t>
      </w:r>
      <w:r w:rsidR="008112B0">
        <w:rPr>
          <w:rFonts w:ascii="Tahoma" w:hAnsi="Tahoma" w:cs="Tahoma"/>
          <w:sz w:val="20"/>
          <w:szCs w:val="20"/>
        </w:rPr>
        <w:t>a</w:t>
      </w:r>
      <w:r w:rsidRPr="00B71615">
        <w:rPr>
          <w:rFonts w:ascii="Tahoma" w:hAnsi="Tahoma" w:cs="Tahoma"/>
          <w:sz w:val="20"/>
          <w:szCs w:val="20"/>
        </w:rPr>
        <w:t>ction beneficiaries:</w:t>
      </w:r>
      <w:r w:rsidR="00B71615" w:rsidRPr="00B71615">
        <w:rPr>
          <w:rFonts w:ascii="Tahoma" w:hAnsi="Tahoma" w:cs="Tahoma"/>
          <w:sz w:val="20"/>
          <w:szCs w:val="20"/>
        </w:rPr>
        <w:t xml:space="preserve"> Centre for Training in Judiciary and State Prosecution, Bar Association of Montenegro, Police Directorate / Ministry of Interior, Police Academy, Agency for Electronic Media, Association of Professional Journalists, Trade Union of Media of Montenegro, Faculty of Political Science and Faculty of Law,</w:t>
      </w:r>
      <w:r w:rsidR="00F813BC">
        <w:rPr>
          <w:rFonts w:ascii="Tahoma" w:hAnsi="Tahoma" w:cs="Tahoma"/>
          <w:sz w:val="20"/>
          <w:szCs w:val="20"/>
        </w:rPr>
        <w:t xml:space="preserve"> as well as</w:t>
      </w:r>
      <w:r w:rsidR="00B71615" w:rsidRPr="00B71615">
        <w:rPr>
          <w:rFonts w:ascii="Tahoma" w:hAnsi="Tahoma" w:cs="Tahoma"/>
          <w:sz w:val="20"/>
          <w:szCs w:val="20"/>
        </w:rPr>
        <w:t xml:space="preserve"> Ministry of Culture</w:t>
      </w:r>
      <w:r w:rsidR="002F5F71" w:rsidRPr="00B71615">
        <w:rPr>
          <w:rFonts w:ascii="Tahoma" w:hAnsi="Tahoma" w:cs="Tahoma"/>
          <w:sz w:val="20"/>
          <w:szCs w:val="20"/>
          <w:lang w:val="en-US"/>
        </w:rPr>
        <w:t>.</w:t>
      </w:r>
    </w:p>
    <w:p w14:paraId="516E7A95" w14:textId="77777777" w:rsidR="00177754" w:rsidRPr="00177754" w:rsidRDefault="00177754" w:rsidP="00177754">
      <w:pPr>
        <w:jc w:val="both"/>
        <w:rPr>
          <w:rFonts w:ascii="Tahoma" w:hAnsi="Tahoma" w:cs="Tahoma"/>
          <w:sz w:val="20"/>
          <w:szCs w:val="20"/>
        </w:rPr>
      </w:pPr>
    </w:p>
    <w:p w14:paraId="16618238" w14:textId="6EAEC771" w:rsidR="00177754" w:rsidRPr="00177754" w:rsidRDefault="00177754" w:rsidP="00177754">
      <w:pPr>
        <w:jc w:val="both"/>
        <w:rPr>
          <w:rFonts w:ascii="Tahoma" w:hAnsi="Tahoma" w:cs="Tahoma"/>
          <w:sz w:val="20"/>
          <w:szCs w:val="20"/>
        </w:rPr>
      </w:pPr>
      <w:r w:rsidRPr="00177754">
        <w:rPr>
          <w:rFonts w:ascii="Tahoma" w:hAnsi="Tahoma" w:cs="Tahoma"/>
          <w:b/>
          <w:bCs/>
          <w:sz w:val="20"/>
          <w:szCs w:val="20"/>
        </w:rPr>
        <w:t>Timeframe:</w:t>
      </w:r>
      <w:r w:rsidRPr="00177754">
        <w:rPr>
          <w:rFonts w:ascii="Tahoma" w:hAnsi="Tahoma" w:cs="Tahoma"/>
          <w:sz w:val="20"/>
          <w:szCs w:val="20"/>
        </w:rPr>
        <w:t xml:space="preserve"> 1</w:t>
      </w:r>
      <w:r w:rsidR="002F2AC1">
        <w:rPr>
          <w:rFonts w:ascii="Tahoma" w:hAnsi="Tahoma" w:cs="Tahoma"/>
          <w:sz w:val="20"/>
          <w:szCs w:val="20"/>
        </w:rPr>
        <w:t>5</w:t>
      </w:r>
      <w:r w:rsidRPr="00177754">
        <w:rPr>
          <w:rFonts w:ascii="Tahoma" w:hAnsi="Tahoma" w:cs="Tahoma"/>
          <w:sz w:val="20"/>
          <w:szCs w:val="20"/>
        </w:rPr>
        <w:t xml:space="preserve"> </w:t>
      </w:r>
      <w:r w:rsidR="006D682A">
        <w:rPr>
          <w:rFonts w:ascii="Tahoma" w:hAnsi="Tahoma" w:cs="Tahoma"/>
          <w:sz w:val="20"/>
          <w:szCs w:val="20"/>
        </w:rPr>
        <w:t>October</w:t>
      </w:r>
      <w:r w:rsidRPr="00177754">
        <w:rPr>
          <w:rFonts w:ascii="Tahoma" w:hAnsi="Tahoma" w:cs="Tahoma"/>
          <w:sz w:val="20"/>
          <w:szCs w:val="20"/>
        </w:rPr>
        <w:t xml:space="preserve"> </w:t>
      </w:r>
      <w:r w:rsidR="006D682A">
        <w:rPr>
          <w:rFonts w:ascii="Tahoma" w:hAnsi="Tahoma" w:cs="Tahoma"/>
          <w:sz w:val="20"/>
          <w:szCs w:val="20"/>
        </w:rPr>
        <w:t xml:space="preserve">2020 </w:t>
      </w:r>
      <w:r w:rsidRPr="00177754">
        <w:rPr>
          <w:rFonts w:ascii="Tahoma" w:hAnsi="Tahoma" w:cs="Tahoma"/>
          <w:sz w:val="20"/>
          <w:szCs w:val="20"/>
        </w:rPr>
        <w:t xml:space="preserve">– </w:t>
      </w:r>
      <w:r w:rsidR="006D682A">
        <w:rPr>
          <w:rFonts w:ascii="Tahoma" w:hAnsi="Tahoma" w:cs="Tahoma"/>
          <w:sz w:val="20"/>
          <w:szCs w:val="20"/>
        </w:rPr>
        <w:t xml:space="preserve">31 </w:t>
      </w:r>
      <w:r w:rsidR="00AE793A">
        <w:rPr>
          <w:rFonts w:ascii="Tahoma" w:hAnsi="Tahoma" w:cs="Tahoma"/>
          <w:sz w:val="20"/>
          <w:szCs w:val="20"/>
        </w:rPr>
        <w:t>March</w:t>
      </w:r>
      <w:r w:rsidR="006D682A">
        <w:rPr>
          <w:rFonts w:ascii="Tahoma" w:hAnsi="Tahoma" w:cs="Tahoma"/>
          <w:sz w:val="20"/>
          <w:szCs w:val="20"/>
        </w:rPr>
        <w:t xml:space="preserve"> 202</w:t>
      </w:r>
      <w:r w:rsidR="00AE793A">
        <w:rPr>
          <w:rFonts w:ascii="Tahoma" w:hAnsi="Tahoma" w:cs="Tahoma"/>
          <w:sz w:val="20"/>
          <w:szCs w:val="20"/>
        </w:rPr>
        <w:t>2</w:t>
      </w:r>
    </w:p>
    <w:p w14:paraId="35CD5AE3" w14:textId="77777777" w:rsidR="00177754" w:rsidRPr="00177754" w:rsidRDefault="00177754" w:rsidP="00177754">
      <w:pPr>
        <w:jc w:val="both"/>
        <w:rPr>
          <w:rFonts w:ascii="Tahoma" w:hAnsi="Tahoma" w:cs="Tahoma"/>
          <w:sz w:val="20"/>
          <w:szCs w:val="20"/>
        </w:rPr>
      </w:pPr>
    </w:p>
    <w:p w14:paraId="22248751" w14:textId="41A923FC" w:rsidR="00177754" w:rsidRPr="00CB51DF" w:rsidRDefault="00177754" w:rsidP="00177754">
      <w:pPr>
        <w:jc w:val="both"/>
        <w:rPr>
          <w:rFonts w:ascii="Tahoma" w:hAnsi="Tahoma" w:cs="Tahoma"/>
          <w:bCs/>
          <w:sz w:val="20"/>
          <w:szCs w:val="20"/>
        </w:rPr>
      </w:pPr>
      <w:r w:rsidRPr="00CB51DF">
        <w:rPr>
          <w:rFonts w:ascii="Tahoma" w:hAnsi="Tahoma" w:cs="Tahoma"/>
          <w:b/>
          <w:bCs/>
          <w:sz w:val="20"/>
          <w:szCs w:val="20"/>
        </w:rPr>
        <w:t>Aim:</w:t>
      </w:r>
      <w:r w:rsidRPr="00CB51DF">
        <w:rPr>
          <w:rFonts w:ascii="Tahoma" w:hAnsi="Tahoma" w:cs="Tahoma"/>
          <w:sz w:val="20"/>
          <w:szCs w:val="20"/>
        </w:rPr>
        <w:t xml:space="preserve"> T</w:t>
      </w:r>
      <w:r w:rsidR="00CB51DF" w:rsidRPr="00CB51DF">
        <w:rPr>
          <w:rFonts w:ascii="Tahoma" w:hAnsi="Tahoma" w:cs="Tahoma"/>
          <w:bCs/>
          <w:sz w:val="20"/>
          <w:szCs w:val="20"/>
        </w:rPr>
        <w:t xml:space="preserve">o </w:t>
      </w:r>
      <w:r w:rsidR="00CB51DF">
        <w:rPr>
          <w:rFonts w:ascii="Tahoma" w:hAnsi="Tahoma" w:cs="Tahoma"/>
          <w:bCs/>
          <w:sz w:val="20"/>
          <w:szCs w:val="20"/>
        </w:rPr>
        <w:t xml:space="preserve">raise the public awareness on </w:t>
      </w:r>
      <w:r w:rsidR="00CB51DF" w:rsidRPr="00CB51DF">
        <w:rPr>
          <w:rFonts w:ascii="Tahoma" w:hAnsi="Tahoma" w:cs="Tahoma"/>
          <w:bCs/>
          <w:sz w:val="20"/>
          <w:szCs w:val="20"/>
        </w:rPr>
        <w:t xml:space="preserve">the </w:t>
      </w:r>
      <w:r w:rsidR="00266625">
        <w:rPr>
          <w:rFonts w:ascii="Tahoma" w:hAnsi="Tahoma" w:cs="Tahoma"/>
          <w:bCs/>
          <w:sz w:val="20"/>
          <w:szCs w:val="20"/>
        </w:rPr>
        <w:t>European</w:t>
      </w:r>
      <w:r w:rsidR="00CB51DF" w:rsidRPr="00CB51DF">
        <w:rPr>
          <w:rFonts w:ascii="Tahoma" w:hAnsi="Tahoma" w:cs="Tahoma"/>
          <w:bCs/>
          <w:sz w:val="20"/>
          <w:szCs w:val="20"/>
        </w:rPr>
        <w:t xml:space="preserve"> standards in the areas of </w:t>
      </w:r>
      <w:r w:rsidR="00266625">
        <w:rPr>
          <w:rFonts w:ascii="Tahoma" w:hAnsi="Tahoma" w:cs="Tahoma"/>
          <w:bCs/>
          <w:sz w:val="20"/>
          <w:szCs w:val="20"/>
        </w:rPr>
        <w:t>f</w:t>
      </w:r>
      <w:r w:rsidR="00CB51DF" w:rsidRPr="00CB51DF">
        <w:rPr>
          <w:rFonts w:ascii="Tahoma" w:hAnsi="Tahoma" w:cs="Tahoma"/>
          <w:bCs/>
          <w:sz w:val="20"/>
          <w:szCs w:val="20"/>
        </w:rPr>
        <w:t xml:space="preserve">reedom of </w:t>
      </w:r>
      <w:r w:rsidR="00266625">
        <w:rPr>
          <w:rFonts w:ascii="Tahoma" w:hAnsi="Tahoma" w:cs="Tahoma"/>
          <w:bCs/>
          <w:sz w:val="20"/>
          <w:szCs w:val="20"/>
        </w:rPr>
        <w:t>e</w:t>
      </w:r>
      <w:r w:rsidR="00CB51DF" w:rsidRPr="00CB51DF">
        <w:rPr>
          <w:rFonts w:ascii="Tahoma" w:hAnsi="Tahoma" w:cs="Tahoma"/>
          <w:bCs/>
          <w:sz w:val="20"/>
          <w:szCs w:val="20"/>
        </w:rPr>
        <w:t xml:space="preserve">xpression and </w:t>
      </w:r>
      <w:r w:rsidR="00266625">
        <w:rPr>
          <w:rFonts w:ascii="Tahoma" w:hAnsi="Tahoma" w:cs="Tahoma"/>
          <w:bCs/>
          <w:sz w:val="20"/>
          <w:szCs w:val="20"/>
        </w:rPr>
        <w:t>p</w:t>
      </w:r>
      <w:r w:rsidR="00CB51DF">
        <w:rPr>
          <w:rFonts w:ascii="Tahoma" w:hAnsi="Tahoma" w:cs="Tahoma"/>
          <w:bCs/>
          <w:sz w:val="20"/>
          <w:szCs w:val="20"/>
        </w:rPr>
        <w:t>rotection</w:t>
      </w:r>
      <w:r w:rsidR="00CB51DF" w:rsidRPr="00CB51DF">
        <w:rPr>
          <w:rFonts w:ascii="Tahoma" w:hAnsi="Tahoma" w:cs="Tahoma"/>
          <w:bCs/>
          <w:sz w:val="20"/>
          <w:szCs w:val="20"/>
        </w:rPr>
        <w:t xml:space="preserve"> of </w:t>
      </w:r>
      <w:r w:rsidR="00266625">
        <w:rPr>
          <w:rFonts w:ascii="Tahoma" w:hAnsi="Tahoma" w:cs="Tahoma"/>
          <w:bCs/>
          <w:sz w:val="20"/>
          <w:szCs w:val="20"/>
        </w:rPr>
        <w:t>j</w:t>
      </w:r>
      <w:r w:rsidR="00CB51DF" w:rsidRPr="00CB51DF">
        <w:rPr>
          <w:rFonts w:ascii="Tahoma" w:hAnsi="Tahoma" w:cs="Tahoma"/>
          <w:bCs/>
          <w:sz w:val="20"/>
          <w:szCs w:val="20"/>
        </w:rPr>
        <w:t>ournalists</w:t>
      </w:r>
      <w:r w:rsidR="00CB51DF">
        <w:rPr>
          <w:rFonts w:ascii="Tahoma" w:hAnsi="Tahoma" w:cs="Tahoma"/>
          <w:bCs/>
          <w:sz w:val="20"/>
          <w:szCs w:val="20"/>
        </w:rPr>
        <w:t xml:space="preserve"> </w:t>
      </w:r>
    </w:p>
    <w:p w14:paraId="6E67E186" w14:textId="77777777" w:rsidR="00177754" w:rsidRPr="00F5074F" w:rsidRDefault="00177754" w:rsidP="00177754">
      <w:pPr>
        <w:jc w:val="both"/>
        <w:rPr>
          <w:rFonts w:ascii="Tahoma" w:hAnsi="Tahoma" w:cs="Tahoma"/>
          <w:sz w:val="20"/>
          <w:szCs w:val="20"/>
        </w:rPr>
      </w:pPr>
    </w:p>
    <w:p w14:paraId="03245C8E" w14:textId="221BBBCA" w:rsidR="00CB51DF" w:rsidRDefault="00CB51DF" w:rsidP="00177754">
      <w:pPr>
        <w:jc w:val="both"/>
        <w:rPr>
          <w:rFonts w:ascii="Tahoma" w:hAnsi="Tahoma" w:cs="Tahoma"/>
          <w:b/>
          <w:bCs/>
          <w:sz w:val="20"/>
          <w:szCs w:val="20"/>
        </w:rPr>
      </w:pPr>
      <w:r>
        <w:rPr>
          <w:rFonts w:ascii="Tahoma" w:hAnsi="Tahoma" w:cs="Tahoma"/>
          <w:b/>
          <w:bCs/>
          <w:sz w:val="20"/>
          <w:szCs w:val="20"/>
        </w:rPr>
        <w:t>Methodological guidelines</w:t>
      </w:r>
    </w:p>
    <w:p w14:paraId="28726641" w14:textId="77777777" w:rsidR="00CB51DF" w:rsidRDefault="00CB51DF" w:rsidP="00CB51DF">
      <w:pPr>
        <w:pStyle w:val="ListParagraph"/>
        <w:numPr>
          <w:ilvl w:val="0"/>
          <w:numId w:val="24"/>
        </w:numPr>
        <w:jc w:val="both"/>
        <w:rPr>
          <w:rFonts w:ascii="Tahoma" w:hAnsi="Tahoma" w:cs="Tahoma"/>
          <w:sz w:val="20"/>
          <w:szCs w:val="20"/>
        </w:rPr>
      </w:pPr>
      <w:r w:rsidRPr="00CB51DF">
        <w:rPr>
          <w:rFonts w:ascii="Tahoma" w:hAnsi="Tahoma" w:cs="Tahoma"/>
          <w:sz w:val="20"/>
          <w:szCs w:val="20"/>
        </w:rPr>
        <w:t>Campaign would focus on Facebook and Instagram, two being the most influential social networks in Montenegro</w:t>
      </w:r>
    </w:p>
    <w:p w14:paraId="005BA33C" w14:textId="0C3A2502" w:rsidR="00CB51DF" w:rsidRDefault="00CB51DF" w:rsidP="00CB51DF">
      <w:pPr>
        <w:pStyle w:val="ListParagraph"/>
        <w:numPr>
          <w:ilvl w:val="0"/>
          <w:numId w:val="24"/>
        </w:numPr>
        <w:jc w:val="both"/>
        <w:rPr>
          <w:rFonts w:ascii="Tahoma" w:hAnsi="Tahoma" w:cs="Tahoma"/>
          <w:sz w:val="20"/>
          <w:szCs w:val="20"/>
        </w:rPr>
      </w:pPr>
      <w:r>
        <w:rPr>
          <w:rFonts w:ascii="Tahoma" w:hAnsi="Tahoma" w:cs="Tahoma"/>
          <w:sz w:val="20"/>
          <w:szCs w:val="20"/>
        </w:rPr>
        <w:t xml:space="preserve">Service provider would ensure Graphic Design and Community Management services </w:t>
      </w:r>
    </w:p>
    <w:p w14:paraId="55B06AA5" w14:textId="267F1C09" w:rsidR="00CB51DF" w:rsidRDefault="00CB51DF" w:rsidP="00CB51DF">
      <w:pPr>
        <w:pStyle w:val="ListParagraph"/>
        <w:numPr>
          <w:ilvl w:val="0"/>
          <w:numId w:val="24"/>
        </w:numPr>
        <w:jc w:val="both"/>
        <w:rPr>
          <w:rFonts w:ascii="Tahoma" w:hAnsi="Tahoma" w:cs="Tahoma"/>
          <w:sz w:val="20"/>
          <w:szCs w:val="20"/>
        </w:rPr>
      </w:pPr>
      <w:r w:rsidRPr="00CB51DF">
        <w:rPr>
          <w:rFonts w:ascii="Tahoma" w:hAnsi="Tahoma" w:cs="Tahoma"/>
          <w:sz w:val="20"/>
          <w:szCs w:val="20"/>
        </w:rPr>
        <w:t>Graphic design services would entail visual solutions for each social media posting as well as important monthly infographics and animation</w:t>
      </w:r>
      <w:r>
        <w:rPr>
          <w:rFonts w:ascii="Tahoma" w:hAnsi="Tahoma" w:cs="Tahoma"/>
          <w:sz w:val="20"/>
          <w:szCs w:val="20"/>
        </w:rPr>
        <w:t>s-videos</w:t>
      </w:r>
    </w:p>
    <w:p w14:paraId="1DAF287F" w14:textId="7282A177" w:rsidR="00CB51DF" w:rsidRDefault="00CB51DF" w:rsidP="00CB51DF">
      <w:pPr>
        <w:pStyle w:val="ListParagraph"/>
        <w:numPr>
          <w:ilvl w:val="0"/>
          <w:numId w:val="24"/>
        </w:numPr>
        <w:jc w:val="both"/>
        <w:rPr>
          <w:rFonts w:ascii="Tahoma" w:hAnsi="Tahoma" w:cs="Tahoma"/>
          <w:sz w:val="20"/>
          <w:szCs w:val="20"/>
        </w:rPr>
      </w:pPr>
      <w:r w:rsidRPr="00CB51DF">
        <w:rPr>
          <w:rFonts w:ascii="Tahoma" w:hAnsi="Tahoma" w:cs="Tahoma"/>
          <w:sz w:val="20"/>
          <w:szCs w:val="20"/>
        </w:rPr>
        <w:t>Community management would entail actual management of social media profiles, providing draft copywriting, interaction with the online community and preparing regular social media impact reports</w:t>
      </w:r>
      <w:r>
        <w:rPr>
          <w:rFonts w:ascii="Tahoma" w:hAnsi="Tahoma" w:cs="Tahoma"/>
          <w:sz w:val="20"/>
          <w:szCs w:val="20"/>
        </w:rPr>
        <w:t>.</w:t>
      </w:r>
    </w:p>
    <w:p w14:paraId="18793B5C" w14:textId="7D8570C3" w:rsidR="006D6CA0" w:rsidRPr="002F2AC1" w:rsidRDefault="006D6CA0" w:rsidP="00CB51DF">
      <w:pPr>
        <w:pStyle w:val="ListParagraph"/>
        <w:numPr>
          <w:ilvl w:val="0"/>
          <w:numId w:val="24"/>
        </w:numPr>
        <w:jc w:val="both"/>
        <w:rPr>
          <w:rFonts w:ascii="Tahoma" w:hAnsi="Tahoma" w:cs="Tahoma"/>
          <w:sz w:val="20"/>
          <w:szCs w:val="20"/>
        </w:rPr>
      </w:pPr>
      <w:r w:rsidRPr="002F2AC1">
        <w:rPr>
          <w:rFonts w:ascii="Tahoma" w:hAnsi="Tahoma" w:cs="Tahoma"/>
          <w:sz w:val="20"/>
          <w:szCs w:val="20"/>
        </w:rPr>
        <w:t>All tasks will be performed in accordance with the Horizontal Facility visibility guidelines and will be approved by the Horizontal Facility communication officer prior to being published</w:t>
      </w:r>
      <w:r w:rsidR="00F32CAF" w:rsidRPr="002F2AC1">
        <w:rPr>
          <w:rFonts w:ascii="Tahoma" w:hAnsi="Tahoma" w:cs="Tahoma"/>
          <w:sz w:val="20"/>
          <w:szCs w:val="20"/>
        </w:rPr>
        <w:t>, while the methodology and the concept of the campaign would have to be approved by the EUD communication officer.</w:t>
      </w:r>
    </w:p>
    <w:p w14:paraId="7746A9C8" w14:textId="77777777" w:rsidR="00CB51DF" w:rsidRDefault="00CB51DF" w:rsidP="00177754">
      <w:pPr>
        <w:jc w:val="both"/>
        <w:rPr>
          <w:rFonts w:ascii="Tahoma" w:hAnsi="Tahoma" w:cs="Tahoma"/>
          <w:b/>
          <w:bCs/>
          <w:sz w:val="20"/>
          <w:szCs w:val="20"/>
        </w:rPr>
      </w:pPr>
    </w:p>
    <w:p w14:paraId="1B9B6BF9" w14:textId="5B8BE3DC" w:rsidR="00177754" w:rsidRPr="00F5074F" w:rsidRDefault="00177754" w:rsidP="00177754">
      <w:pPr>
        <w:jc w:val="both"/>
        <w:rPr>
          <w:rFonts w:ascii="Tahoma" w:hAnsi="Tahoma" w:cs="Tahoma"/>
          <w:sz w:val="20"/>
          <w:szCs w:val="20"/>
        </w:rPr>
      </w:pPr>
      <w:r w:rsidRPr="00F5074F">
        <w:rPr>
          <w:rFonts w:ascii="Tahoma" w:hAnsi="Tahoma" w:cs="Tahoma"/>
          <w:b/>
          <w:bCs/>
          <w:sz w:val="20"/>
          <w:szCs w:val="20"/>
        </w:rPr>
        <w:t>Content of the campaign</w:t>
      </w:r>
      <w:r w:rsidRPr="00F5074F">
        <w:rPr>
          <w:rFonts w:ascii="Tahoma" w:hAnsi="Tahoma" w:cs="Tahoma"/>
          <w:sz w:val="20"/>
          <w:szCs w:val="20"/>
        </w:rPr>
        <w:t xml:space="preserve">: The campaign </w:t>
      </w:r>
      <w:r w:rsidR="004C410C" w:rsidRPr="00F5074F">
        <w:rPr>
          <w:rFonts w:ascii="Tahoma" w:hAnsi="Tahoma" w:cs="Tahoma"/>
          <w:sz w:val="20"/>
          <w:szCs w:val="20"/>
        </w:rPr>
        <w:t>should</w:t>
      </w:r>
      <w:r w:rsidRPr="00F5074F">
        <w:rPr>
          <w:rFonts w:ascii="Tahoma" w:hAnsi="Tahoma" w:cs="Tahoma"/>
          <w:sz w:val="20"/>
          <w:szCs w:val="20"/>
        </w:rPr>
        <w:t xml:space="preserve"> include, but will not be limited to the following elements: </w:t>
      </w:r>
    </w:p>
    <w:p w14:paraId="3489E256" w14:textId="77777777" w:rsidR="00177754" w:rsidRPr="00AC3113" w:rsidRDefault="00177754" w:rsidP="00177754">
      <w:pPr>
        <w:jc w:val="both"/>
        <w:rPr>
          <w:rFonts w:ascii="Tahoma" w:hAnsi="Tahoma" w:cs="Tahoma"/>
          <w:sz w:val="20"/>
          <w:szCs w:val="20"/>
        </w:rPr>
      </w:pPr>
    </w:p>
    <w:p w14:paraId="6832228A" w14:textId="77777777" w:rsidR="00AC3113" w:rsidRDefault="00177754" w:rsidP="00AC3113">
      <w:pPr>
        <w:pStyle w:val="ListParagraph"/>
        <w:numPr>
          <w:ilvl w:val="0"/>
          <w:numId w:val="12"/>
        </w:numPr>
        <w:contextualSpacing/>
        <w:jc w:val="both"/>
        <w:rPr>
          <w:rFonts w:ascii="Tahoma" w:hAnsi="Tahoma" w:cs="Tahoma"/>
          <w:sz w:val="20"/>
          <w:szCs w:val="20"/>
        </w:rPr>
      </w:pPr>
      <w:r w:rsidRPr="00AC3113">
        <w:rPr>
          <w:rFonts w:ascii="Tahoma" w:hAnsi="Tahoma" w:cs="Tahoma"/>
          <w:b/>
          <w:bCs/>
          <w:sz w:val="20"/>
          <w:szCs w:val="20"/>
        </w:rPr>
        <w:t xml:space="preserve">Creation of the slogan </w:t>
      </w:r>
      <w:r w:rsidR="00AC3113" w:rsidRPr="00AC3113">
        <w:rPr>
          <w:rFonts w:ascii="Tahoma" w:hAnsi="Tahoma" w:cs="Tahoma"/>
          <w:b/>
          <w:bCs/>
          <w:sz w:val="20"/>
          <w:szCs w:val="20"/>
        </w:rPr>
        <w:t xml:space="preserve">and visual identity </w:t>
      </w:r>
      <w:r w:rsidRPr="00AC3113">
        <w:rPr>
          <w:rFonts w:ascii="Tahoma" w:hAnsi="Tahoma" w:cs="Tahoma"/>
          <w:b/>
          <w:bCs/>
          <w:sz w:val="20"/>
          <w:szCs w:val="20"/>
        </w:rPr>
        <w:t xml:space="preserve">of the campaign, </w:t>
      </w:r>
      <w:r w:rsidRPr="00AC3113">
        <w:rPr>
          <w:rFonts w:ascii="Tahoma" w:hAnsi="Tahoma" w:cs="Tahoma"/>
          <w:sz w:val="20"/>
          <w:szCs w:val="20"/>
        </w:rPr>
        <w:t>in Montenegrin</w:t>
      </w:r>
      <w:r w:rsidR="00F5074F" w:rsidRPr="00AC3113">
        <w:rPr>
          <w:rFonts w:ascii="Tahoma" w:hAnsi="Tahoma" w:cs="Tahoma"/>
          <w:sz w:val="20"/>
          <w:szCs w:val="20"/>
        </w:rPr>
        <w:t xml:space="preserve"> and English,</w:t>
      </w:r>
      <w:r w:rsidRPr="00AC3113">
        <w:rPr>
          <w:rFonts w:ascii="Tahoma" w:hAnsi="Tahoma" w:cs="Tahoma"/>
          <w:sz w:val="20"/>
          <w:szCs w:val="20"/>
        </w:rPr>
        <w:t xml:space="preserve"> and </w:t>
      </w:r>
      <w:r w:rsidR="00F5074F" w:rsidRPr="00AC3113">
        <w:rPr>
          <w:rFonts w:ascii="Tahoma" w:hAnsi="Tahoma" w:cs="Tahoma"/>
          <w:sz w:val="20"/>
          <w:szCs w:val="20"/>
        </w:rPr>
        <w:t xml:space="preserve">aligned with </w:t>
      </w:r>
      <w:r w:rsidRPr="00AC3113">
        <w:rPr>
          <w:rFonts w:ascii="Tahoma" w:hAnsi="Tahoma" w:cs="Tahoma"/>
          <w:sz w:val="20"/>
          <w:szCs w:val="20"/>
        </w:rPr>
        <w:t>the slogan of H</w:t>
      </w:r>
      <w:r w:rsidR="008879EA" w:rsidRPr="00AC3113">
        <w:rPr>
          <w:rFonts w:ascii="Tahoma" w:hAnsi="Tahoma" w:cs="Tahoma"/>
          <w:sz w:val="20"/>
          <w:szCs w:val="20"/>
        </w:rPr>
        <w:t xml:space="preserve">orizontal </w:t>
      </w:r>
      <w:r w:rsidRPr="00AC3113">
        <w:rPr>
          <w:rFonts w:ascii="Tahoma" w:hAnsi="Tahoma" w:cs="Tahoma"/>
          <w:sz w:val="20"/>
          <w:szCs w:val="20"/>
        </w:rPr>
        <w:t>F</w:t>
      </w:r>
      <w:r w:rsidR="008879EA" w:rsidRPr="00AC3113">
        <w:rPr>
          <w:rFonts w:ascii="Tahoma" w:hAnsi="Tahoma" w:cs="Tahoma"/>
          <w:sz w:val="20"/>
          <w:szCs w:val="20"/>
        </w:rPr>
        <w:t>acility II</w:t>
      </w:r>
      <w:r w:rsidR="004C410C" w:rsidRPr="00AC3113">
        <w:rPr>
          <w:rFonts w:ascii="Tahoma" w:hAnsi="Tahoma" w:cs="Tahoma"/>
          <w:sz w:val="20"/>
          <w:szCs w:val="20"/>
        </w:rPr>
        <w:t xml:space="preserve"> – For Your Rights</w:t>
      </w:r>
      <w:r w:rsidR="00F87204" w:rsidRPr="00AC3113">
        <w:rPr>
          <w:rFonts w:ascii="Tahoma" w:hAnsi="Tahoma" w:cs="Tahoma"/>
          <w:sz w:val="20"/>
          <w:szCs w:val="20"/>
        </w:rPr>
        <w:t>:</w:t>
      </w:r>
      <w:r w:rsidR="004C410C" w:rsidRPr="00AC3113">
        <w:rPr>
          <w:rFonts w:ascii="Tahoma" w:hAnsi="Tahoma" w:cs="Tahoma"/>
          <w:sz w:val="20"/>
          <w:szCs w:val="20"/>
        </w:rPr>
        <w:t xml:space="preserve"> Towards European Standards</w:t>
      </w:r>
      <w:r w:rsidRPr="00AC3113">
        <w:rPr>
          <w:rFonts w:ascii="Tahoma" w:hAnsi="Tahoma" w:cs="Tahoma"/>
          <w:sz w:val="20"/>
          <w:szCs w:val="20"/>
        </w:rPr>
        <w:t xml:space="preserve">. </w:t>
      </w:r>
    </w:p>
    <w:p w14:paraId="24BAD2C6" w14:textId="77777777" w:rsidR="00AC3113" w:rsidRPr="00AC3113" w:rsidRDefault="00AC3113" w:rsidP="00AC3113">
      <w:pPr>
        <w:pStyle w:val="ListParagraph"/>
        <w:contextualSpacing/>
        <w:jc w:val="both"/>
        <w:rPr>
          <w:rFonts w:ascii="Tahoma" w:hAnsi="Tahoma" w:cs="Tahoma"/>
          <w:sz w:val="20"/>
          <w:szCs w:val="20"/>
        </w:rPr>
      </w:pPr>
    </w:p>
    <w:p w14:paraId="3AC3E0A6" w14:textId="5F781000" w:rsidR="00177754" w:rsidRPr="00AC3113" w:rsidRDefault="00AC3113" w:rsidP="00AC3113">
      <w:pPr>
        <w:pStyle w:val="ListParagraph"/>
        <w:numPr>
          <w:ilvl w:val="0"/>
          <w:numId w:val="12"/>
        </w:numPr>
        <w:contextualSpacing/>
        <w:jc w:val="both"/>
        <w:rPr>
          <w:rFonts w:ascii="Tahoma" w:hAnsi="Tahoma" w:cs="Tahoma"/>
          <w:sz w:val="20"/>
          <w:szCs w:val="20"/>
        </w:rPr>
      </w:pPr>
      <w:r>
        <w:rPr>
          <w:rFonts w:ascii="Tahoma" w:hAnsi="Tahoma" w:cs="Tahoma"/>
          <w:b/>
          <w:bCs/>
          <w:sz w:val="20"/>
          <w:szCs w:val="20"/>
        </w:rPr>
        <w:t>Three</w:t>
      </w:r>
      <w:r w:rsidRPr="00AC3113">
        <w:rPr>
          <w:rFonts w:ascii="Tahoma" w:hAnsi="Tahoma" w:cs="Tahoma"/>
          <w:b/>
          <w:bCs/>
          <w:sz w:val="20"/>
          <w:szCs w:val="20"/>
        </w:rPr>
        <w:t xml:space="preserve"> </w:t>
      </w:r>
      <w:r w:rsidR="00F5074F" w:rsidRPr="00AC3113">
        <w:rPr>
          <w:rFonts w:ascii="Tahoma" w:hAnsi="Tahoma" w:cs="Tahoma"/>
          <w:b/>
          <w:bCs/>
          <w:sz w:val="20"/>
          <w:szCs w:val="20"/>
        </w:rPr>
        <w:t>animations/</w:t>
      </w:r>
      <w:r w:rsidR="00177754" w:rsidRPr="00AC3113">
        <w:rPr>
          <w:rFonts w:ascii="Tahoma" w:hAnsi="Tahoma" w:cs="Tahoma"/>
          <w:b/>
          <w:bCs/>
          <w:sz w:val="20"/>
          <w:szCs w:val="20"/>
        </w:rPr>
        <w:t xml:space="preserve">videos </w:t>
      </w:r>
      <w:r w:rsidR="00177754" w:rsidRPr="00AC3113">
        <w:rPr>
          <w:rFonts w:ascii="Tahoma" w:hAnsi="Tahoma" w:cs="Tahoma"/>
          <w:sz w:val="20"/>
          <w:szCs w:val="20"/>
        </w:rPr>
        <w:t xml:space="preserve">(maximum duration </w:t>
      </w:r>
      <w:r w:rsidR="00CB51DF" w:rsidRPr="00AC3113">
        <w:rPr>
          <w:rFonts w:ascii="Tahoma" w:hAnsi="Tahoma" w:cs="Tahoma"/>
          <w:sz w:val="20"/>
          <w:szCs w:val="20"/>
        </w:rPr>
        <w:t>45</w:t>
      </w:r>
      <w:r w:rsidR="00177754" w:rsidRPr="00AC3113">
        <w:rPr>
          <w:rFonts w:ascii="Tahoma" w:hAnsi="Tahoma" w:cs="Tahoma"/>
          <w:sz w:val="20"/>
          <w:szCs w:val="20"/>
        </w:rPr>
        <w:t xml:space="preserve"> seconds</w:t>
      </w:r>
      <w:r w:rsidR="00186FA0">
        <w:rPr>
          <w:rFonts w:ascii="Tahoma" w:hAnsi="Tahoma" w:cs="Tahoma"/>
          <w:sz w:val="20"/>
          <w:szCs w:val="20"/>
        </w:rPr>
        <w:t xml:space="preserve"> each</w:t>
      </w:r>
      <w:r w:rsidR="00177754" w:rsidRPr="00AC3113">
        <w:rPr>
          <w:rFonts w:ascii="Tahoma" w:hAnsi="Tahoma" w:cs="Tahoma"/>
          <w:sz w:val="20"/>
          <w:szCs w:val="20"/>
        </w:rPr>
        <w:t xml:space="preserve">) </w:t>
      </w:r>
      <w:r w:rsidRPr="00AC3113">
        <w:rPr>
          <w:rFonts w:ascii="Tahoma" w:hAnsi="Tahoma" w:cs="Tahoma"/>
          <w:sz w:val="20"/>
          <w:szCs w:val="20"/>
        </w:rPr>
        <w:t xml:space="preserve">explaining most relevant </w:t>
      </w:r>
      <w:proofErr w:type="spellStart"/>
      <w:r w:rsidRPr="00AC3113">
        <w:rPr>
          <w:rFonts w:ascii="Tahoma" w:hAnsi="Tahoma" w:cs="Tahoma"/>
          <w:sz w:val="20"/>
          <w:szCs w:val="20"/>
        </w:rPr>
        <w:t>FoE</w:t>
      </w:r>
      <w:proofErr w:type="spellEnd"/>
      <w:r w:rsidRPr="00AC3113">
        <w:rPr>
          <w:rFonts w:ascii="Tahoma" w:hAnsi="Tahoma" w:cs="Tahoma"/>
          <w:sz w:val="20"/>
          <w:szCs w:val="20"/>
        </w:rPr>
        <w:t xml:space="preserve"> standards, in user friendly language and referring to the local context</w:t>
      </w:r>
      <w:r>
        <w:rPr>
          <w:rFonts w:ascii="Tahoma" w:hAnsi="Tahoma" w:cs="Tahoma"/>
          <w:sz w:val="20"/>
          <w:szCs w:val="20"/>
        </w:rPr>
        <w:t xml:space="preserve">. Animations/videos should clearly illustrate the importance of </w:t>
      </w:r>
      <w:r w:rsidR="00A62E8D">
        <w:rPr>
          <w:rFonts w:ascii="Tahoma" w:hAnsi="Tahoma" w:cs="Tahoma"/>
          <w:sz w:val="20"/>
          <w:szCs w:val="20"/>
        </w:rPr>
        <w:t>f</w:t>
      </w:r>
      <w:r>
        <w:rPr>
          <w:rFonts w:ascii="Tahoma" w:hAnsi="Tahoma" w:cs="Tahoma"/>
          <w:sz w:val="20"/>
          <w:szCs w:val="20"/>
        </w:rPr>
        <w:t xml:space="preserve">reedom of </w:t>
      </w:r>
      <w:r w:rsidR="00A62E8D">
        <w:rPr>
          <w:rFonts w:ascii="Tahoma" w:hAnsi="Tahoma" w:cs="Tahoma"/>
          <w:sz w:val="20"/>
          <w:szCs w:val="20"/>
        </w:rPr>
        <w:t>e</w:t>
      </w:r>
      <w:r>
        <w:rPr>
          <w:rFonts w:ascii="Tahoma" w:hAnsi="Tahoma" w:cs="Tahoma"/>
          <w:sz w:val="20"/>
          <w:szCs w:val="20"/>
        </w:rPr>
        <w:t xml:space="preserve">xpression and </w:t>
      </w:r>
      <w:r w:rsidR="00A62E8D">
        <w:rPr>
          <w:rFonts w:ascii="Tahoma" w:hAnsi="Tahoma" w:cs="Tahoma"/>
          <w:sz w:val="20"/>
          <w:szCs w:val="20"/>
        </w:rPr>
        <w:t>f</w:t>
      </w:r>
      <w:r>
        <w:rPr>
          <w:rFonts w:ascii="Tahoma" w:hAnsi="Tahoma" w:cs="Tahoma"/>
          <w:sz w:val="20"/>
          <w:szCs w:val="20"/>
        </w:rPr>
        <w:t xml:space="preserve">reedom of </w:t>
      </w:r>
      <w:r w:rsidR="00A62E8D">
        <w:rPr>
          <w:rFonts w:ascii="Tahoma" w:hAnsi="Tahoma" w:cs="Tahoma"/>
          <w:sz w:val="20"/>
          <w:szCs w:val="20"/>
        </w:rPr>
        <w:t>m</w:t>
      </w:r>
      <w:r>
        <w:rPr>
          <w:rFonts w:ascii="Tahoma" w:hAnsi="Tahoma" w:cs="Tahoma"/>
          <w:sz w:val="20"/>
          <w:szCs w:val="20"/>
        </w:rPr>
        <w:t xml:space="preserve">edia, issues and risks in these areas that are being addressed under the overall EU </w:t>
      </w:r>
      <w:r w:rsidR="00A62E8D">
        <w:rPr>
          <w:rFonts w:ascii="Tahoma" w:hAnsi="Tahoma" w:cs="Tahoma"/>
          <w:sz w:val="20"/>
          <w:szCs w:val="20"/>
        </w:rPr>
        <w:t>a</w:t>
      </w:r>
      <w:r>
        <w:rPr>
          <w:rFonts w:ascii="Tahoma" w:hAnsi="Tahoma" w:cs="Tahoma"/>
          <w:sz w:val="20"/>
          <w:szCs w:val="20"/>
        </w:rPr>
        <w:t xml:space="preserve">ccession process by governmental bodies, judiciary, police, lawyers, NGOs and media, and the impact it actually has on the </w:t>
      </w:r>
      <w:r w:rsidR="00F038DD">
        <w:rPr>
          <w:rFonts w:ascii="Tahoma" w:hAnsi="Tahoma" w:cs="Tahoma"/>
          <w:sz w:val="20"/>
          <w:szCs w:val="20"/>
        </w:rPr>
        <w:t xml:space="preserve">Montenegrin </w:t>
      </w:r>
      <w:r>
        <w:rPr>
          <w:rFonts w:ascii="Tahoma" w:hAnsi="Tahoma" w:cs="Tahoma"/>
          <w:sz w:val="20"/>
          <w:szCs w:val="20"/>
        </w:rPr>
        <w:t xml:space="preserve">citizens. </w:t>
      </w:r>
    </w:p>
    <w:p w14:paraId="5DB60DD0" w14:textId="77777777" w:rsidR="001C3566" w:rsidRPr="00AC3113" w:rsidRDefault="001C3566" w:rsidP="00F5074F">
      <w:pPr>
        <w:rPr>
          <w:rFonts w:ascii="Tahoma" w:hAnsi="Tahoma" w:cs="Tahoma"/>
          <w:sz w:val="20"/>
          <w:szCs w:val="20"/>
        </w:rPr>
      </w:pPr>
    </w:p>
    <w:p w14:paraId="58F3B9B9" w14:textId="0ED66E62" w:rsidR="00177754" w:rsidRPr="00AC3113" w:rsidRDefault="00177754" w:rsidP="00177754">
      <w:pPr>
        <w:numPr>
          <w:ilvl w:val="0"/>
          <w:numId w:val="12"/>
        </w:numPr>
        <w:jc w:val="both"/>
        <w:rPr>
          <w:rFonts w:ascii="Tahoma" w:hAnsi="Tahoma" w:cs="Tahoma"/>
          <w:sz w:val="20"/>
          <w:szCs w:val="20"/>
        </w:rPr>
      </w:pPr>
      <w:r w:rsidRPr="00AC3113">
        <w:rPr>
          <w:rFonts w:ascii="Tahoma" w:hAnsi="Tahoma" w:cs="Tahoma"/>
          <w:b/>
          <w:bCs/>
          <w:sz w:val="20"/>
          <w:szCs w:val="20"/>
        </w:rPr>
        <w:t>Launching of the campaign on social media</w:t>
      </w:r>
      <w:r w:rsidRPr="00AC3113">
        <w:rPr>
          <w:rFonts w:ascii="Tahoma" w:hAnsi="Tahoma" w:cs="Tahoma"/>
          <w:sz w:val="20"/>
          <w:szCs w:val="20"/>
        </w:rPr>
        <w:t xml:space="preserve">. The </w:t>
      </w:r>
      <w:r w:rsidR="00AC3113" w:rsidRPr="00AC3113">
        <w:rPr>
          <w:rFonts w:ascii="Tahoma" w:hAnsi="Tahoma" w:cs="Tahoma"/>
          <w:sz w:val="20"/>
          <w:szCs w:val="20"/>
        </w:rPr>
        <w:t>communication</w:t>
      </w:r>
      <w:r w:rsidRPr="00AC3113">
        <w:rPr>
          <w:rFonts w:ascii="Tahoma" w:hAnsi="Tahoma" w:cs="Tahoma"/>
          <w:sz w:val="20"/>
          <w:szCs w:val="20"/>
        </w:rPr>
        <w:t xml:space="preserve"> agency is invited to propose creative online campaign and preparation of visual materials to be used on social media platforms, such as</w:t>
      </w:r>
      <w:r w:rsidR="00FD5A34" w:rsidRPr="00AC3113">
        <w:rPr>
          <w:rFonts w:ascii="Tahoma" w:hAnsi="Tahoma" w:cs="Tahoma"/>
          <w:sz w:val="20"/>
          <w:szCs w:val="20"/>
        </w:rPr>
        <w:t>, but not limited to</w:t>
      </w:r>
      <w:r w:rsidRPr="00AC3113">
        <w:rPr>
          <w:rFonts w:ascii="Tahoma" w:hAnsi="Tahoma" w:cs="Tahoma"/>
          <w:sz w:val="20"/>
          <w:szCs w:val="20"/>
        </w:rPr>
        <w:t>:</w:t>
      </w:r>
    </w:p>
    <w:p w14:paraId="1928DA1B" w14:textId="77777777" w:rsidR="00177754" w:rsidRPr="006653EA" w:rsidRDefault="00177754" w:rsidP="00177754">
      <w:pPr>
        <w:pStyle w:val="ListParagraph"/>
        <w:rPr>
          <w:highlight w:val="yellow"/>
        </w:rPr>
      </w:pPr>
    </w:p>
    <w:p w14:paraId="7FC829F1" w14:textId="35CF5EDF" w:rsidR="00177754" w:rsidRPr="006653EA" w:rsidRDefault="00177754" w:rsidP="00186FA0">
      <w:pPr>
        <w:pStyle w:val="ListParagraph"/>
        <w:numPr>
          <w:ilvl w:val="0"/>
          <w:numId w:val="13"/>
        </w:numPr>
        <w:ind w:left="1080"/>
        <w:contextualSpacing/>
        <w:jc w:val="both"/>
      </w:pPr>
      <w:r w:rsidRPr="006653EA">
        <w:t>catchy hashtag</w:t>
      </w:r>
      <w:r w:rsidR="00186FA0" w:rsidRPr="006653EA">
        <w:t>s</w:t>
      </w:r>
      <w:r w:rsidRPr="006653EA">
        <w:t xml:space="preserve"> to be used in all posts –</w:t>
      </w:r>
      <w:r w:rsidR="00F5074F" w:rsidRPr="006653EA">
        <w:t xml:space="preserve"> </w:t>
      </w:r>
      <w:r w:rsidRPr="006653EA">
        <w:t xml:space="preserve">in Montenegrin </w:t>
      </w:r>
      <w:r w:rsidR="00F5074F" w:rsidRPr="006653EA">
        <w:t xml:space="preserve">and English, </w:t>
      </w:r>
      <w:r w:rsidRPr="006653EA">
        <w:t xml:space="preserve">and </w:t>
      </w:r>
      <w:r w:rsidR="00F5074F" w:rsidRPr="006653EA">
        <w:t>aligned with</w:t>
      </w:r>
      <w:r w:rsidRPr="006653EA">
        <w:t xml:space="preserve"> the slogan of H</w:t>
      </w:r>
      <w:r w:rsidR="008879EA" w:rsidRPr="006653EA">
        <w:t xml:space="preserve">orizontal </w:t>
      </w:r>
      <w:r w:rsidRPr="006653EA">
        <w:t>F</w:t>
      </w:r>
      <w:r w:rsidR="008879EA" w:rsidRPr="006653EA">
        <w:t>acility</w:t>
      </w:r>
      <w:r w:rsidRPr="006653EA">
        <w:t xml:space="preserve"> II;</w:t>
      </w:r>
    </w:p>
    <w:p w14:paraId="3CFE04B4" w14:textId="47D9726B" w:rsidR="00177754" w:rsidRPr="006653EA" w:rsidRDefault="00AC3113" w:rsidP="00AC3113">
      <w:pPr>
        <w:pStyle w:val="ListParagraph"/>
        <w:numPr>
          <w:ilvl w:val="0"/>
          <w:numId w:val="13"/>
        </w:numPr>
        <w:ind w:left="1080"/>
        <w:contextualSpacing/>
        <w:jc w:val="both"/>
      </w:pPr>
      <w:r w:rsidRPr="006653EA">
        <w:t>Monthly p</w:t>
      </w:r>
      <w:r w:rsidR="00177754" w:rsidRPr="006653EA">
        <w:t xml:space="preserve">olls on social media – </w:t>
      </w:r>
      <w:r w:rsidRPr="006653EA">
        <w:t xml:space="preserve">on various </w:t>
      </w:r>
      <w:r w:rsidR="007D3C6B">
        <w:t>f</w:t>
      </w:r>
      <w:r w:rsidRPr="006653EA">
        <w:t xml:space="preserve">reedom of </w:t>
      </w:r>
      <w:r w:rsidR="007D3C6B">
        <w:t>e</w:t>
      </w:r>
      <w:r w:rsidRPr="006653EA">
        <w:t>xpression</w:t>
      </w:r>
      <w:r w:rsidR="00186FA0" w:rsidRPr="006653EA">
        <w:t>/</w:t>
      </w:r>
      <w:r w:rsidR="007D3C6B">
        <w:t>m</w:t>
      </w:r>
      <w:r w:rsidRPr="006653EA">
        <w:t>edia topics</w:t>
      </w:r>
      <w:r w:rsidR="00177754" w:rsidRPr="006653EA">
        <w:t>;</w:t>
      </w:r>
    </w:p>
    <w:p w14:paraId="59A9DF00" w14:textId="77777777" w:rsidR="006653EA" w:rsidRPr="006653EA" w:rsidRDefault="00F5074F" w:rsidP="006653EA">
      <w:pPr>
        <w:pStyle w:val="ListParagraph"/>
        <w:numPr>
          <w:ilvl w:val="0"/>
          <w:numId w:val="13"/>
        </w:numPr>
        <w:ind w:left="1080"/>
        <w:contextualSpacing/>
        <w:jc w:val="both"/>
      </w:pPr>
      <w:r w:rsidRPr="006653EA">
        <w:t xml:space="preserve">Infographics </w:t>
      </w:r>
    </w:p>
    <w:p w14:paraId="2A0BDDC5" w14:textId="7DA5AEE5" w:rsidR="006653EA" w:rsidRPr="006653EA" w:rsidRDefault="00177754" w:rsidP="006653EA">
      <w:pPr>
        <w:pStyle w:val="ListParagraph"/>
        <w:numPr>
          <w:ilvl w:val="0"/>
          <w:numId w:val="13"/>
        </w:numPr>
        <w:ind w:left="1080"/>
        <w:contextualSpacing/>
        <w:jc w:val="both"/>
      </w:pPr>
      <w:r w:rsidRPr="006653EA">
        <w:t>Live streaming of interesting events on Facebook</w:t>
      </w:r>
      <w:r w:rsidR="000E4515" w:rsidRPr="006653EA">
        <w:t>, pending the consultations</w:t>
      </w:r>
      <w:r w:rsidRPr="006653EA">
        <w:t xml:space="preserve"> </w:t>
      </w:r>
      <w:r w:rsidR="000E4515" w:rsidRPr="006653EA">
        <w:t xml:space="preserve">with the </w:t>
      </w:r>
      <w:r w:rsidR="000C5FE3">
        <w:t xml:space="preserve">European Union and the </w:t>
      </w:r>
      <w:r w:rsidR="000E4515" w:rsidRPr="006653EA">
        <w:t>Council of Europe</w:t>
      </w:r>
      <w:r w:rsidRPr="006653EA">
        <w:t>.</w:t>
      </w:r>
    </w:p>
    <w:p w14:paraId="6550CB95" w14:textId="5F891C34" w:rsidR="001C3566" w:rsidRPr="006653EA" w:rsidRDefault="001C3566" w:rsidP="006653EA">
      <w:pPr>
        <w:pStyle w:val="ListParagraph"/>
        <w:numPr>
          <w:ilvl w:val="0"/>
          <w:numId w:val="13"/>
        </w:numPr>
        <w:ind w:left="1080"/>
        <w:contextualSpacing/>
        <w:jc w:val="both"/>
      </w:pPr>
      <w:r w:rsidRPr="006653EA">
        <w:t xml:space="preserve">Publishing on the social media instructions / advice how to get aid during the extraordinary situations (such as COVID 19).  </w:t>
      </w:r>
    </w:p>
    <w:p w14:paraId="43F65B8F" w14:textId="77777777" w:rsidR="00CB51DF" w:rsidRPr="006653EA" w:rsidRDefault="00CB51DF" w:rsidP="00CB51DF">
      <w:pPr>
        <w:contextualSpacing/>
        <w:jc w:val="both"/>
      </w:pPr>
    </w:p>
    <w:p w14:paraId="18B040BF" w14:textId="2D7B59D7" w:rsidR="00B70396" w:rsidRPr="00CB51DF" w:rsidRDefault="000E4515" w:rsidP="00B70396">
      <w:pPr>
        <w:pStyle w:val="ListParagraph"/>
        <w:numPr>
          <w:ilvl w:val="0"/>
          <w:numId w:val="12"/>
        </w:numPr>
        <w:contextualSpacing/>
        <w:jc w:val="both"/>
      </w:pPr>
      <w:r w:rsidRPr="006653EA">
        <w:rPr>
          <w:b/>
          <w:bCs/>
        </w:rPr>
        <w:t>Publication</w:t>
      </w:r>
      <w:r w:rsidR="00CB51DF" w:rsidRPr="006653EA">
        <w:rPr>
          <w:b/>
          <w:bCs/>
        </w:rPr>
        <w:t xml:space="preserve"> </w:t>
      </w:r>
      <w:r w:rsidRPr="006653EA">
        <w:rPr>
          <w:b/>
          <w:bCs/>
        </w:rPr>
        <w:t xml:space="preserve">of up to </w:t>
      </w:r>
      <w:r w:rsidR="00B77C51">
        <w:rPr>
          <w:b/>
          <w:bCs/>
        </w:rPr>
        <w:t>1</w:t>
      </w:r>
      <w:r w:rsidR="00CB51DF" w:rsidRPr="006653EA">
        <w:rPr>
          <w:b/>
          <w:bCs/>
        </w:rPr>
        <w:t xml:space="preserve"> social media post per week</w:t>
      </w:r>
      <w:r w:rsidR="00CB51DF" w:rsidRPr="00CB51DF">
        <w:t>, attached with the customi</w:t>
      </w:r>
      <w:r w:rsidR="007A3C69">
        <w:t>s</w:t>
      </w:r>
      <w:r w:rsidR="00CB51DF" w:rsidRPr="00CB51DF">
        <w:t>ed graphical design solution for each post.</w:t>
      </w:r>
      <w:r>
        <w:t xml:space="preserve"> Posts should refer to the JUFREX</w:t>
      </w:r>
      <w:r w:rsidR="00960074">
        <w:t xml:space="preserve"> 2</w:t>
      </w:r>
      <w:r>
        <w:t xml:space="preserve"> activities and deliverables, relevant activities of the </w:t>
      </w:r>
      <w:r w:rsidR="00960074">
        <w:t xml:space="preserve">European Union, </w:t>
      </w:r>
      <w:r>
        <w:t xml:space="preserve">Council of Europe, and other international organisations, Montenegrin counterparts from public and civil sector as well as media. </w:t>
      </w:r>
      <w:r w:rsidR="00B70396">
        <w:t xml:space="preserve">One weekly post should always feature standards (to be provided by the Council of Europe). </w:t>
      </w:r>
    </w:p>
    <w:p w14:paraId="59E3B9F3" w14:textId="77777777" w:rsidR="00CB51DF" w:rsidRPr="00CB51DF" w:rsidRDefault="00CB51DF" w:rsidP="00CB51DF">
      <w:pPr>
        <w:pStyle w:val="ListParagraph"/>
        <w:contextualSpacing/>
        <w:jc w:val="both"/>
      </w:pPr>
    </w:p>
    <w:p w14:paraId="1C092CA2" w14:textId="77131359" w:rsidR="00CB51DF" w:rsidRPr="00CB51DF" w:rsidRDefault="00CB51DF" w:rsidP="00CB51DF">
      <w:pPr>
        <w:pStyle w:val="ListParagraph"/>
        <w:numPr>
          <w:ilvl w:val="0"/>
          <w:numId w:val="12"/>
        </w:numPr>
        <w:contextualSpacing/>
        <w:jc w:val="both"/>
      </w:pPr>
      <w:r w:rsidRPr="006653EA">
        <w:rPr>
          <w:b/>
          <w:bCs/>
        </w:rPr>
        <w:t>Social Media Impact Reports</w:t>
      </w:r>
      <w:r w:rsidRPr="00CB51DF">
        <w:t xml:space="preserve">, produced on </w:t>
      </w:r>
      <w:r>
        <w:t>quarterly</w:t>
      </w:r>
      <w:r w:rsidRPr="00CB51DF">
        <w:t xml:space="preserve"> basis with social media statistics, which would allow concrete measur</w:t>
      </w:r>
      <w:r w:rsidR="000E4515">
        <w:t>ing of</w:t>
      </w:r>
      <w:r w:rsidRPr="00CB51DF">
        <w:t xml:space="preserve"> the impact, in terms of number of people reached, their geographical distribution and gender segmentation. In addition, through the regular social media surveys we would be able, on basic level, to track the trends of citizens awareness, issues of interests and concerns, that would serve as an additional evaluation tool as well as feed into the complementary activities with judiciary, police, lawyers, regulators, governmental bodies, media associations and universities. </w:t>
      </w:r>
    </w:p>
    <w:p w14:paraId="2701F9A0" w14:textId="77777777" w:rsidR="00CB51DF" w:rsidRPr="00CB51DF" w:rsidRDefault="00CB51DF" w:rsidP="00CB51DF">
      <w:pPr>
        <w:pStyle w:val="ListParagraph"/>
        <w:rPr>
          <w:rFonts w:eastAsia="Calibri"/>
          <w:color w:val="000000" w:themeColor="text1"/>
          <w:u w:val="single"/>
        </w:rPr>
      </w:pPr>
    </w:p>
    <w:p w14:paraId="11D24080" w14:textId="20B168E8" w:rsidR="00CB51DF" w:rsidRPr="00F32CAF" w:rsidRDefault="00CB51DF" w:rsidP="00CB51DF">
      <w:pPr>
        <w:pStyle w:val="ListParagraph"/>
        <w:numPr>
          <w:ilvl w:val="0"/>
          <w:numId w:val="12"/>
        </w:numPr>
        <w:contextualSpacing/>
        <w:jc w:val="both"/>
        <w:rPr>
          <w:color w:val="000000" w:themeColor="text1"/>
          <w:lang w:val="sr-Latn-RS"/>
        </w:rPr>
      </w:pPr>
      <w:r w:rsidRPr="006653EA">
        <w:rPr>
          <w:rFonts w:eastAsia="Calibri"/>
          <w:b/>
          <w:bCs/>
          <w:color w:val="000000" w:themeColor="text1"/>
        </w:rPr>
        <w:lastRenderedPageBreak/>
        <w:t xml:space="preserve">Follow up to the JUFREX </w:t>
      </w:r>
      <w:r w:rsidR="00AC3113" w:rsidRPr="006653EA">
        <w:rPr>
          <w:rFonts w:eastAsia="Calibri"/>
          <w:b/>
          <w:bCs/>
          <w:color w:val="000000" w:themeColor="text1"/>
        </w:rPr>
        <w:t>activities</w:t>
      </w:r>
      <w:r w:rsidR="00AC3113">
        <w:rPr>
          <w:rFonts w:eastAsia="Calibri"/>
          <w:color w:val="000000" w:themeColor="text1"/>
        </w:rPr>
        <w:t xml:space="preserve">, with </w:t>
      </w:r>
      <w:r w:rsidRPr="00CB51DF">
        <w:rPr>
          <w:rFonts w:eastAsia="Calibri"/>
          <w:color w:val="000000" w:themeColor="text1"/>
        </w:rPr>
        <w:t>social media announcement and brief key messages.</w:t>
      </w:r>
      <w:r w:rsidR="00B70396">
        <w:rPr>
          <w:rFonts w:eastAsia="Calibri"/>
          <w:color w:val="000000" w:themeColor="text1"/>
        </w:rPr>
        <w:t xml:space="preserve"> This also entails promotion of media content published/broadcasted</w:t>
      </w:r>
    </w:p>
    <w:p w14:paraId="51125B08" w14:textId="59A0B1D4" w:rsidR="00F32CAF" w:rsidRDefault="00F32CAF" w:rsidP="00F32CAF">
      <w:pPr>
        <w:contextualSpacing/>
        <w:jc w:val="both"/>
        <w:rPr>
          <w:color w:val="000000" w:themeColor="text1"/>
          <w:lang w:val="sr-Latn-RS"/>
        </w:rPr>
      </w:pPr>
    </w:p>
    <w:p w14:paraId="04D2EDF5" w14:textId="637375B8" w:rsidR="00F32CAF" w:rsidRPr="00F32CAF" w:rsidRDefault="00F32CAF" w:rsidP="00F32CAF">
      <w:pPr>
        <w:contextualSpacing/>
        <w:jc w:val="both"/>
        <w:rPr>
          <w:b/>
          <w:bCs/>
          <w:color w:val="000000" w:themeColor="text1"/>
          <w:lang w:val="sr-Latn-RS"/>
        </w:rPr>
      </w:pPr>
      <w:r w:rsidRPr="00F32CAF">
        <w:rPr>
          <w:rFonts w:ascii="Tahoma" w:hAnsi="Tahoma" w:cs="Tahoma"/>
          <w:b/>
          <w:bCs/>
          <w:sz w:val="20"/>
          <w:szCs w:val="20"/>
        </w:rPr>
        <w:t xml:space="preserve">The Communication Agency is invited to propose the </w:t>
      </w:r>
      <w:r>
        <w:rPr>
          <w:rFonts w:ascii="Tahoma" w:hAnsi="Tahoma" w:cs="Tahoma"/>
          <w:b/>
          <w:bCs/>
          <w:sz w:val="20"/>
          <w:szCs w:val="20"/>
        </w:rPr>
        <w:t xml:space="preserve">methodology and the </w:t>
      </w:r>
      <w:r w:rsidRPr="00F32CAF">
        <w:rPr>
          <w:rFonts w:ascii="Tahoma" w:hAnsi="Tahoma" w:cs="Tahoma"/>
          <w:b/>
          <w:bCs/>
          <w:sz w:val="20"/>
          <w:szCs w:val="20"/>
        </w:rPr>
        <w:t xml:space="preserve">concept of the campaign, which should </w:t>
      </w:r>
      <w:r w:rsidRPr="00F32CAF">
        <w:rPr>
          <w:b/>
          <w:bCs/>
        </w:rPr>
        <w:t xml:space="preserve">contain examples of each of the items listed above, </w:t>
      </w:r>
      <w:r w:rsidRPr="00F32CAF">
        <w:rPr>
          <w:rFonts w:ascii="Tahoma" w:hAnsi="Tahoma" w:cs="Tahoma"/>
          <w:b/>
          <w:bCs/>
          <w:sz w:val="20"/>
          <w:szCs w:val="20"/>
        </w:rPr>
        <w:t>thus illustrating the</w:t>
      </w:r>
      <w:r>
        <w:rPr>
          <w:rFonts w:ascii="Tahoma" w:hAnsi="Tahoma" w:cs="Tahoma"/>
          <w:b/>
          <w:bCs/>
          <w:sz w:val="20"/>
          <w:szCs w:val="20"/>
        </w:rPr>
        <w:t xml:space="preserve"> approach to the topic and bidder</w:t>
      </w:r>
      <w:r>
        <w:rPr>
          <w:rFonts w:ascii="Tahoma" w:hAnsi="Tahoma" w:cs="Tahoma"/>
          <w:b/>
          <w:bCs/>
          <w:sz w:val="20"/>
          <w:szCs w:val="20"/>
          <w:lang w:val="en-US"/>
        </w:rPr>
        <w:t xml:space="preserve">’s </w:t>
      </w:r>
      <w:r>
        <w:rPr>
          <w:rFonts w:ascii="Tahoma" w:hAnsi="Tahoma" w:cs="Tahoma"/>
          <w:b/>
          <w:bCs/>
          <w:sz w:val="20"/>
          <w:szCs w:val="20"/>
        </w:rPr>
        <w:t>creative considerations.</w:t>
      </w:r>
      <w:r w:rsidRPr="00F32CAF">
        <w:rPr>
          <w:rFonts w:ascii="Tahoma" w:hAnsi="Tahoma" w:cs="Tahoma"/>
          <w:b/>
          <w:bCs/>
          <w:sz w:val="20"/>
          <w:szCs w:val="20"/>
        </w:rPr>
        <w:t xml:space="preserve"> </w:t>
      </w:r>
    </w:p>
    <w:p w14:paraId="0345033D" w14:textId="77777777" w:rsidR="00CB51DF" w:rsidRPr="00CB51DF" w:rsidRDefault="00CB51DF" w:rsidP="00CB51DF">
      <w:pPr>
        <w:contextualSpacing/>
        <w:jc w:val="both"/>
        <w:rPr>
          <w:rFonts w:ascii="Tahoma" w:hAnsi="Tahoma" w:cs="Tahoma"/>
          <w:sz w:val="20"/>
          <w:szCs w:val="20"/>
          <w:highlight w:val="yellow"/>
        </w:rPr>
      </w:pPr>
    </w:p>
    <w:p w14:paraId="1F126510" w14:textId="77777777" w:rsidR="00177754" w:rsidRPr="006D682A" w:rsidRDefault="00177754" w:rsidP="00177754">
      <w:pPr>
        <w:pStyle w:val="ListParagraph"/>
        <w:rPr>
          <w:rFonts w:ascii="Tahoma" w:hAnsi="Tahoma" w:cs="Tahoma"/>
          <w:sz w:val="20"/>
          <w:szCs w:val="20"/>
          <w:highlight w:val="yellow"/>
        </w:rPr>
      </w:pPr>
    </w:p>
    <w:p w14:paraId="4703E690" w14:textId="77777777" w:rsidR="00177754" w:rsidRPr="000662E7" w:rsidRDefault="00177754" w:rsidP="00177754">
      <w:pPr>
        <w:pStyle w:val="ListParagraph"/>
        <w:rPr>
          <w:rFonts w:ascii="Tahoma" w:hAnsi="Tahoma" w:cs="Tahoma"/>
          <w:sz w:val="20"/>
          <w:szCs w:val="20"/>
        </w:rPr>
      </w:pPr>
    </w:p>
    <w:p w14:paraId="301F9780" w14:textId="77777777" w:rsidR="00177754" w:rsidRPr="000662E7" w:rsidRDefault="00177754" w:rsidP="00177754">
      <w:pPr>
        <w:jc w:val="both"/>
        <w:rPr>
          <w:rFonts w:ascii="Tahoma" w:hAnsi="Tahoma" w:cs="Tahoma"/>
          <w:sz w:val="20"/>
          <w:szCs w:val="20"/>
        </w:rPr>
      </w:pPr>
    </w:p>
    <w:p w14:paraId="3D6553D1" w14:textId="16B64526" w:rsidR="00C4126D" w:rsidRPr="000662E7" w:rsidRDefault="00A91875" w:rsidP="00A71D50">
      <w:pPr>
        <w:pStyle w:val="ListParagraph"/>
        <w:numPr>
          <w:ilvl w:val="0"/>
          <w:numId w:val="8"/>
        </w:numPr>
        <w:spacing w:after="60"/>
        <w:rPr>
          <w:rFonts w:ascii="Tahoma" w:hAnsi="Tahoma" w:cs="Tahoma"/>
          <w:sz w:val="20"/>
          <w:szCs w:val="20"/>
        </w:rPr>
      </w:pPr>
      <w:r w:rsidRPr="000662E7">
        <w:rPr>
          <w:rFonts w:ascii="Tahoma" w:hAnsi="Tahoma" w:cs="Tahoma"/>
          <w:sz w:val="20"/>
          <w:szCs w:val="20"/>
        </w:rPr>
        <w:t>EXPECTED DELIVERABLES</w:t>
      </w:r>
    </w:p>
    <w:p w14:paraId="3D6553D2" w14:textId="76B92365" w:rsidR="00290EBB" w:rsidRPr="000662E7" w:rsidRDefault="00BA7B96" w:rsidP="00C4126D">
      <w:pPr>
        <w:rPr>
          <w:rFonts w:ascii="Tahoma" w:eastAsia="Calibri" w:hAnsi="Tahoma" w:cs="Tahoma"/>
          <w:sz w:val="20"/>
          <w:szCs w:val="20"/>
          <w:lang w:eastAsia="en-US"/>
        </w:rPr>
      </w:pPr>
      <w:r w:rsidRPr="000662E7">
        <w:rPr>
          <w:rFonts w:ascii="Tahoma" w:eastAsia="Calibri" w:hAnsi="Tahoma" w:cs="Tahoma"/>
          <w:sz w:val="20"/>
          <w:szCs w:val="20"/>
          <w:lang w:eastAsia="en-US"/>
        </w:rPr>
        <w:t>The</w:t>
      </w:r>
      <w:r w:rsidR="00290EBB" w:rsidRPr="000662E7">
        <w:rPr>
          <w:rFonts w:ascii="Tahoma" w:eastAsia="Calibri" w:hAnsi="Tahoma" w:cs="Tahoma"/>
          <w:sz w:val="20"/>
          <w:szCs w:val="20"/>
          <w:lang w:eastAsia="en-US"/>
        </w:rPr>
        <w:t xml:space="preserve"> </w:t>
      </w:r>
      <w:r w:rsidR="00797834" w:rsidRPr="000662E7">
        <w:rPr>
          <w:rFonts w:ascii="Tahoma" w:eastAsia="Calibri" w:hAnsi="Tahoma" w:cs="Tahoma"/>
          <w:sz w:val="20"/>
          <w:szCs w:val="20"/>
          <w:lang w:eastAsia="en-US"/>
        </w:rPr>
        <w:t xml:space="preserve">expected </w:t>
      </w:r>
      <w:r w:rsidR="00D137B4" w:rsidRPr="000662E7">
        <w:rPr>
          <w:rFonts w:ascii="Tahoma" w:eastAsia="Calibri" w:hAnsi="Tahoma" w:cs="Tahoma"/>
          <w:sz w:val="20"/>
          <w:szCs w:val="20"/>
          <w:lang w:eastAsia="en-US"/>
        </w:rPr>
        <w:t>deliverables</w:t>
      </w:r>
      <w:r w:rsidR="001D1FEA" w:rsidRPr="000662E7">
        <w:rPr>
          <w:rFonts w:ascii="Tahoma" w:eastAsia="Calibri" w:hAnsi="Tahoma" w:cs="Tahoma"/>
          <w:sz w:val="20"/>
          <w:szCs w:val="20"/>
          <w:lang w:eastAsia="en-US"/>
        </w:rPr>
        <w:t xml:space="preserve"> are</w:t>
      </w:r>
      <w:r w:rsidR="00D137B4" w:rsidRPr="000662E7">
        <w:rPr>
          <w:rFonts w:ascii="Tahoma" w:eastAsia="Calibri" w:hAnsi="Tahoma" w:cs="Tahoma"/>
          <w:sz w:val="20"/>
          <w:szCs w:val="20"/>
          <w:lang w:eastAsia="en-US"/>
        </w:rPr>
        <w:t xml:space="preserve"> described in </w:t>
      </w:r>
      <w:r w:rsidR="00797834" w:rsidRPr="000662E7">
        <w:rPr>
          <w:rFonts w:ascii="Tahoma" w:eastAsia="Calibri" w:hAnsi="Tahoma" w:cs="Tahoma"/>
          <w:b/>
          <w:sz w:val="20"/>
          <w:szCs w:val="20"/>
          <w:lang w:eastAsia="en-US"/>
        </w:rPr>
        <w:t xml:space="preserve">Section A </w:t>
      </w:r>
      <w:r w:rsidR="00D137B4" w:rsidRPr="000662E7">
        <w:rPr>
          <w:rFonts w:ascii="Tahoma" w:eastAsia="Calibri" w:hAnsi="Tahoma" w:cs="Tahoma"/>
          <w:b/>
          <w:sz w:val="20"/>
          <w:szCs w:val="20"/>
          <w:lang w:eastAsia="en-US"/>
        </w:rPr>
        <w:t xml:space="preserve">of the </w:t>
      </w:r>
      <w:hyperlink r:id="rId13" w:history="1">
        <w:r w:rsidR="00D137B4" w:rsidRPr="0011096B">
          <w:rPr>
            <w:rStyle w:val="Hyperlink"/>
            <w:rFonts w:ascii="Tahoma" w:eastAsia="Calibri" w:hAnsi="Tahoma" w:cs="Tahoma"/>
            <w:b/>
            <w:sz w:val="20"/>
            <w:szCs w:val="20"/>
            <w:lang w:eastAsia="en-US"/>
          </w:rPr>
          <w:t>Act of Engagement</w:t>
        </w:r>
      </w:hyperlink>
      <w:r w:rsidR="00D137B4" w:rsidRPr="000662E7">
        <w:rPr>
          <w:rFonts w:ascii="Tahoma" w:eastAsia="Calibri" w:hAnsi="Tahoma" w:cs="Tahoma"/>
          <w:sz w:val="20"/>
          <w:szCs w:val="20"/>
          <w:lang w:eastAsia="en-US"/>
        </w:rPr>
        <w:t xml:space="preserve"> (</w:t>
      </w:r>
      <w:r w:rsidR="00797834" w:rsidRPr="000662E7">
        <w:rPr>
          <w:rFonts w:ascii="Tahoma" w:eastAsia="Calibri" w:hAnsi="Tahoma" w:cs="Tahoma"/>
          <w:sz w:val="20"/>
          <w:szCs w:val="20"/>
          <w:lang w:eastAsia="en-US"/>
        </w:rPr>
        <w:t>See attached</w:t>
      </w:r>
      <w:r w:rsidR="00D137B4" w:rsidRPr="000662E7">
        <w:rPr>
          <w:rFonts w:ascii="Tahoma" w:eastAsia="Calibri" w:hAnsi="Tahoma" w:cs="Tahoma"/>
          <w:sz w:val="20"/>
          <w:szCs w:val="20"/>
          <w:lang w:eastAsia="en-US"/>
        </w:rPr>
        <w:t>).</w:t>
      </w:r>
    </w:p>
    <w:p w14:paraId="130E2913" w14:textId="77777777" w:rsidR="00D137B4" w:rsidRPr="000662E7" w:rsidRDefault="00D137B4" w:rsidP="00C4126D">
      <w:pPr>
        <w:rPr>
          <w:rFonts w:ascii="Tahoma" w:eastAsia="Calibri" w:hAnsi="Tahoma" w:cs="Tahoma"/>
          <w:sz w:val="20"/>
          <w:szCs w:val="20"/>
          <w:lang w:eastAsia="en-US"/>
        </w:rPr>
      </w:pPr>
    </w:p>
    <w:p w14:paraId="1811D9DC" w14:textId="072D866A" w:rsidR="008828EC" w:rsidRPr="000662E7" w:rsidRDefault="008828EC" w:rsidP="00A71D50">
      <w:pPr>
        <w:pStyle w:val="ListParagraph"/>
        <w:numPr>
          <w:ilvl w:val="0"/>
          <w:numId w:val="8"/>
        </w:numPr>
        <w:spacing w:after="60"/>
        <w:rPr>
          <w:rFonts w:ascii="Tahoma" w:hAnsi="Tahoma" w:cs="Tahoma"/>
          <w:sz w:val="20"/>
          <w:szCs w:val="20"/>
        </w:rPr>
      </w:pPr>
      <w:r w:rsidRPr="000662E7">
        <w:rPr>
          <w:rFonts w:ascii="Tahoma" w:hAnsi="Tahoma" w:cs="Tahoma"/>
          <w:sz w:val="20"/>
          <w:szCs w:val="20"/>
        </w:rPr>
        <w:t>FEES</w:t>
      </w:r>
    </w:p>
    <w:p w14:paraId="2EE0803D" w14:textId="58656B93" w:rsidR="00505356" w:rsidRPr="000662E7" w:rsidRDefault="00F93474" w:rsidP="00C803BB">
      <w:pPr>
        <w:spacing w:after="60"/>
        <w:jc w:val="both"/>
        <w:rPr>
          <w:rFonts w:ascii="Tahoma" w:hAnsi="Tahoma" w:cs="Tahoma"/>
          <w:sz w:val="20"/>
          <w:szCs w:val="20"/>
        </w:rPr>
      </w:pPr>
      <w:r w:rsidRPr="000662E7">
        <w:rPr>
          <w:rFonts w:ascii="Tahoma" w:hAnsi="Tahoma" w:cs="Tahoma"/>
          <w:sz w:val="20"/>
          <w:szCs w:val="20"/>
        </w:rPr>
        <w:t>All tenderers</w:t>
      </w:r>
      <w:r w:rsidR="00D137B4" w:rsidRPr="000662E7">
        <w:rPr>
          <w:rFonts w:ascii="Tahoma" w:hAnsi="Tahoma" w:cs="Tahoma"/>
          <w:sz w:val="20"/>
          <w:szCs w:val="20"/>
        </w:rPr>
        <w:t xml:space="preserve"> are invited to fill in the </w:t>
      </w:r>
      <w:r w:rsidR="00D137B4" w:rsidRPr="000662E7">
        <w:rPr>
          <w:rFonts w:ascii="Tahoma" w:hAnsi="Tahoma" w:cs="Tahoma"/>
          <w:b/>
          <w:sz w:val="20"/>
          <w:szCs w:val="20"/>
        </w:rPr>
        <w:t>table of fees</w:t>
      </w:r>
      <w:r w:rsidR="00D137B4" w:rsidRPr="000662E7">
        <w:rPr>
          <w:rFonts w:ascii="Tahoma" w:hAnsi="Tahoma" w:cs="Tahoma"/>
          <w:sz w:val="20"/>
          <w:szCs w:val="20"/>
        </w:rPr>
        <w:t xml:space="preserve"> as reproduced in </w:t>
      </w:r>
      <w:r w:rsidR="00D137B4" w:rsidRPr="000662E7">
        <w:rPr>
          <w:rFonts w:ascii="Tahoma" w:hAnsi="Tahoma" w:cs="Tahoma"/>
          <w:b/>
          <w:sz w:val="20"/>
          <w:szCs w:val="20"/>
        </w:rPr>
        <w:t xml:space="preserve">Section </w:t>
      </w:r>
      <w:r w:rsidR="002703C6" w:rsidRPr="000662E7">
        <w:rPr>
          <w:rFonts w:ascii="Tahoma" w:hAnsi="Tahoma" w:cs="Tahoma"/>
          <w:b/>
          <w:sz w:val="20"/>
          <w:szCs w:val="20"/>
        </w:rPr>
        <w:t>A</w:t>
      </w:r>
      <w:r w:rsidR="00797834" w:rsidRPr="000662E7">
        <w:rPr>
          <w:rFonts w:ascii="Tahoma" w:hAnsi="Tahoma" w:cs="Tahoma"/>
          <w:b/>
          <w:sz w:val="20"/>
          <w:szCs w:val="20"/>
        </w:rPr>
        <w:t xml:space="preserve"> of the </w:t>
      </w:r>
      <w:hyperlink r:id="rId14" w:history="1">
        <w:r w:rsidR="00797834" w:rsidRPr="0011096B">
          <w:rPr>
            <w:rStyle w:val="Hyperlink"/>
            <w:rFonts w:ascii="Tahoma" w:hAnsi="Tahoma" w:cs="Tahoma"/>
            <w:b/>
            <w:sz w:val="20"/>
            <w:szCs w:val="20"/>
          </w:rPr>
          <w:t>Act of Engagement</w:t>
        </w:r>
      </w:hyperlink>
      <w:r w:rsidR="00505356" w:rsidRPr="000662E7">
        <w:rPr>
          <w:rFonts w:ascii="Tahoma" w:hAnsi="Tahoma" w:cs="Tahoma"/>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4"/>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7602C8AB"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377F686A" w14:textId="67EDB3C0" w:rsidR="00622565" w:rsidRDefault="00622565" w:rsidP="00622565">
      <w:pPr>
        <w:numPr>
          <w:ilvl w:val="0"/>
          <w:numId w:val="3"/>
        </w:numPr>
        <w:rPr>
          <w:rFonts w:ascii="Tahoma" w:hAnsi="Tahoma" w:cs="Tahoma"/>
          <w:sz w:val="20"/>
          <w:szCs w:val="20"/>
        </w:rPr>
      </w:pPr>
      <w:r w:rsidRPr="001E0FE6">
        <w:rPr>
          <w:rFonts w:ascii="Tahoma" w:hAnsi="Tahoma" w:cs="Tahoma"/>
          <w:sz w:val="20"/>
          <w:szCs w:val="20"/>
        </w:rPr>
        <w:t xml:space="preserve">The provider must be a registered company specialised in </w:t>
      </w:r>
      <w:r w:rsidRPr="006D62B5">
        <w:rPr>
          <w:rFonts w:ascii="Tahoma" w:hAnsi="Tahoma" w:cs="Tahoma"/>
          <w:sz w:val="20"/>
          <w:szCs w:val="20"/>
        </w:rPr>
        <w:t xml:space="preserve">the field of </w:t>
      </w:r>
      <w:r w:rsidR="007A014F" w:rsidRPr="007A014F">
        <w:rPr>
          <w:rFonts w:ascii="Tahoma" w:hAnsi="Tahoma" w:cs="Tahoma"/>
          <w:sz w:val="20"/>
          <w:szCs w:val="20"/>
        </w:rPr>
        <w:t>designing and implementing similar public awareness campaign</w:t>
      </w:r>
      <w:r w:rsidRPr="006D62B5">
        <w:rPr>
          <w:rFonts w:ascii="Tahoma" w:hAnsi="Tahoma" w:cs="Tahoma"/>
          <w:sz w:val="20"/>
          <w:szCs w:val="20"/>
        </w:rPr>
        <w:t xml:space="preserve"> with at least 3 years of continuous operation in the relevant field;</w:t>
      </w:r>
    </w:p>
    <w:p w14:paraId="42504A23" w14:textId="4EB11B64" w:rsidR="00062F00" w:rsidRDefault="00062F00" w:rsidP="00062F00">
      <w:pPr>
        <w:numPr>
          <w:ilvl w:val="0"/>
          <w:numId w:val="3"/>
        </w:numPr>
        <w:rPr>
          <w:rFonts w:ascii="Tahoma" w:hAnsi="Tahoma" w:cs="Tahoma"/>
          <w:sz w:val="20"/>
          <w:szCs w:val="20"/>
        </w:rPr>
      </w:pPr>
      <w:r w:rsidRPr="00062F00">
        <w:rPr>
          <w:rFonts w:ascii="Tahoma" w:hAnsi="Tahoma" w:cs="Tahoma"/>
          <w:sz w:val="20"/>
          <w:szCs w:val="20"/>
        </w:rPr>
        <w:t>The Provider must h</w:t>
      </w:r>
      <w:r w:rsidR="007A014F" w:rsidRPr="00062F00">
        <w:rPr>
          <w:rFonts w:ascii="Tahoma" w:hAnsi="Tahoma" w:cs="Tahoma"/>
          <w:sz w:val="20"/>
          <w:szCs w:val="20"/>
        </w:rPr>
        <w:t xml:space="preserve">ave the financial, technical and professional capacity to perform the contract, including </w:t>
      </w:r>
      <w:r>
        <w:rPr>
          <w:rFonts w:ascii="Tahoma" w:hAnsi="Tahoma" w:cs="Tahoma"/>
          <w:sz w:val="20"/>
          <w:szCs w:val="20"/>
        </w:rPr>
        <w:t>a</w:t>
      </w:r>
      <w:r w:rsidRPr="00062F00">
        <w:rPr>
          <w:rFonts w:ascii="Tahoma" w:hAnsi="Tahoma" w:cs="Tahoma"/>
          <w:sz w:val="20"/>
          <w:szCs w:val="20"/>
        </w:rPr>
        <w:t>t least 3 professionals with at least 5 years of experience each in the field of communications/journalism/public relations/marketing, who would be involved in implementing tasks requested under this tender;</w:t>
      </w:r>
    </w:p>
    <w:p w14:paraId="5F42FA7B" w14:textId="730FB55C" w:rsidR="00062F00" w:rsidRPr="00062F00" w:rsidRDefault="00062F00" w:rsidP="00062F00">
      <w:pPr>
        <w:numPr>
          <w:ilvl w:val="0"/>
          <w:numId w:val="3"/>
        </w:numPr>
        <w:rPr>
          <w:rFonts w:ascii="Tahoma" w:hAnsi="Tahoma" w:cs="Tahoma"/>
        </w:rPr>
      </w:pPr>
      <w:r>
        <w:rPr>
          <w:rFonts w:ascii="Tahoma" w:hAnsi="Tahoma" w:cs="Tahoma"/>
          <w:sz w:val="20"/>
          <w:szCs w:val="20"/>
        </w:rPr>
        <w:t>The Provider must have capacity to design</w:t>
      </w:r>
      <w:r w:rsidR="004D3030">
        <w:rPr>
          <w:rFonts w:ascii="Tahoma" w:hAnsi="Tahoma" w:cs="Tahoma"/>
          <w:sz w:val="20"/>
          <w:szCs w:val="20"/>
        </w:rPr>
        <w:t xml:space="preserve"> (and/or to outsource the design of)</w:t>
      </w:r>
      <w:r>
        <w:rPr>
          <w:rFonts w:ascii="Tahoma" w:hAnsi="Tahoma" w:cs="Tahoma"/>
          <w:sz w:val="20"/>
          <w:szCs w:val="20"/>
        </w:rPr>
        <w:t xml:space="preserve"> audio – visual materials (shot films, social media materials, etc)</w:t>
      </w:r>
      <w:r w:rsidR="00793D12">
        <w:rPr>
          <w:rFonts w:ascii="Tahoma" w:hAnsi="Tahoma" w:cs="Tahoma"/>
          <w:sz w:val="20"/>
          <w:szCs w:val="20"/>
        </w:rPr>
        <w:t xml:space="preserve"> and have minimum 3 years of proven professional experience in these fields.</w:t>
      </w:r>
    </w:p>
    <w:p w14:paraId="08BBD669" w14:textId="10CD1F14" w:rsidR="00062F00" w:rsidRPr="004D3030" w:rsidRDefault="00D94921" w:rsidP="00166DBA">
      <w:pPr>
        <w:numPr>
          <w:ilvl w:val="0"/>
          <w:numId w:val="3"/>
        </w:numPr>
        <w:rPr>
          <w:rFonts w:ascii="Tahoma" w:hAnsi="Tahoma" w:cs="Tahoma"/>
          <w:sz w:val="20"/>
          <w:szCs w:val="20"/>
        </w:rPr>
      </w:pPr>
      <w:r w:rsidRPr="004D3030">
        <w:rPr>
          <w:rFonts w:ascii="Tahoma" w:hAnsi="Tahoma" w:cs="Tahoma"/>
          <w:sz w:val="20"/>
          <w:szCs w:val="20"/>
        </w:rPr>
        <w:lastRenderedPageBreak/>
        <w:t>.</w:t>
      </w:r>
    </w:p>
    <w:p w14:paraId="2079FADC" w14:textId="7534B83A" w:rsidR="00C916A3" w:rsidRPr="00EB5355" w:rsidRDefault="00C916A3" w:rsidP="00062F00">
      <w:pPr>
        <w:ind w:left="720"/>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11D45673" w:rsidR="00D22682" w:rsidRPr="003C2DD1" w:rsidRDefault="00D22682" w:rsidP="00A71D50">
      <w:pPr>
        <w:numPr>
          <w:ilvl w:val="0"/>
          <w:numId w:val="4"/>
        </w:numPr>
        <w:rPr>
          <w:rFonts w:ascii="Tahoma" w:hAnsi="Tahoma" w:cs="Tahoma"/>
          <w:color w:val="000000" w:themeColor="text1"/>
          <w:sz w:val="20"/>
          <w:szCs w:val="20"/>
        </w:rPr>
      </w:pPr>
      <w:r w:rsidRPr="003C2DD1">
        <w:rPr>
          <w:rFonts w:ascii="Tahoma" w:hAnsi="Tahoma" w:cs="Tahoma"/>
          <w:color w:val="000000" w:themeColor="text1"/>
          <w:sz w:val="20"/>
          <w:szCs w:val="20"/>
        </w:rPr>
        <w:t xml:space="preserve">Quality of the </w:t>
      </w:r>
      <w:r w:rsidR="00C81A91" w:rsidRPr="003C2DD1">
        <w:rPr>
          <w:rFonts w:ascii="Tahoma" w:hAnsi="Tahoma" w:cs="Tahoma"/>
          <w:color w:val="000000" w:themeColor="text1"/>
          <w:sz w:val="20"/>
          <w:szCs w:val="20"/>
        </w:rPr>
        <w:t>offer</w:t>
      </w:r>
      <w:r w:rsidRPr="003C2DD1">
        <w:rPr>
          <w:rFonts w:ascii="Tahoma" w:hAnsi="Tahoma" w:cs="Tahoma"/>
          <w:color w:val="000000" w:themeColor="text1"/>
          <w:sz w:val="20"/>
          <w:szCs w:val="20"/>
        </w:rPr>
        <w:t xml:space="preserve"> (</w:t>
      </w:r>
      <w:r w:rsidR="00D94921">
        <w:rPr>
          <w:rFonts w:ascii="Tahoma" w:hAnsi="Tahoma" w:cs="Tahoma"/>
          <w:color w:val="000000" w:themeColor="text1"/>
          <w:sz w:val="20"/>
          <w:szCs w:val="20"/>
        </w:rPr>
        <w:t>80</w:t>
      </w:r>
      <w:r w:rsidRPr="003C2DD1">
        <w:rPr>
          <w:rFonts w:ascii="Tahoma" w:hAnsi="Tahoma" w:cs="Tahoma"/>
          <w:color w:val="000000" w:themeColor="text1"/>
          <w:sz w:val="20"/>
          <w:szCs w:val="20"/>
        </w:rPr>
        <w:t>%), including:</w:t>
      </w:r>
    </w:p>
    <w:p w14:paraId="7AB5ECAE" w14:textId="57270CBB" w:rsidR="00264F45" w:rsidRPr="00B70396" w:rsidRDefault="006E3110" w:rsidP="00B70396">
      <w:pPr>
        <w:numPr>
          <w:ilvl w:val="1"/>
          <w:numId w:val="7"/>
        </w:numPr>
        <w:ind w:left="993" w:hanging="284"/>
        <w:rPr>
          <w:rFonts w:ascii="Tahoma" w:hAnsi="Tahoma" w:cs="Tahoma"/>
          <w:color w:val="808080"/>
          <w:sz w:val="20"/>
          <w:szCs w:val="20"/>
        </w:rPr>
      </w:pPr>
      <w:r w:rsidRPr="00B71615">
        <w:rPr>
          <w:rFonts w:ascii="Tahoma" w:hAnsi="Tahoma" w:cs="Tahoma"/>
          <w:color w:val="000000"/>
          <w:sz w:val="20"/>
          <w:szCs w:val="20"/>
        </w:rPr>
        <w:t>Proposed concept</w:t>
      </w:r>
      <w:r w:rsidR="004C410C" w:rsidRPr="00B71615">
        <w:rPr>
          <w:rFonts w:ascii="Tahoma" w:hAnsi="Tahoma" w:cs="Tahoma"/>
          <w:color w:val="000000"/>
          <w:sz w:val="20"/>
          <w:szCs w:val="20"/>
        </w:rPr>
        <w:t xml:space="preserve"> of the </w:t>
      </w:r>
      <w:r w:rsidR="008B170C">
        <w:rPr>
          <w:rFonts w:ascii="Tahoma" w:hAnsi="Tahoma" w:cs="Tahoma"/>
          <w:color w:val="000000"/>
          <w:sz w:val="20"/>
          <w:szCs w:val="20"/>
        </w:rPr>
        <w:t>social media</w:t>
      </w:r>
      <w:r w:rsidR="00B71615" w:rsidRPr="00B71615">
        <w:rPr>
          <w:rFonts w:ascii="Tahoma" w:hAnsi="Tahoma" w:cs="Tahoma"/>
          <w:color w:val="000000"/>
          <w:sz w:val="20"/>
          <w:szCs w:val="20"/>
        </w:rPr>
        <w:t xml:space="preserve"> </w:t>
      </w:r>
      <w:r w:rsidR="006E3178">
        <w:rPr>
          <w:rFonts w:ascii="Tahoma" w:hAnsi="Tahoma" w:cs="Tahoma"/>
          <w:color w:val="000000"/>
          <w:sz w:val="20"/>
          <w:szCs w:val="20"/>
        </w:rPr>
        <w:t>awareness raising</w:t>
      </w:r>
      <w:r w:rsidR="004C410C" w:rsidRPr="00B71615">
        <w:rPr>
          <w:rFonts w:ascii="Tahoma" w:hAnsi="Tahoma" w:cs="Tahoma"/>
          <w:color w:val="000000"/>
          <w:sz w:val="20"/>
          <w:szCs w:val="20"/>
        </w:rPr>
        <w:t xml:space="preserve"> campaign</w:t>
      </w:r>
      <w:r w:rsidR="003C2DD1" w:rsidRPr="00B71615">
        <w:rPr>
          <w:rFonts w:ascii="Tahoma" w:hAnsi="Tahoma" w:cs="Tahoma"/>
          <w:color w:val="000000"/>
          <w:sz w:val="20"/>
          <w:szCs w:val="20"/>
        </w:rPr>
        <w:t>,</w:t>
      </w:r>
      <w:r w:rsidR="004C410C" w:rsidRPr="00B71615">
        <w:rPr>
          <w:rFonts w:ascii="Tahoma" w:hAnsi="Tahoma" w:cs="Tahoma"/>
          <w:color w:val="000000"/>
          <w:sz w:val="20"/>
          <w:szCs w:val="20"/>
        </w:rPr>
        <w:t xml:space="preserve"> </w:t>
      </w:r>
      <w:r w:rsidR="003C2DD1" w:rsidRPr="00B71615">
        <w:rPr>
          <w:rFonts w:ascii="Tahoma" w:hAnsi="Tahoma" w:cs="Tahoma"/>
          <w:color w:val="000000"/>
          <w:sz w:val="20"/>
          <w:szCs w:val="20"/>
        </w:rPr>
        <w:t>a</w:t>
      </w:r>
      <w:r w:rsidR="003C2DD1" w:rsidRPr="00B71615">
        <w:rPr>
          <w:rFonts w:ascii="Tahoma" w:hAnsi="Tahoma" w:cs="Tahoma"/>
          <w:color w:val="000000" w:themeColor="text1"/>
          <w:sz w:val="20"/>
          <w:szCs w:val="20"/>
        </w:rPr>
        <w:t>long with detailed timeframe with description of the services to be performed and the deliverables provided during the implementation period (1</w:t>
      </w:r>
      <w:r w:rsidR="005219DA">
        <w:rPr>
          <w:rFonts w:ascii="Tahoma" w:hAnsi="Tahoma" w:cs="Tahoma"/>
          <w:color w:val="000000" w:themeColor="text1"/>
          <w:sz w:val="20"/>
          <w:szCs w:val="20"/>
        </w:rPr>
        <w:t>5</w:t>
      </w:r>
      <w:r w:rsidR="003C2DD1" w:rsidRPr="00B71615">
        <w:rPr>
          <w:rFonts w:ascii="Tahoma" w:hAnsi="Tahoma" w:cs="Tahoma"/>
          <w:color w:val="000000" w:themeColor="text1"/>
          <w:sz w:val="20"/>
          <w:szCs w:val="20"/>
        </w:rPr>
        <w:t xml:space="preserve"> </w:t>
      </w:r>
      <w:r w:rsidR="00B71615" w:rsidRPr="00B71615">
        <w:rPr>
          <w:rFonts w:ascii="Tahoma" w:hAnsi="Tahoma" w:cs="Tahoma"/>
          <w:color w:val="000000" w:themeColor="text1"/>
          <w:sz w:val="20"/>
          <w:szCs w:val="20"/>
        </w:rPr>
        <w:t>October 2020</w:t>
      </w:r>
      <w:r w:rsidR="003C2DD1" w:rsidRPr="00B71615">
        <w:rPr>
          <w:rFonts w:ascii="Tahoma" w:hAnsi="Tahoma" w:cs="Tahoma"/>
          <w:color w:val="000000" w:themeColor="text1"/>
          <w:sz w:val="20"/>
          <w:szCs w:val="20"/>
        </w:rPr>
        <w:t xml:space="preserve"> - </w:t>
      </w:r>
      <w:r w:rsidR="00186FA0">
        <w:rPr>
          <w:rFonts w:ascii="Tahoma" w:hAnsi="Tahoma" w:cs="Tahoma"/>
          <w:color w:val="000000" w:themeColor="text1"/>
          <w:sz w:val="20"/>
          <w:szCs w:val="20"/>
        </w:rPr>
        <w:t>3</w:t>
      </w:r>
      <w:r w:rsidR="00B70396">
        <w:rPr>
          <w:rFonts w:ascii="Tahoma" w:hAnsi="Tahoma" w:cs="Tahoma"/>
          <w:color w:val="000000" w:themeColor="text1"/>
          <w:sz w:val="20"/>
          <w:szCs w:val="20"/>
        </w:rPr>
        <w:t>1</w:t>
      </w:r>
      <w:r w:rsidR="003C2DD1" w:rsidRPr="00B71615">
        <w:rPr>
          <w:rFonts w:ascii="Tahoma" w:hAnsi="Tahoma" w:cs="Tahoma"/>
          <w:color w:val="000000" w:themeColor="text1"/>
          <w:sz w:val="20"/>
          <w:szCs w:val="20"/>
        </w:rPr>
        <w:t xml:space="preserve"> </w:t>
      </w:r>
      <w:r w:rsidR="00B70396">
        <w:rPr>
          <w:rFonts w:ascii="Tahoma" w:hAnsi="Tahoma" w:cs="Tahoma"/>
          <w:color w:val="000000" w:themeColor="text1"/>
          <w:sz w:val="20"/>
          <w:szCs w:val="20"/>
        </w:rPr>
        <w:t>Ma</w:t>
      </w:r>
      <w:r w:rsidR="00186FA0">
        <w:rPr>
          <w:rFonts w:ascii="Tahoma" w:hAnsi="Tahoma" w:cs="Tahoma"/>
          <w:color w:val="000000" w:themeColor="text1"/>
          <w:sz w:val="20"/>
          <w:szCs w:val="20"/>
        </w:rPr>
        <w:t>rch</w:t>
      </w:r>
      <w:r w:rsidR="003C2DD1" w:rsidRPr="00B71615">
        <w:rPr>
          <w:rFonts w:ascii="Tahoma" w:hAnsi="Tahoma" w:cs="Tahoma"/>
          <w:color w:val="000000" w:themeColor="text1"/>
          <w:sz w:val="20"/>
          <w:szCs w:val="20"/>
        </w:rPr>
        <w:t xml:space="preserve"> 202</w:t>
      </w:r>
      <w:r w:rsidR="00B70396">
        <w:rPr>
          <w:rFonts w:ascii="Tahoma" w:hAnsi="Tahoma" w:cs="Tahoma"/>
          <w:color w:val="000000" w:themeColor="text1"/>
          <w:sz w:val="20"/>
          <w:szCs w:val="20"/>
        </w:rPr>
        <w:t>2</w:t>
      </w:r>
      <w:r w:rsidR="003C2DD1" w:rsidRPr="00B71615">
        <w:rPr>
          <w:rFonts w:ascii="Tahoma" w:hAnsi="Tahoma" w:cs="Tahoma"/>
          <w:color w:val="000000" w:themeColor="text1"/>
          <w:sz w:val="20"/>
          <w:szCs w:val="20"/>
        </w:rPr>
        <w:t>);</w:t>
      </w:r>
    </w:p>
    <w:p w14:paraId="5D325B1A" w14:textId="16FDE132" w:rsidR="004C410C" w:rsidRPr="00B71615" w:rsidRDefault="00264F45" w:rsidP="00A71D50">
      <w:pPr>
        <w:numPr>
          <w:ilvl w:val="1"/>
          <w:numId w:val="7"/>
        </w:numPr>
        <w:ind w:left="993" w:hanging="284"/>
        <w:rPr>
          <w:rFonts w:ascii="Tahoma" w:hAnsi="Tahoma" w:cs="Tahoma"/>
          <w:sz w:val="20"/>
          <w:szCs w:val="20"/>
        </w:rPr>
      </w:pPr>
      <w:r w:rsidRPr="00B71615">
        <w:rPr>
          <w:rFonts w:ascii="Tahoma" w:hAnsi="Tahoma" w:cs="Tahoma"/>
          <w:sz w:val="20"/>
          <w:szCs w:val="20"/>
        </w:rPr>
        <w:t>Quality of recent examples of similar campaigns and products.</w:t>
      </w:r>
      <w:r w:rsidR="0043627B" w:rsidRPr="00B71615">
        <w:rPr>
          <w:rFonts w:ascii="Tahoma" w:hAnsi="Tahoma" w:cs="Tahoma"/>
          <w:sz w:val="20"/>
          <w:szCs w:val="20"/>
        </w:rPr>
        <w:t xml:space="preserve"> </w:t>
      </w:r>
    </w:p>
    <w:p w14:paraId="3D6553E5" w14:textId="24B507E5" w:rsidR="00D22682" w:rsidRPr="00264F45" w:rsidRDefault="00D22682" w:rsidP="00A71D50">
      <w:pPr>
        <w:numPr>
          <w:ilvl w:val="0"/>
          <w:numId w:val="5"/>
        </w:numPr>
        <w:rPr>
          <w:rFonts w:ascii="Tahoma" w:hAnsi="Tahoma" w:cs="Tahoma"/>
          <w:color w:val="000000" w:themeColor="text1"/>
          <w:sz w:val="20"/>
          <w:szCs w:val="20"/>
        </w:rPr>
      </w:pPr>
      <w:r w:rsidRPr="00264F45">
        <w:rPr>
          <w:rFonts w:ascii="Tahoma" w:hAnsi="Tahoma" w:cs="Tahoma"/>
          <w:color w:val="000000" w:themeColor="text1"/>
          <w:sz w:val="20"/>
          <w:szCs w:val="20"/>
        </w:rPr>
        <w:t>Financial offer (</w:t>
      </w:r>
      <w:r w:rsidR="00D94921" w:rsidRPr="00264F45">
        <w:rPr>
          <w:rFonts w:ascii="Tahoma" w:hAnsi="Tahoma" w:cs="Tahoma"/>
          <w:color w:val="000000" w:themeColor="text1"/>
          <w:sz w:val="20"/>
          <w:szCs w:val="20"/>
        </w:rPr>
        <w:t>2</w:t>
      </w:r>
      <w:r w:rsidRPr="00264F45">
        <w:rPr>
          <w:rFonts w:ascii="Tahoma" w:hAnsi="Tahoma" w:cs="Tahoma"/>
          <w:color w:val="000000" w:themeColor="text1"/>
          <w:sz w:val="20"/>
          <w:szCs w:val="20"/>
        </w:rPr>
        <w:t>0%).</w:t>
      </w:r>
    </w:p>
    <w:p w14:paraId="24658590" w14:textId="65C19CF2" w:rsidR="007A014F" w:rsidRDefault="007A014F" w:rsidP="00D22682">
      <w:pPr>
        <w:rPr>
          <w:rFonts w:ascii="Tahoma" w:hAnsi="Tahoma" w:cs="Tahoma"/>
          <w:sz w:val="20"/>
          <w:szCs w:val="20"/>
        </w:rPr>
      </w:pPr>
    </w:p>
    <w:p w14:paraId="4FAED7E0" w14:textId="77777777" w:rsidR="007A014F" w:rsidRPr="00EB5355" w:rsidRDefault="007A014F"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1"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1"/>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4D4888A0"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 xml:space="preserve">A completed and signed copy of the </w:t>
      </w:r>
      <w:hyperlink r:id="rId16" w:history="1">
        <w:r w:rsidRPr="0011096B">
          <w:rPr>
            <w:rStyle w:val="Hyperlink"/>
            <w:rFonts w:ascii="Tahoma" w:hAnsi="Tahoma" w:cs="Tahoma"/>
            <w:b/>
            <w:sz w:val="20"/>
            <w:szCs w:val="20"/>
          </w:rPr>
          <w:t>Act of Engagement</w:t>
        </w:r>
      </w:hyperlink>
      <w:r w:rsidR="00801371" w:rsidRPr="00EB5355">
        <w:rPr>
          <w:rStyle w:val="FootnoteReference"/>
          <w:rFonts w:ascii="Tahoma" w:hAnsi="Tahoma" w:cs="Tahoma"/>
          <w:b/>
          <w:sz w:val="20"/>
          <w:szCs w:val="20"/>
        </w:rPr>
        <w:footnoteReference w:id="5"/>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67B24A8C" w14:textId="6386E572" w:rsidR="00622565" w:rsidRPr="004C640A" w:rsidRDefault="00622565" w:rsidP="00622565">
      <w:pPr>
        <w:numPr>
          <w:ilvl w:val="0"/>
          <w:numId w:val="6"/>
        </w:numPr>
        <w:rPr>
          <w:rFonts w:ascii="Tahoma" w:hAnsi="Tahoma" w:cs="Tahoma"/>
          <w:sz w:val="20"/>
          <w:szCs w:val="20"/>
        </w:rPr>
      </w:pPr>
      <w:r w:rsidRPr="00C45A60">
        <w:rPr>
          <w:rFonts w:ascii="Tahoma" w:hAnsi="Tahoma" w:cs="Tahoma"/>
          <w:sz w:val="20"/>
          <w:szCs w:val="20"/>
        </w:rPr>
        <w:t>Proof of compliance with the eligibility criteria (e.g. registration documents, list and examples of similar products and their date and langu</w:t>
      </w:r>
      <w:r>
        <w:rPr>
          <w:rFonts w:ascii="Tahoma" w:hAnsi="Tahoma" w:cs="Tahoma"/>
          <w:sz w:val="20"/>
          <w:szCs w:val="20"/>
        </w:rPr>
        <w:t>ages of production, references,</w:t>
      </w:r>
      <w:r w:rsidR="004C51E9">
        <w:rPr>
          <w:rFonts w:ascii="Tahoma" w:hAnsi="Tahoma" w:cs="Tahoma"/>
          <w:sz w:val="20"/>
          <w:szCs w:val="20"/>
        </w:rPr>
        <w:t xml:space="preserve"> </w:t>
      </w:r>
      <w:r w:rsidR="004C51E9" w:rsidRPr="004C51E9">
        <w:rPr>
          <w:rFonts w:ascii="Tahoma" w:hAnsi="Tahoma" w:cs="Tahoma"/>
          <w:sz w:val="20"/>
          <w:szCs w:val="20"/>
        </w:rPr>
        <w:t>CVs of engaged professionals</w:t>
      </w:r>
      <w:r w:rsidR="004C51E9">
        <w:rPr>
          <w:rFonts w:ascii="Tahoma" w:hAnsi="Tahoma" w:cs="Tahoma"/>
          <w:sz w:val="20"/>
          <w:szCs w:val="20"/>
        </w:rPr>
        <w:t>,</w:t>
      </w:r>
      <w:r>
        <w:rPr>
          <w:rFonts w:ascii="Tahoma" w:hAnsi="Tahoma" w:cs="Tahoma"/>
          <w:sz w:val="20"/>
          <w:szCs w:val="20"/>
        </w:rPr>
        <w:t xml:space="preserve"> </w:t>
      </w:r>
      <w:r w:rsidRPr="00C45A60">
        <w:rPr>
          <w:rFonts w:ascii="Tahoma" w:hAnsi="Tahoma" w:cs="Tahoma"/>
          <w:sz w:val="20"/>
          <w:szCs w:val="20"/>
        </w:rPr>
        <w:t>etc)</w:t>
      </w:r>
      <w:r w:rsidRPr="004C640A">
        <w:rPr>
          <w:rFonts w:ascii="Tahoma" w:hAnsi="Tahoma" w:cs="Tahoma"/>
          <w:sz w:val="20"/>
          <w:szCs w:val="20"/>
        </w:rPr>
        <w:t>.</w:t>
      </w:r>
    </w:p>
    <w:p w14:paraId="74CB7C2A" w14:textId="4D2E17F0" w:rsidR="0043627B" w:rsidRPr="0007575C" w:rsidRDefault="0043627B" w:rsidP="00A71D50">
      <w:pPr>
        <w:numPr>
          <w:ilvl w:val="0"/>
          <w:numId w:val="6"/>
        </w:numPr>
        <w:rPr>
          <w:rFonts w:ascii="Tahoma" w:hAnsi="Tahoma" w:cs="Tahoma"/>
          <w:sz w:val="20"/>
          <w:szCs w:val="20"/>
        </w:rPr>
      </w:pPr>
      <w:r w:rsidRPr="0007575C">
        <w:rPr>
          <w:rFonts w:ascii="Tahoma" w:hAnsi="Tahoma" w:cs="Tahoma"/>
          <w:sz w:val="20"/>
          <w:szCs w:val="20"/>
        </w:rPr>
        <w:t>Proposed</w:t>
      </w:r>
      <w:r w:rsidR="00045B13">
        <w:rPr>
          <w:rFonts w:ascii="Tahoma" w:hAnsi="Tahoma" w:cs="Tahoma"/>
          <w:sz w:val="20"/>
          <w:szCs w:val="20"/>
        </w:rPr>
        <w:t xml:space="preserve"> social media</w:t>
      </w:r>
      <w:r w:rsidRPr="0007575C">
        <w:rPr>
          <w:rFonts w:ascii="Tahoma" w:hAnsi="Tahoma" w:cs="Tahoma"/>
          <w:sz w:val="20"/>
          <w:szCs w:val="20"/>
        </w:rPr>
        <w:t xml:space="preserve"> campaign concept, with detail</w:t>
      </w:r>
      <w:r w:rsidR="0007575C">
        <w:rPr>
          <w:rFonts w:ascii="Tahoma" w:hAnsi="Tahoma" w:cs="Tahoma"/>
          <w:sz w:val="20"/>
          <w:szCs w:val="20"/>
        </w:rPr>
        <w:t>ed</w:t>
      </w:r>
      <w:r w:rsidRPr="0007575C">
        <w:rPr>
          <w:rFonts w:ascii="Tahoma" w:hAnsi="Tahoma" w:cs="Tahoma"/>
          <w:sz w:val="20"/>
          <w:szCs w:val="20"/>
        </w:rPr>
        <w:t xml:space="preserve"> information and explanation of the proposed activities</w:t>
      </w:r>
      <w:r w:rsidR="00EC2051">
        <w:rPr>
          <w:rFonts w:ascii="Tahoma" w:hAnsi="Tahoma" w:cs="Tahoma"/>
          <w:sz w:val="20"/>
          <w:szCs w:val="20"/>
        </w:rPr>
        <w:t>, including examples of communication products planned to be used</w:t>
      </w:r>
      <w:r w:rsidRPr="0007575C">
        <w:rPr>
          <w:rFonts w:ascii="Tahoma" w:hAnsi="Tahoma" w:cs="Tahoma"/>
          <w:sz w:val="20"/>
          <w:szCs w:val="20"/>
        </w:rPr>
        <w:t>;</w:t>
      </w:r>
    </w:p>
    <w:p w14:paraId="4D6050AC" w14:textId="77777777" w:rsidR="00291AEF" w:rsidRPr="0007575C" w:rsidRDefault="0043627B" w:rsidP="00A71D50">
      <w:pPr>
        <w:numPr>
          <w:ilvl w:val="0"/>
          <w:numId w:val="6"/>
        </w:numPr>
        <w:rPr>
          <w:rFonts w:ascii="Tahoma" w:hAnsi="Tahoma" w:cs="Tahoma"/>
          <w:sz w:val="20"/>
          <w:szCs w:val="20"/>
        </w:rPr>
      </w:pPr>
      <w:r w:rsidRPr="0007575C">
        <w:rPr>
          <w:rFonts w:ascii="Tahoma" w:hAnsi="Tahoma" w:cs="Tahoma"/>
          <w:sz w:val="20"/>
          <w:szCs w:val="20"/>
        </w:rPr>
        <w:t>Proposed slogan of the campaign</w:t>
      </w:r>
      <w:r w:rsidR="00291AEF" w:rsidRPr="0007575C">
        <w:rPr>
          <w:rFonts w:ascii="Tahoma" w:hAnsi="Tahoma" w:cs="Tahoma"/>
          <w:sz w:val="20"/>
          <w:szCs w:val="20"/>
        </w:rPr>
        <w:t xml:space="preserve"> in Montenegrin and English languages</w:t>
      </w:r>
      <w:r w:rsidRPr="0007575C">
        <w:rPr>
          <w:rFonts w:ascii="Tahoma" w:hAnsi="Tahoma" w:cs="Tahoma"/>
          <w:sz w:val="20"/>
          <w:szCs w:val="20"/>
        </w:rPr>
        <w:t>;</w:t>
      </w:r>
    </w:p>
    <w:p w14:paraId="0DA811F1" w14:textId="496C729F" w:rsidR="005752A0" w:rsidRPr="004F4911" w:rsidRDefault="00D94921" w:rsidP="004F4911">
      <w:pPr>
        <w:pStyle w:val="ListParagraph"/>
        <w:numPr>
          <w:ilvl w:val="0"/>
          <w:numId w:val="20"/>
        </w:numPr>
        <w:rPr>
          <w:rFonts w:ascii="Tahoma" w:hAnsi="Tahoma" w:cs="Tahoma"/>
          <w:b/>
          <w:color w:val="000000"/>
          <w:sz w:val="20"/>
          <w:szCs w:val="20"/>
        </w:rPr>
      </w:pPr>
      <w:r w:rsidRPr="00D94921">
        <w:rPr>
          <w:rFonts w:ascii="Tahoma" w:hAnsi="Tahoma" w:cs="Tahoma"/>
          <w:sz w:val="20"/>
          <w:szCs w:val="20"/>
        </w:rPr>
        <w:t>Recent examples of similar campaigns and products</w:t>
      </w:r>
      <w:r w:rsidR="005752A0">
        <w:rPr>
          <w:rFonts w:ascii="Tahoma" w:hAnsi="Tahoma" w:cs="Tahoma"/>
          <w:sz w:val="20"/>
          <w:szCs w:val="20"/>
        </w:rPr>
        <w:t>;</w:t>
      </w:r>
    </w:p>
    <w:p w14:paraId="1ACD25F7" w14:textId="77777777" w:rsidR="00D94921" w:rsidRPr="00D94921" w:rsidRDefault="00D94921" w:rsidP="00D94921">
      <w:pPr>
        <w:pStyle w:val="ListParagraph"/>
        <w:rPr>
          <w:rFonts w:ascii="Tahoma" w:hAnsi="Tahoma" w:cs="Tahoma"/>
          <w:b/>
          <w:color w:val="000000"/>
          <w:sz w:val="20"/>
          <w:szCs w:val="20"/>
        </w:rPr>
      </w:pPr>
    </w:p>
    <w:p w14:paraId="329B4C53" w14:textId="092B8FC8"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622565">
        <w:rPr>
          <w:rFonts w:ascii="Tahoma" w:hAnsi="Tahoma" w:cs="Tahoma"/>
          <w:b/>
          <w:color w:val="000000" w:themeColor="text1"/>
          <w:sz w:val="20"/>
        </w:rPr>
        <w:t>English</w:t>
      </w:r>
      <w:r w:rsidR="00622565">
        <w:rPr>
          <w:rFonts w:ascii="Tahoma" w:hAnsi="Tahoma" w:cs="Tahoma"/>
          <w:b/>
          <w:color w:val="000000" w:themeColor="text1"/>
          <w:sz w:val="20"/>
        </w:rPr>
        <w:t xml:space="preserve">, </w:t>
      </w:r>
      <w:r w:rsidRPr="00EB5355">
        <w:rPr>
          <w:rFonts w:ascii="Tahoma" w:hAnsi="Tahoma" w:cs="Tahoma"/>
          <w:b/>
          <w:color w:val="000000" w:themeColor="text1"/>
          <w:sz w:val="20"/>
        </w:rPr>
        <w:t xml:space="preserve">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FD51A" w14:textId="77777777" w:rsidR="009D7CB2" w:rsidRDefault="009D7CB2" w:rsidP="00D50F13">
      <w:r>
        <w:separator/>
      </w:r>
    </w:p>
  </w:endnote>
  <w:endnote w:type="continuationSeparator" w:id="0">
    <w:p w14:paraId="00634202" w14:textId="77777777" w:rsidR="009D7CB2" w:rsidRDefault="009D7CB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509F" w14:textId="77777777" w:rsidR="009D7CB2" w:rsidRDefault="009D7CB2" w:rsidP="00D50F13">
      <w:r>
        <w:separator/>
      </w:r>
    </w:p>
  </w:footnote>
  <w:footnote w:type="continuationSeparator" w:id="0">
    <w:p w14:paraId="090B5263" w14:textId="77777777" w:rsidR="009D7CB2" w:rsidRDefault="009D7CB2"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1AD82AC4" w14:textId="77777777" w:rsidR="00D056FF" w:rsidRPr="008B170C" w:rsidRDefault="00D056FF" w:rsidP="00D056FF">
      <w:pPr>
        <w:pStyle w:val="FootnoteText"/>
        <w:rPr>
          <w:lang w:val="sr-Latn-RS"/>
        </w:rPr>
      </w:pPr>
      <w:r>
        <w:rPr>
          <w:rStyle w:val="FootnoteReference"/>
        </w:rPr>
        <w:footnoteRef/>
      </w:r>
      <w:r>
        <w:t xml:space="preserve"> </w:t>
      </w:r>
      <w:hyperlink r:id="rId3" w:history="1">
        <w:r w:rsidRPr="00DC5F46">
          <w:rPr>
            <w:rStyle w:val="Hyperlink"/>
            <w:rFonts w:ascii="Tahoma" w:hAnsi="Tahoma" w:cs="Tahoma"/>
            <w:bCs/>
          </w:rPr>
          <w:t>https://ec.europa.eu/neighbourhood-enlargement/sites/near/files/20180417-montenegro-report.pdf</w:t>
        </w:r>
      </w:hyperlink>
      <w:r>
        <w:rPr>
          <w:rFonts w:ascii="Tahoma" w:hAnsi="Tahoma" w:cs="Tahoma"/>
          <w:bCs/>
        </w:rPr>
        <w:t xml:space="preserve"> </w:t>
      </w:r>
    </w:p>
  </w:footnote>
  <w:footnote w:id="3">
    <w:p w14:paraId="5A69BDEA" w14:textId="60B30A2C" w:rsidR="008B170C" w:rsidRPr="008B170C" w:rsidRDefault="008B170C">
      <w:pPr>
        <w:pStyle w:val="FootnoteText"/>
        <w:rPr>
          <w:lang w:val="sr-Latn-RS"/>
        </w:rPr>
      </w:pPr>
      <w:r>
        <w:rPr>
          <w:rStyle w:val="FootnoteReference"/>
        </w:rPr>
        <w:footnoteRef/>
      </w:r>
      <w:r w:rsidRPr="0084496C">
        <w:rPr>
          <w:lang w:val="sr-Latn-RS"/>
        </w:rPr>
        <w:t xml:space="preserve"> </w:t>
      </w:r>
      <w:r w:rsidR="009D7CB2">
        <w:fldChar w:fldCharType="begin"/>
      </w:r>
      <w:r w:rsidR="009D7CB2" w:rsidRPr="00A842F2">
        <w:rPr>
          <w:lang w:val="sr-Latn-RS"/>
        </w:rPr>
        <w:instrText xml:space="preserve"> HYPERLINK "https://www.coe.int/web/freedom-expression/-/public-presentation-of-the-media-sector-inquiry-in-montengro" </w:instrText>
      </w:r>
      <w:r w:rsidR="009D7CB2">
        <w:fldChar w:fldCharType="separate"/>
      </w:r>
      <w:r w:rsidRPr="0084496C">
        <w:rPr>
          <w:rStyle w:val="Hyperlink"/>
          <w:rFonts w:ascii="Tahoma" w:hAnsi="Tahoma" w:cs="Tahoma"/>
          <w:bCs/>
          <w:lang w:val="sr-Latn-RS"/>
        </w:rPr>
        <w:t>https://www.coe.int/web/freedom-expression/-/public-presentation-of-the-media-sector-inquiry-in-montengro</w:t>
      </w:r>
      <w:r w:rsidR="009D7CB2">
        <w:rPr>
          <w:rStyle w:val="Hyperlink"/>
          <w:rFonts w:ascii="Tahoma" w:hAnsi="Tahoma" w:cs="Tahoma"/>
          <w:bCs/>
          <w:lang w:val="sr-Latn-RS"/>
        </w:rPr>
        <w:fldChar w:fldCharType="end"/>
      </w:r>
      <w:r w:rsidRPr="0084496C">
        <w:rPr>
          <w:rFonts w:ascii="Tahoma" w:hAnsi="Tahoma" w:cs="Tahoma"/>
          <w:bCs/>
          <w:lang w:val="sr-Latn-RS"/>
        </w:rPr>
        <w:t xml:space="preserve"> </w:t>
      </w:r>
    </w:p>
  </w:footnote>
  <w:footnote w:id="4">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5">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5C37" w:rsidRDefault="000E60C6" w:rsidP="004E7D01">
    <w:pPr>
      <w:pStyle w:val="Header"/>
      <w:jc w:val="right"/>
      <w:rPr>
        <w:rFonts w:ascii="Arial Narrow" w:hAnsi="Arial Narrow"/>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74DF"/>
    <w:multiLevelType w:val="hybridMultilevel"/>
    <w:tmpl w:val="C54C8620"/>
    <w:lvl w:ilvl="0" w:tplc="0809000D">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3052BE4"/>
    <w:multiLevelType w:val="hybridMultilevel"/>
    <w:tmpl w:val="C0A06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7747E"/>
    <w:multiLevelType w:val="multilevel"/>
    <w:tmpl w:val="FFB2F4F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082EA0"/>
    <w:multiLevelType w:val="hybridMultilevel"/>
    <w:tmpl w:val="C0A06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828C8"/>
    <w:multiLevelType w:val="hybridMultilevel"/>
    <w:tmpl w:val="FC8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30FDA"/>
    <w:multiLevelType w:val="hybridMultilevel"/>
    <w:tmpl w:val="5A6A2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3F254EB"/>
    <w:multiLevelType w:val="hybridMultilevel"/>
    <w:tmpl w:val="480C71A4"/>
    <w:lvl w:ilvl="0" w:tplc="B7826BAC">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F1C9F"/>
    <w:multiLevelType w:val="multilevel"/>
    <w:tmpl w:val="8460DF92"/>
    <w:lvl w:ilvl="0">
      <w:start w:val="1"/>
      <w:numFmt w:val="upperRoman"/>
      <w:pStyle w:val="PMMHeading1"/>
      <w:suff w:val="space"/>
      <w:lvlText w:val="%1."/>
      <w:lvlJc w:val="left"/>
      <w:pPr>
        <w:ind w:left="851" w:firstLine="0"/>
      </w:pPr>
      <w:rPr>
        <w:rFonts w:hint="default"/>
      </w:rPr>
    </w:lvl>
    <w:lvl w:ilvl="1">
      <w:start w:val="1"/>
      <w:numFmt w:val="upperLetter"/>
      <w:pStyle w:val="PMMHeading2"/>
      <w:suff w:val="space"/>
      <w:lvlText w:val="%2."/>
      <w:lvlJc w:val="left"/>
      <w:pPr>
        <w:ind w:left="0" w:firstLine="0"/>
      </w:pPr>
      <w:rPr>
        <w:rFonts w:hint="default"/>
      </w:rPr>
    </w:lvl>
    <w:lvl w:ilvl="2">
      <w:start w:val="1"/>
      <w:numFmt w:val="none"/>
      <w:pStyle w:val="PMMHeading3"/>
      <w:suff w:val="nothing"/>
      <w:lvlText w:val="%3"/>
      <w:lvlJc w:val="left"/>
      <w:pPr>
        <w:ind w:left="0" w:firstLine="0"/>
      </w:pPr>
      <w:rPr>
        <w:rFonts w:hint="default"/>
      </w:rPr>
    </w:lvl>
    <w:lvl w:ilvl="3">
      <w:start w:val="1"/>
      <w:numFmt w:val="none"/>
      <w:pStyle w:val="PMMHeading4"/>
      <w:suff w:val="nothing"/>
      <w:lvlText w:val=""/>
      <w:lvlJc w:val="left"/>
      <w:pPr>
        <w:ind w:left="0" w:firstLine="0"/>
      </w:pPr>
      <w:rPr>
        <w:rFonts w:hint="default"/>
      </w:rPr>
    </w:lvl>
    <w:lvl w:ilvl="4">
      <w:start w:val="1"/>
      <w:numFmt w:val="none"/>
      <w:pStyle w:val="PMMHeading5"/>
      <w:suff w:val="nothing"/>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E71032"/>
    <w:multiLevelType w:val="hybridMultilevel"/>
    <w:tmpl w:val="C4E88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90A43"/>
    <w:multiLevelType w:val="hybridMultilevel"/>
    <w:tmpl w:val="DB3E77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B2CF9"/>
    <w:multiLevelType w:val="hybridMultilevel"/>
    <w:tmpl w:val="1AA0B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D3950"/>
    <w:multiLevelType w:val="hybridMultilevel"/>
    <w:tmpl w:val="7068E0EC"/>
    <w:lvl w:ilvl="0" w:tplc="85C688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22C99"/>
    <w:multiLevelType w:val="hybridMultilevel"/>
    <w:tmpl w:val="E460C16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C2C8B"/>
    <w:multiLevelType w:val="hybridMultilevel"/>
    <w:tmpl w:val="11E0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22"/>
  </w:num>
  <w:num w:numId="5">
    <w:abstractNumId w:val="5"/>
  </w:num>
  <w:num w:numId="6">
    <w:abstractNumId w:val="16"/>
  </w:num>
  <w:num w:numId="7">
    <w:abstractNumId w:val="24"/>
  </w:num>
  <w:num w:numId="8">
    <w:abstractNumId w:val="7"/>
  </w:num>
  <w:num w:numId="9">
    <w:abstractNumId w:val="18"/>
  </w:num>
  <w:num w:numId="10">
    <w:abstractNumId w:val="21"/>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23"/>
  </w:num>
  <w:num w:numId="16">
    <w:abstractNumId w:val="17"/>
  </w:num>
  <w:num w:numId="17">
    <w:abstractNumId w:val="10"/>
  </w:num>
  <w:num w:numId="18">
    <w:abstractNumId w:val="19"/>
  </w:num>
  <w:num w:numId="19">
    <w:abstractNumId w:val="13"/>
  </w:num>
  <w:num w:numId="20">
    <w:abstractNumId w:val="6"/>
  </w:num>
  <w:num w:numId="21">
    <w:abstractNumId w:val="2"/>
  </w:num>
  <w:num w:numId="22">
    <w:abstractNumId w:val="3"/>
  </w:num>
  <w:num w:numId="23">
    <w:abstractNumId w:val="4"/>
  </w:num>
  <w:num w:numId="24">
    <w:abstractNumId w:val="9"/>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06C"/>
    <w:rsid w:val="000025A5"/>
    <w:rsid w:val="00002CC6"/>
    <w:rsid w:val="00007AEB"/>
    <w:rsid w:val="0001537A"/>
    <w:rsid w:val="000166AB"/>
    <w:rsid w:val="0002442B"/>
    <w:rsid w:val="00027FF4"/>
    <w:rsid w:val="00034916"/>
    <w:rsid w:val="00037ED8"/>
    <w:rsid w:val="00045B13"/>
    <w:rsid w:val="00060282"/>
    <w:rsid w:val="00062F00"/>
    <w:rsid w:val="000645DC"/>
    <w:rsid w:val="000662E7"/>
    <w:rsid w:val="00072FB8"/>
    <w:rsid w:val="0007575C"/>
    <w:rsid w:val="000841B9"/>
    <w:rsid w:val="000852FE"/>
    <w:rsid w:val="00092350"/>
    <w:rsid w:val="00093A9A"/>
    <w:rsid w:val="00094C2A"/>
    <w:rsid w:val="000A1BF3"/>
    <w:rsid w:val="000C5ECB"/>
    <w:rsid w:val="000C5FE3"/>
    <w:rsid w:val="000D74BA"/>
    <w:rsid w:val="000E0285"/>
    <w:rsid w:val="000E2502"/>
    <w:rsid w:val="000E4515"/>
    <w:rsid w:val="000E59DC"/>
    <w:rsid w:val="000E5DF5"/>
    <w:rsid w:val="000E60C6"/>
    <w:rsid w:val="000F18A2"/>
    <w:rsid w:val="000F3067"/>
    <w:rsid w:val="000F3CB2"/>
    <w:rsid w:val="000F6BAA"/>
    <w:rsid w:val="000F76B3"/>
    <w:rsid w:val="0010582F"/>
    <w:rsid w:val="0011096B"/>
    <w:rsid w:val="0011556A"/>
    <w:rsid w:val="00127AB4"/>
    <w:rsid w:val="00160002"/>
    <w:rsid w:val="00177754"/>
    <w:rsid w:val="00183C11"/>
    <w:rsid w:val="00183E4D"/>
    <w:rsid w:val="00184022"/>
    <w:rsid w:val="00184909"/>
    <w:rsid w:val="00186FA0"/>
    <w:rsid w:val="001922BD"/>
    <w:rsid w:val="001964E9"/>
    <w:rsid w:val="001A5371"/>
    <w:rsid w:val="001B0127"/>
    <w:rsid w:val="001C3566"/>
    <w:rsid w:val="001C6878"/>
    <w:rsid w:val="001D1FEA"/>
    <w:rsid w:val="001D40AD"/>
    <w:rsid w:val="001E4465"/>
    <w:rsid w:val="001E7F0E"/>
    <w:rsid w:val="001F5A87"/>
    <w:rsid w:val="001F6E6D"/>
    <w:rsid w:val="002104A2"/>
    <w:rsid w:val="00216E4E"/>
    <w:rsid w:val="00217FD8"/>
    <w:rsid w:val="00231B30"/>
    <w:rsid w:val="002336A0"/>
    <w:rsid w:val="00236880"/>
    <w:rsid w:val="00251355"/>
    <w:rsid w:val="00252955"/>
    <w:rsid w:val="002544EC"/>
    <w:rsid w:val="00264F45"/>
    <w:rsid w:val="00266625"/>
    <w:rsid w:val="002703C6"/>
    <w:rsid w:val="0028341F"/>
    <w:rsid w:val="002861C4"/>
    <w:rsid w:val="002870B8"/>
    <w:rsid w:val="00290EBB"/>
    <w:rsid w:val="00291AEF"/>
    <w:rsid w:val="002A2C42"/>
    <w:rsid w:val="002A56A1"/>
    <w:rsid w:val="002B4786"/>
    <w:rsid w:val="002C020B"/>
    <w:rsid w:val="002C6181"/>
    <w:rsid w:val="002C6F98"/>
    <w:rsid w:val="002D2902"/>
    <w:rsid w:val="002D5425"/>
    <w:rsid w:val="002D5A03"/>
    <w:rsid w:val="002D5FEC"/>
    <w:rsid w:val="002F2AC1"/>
    <w:rsid w:val="002F5F71"/>
    <w:rsid w:val="00312A44"/>
    <w:rsid w:val="00313CB0"/>
    <w:rsid w:val="00320711"/>
    <w:rsid w:val="00323FDB"/>
    <w:rsid w:val="00325C66"/>
    <w:rsid w:val="003307CC"/>
    <w:rsid w:val="00332AF4"/>
    <w:rsid w:val="003330C8"/>
    <w:rsid w:val="00342698"/>
    <w:rsid w:val="003712F2"/>
    <w:rsid w:val="0037353D"/>
    <w:rsid w:val="00386026"/>
    <w:rsid w:val="00391CFC"/>
    <w:rsid w:val="0039258A"/>
    <w:rsid w:val="003B1C2E"/>
    <w:rsid w:val="003B2836"/>
    <w:rsid w:val="003B2E7E"/>
    <w:rsid w:val="003C141A"/>
    <w:rsid w:val="003C2DD1"/>
    <w:rsid w:val="003D6568"/>
    <w:rsid w:val="003E132C"/>
    <w:rsid w:val="003F020D"/>
    <w:rsid w:val="003F2546"/>
    <w:rsid w:val="003F7D5B"/>
    <w:rsid w:val="00420E9A"/>
    <w:rsid w:val="00433BFC"/>
    <w:rsid w:val="0043627B"/>
    <w:rsid w:val="0044379B"/>
    <w:rsid w:val="0045037C"/>
    <w:rsid w:val="00455018"/>
    <w:rsid w:val="004575D4"/>
    <w:rsid w:val="00461E80"/>
    <w:rsid w:val="00461EAE"/>
    <w:rsid w:val="0048372A"/>
    <w:rsid w:val="004874F6"/>
    <w:rsid w:val="00490018"/>
    <w:rsid w:val="004B0F2D"/>
    <w:rsid w:val="004B2022"/>
    <w:rsid w:val="004C410C"/>
    <w:rsid w:val="004C51E9"/>
    <w:rsid w:val="004D084E"/>
    <w:rsid w:val="004D3030"/>
    <w:rsid w:val="004E5C37"/>
    <w:rsid w:val="004E796F"/>
    <w:rsid w:val="004E7A45"/>
    <w:rsid w:val="004E7D01"/>
    <w:rsid w:val="004F4911"/>
    <w:rsid w:val="004F71A4"/>
    <w:rsid w:val="00505356"/>
    <w:rsid w:val="00512F35"/>
    <w:rsid w:val="00513824"/>
    <w:rsid w:val="005219DA"/>
    <w:rsid w:val="00521A0A"/>
    <w:rsid w:val="005264E8"/>
    <w:rsid w:val="00552F0E"/>
    <w:rsid w:val="00556FC5"/>
    <w:rsid w:val="005614D9"/>
    <w:rsid w:val="00563B1B"/>
    <w:rsid w:val="00567F3E"/>
    <w:rsid w:val="00575177"/>
    <w:rsid w:val="005752A0"/>
    <w:rsid w:val="00582F95"/>
    <w:rsid w:val="00583FCD"/>
    <w:rsid w:val="005845C2"/>
    <w:rsid w:val="005B796C"/>
    <w:rsid w:val="005C3A8A"/>
    <w:rsid w:val="005C4043"/>
    <w:rsid w:val="005D2827"/>
    <w:rsid w:val="005D4DB7"/>
    <w:rsid w:val="005D7279"/>
    <w:rsid w:val="005E15F8"/>
    <w:rsid w:val="005E2E4E"/>
    <w:rsid w:val="005E634D"/>
    <w:rsid w:val="005F2E70"/>
    <w:rsid w:val="00615FF8"/>
    <w:rsid w:val="00622565"/>
    <w:rsid w:val="00637C62"/>
    <w:rsid w:val="006426F7"/>
    <w:rsid w:val="00647C28"/>
    <w:rsid w:val="006558F9"/>
    <w:rsid w:val="006653EA"/>
    <w:rsid w:val="0067529C"/>
    <w:rsid w:val="00680325"/>
    <w:rsid w:val="006819D8"/>
    <w:rsid w:val="00685694"/>
    <w:rsid w:val="006912CB"/>
    <w:rsid w:val="00697D7A"/>
    <w:rsid w:val="006A18BC"/>
    <w:rsid w:val="006B2D7D"/>
    <w:rsid w:val="006B5512"/>
    <w:rsid w:val="006C1853"/>
    <w:rsid w:val="006D682A"/>
    <w:rsid w:val="006D6CA0"/>
    <w:rsid w:val="006E3110"/>
    <w:rsid w:val="006E3178"/>
    <w:rsid w:val="006E6F8B"/>
    <w:rsid w:val="00711683"/>
    <w:rsid w:val="00713E80"/>
    <w:rsid w:val="0072454C"/>
    <w:rsid w:val="00724889"/>
    <w:rsid w:val="00726FB8"/>
    <w:rsid w:val="007455D2"/>
    <w:rsid w:val="007556CC"/>
    <w:rsid w:val="00756A1A"/>
    <w:rsid w:val="007606F5"/>
    <w:rsid w:val="0076182E"/>
    <w:rsid w:val="007867C0"/>
    <w:rsid w:val="00791E04"/>
    <w:rsid w:val="00793887"/>
    <w:rsid w:val="00793D12"/>
    <w:rsid w:val="00795409"/>
    <w:rsid w:val="00797834"/>
    <w:rsid w:val="007A014F"/>
    <w:rsid w:val="007A3C69"/>
    <w:rsid w:val="007B09A0"/>
    <w:rsid w:val="007C267B"/>
    <w:rsid w:val="007D3C6B"/>
    <w:rsid w:val="007E78C4"/>
    <w:rsid w:val="00801371"/>
    <w:rsid w:val="00810B01"/>
    <w:rsid w:val="008112B0"/>
    <w:rsid w:val="008130F3"/>
    <w:rsid w:val="008166AD"/>
    <w:rsid w:val="00823470"/>
    <w:rsid w:val="0082549E"/>
    <w:rsid w:val="0083377F"/>
    <w:rsid w:val="00840C1E"/>
    <w:rsid w:val="0084496C"/>
    <w:rsid w:val="00860DCA"/>
    <w:rsid w:val="00867184"/>
    <w:rsid w:val="008676F0"/>
    <w:rsid w:val="00877F3B"/>
    <w:rsid w:val="008828EC"/>
    <w:rsid w:val="00883AB4"/>
    <w:rsid w:val="00883C2D"/>
    <w:rsid w:val="00886AF4"/>
    <w:rsid w:val="008879EA"/>
    <w:rsid w:val="00892D73"/>
    <w:rsid w:val="008A714D"/>
    <w:rsid w:val="008B170C"/>
    <w:rsid w:val="008B2371"/>
    <w:rsid w:val="008B6FDD"/>
    <w:rsid w:val="008D3220"/>
    <w:rsid w:val="008F1511"/>
    <w:rsid w:val="008F2DBD"/>
    <w:rsid w:val="008F4267"/>
    <w:rsid w:val="00900FD0"/>
    <w:rsid w:val="00904764"/>
    <w:rsid w:val="00904B93"/>
    <w:rsid w:val="009058FD"/>
    <w:rsid w:val="00935F0D"/>
    <w:rsid w:val="0095095F"/>
    <w:rsid w:val="00960074"/>
    <w:rsid w:val="00966234"/>
    <w:rsid w:val="0097243F"/>
    <w:rsid w:val="00987306"/>
    <w:rsid w:val="00990987"/>
    <w:rsid w:val="009A20EC"/>
    <w:rsid w:val="009B1E00"/>
    <w:rsid w:val="009B5004"/>
    <w:rsid w:val="009B6EDC"/>
    <w:rsid w:val="009D1AE0"/>
    <w:rsid w:val="009D4A75"/>
    <w:rsid w:val="009D7CB2"/>
    <w:rsid w:val="009E25CF"/>
    <w:rsid w:val="009E4346"/>
    <w:rsid w:val="009E55DF"/>
    <w:rsid w:val="009F19CC"/>
    <w:rsid w:val="00A041D4"/>
    <w:rsid w:val="00A12241"/>
    <w:rsid w:val="00A123D5"/>
    <w:rsid w:val="00A25077"/>
    <w:rsid w:val="00A3035C"/>
    <w:rsid w:val="00A40899"/>
    <w:rsid w:val="00A408D8"/>
    <w:rsid w:val="00A44CBA"/>
    <w:rsid w:val="00A535BA"/>
    <w:rsid w:val="00A62E8D"/>
    <w:rsid w:val="00A6445A"/>
    <w:rsid w:val="00A675CC"/>
    <w:rsid w:val="00A71D50"/>
    <w:rsid w:val="00A720C4"/>
    <w:rsid w:val="00A80AEF"/>
    <w:rsid w:val="00A842F2"/>
    <w:rsid w:val="00A8461F"/>
    <w:rsid w:val="00A85379"/>
    <w:rsid w:val="00A91875"/>
    <w:rsid w:val="00A93F2C"/>
    <w:rsid w:val="00A96316"/>
    <w:rsid w:val="00A96A37"/>
    <w:rsid w:val="00A96CE1"/>
    <w:rsid w:val="00AA0DF2"/>
    <w:rsid w:val="00AB13EF"/>
    <w:rsid w:val="00AB73E5"/>
    <w:rsid w:val="00AB7C01"/>
    <w:rsid w:val="00AC3113"/>
    <w:rsid w:val="00AC5C6C"/>
    <w:rsid w:val="00AC79E0"/>
    <w:rsid w:val="00AD33C7"/>
    <w:rsid w:val="00AD423A"/>
    <w:rsid w:val="00AD6C00"/>
    <w:rsid w:val="00AE4966"/>
    <w:rsid w:val="00AE5507"/>
    <w:rsid w:val="00AE793A"/>
    <w:rsid w:val="00AF6B98"/>
    <w:rsid w:val="00B11208"/>
    <w:rsid w:val="00B11F35"/>
    <w:rsid w:val="00B14D5F"/>
    <w:rsid w:val="00B43A63"/>
    <w:rsid w:val="00B52125"/>
    <w:rsid w:val="00B70396"/>
    <w:rsid w:val="00B71615"/>
    <w:rsid w:val="00B74DC5"/>
    <w:rsid w:val="00B77C51"/>
    <w:rsid w:val="00BA535D"/>
    <w:rsid w:val="00BA753C"/>
    <w:rsid w:val="00BA7B96"/>
    <w:rsid w:val="00BB66CF"/>
    <w:rsid w:val="00BC4F36"/>
    <w:rsid w:val="00BD09D0"/>
    <w:rsid w:val="00BE33D8"/>
    <w:rsid w:val="00C05DD1"/>
    <w:rsid w:val="00C27295"/>
    <w:rsid w:val="00C32CF2"/>
    <w:rsid w:val="00C4126D"/>
    <w:rsid w:val="00C42905"/>
    <w:rsid w:val="00C44E24"/>
    <w:rsid w:val="00C51681"/>
    <w:rsid w:val="00C5327B"/>
    <w:rsid w:val="00C57EAD"/>
    <w:rsid w:val="00C674A5"/>
    <w:rsid w:val="00C7050F"/>
    <w:rsid w:val="00C71DF0"/>
    <w:rsid w:val="00C7643B"/>
    <w:rsid w:val="00C803BB"/>
    <w:rsid w:val="00C81A91"/>
    <w:rsid w:val="00C830AC"/>
    <w:rsid w:val="00C916A3"/>
    <w:rsid w:val="00CA1D3D"/>
    <w:rsid w:val="00CA4416"/>
    <w:rsid w:val="00CA6E6F"/>
    <w:rsid w:val="00CB51DF"/>
    <w:rsid w:val="00CC2597"/>
    <w:rsid w:val="00CD061B"/>
    <w:rsid w:val="00D04381"/>
    <w:rsid w:val="00D056FF"/>
    <w:rsid w:val="00D137B4"/>
    <w:rsid w:val="00D22682"/>
    <w:rsid w:val="00D322CA"/>
    <w:rsid w:val="00D34C9B"/>
    <w:rsid w:val="00D368B5"/>
    <w:rsid w:val="00D417C2"/>
    <w:rsid w:val="00D41EDE"/>
    <w:rsid w:val="00D47F70"/>
    <w:rsid w:val="00D50F13"/>
    <w:rsid w:val="00D51502"/>
    <w:rsid w:val="00D52157"/>
    <w:rsid w:val="00D5513E"/>
    <w:rsid w:val="00D57A08"/>
    <w:rsid w:val="00D70114"/>
    <w:rsid w:val="00D70489"/>
    <w:rsid w:val="00D72AFB"/>
    <w:rsid w:val="00D73100"/>
    <w:rsid w:val="00D74BC9"/>
    <w:rsid w:val="00D803F2"/>
    <w:rsid w:val="00D80DA4"/>
    <w:rsid w:val="00D91729"/>
    <w:rsid w:val="00D94921"/>
    <w:rsid w:val="00DA7B8F"/>
    <w:rsid w:val="00DC3804"/>
    <w:rsid w:val="00DD14D5"/>
    <w:rsid w:val="00DE0239"/>
    <w:rsid w:val="00DF4999"/>
    <w:rsid w:val="00E00310"/>
    <w:rsid w:val="00E11E01"/>
    <w:rsid w:val="00E160F4"/>
    <w:rsid w:val="00E20C5A"/>
    <w:rsid w:val="00E3231F"/>
    <w:rsid w:val="00E37FD6"/>
    <w:rsid w:val="00E40584"/>
    <w:rsid w:val="00E519E1"/>
    <w:rsid w:val="00E54395"/>
    <w:rsid w:val="00E5607D"/>
    <w:rsid w:val="00E56FDA"/>
    <w:rsid w:val="00E65BB4"/>
    <w:rsid w:val="00E9201C"/>
    <w:rsid w:val="00EB5355"/>
    <w:rsid w:val="00EB550D"/>
    <w:rsid w:val="00EC2051"/>
    <w:rsid w:val="00EC4B0F"/>
    <w:rsid w:val="00ED1A6A"/>
    <w:rsid w:val="00EE1A66"/>
    <w:rsid w:val="00EE1D09"/>
    <w:rsid w:val="00EE25D8"/>
    <w:rsid w:val="00EE7240"/>
    <w:rsid w:val="00EF1FA9"/>
    <w:rsid w:val="00EF66B8"/>
    <w:rsid w:val="00F038DD"/>
    <w:rsid w:val="00F130D7"/>
    <w:rsid w:val="00F21315"/>
    <w:rsid w:val="00F23817"/>
    <w:rsid w:val="00F32CAF"/>
    <w:rsid w:val="00F420A3"/>
    <w:rsid w:val="00F5074F"/>
    <w:rsid w:val="00F56682"/>
    <w:rsid w:val="00F63F67"/>
    <w:rsid w:val="00F8128B"/>
    <w:rsid w:val="00F813BC"/>
    <w:rsid w:val="00F87204"/>
    <w:rsid w:val="00F93474"/>
    <w:rsid w:val="00FA00E6"/>
    <w:rsid w:val="00FA0CC4"/>
    <w:rsid w:val="00FA7021"/>
    <w:rsid w:val="00FD49FF"/>
    <w:rsid w:val="00FD5374"/>
    <w:rsid w:val="00FD5A34"/>
    <w:rsid w:val="00FE1E02"/>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D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paragraph" w:customStyle="1" w:styleId="PMMHeading1">
    <w:name w:val="PMM_Heading_1"/>
    <w:basedOn w:val="Heading1"/>
    <w:next w:val="Normal"/>
    <w:uiPriority w:val="3"/>
    <w:qFormat/>
    <w:rsid w:val="00AD6C00"/>
    <w:pPr>
      <w:keepLines/>
      <w:numPr>
        <w:numId w:val="17"/>
      </w:numPr>
      <w:pBdr>
        <w:bottom w:val="single" w:sz="8" w:space="4" w:color="266BAC"/>
      </w:pBdr>
      <w:spacing w:before="100" w:beforeAutospacing="1" w:after="240"/>
      <w:contextualSpacing/>
    </w:pPr>
    <w:rPr>
      <w:rFonts w:asciiTheme="majorHAnsi" w:eastAsiaTheme="majorEastAsia" w:hAnsiTheme="majorHAnsi" w:cstheme="majorBidi"/>
      <w:b w:val="0"/>
      <w:color w:val="266BAC"/>
      <w:kern w:val="0"/>
      <w:szCs w:val="28"/>
      <w:lang w:val="en-US" w:eastAsia="en-US"/>
    </w:rPr>
  </w:style>
  <w:style w:type="paragraph" w:customStyle="1" w:styleId="PMMHeading2">
    <w:name w:val="PMM_Heading_2"/>
    <w:basedOn w:val="Heading2"/>
    <w:next w:val="Normal"/>
    <w:uiPriority w:val="4"/>
    <w:qFormat/>
    <w:rsid w:val="00AD6C00"/>
    <w:pPr>
      <w:keepLines/>
      <w:numPr>
        <w:ilvl w:val="1"/>
        <w:numId w:val="17"/>
      </w:numPr>
      <w:spacing w:before="100" w:beforeAutospacing="1" w:after="0"/>
      <w:contextualSpacing/>
    </w:pPr>
    <w:rPr>
      <w:rFonts w:asciiTheme="majorHAnsi" w:eastAsiaTheme="majorEastAsia" w:hAnsiTheme="majorHAnsi" w:cstheme="majorBidi"/>
      <w:b w:val="0"/>
      <w:i w:val="0"/>
      <w:iCs w:val="0"/>
      <w:color w:val="266BAC"/>
      <w:szCs w:val="26"/>
      <w:lang w:eastAsia="en-US"/>
    </w:rPr>
  </w:style>
  <w:style w:type="paragraph" w:customStyle="1" w:styleId="PMMHeading3">
    <w:name w:val="PMM_Heading_3"/>
    <w:basedOn w:val="Heading3"/>
    <w:next w:val="Normal"/>
    <w:uiPriority w:val="4"/>
    <w:qFormat/>
    <w:rsid w:val="00AD6C00"/>
    <w:pPr>
      <w:keepLines/>
      <w:numPr>
        <w:ilvl w:val="2"/>
        <w:numId w:val="17"/>
      </w:numPr>
      <w:spacing w:before="100" w:beforeAutospacing="1" w:after="0"/>
      <w:contextualSpacing/>
    </w:pPr>
    <w:rPr>
      <w:rFonts w:asciiTheme="majorHAnsi" w:eastAsiaTheme="majorEastAsia" w:hAnsiTheme="majorHAnsi" w:cstheme="majorBidi"/>
      <w:b w:val="0"/>
      <w:color w:val="266BAC"/>
      <w:sz w:val="24"/>
      <w:szCs w:val="24"/>
      <w:lang w:eastAsia="en-US"/>
    </w:rPr>
  </w:style>
  <w:style w:type="paragraph" w:customStyle="1" w:styleId="PMMHeading4">
    <w:name w:val="PMM_Heading_4"/>
    <w:basedOn w:val="Heading4"/>
    <w:next w:val="Normal"/>
    <w:uiPriority w:val="4"/>
    <w:qFormat/>
    <w:rsid w:val="00AD6C00"/>
    <w:pPr>
      <w:keepLines/>
      <w:numPr>
        <w:ilvl w:val="3"/>
        <w:numId w:val="17"/>
      </w:numPr>
      <w:spacing w:before="100" w:beforeAutospacing="1" w:after="0"/>
      <w:contextualSpacing/>
    </w:pPr>
    <w:rPr>
      <w:rFonts w:asciiTheme="majorHAnsi" w:eastAsiaTheme="majorEastAsia" w:hAnsiTheme="majorHAnsi" w:cstheme="majorBidi"/>
      <w:b w:val="0"/>
      <w:iCs/>
      <w:color w:val="266BAC"/>
      <w:sz w:val="20"/>
      <w:szCs w:val="24"/>
      <w:lang w:eastAsia="en-US"/>
    </w:rPr>
  </w:style>
  <w:style w:type="paragraph" w:customStyle="1" w:styleId="PMMHeading5">
    <w:name w:val="PMM_Heading_5"/>
    <w:basedOn w:val="Heading5"/>
    <w:next w:val="Normal"/>
    <w:uiPriority w:val="4"/>
    <w:qFormat/>
    <w:rsid w:val="00AD6C00"/>
    <w:pPr>
      <w:keepLines/>
      <w:numPr>
        <w:ilvl w:val="4"/>
        <w:numId w:val="17"/>
      </w:numPr>
      <w:spacing w:before="100" w:beforeAutospacing="1"/>
      <w:jc w:val="left"/>
    </w:pPr>
    <w:rPr>
      <w:rFonts w:asciiTheme="majorHAnsi" w:eastAsiaTheme="majorEastAsia" w:hAnsiTheme="majorHAnsi" w:cstheme="majorBidi"/>
      <w:b w:val="0"/>
      <w:bCs w:val="0"/>
      <w:color w:val="266BAC"/>
      <w:sz w:val="18"/>
      <w:szCs w:val="24"/>
      <w:u w:val="none"/>
      <w:lang w:val="en-GB"/>
    </w:rPr>
  </w:style>
  <w:style w:type="paragraph" w:styleId="NormalWeb">
    <w:name w:val="Normal (Web)"/>
    <w:basedOn w:val="Normal"/>
    <w:uiPriority w:val="99"/>
    <w:semiHidden/>
    <w:unhideWhenUsed/>
    <w:rsid w:val="00A303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6975">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aoe-awareness-raising-campaign-on-accessibility-of-free-legal-aid-for-/16809e851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coe.int/aoe-awareness-raising-campaign-on-accessibility-of-free-legal-aid-for-/16809e85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aoe-awareness-raising-campaign-on-accessibility-of-free-legal-aid-for-/16809e85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sites/near/files/20180417-montenegro-report.pdf"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C07870ACA25A43F9B6C492009BD2D73C"/>
        <w:category>
          <w:name w:val="General"/>
          <w:gallery w:val="placeholder"/>
        </w:category>
        <w:types>
          <w:type w:val="bbPlcHdr"/>
        </w:types>
        <w:behaviors>
          <w:behavior w:val="content"/>
        </w:behaviors>
        <w:guid w:val="{0BB58E0D-EF42-4B2E-8FF5-6BCD5FEA505B}"/>
      </w:docPartPr>
      <w:docPartBody>
        <w:p w:rsidR="009B32F9" w:rsidRDefault="001721B7" w:rsidP="001721B7">
          <w:pPr>
            <w:pStyle w:val="C07870ACA25A43F9B6C492009BD2D73C"/>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721B7"/>
    <w:rsid w:val="0019422D"/>
    <w:rsid w:val="001C19D6"/>
    <w:rsid w:val="00257DA5"/>
    <w:rsid w:val="002A609C"/>
    <w:rsid w:val="00452619"/>
    <w:rsid w:val="0056547E"/>
    <w:rsid w:val="005A012A"/>
    <w:rsid w:val="005A2E66"/>
    <w:rsid w:val="0060482F"/>
    <w:rsid w:val="00646ADE"/>
    <w:rsid w:val="006B6434"/>
    <w:rsid w:val="006C0D63"/>
    <w:rsid w:val="006C30D6"/>
    <w:rsid w:val="007177C4"/>
    <w:rsid w:val="0076021C"/>
    <w:rsid w:val="009170FF"/>
    <w:rsid w:val="009216B9"/>
    <w:rsid w:val="009311A8"/>
    <w:rsid w:val="009574C2"/>
    <w:rsid w:val="009963A2"/>
    <w:rsid w:val="009B32F9"/>
    <w:rsid w:val="00A158CD"/>
    <w:rsid w:val="00A16B6E"/>
    <w:rsid w:val="00A26CAD"/>
    <w:rsid w:val="00A73B38"/>
    <w:rsid w:val="00AB78D5"/>
    <w:rsid w:val="00AE3759"/>
    <w:rsid w:val="00B05E45"/>
    <w:rsid w:val="00C27B37"/>
    <w:rsid w:val="00D30CA9"/>
    <w:rsid w:val="00D61A02"/>
    <w:rsid w:val="00D71CCB"/>
    <w:rsid w:val="00E453D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1B7"/>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A158C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A158C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A158C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A158C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A158C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C07870ACA25A43F9B6C492009BD2D73C">
    <w:name w:val="C07870ACA25A43F9B6C492009BD2D73C"/>
    <w:rsid w:val="001721B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8B2233-79F2-4A8D-A755-276F7128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BAKA Besnik</cp:lastModifiedBy>
  <cp:revision>2</cp:revision>
  <cp:lastPrinted>2020-08-24T12:19:00Z</cp:lastPrinted>
  <dcterms:created xsi:type="dcterms:W3CDTF">2020-08-24T12:20:00Z</dcterms:created>
  <dcterms:modified xsi:type="dcterms:W3CDTF">2020-08-24T12:20:00Z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