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A5EA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4FDFDC99" w14:textId="2E1AD0B2" w:rsidR="00FA5EAC" w:rsidRPr="00FA5EAC" w:rsidRDefault="00601A15" w:rsidP="00FA5EAC">
      <w:pPr>
        <w:spacing w:before="120" w:after="120"/>
        <w:ind w:left="568"/>
        <w:jc w:val="center"/>
        <w:rPr>
          <w:rFonts w:ascii="Myriad Pro" w:eastAsia="Calibri" w:hAnsi="Myriad Pro" w:cs="Calibri"/>
          <w:b/>
          <w:bCs/>
          <w:color w:val="2F5496"/>
          <w:sz w:val="28"/>
          <w:szCs w:val="32"/>
          <w:lang w:val="en-GB"/>
        </w:rPr>
      </w:pPr>
      <w:r w:rsidRPr="00601A15">
        <w:rPr>
          <w:rFonts w:ascii="Myriad Pro" w:eastAsia="Calibri" w:hAnsi="Myriad Pro" w:cs="Calibri"/>
          <w:b/>
          <w:bCs/>
          <w:color w:val="2F5496"/>
          <w:sz w:val="28"/>
          <w:szCs w:val="32"/>
          <w:lang w:val="en-GB"/>
        </w:rPr>
        <w:t>Introduction to the s</w:t>
      </w:r>
      <w:r w:rsidR="00FA5EAC" w:rsidRPr="00FA5EAC">
        <w:rPr>
          <w:rFonts w:ascii="Myriad Pro" w:eastAsia="Calibri" w:hAnsi="Myriad Pro" w:cs="Calibri"/>
          <w:b/>
          <w:bCs/>
          <w:color w:val="2F5496"/>
          <w:sz w:val="28"/>
          <w:szCs w:val="32"/>
          <w:lang w:val="en-GB"/>
        </w:rPr>
        <w:t>econd series</w:t>
      </w:r>
      <w:r>
        <w:rPr>
          <w:rFonts w:ascii="Myriad Pro" w:eastAsia="Calibri" w:hAnsi="Myriad Pro" w:cs="Calibri"/>
          <w:b/>
          <w:bCs/>
          <w:color w:val="2F5496"/>
          <w:sz w:val="28"/>
          <w:szCs w:val="32"/>
          <w:lang w:val="en-GB"/>
        </w:rPr>
        <w:t xml:space="preserve"> – Tools 40-45</w:t>
      </w:r>
    </w:p>
    <w:p w14:paraId="5A1EAACE" w14:textId="77777777" w:rsidR="00FA5EAC" w:rsidRPr="00FA5EAC" w:rsidRDefault="00FA5EAC" w:rsidP="00FA5EAC">
      <w:pPr>
        <w:spacing w:before="120" w:after="120"/>
        <w:ind w:left="568"/>
        <w:jc w:val="center"/>
        <w:rPr>
          <w:rFonts w:ascii="Myriad Pro" w:eastAsia="Calibri" w:hAnsi="Myriad Pro" w:cs="Calibri"/>
          <w:b/>
          <w:bCs/>
          <w:color w:val="2F5496"/>
          <w:sz w:val="28"/>
          <w:szCs w:val="32"/>
          <w:lang w:val="en-GB"/>
        </w:rPr>
      </w:pPr>
      <w:r w:rsidRPr="00FA5EAC">
        <w:rPr>
          <w:rFonts w:ascii="Myriad Pro" w:hAnsi="Myriad Pro"/>
          <w:b/>
          <w:bCs/>
          <w:color w:val="2F5496"/>
          <w:sz w:val="28"/>
          <w:szCs w:val="32"/>
          <w:lang w:val="en-GB" w:eastAsia="zh-CN"/>
        </w:rPr>
        <w:t>Discovering migrants' needs</w:t>
      </w:r>
    </w:p>
    <w:p w14:paraId="658B76C7" w14:textId="77777777" w:rsidR="00FA5EAC" w:rsidRPr="00FA5EAC" w:rsidRDefault="00FA5EAC" w:rsidP="00FA5EAC">
      <w:pPr>
        <w:spacing w:before="120" w:after="120"/>
        <w:ind w:left="568"/>
        <w:rPr>
          <w:rFonts w:ascii="Myriad Pro" w:eastAsia="Calibri" w:hAnsi="Myriad Pro" w:cs="Calibri"/>
          <w:b/>
          <w:bCs/>
          <w:color w:val="2F5496"/>
          <w:sz w:val="20"/>
          <w:szCs w:val="20"/>
          <w:lang w:val="en-GB"/>
        </w:rPr>
      </w:pPr>
    </w:p>
    <w:p w14:paraId="0BAF1565" w14:textId="77777777" w:rsidR="00FA5EAC" w:rsidRPr="00FA5EAC" w:rsidRDefault="00FA5EAC" w:rsidP="00FA5EAC">
      <w:pPr>
        <w:spacing w:after="160"/>
        <w:jc w:val="both"/>
        <w:rPr>
          <w:rFonts w:ascii="Myriad Pro" w:hAnsi="Myriad Pro"/>
          <w:sz w:val="20"/>
          <w:szCs w:val="20"/>
          <w:lang w:val="en-GB"/>
        </w:rPr>
      </w:pPr>
      <w:r w:rsidRPr="00FA5EAC">
        <w:rPr>
          <w:rFonts w:ascii="Myriad Pro" w:hAnsi="Myriad Pro"/>
          <w:sz w:val="20"/>
          <w:szCs w:val="20"/>
          <w:lang w:val="en-GB"/>
        </w:rPr>
        <w:t>The aim of this series of six tools is to offer guidelines and practical materials for managing the so-called ‘welcome phase’, i.e. the first meetings with migrants newly enrolled at the centre where teachers and volunteers work. The series aims to offer guidance to those providing language support for migrants about the following:</w:t>
      </w:r>
    </w:p>
    <w:p w14:paraId="56D47E6F"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having a first short meeting with individual migrants in the form of an interview (tool 31)</w:t>
      </w:r>
    </w:p>
    <w:p w14:paraId="310351C0"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finding out about their language profile and the languages they know (tool 40)</w:t>
      </w:r>
    </w:p>
    <w:p w14:paraId="6763FC07"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finding out about their level of literacy in the languages they know (tools 40 and 42)</w:t>
      </w:r>
    </w:p>
    <w:p w14:paraId="01C88B1D"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finding out about their existing competences in the target language (tool 40 in relation to oral skills; tool 42 in relation to written skills; tool 41 in terms of self-assessment)</w:t>
      </w:r>
    </w:p>
    <w:p w14:paraId="058D809A"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finding out what they consider to be their most urgent communicative needs in the target language (tool 41)</w:t>
      </w:r>
    </w:p>
    <w:p w14:paraId="208B35BE" w14:textId="77777777" w:rsidR="00FA5EAC" w:rsidRPr="00FA5EAC" w:rsidRDefault="00FA5EAC" w:rsidP="00FA5EAC">
      <w:pPr>
        <w:numPr>
          <w:ilvl w:val="0"/>
          <w:numId w:val="17"/>
        </w:numPr>
        <w:spacing w:after="160" w:line="259" w:lineRule="auto"/>
        <w:ind w:left="567" w:hanging="425"/>
        <w:contextualSpacing/>
        <w:jc w:val="both"/>
        <w:rPr>
          <w:rFonts w:ascii="Myriad Pro" w:hAnsi="Myriad Pro"/>
          <w:sz w:val="20"/>
          <w:szCs w:val="20"/>
          <w:lang w:val="en-GB"/>
        </w:rPr>
      </w:pPr>
      <w:r w:rsidRPr="00FA5EAC">
        <w:rPr>
          <w:rFonts w:ascii="Myriad Pro" w:hAnsi="Myriad Pro"/>
          <w:sz w:val="20"/>
          <w:szCs w:val="20"/>
          <w:lang w:val="en-GB"/>
        </w:rPr>
        <w:t>collecting information about how they learn (tool 43)</w:t>
      </w:r>
    </w:p>
    <w:p w14:paraId="1799816C" w14:textId="77777777" w:rsidR="00FA5EAC" w:rsidRPr="00FA5EAC" w:rsidRDefault="00FA5EAC" w:rsidP="00FA5EAC">
      <w:pPr>
        <w:spacing w:before="120" w:after="120"/>
        <w:jc w:val="both"/>
        <w:rPr>
          <w:rFonts w:ascii="Myriad Pro" w:eastAsia="Calibri" w:hAnsi="Myriad Pro" w:cs="Calibri"/>
          <w:bCs/>
          <w:sz w:val="20"/>
          <w:szCs w:val="20"/>
          <w:lang w:val="en-GB"/>
        </w:rPr>
      </w:pPr>
      <w:r w:rsidRPr="00FA5EAC">
        <w:rPr>
          <w:rFonts w:ascii="Myriad Pro" w:eastAsia="Calibri" w:hAnsi="Myriad Pro" w:cs="Calibri"/>
          <w:bCs/>
          <w:sz w:val="20"/>
          <w:szCs w:val="20"/>
          <w:lang w:val="en-GB"/>
        </w:rPr>
        <w:t>Using this series of tools should generate a record of what teachers and volunteers have discovered about each learner’s language profile (tool 44) and their backgrounds (tool 45).</w:t>
      </w:r>
    </w:p>
    <w:p w14:paraId="7706DACB" w14:textId="77777777" w:rsidR="00FA5EAC" w:rsidRPr="00FA5EAC" w:rsidRDefault="00FA5EAC" w:rsidP="00FA5EAC">
      <w:pPr>
        <w:spacing w:before="120" w:after="120"/>
        <w:jc w:val="both"/>
        <w:rPr>
          <w:rFonts w:ascii="Myriad Pro" w:eastAsia="Calibri" w:hAnsi="Myriad Pro" w:cs="Calibri"/>
          <w:bCs/>
          <w:sz w:val="20"/>
          <w:szCs w:val="20"/>
          <w:lang w:val="en-GB"/>
        </w:rPr>
      </w:pPr>
      <w:r w:rsidRPr="00FA5EAC">
        <w:rPr>
          <w:rFonts w:ascii="Myriad Pro" w:eastAsia="Calibri" w:hAnsi="Myriad Pro" w:cs="Calibri"/>
          <w:bCs/>
          <w:sz w:val="20"/>
          <w:szCs w:val="20"/>
          <w:lang w:val="en-GB"/>
        </w:rPr>
        <w:t>Where feasible, this process and the completed forms should enable decisions to be made about forming of groups of learners with shared needs and interests, a similar literacy profile, as well as similar competences in the target language.</w:t>
      </w:r>
    </w:p>
    <w:p w14:paraId="5D049C09" w14:textId="77777777" w:rsidR="00FA5EAC" w:rsidRPr="00FA5EAC" w:rsidRDefault="00FA5EAC" w:rsidP="00FA5EAC">
      <w:pPr>
        <w:spacing w:after="160" w:line="259" w:lineRule="auto"/>
        <w:jc w:val="both"/>
        <w:rPr>
          <w:rFonts w:ascii="Myriad Pro" w:hAnsi="Myriad Pro"/>
          <w:sz w:val="20"/>
          <w:szCs w:val="20"/>
          <w:lang w:val="en-US" w:eastAsia="zh-CN"/>
        </w:rPr>
      </w:pPr>
      <w:r w:rsidRPr="00FA5EAC">
        <w:rPr>
          <w:rFonts w:ascii="Myriad Pro" w:hAnsi="Myriad Pro"/>
          <w:sz w:val="20"/>
          <w:szCs w:val="20"/>
          <w:lang w:val="en-US" w:eastAsia="zh-CN"/>
        </w:rPr>
        <w:t xml:space="preserve">These six tools may be used in a sequence or separately. If you plan to use them as a </w:t>
      </w:r>
      <w:proofErr w:type="gramStart"/>
      <w:r w:rsidRPr="00FA5EAC">
        <w:rPr>
          <w:rFonts w:ascii="Myriad Pro" w:hAnsi="Myriad Pro"/>
          <w:sz w:val="20"/>
          <w:szCs w:val="20"/>
          <w:lang w:val="en-US" w:eastAsia="zh-CN"/>
        </w:rPr>
        <w:t>series</w:t>
      </w:r>
      <w:proofErr w:type="gramEnd"/>
      <w:r w:rsidRPr="00FA5EAC">
        <w:rPr>
          <w:rFonts w:ascii="Myriad Pro" w:hAnsi="Myriad Pro"/>
          <w:sz w:val="20"/>
          <w:szCs w:val="20"/>
          <w:lang w:val="en-US" w:eastAsia="zh-CN"/>
        </w:rPr>
        <w:t xml:space="preserve"> it is recommended that you use them in the sequence in which they are presented below.</w:t>
      </w:r>
    </w:p>
    <w:p w14:paraId="14E2F84A" w14:textId="77777777" w:rsidR="00FA5EAC" w:rsidRPr="00FA5EAC" w:rsidRDefault="00FA5EAC" w:rsidP="00FA5EAC">
      <w:pPr>
        <w:spacing w:after="160" w:line="259" w:lineRule="auto"/>
        <w:jc w:val="both"/>
        <w:rPr>
          <w:rFonts w:ascii="Myriad Pro" w:hAnsi="Myriad Pro"/>
          <w:sz w:val="20"/>
          <w:szCs w:val="20"/>
          <w:lang w:val="en-US" w:eastAsia="zh-CN"/>
        </w:rPr>
      </w:pPr>
    </w:p>
    <w:p w14:paraId="625BDB63" w14:textId="77777777" w:rsidR="00FA5EAC" w:rsidRPr="00FA5EAC" w:rsidRDefault="00FA5EAC" w:rsidP="00FA5EAC">
      <w:pPr>
        <w:spacing w:after="120"/>
        <w:jc w:val="both"/>
        <w:rPr>
          <w:rFonts w:ascii="Myriad Pro" w:eastAsia="Calibri" w:hAnsi="Myriad Pro" w:cs="Calibri"/>
          <w:b/>
          <w:bCs/>
          <w:sz w:val="20"/>
          <w:szCs w:val="20"/>
          <w:lang w:val="en-GB"/>
        </w:rPr>
      </w:pPr>
      <w:r w:rsidRPr="00FA5EAC">
        <w:rPr>
          <w:rFonts w:ascii="Myriad Pro" w:eastAsia="Calibri" w:hAnsi="Myriad Pro" w:cs="Calibri"/>
          <w:b/>
          <w:bCs/>
          <w:sz w:val="20"/>
          <w:szCs w:val="20"/>
          <w:lang w:val="en-GB"/>
        </w:rPr>
        <w:t xml:space="preserve">Some points to bear in </w:t>
      </w:r>
      <w:proofErr w:type="gramStart"/>
      <w:r w:rsidRPr="00FA5EAC">
        <w:rPr>
          <w:rFonts w:ascii="Myriad Pro" w:eastAsia="Calibri" w:hAnsi="Myriad Pro" w:cs="Calibri"/>
          <w:b/>
          <w:bCs/>
          <w:sz w:val="20"/>
          <w:szCs w:val="20"/>
          <w:lang w:val="en-GB"/>
        </w:rPr>
        <w:t>mind</w:t>
      </w:r>
      <w:proofErr w:type="gramEnd"/>
    </w:p>
    <w:p w14:paraId="78FC611E" w14:textId="77777777" w:rsidR="00FA5EAC" w:rsidRPr="00FA5EAC" w:rsidRDefault="00FA5EAC" w:rsidP="00FA5EAC">
      <w:pPr>
        <w:spacing w:before="120" w:after="120"/>
        <w:rPr>
          <w:rFonts w:ascii="Myriad Pro" w:hAnsi="Myriad Pro" w:cs="Calibri"/>
          <w:sz w:val="20"/>
          <w:szCs w:val="20"/>
          <w:lang w:val="en-GB"/>
        </w:rPr>
      </w:pPr>
      <w:r w:rsidRPr="00FA5EAC">
        <w:rPr>
          <w:rFonts w:ascii="Myriad Pro" w:hAnsi="Myriad Pro" w:cs="Calibri"/>
          <w:sz w:val="20"/>
          <w:szCs w:val="20"/>
          <w:lang w:val="en-GB"/>
        </w:rPr>
        <w:t>It is important to remember that many migrants:</w:t>
      </w:r>
    </w:p>
    <w:p w14:paraId="0526BB48"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can speak several languages (</w:t>
      </w:r>
      <w:proofErr w:type="gramStart"/>
      <w:r w:rsidRPr="00AD15A9">
        <w:rPr>
          <w:rFonts w:ascii="Myriad Pro" w:eastAsia="Calibri" w:hAnsi="Myriad Pro" w:cs="Calibri"/>
          <w:sz w:val="20"/>
          <w:szCs w:val="20"/>
          <w:lang w:val="en-US"/>
        </w:rPr>
        <w:t>i.e.</w:t>
      </w:r>
      <w:proofErr w:type="gramEnd"/>
      <w:r w:rsidRPr="00AD15A9">
        <w:rPr>
          <w:rFonts w:ascii="Myriad Pro" w:eastAsia="Calibri" w:hAnsi="Myriad Pro" w:cs="Calibri"/>
          <w:sz w:val="20"/>
          <w:szCs w:val="20"/>
          <w:lang w:val="en-US"/>
        </w:rPr>
        <w:t xml:space="preserve"> they are plurilingual)</w:t>
      </w:r>
    </w:p>
    <w:p w14:paraId="39EB648A"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may be able to speak a language but not write </w:t>
      </w:r>
      <w:proofErr w:type="gramStart"/>
      <w:r w:rsidRPr="00AD15A9">
        <w:rPr>
          <w:rFonts w:ascii="Myriad Pro" w:eastAsia="Calibri" w:hAnsi="Myriad Pro" w:cs="Calibri"/>
          <w:sz w:val="20"/>
          <w:szCs w:val="20"/>
          <w:lang w:val="en-US"/>
        </w:rPr>
        <w:t>it</w:t>
      </w:r>
      <w:proofErr w:type="gramEnd"/>
    </w:p>
    <w:p w14:paraId="167CE27E"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may have had very formal education or none at all, and so may feel uncomfortable answering questions about their </w:t>
      </w:r>
      <w:proofErr w:type="gramStart"/>
      <w:r w:rsidRPr="00AD15A9">
        <w:rPr>
          <w:rFonts w:ascii="Myriad Pro" w:eastAsia="Calibri" w:hAnsi="Myriad Pro" w:cs="Calibri"/>
          <w:sz w:val="20"/>
          <w:szCs w:val="20"/>
          <w:lang w:val="en-US"/>
        </w:rPr>
        <w:t>education</w:t>
      </w:r>
      <w:proofErr w:type="gramEnd"/>
    </w:p>
    <w:p w14:paraId="5009C5E0"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may not have had schooling in their first or main </w:t>
      </w:r>
      <w:proofErr w:type="gramStart"/>
      <w:r w:rsidRPr="00AD15A9">
        <w:rPr>
          <w:rFonts w:ascii="Myriad Pro" w:eastAsia="Calibri" w:hAnsi="Myriad Pro" w:cs="Calibri"/>
          <w:sz w:val="20"/>
          <w:szCs w:val="20"/>
          <w:lang w:val="en-US"/>
        </w:rPr>
        <w:t>language</w:t>
      </w:r>
      <w:proofErr w:type="gramEnd"/>
    </w:p>
    <w:p w14:paraId="21F914DE"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may have a highly developed level of literacy in their own language, but may be new to the script of the target </w:t>
      </w:r>
      <w:proofErr w:type="gramStart"/>
      <w:r w:rsidRPr="00AD15A9">
        <w:rPr>
          <w:rFonts w:ascii="Myriad Pro" w:eastAsia="Calibri" w:hAnsi="Myriad Pro" w:cs="Calibri"/>
          <w:sz w:val="20"/>
          <w:szCs w:val="20"/>
          <w:lang w:val="en-US"/>
        </w:rPr>
        <w:t>language</w:t>
      </w:r>
      <w:proofErr w:type="gramEnd"/>
    </w:p>
    <w:p w14:paraId="6BA2511A"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may be highly qualified </w:t>
      </w:r>
      <w:proofErr w:type="gramStart"/>
      <w:r w:rsidRPr="00AD15A9">
        <w:rPr>
          <w:rFonts w:ascii="Myriad Pro" w:eastAsia="Calibri" w:hAnsi="Myriad Pro" w:cs="Calibri"/>
          <w:sz w:val="20"/>
          <w:szCs w:val="20"/>
          <w:lang w:val="en-US"/>
        </w:rPr>
        <w:t>professionals</w:t>
      </w:r>
      <w:proofErr w:type="gramEnd"/>
    </w:p>
    <w:p w14:paraId="4D0E4516" w14:textId="77777777" w:rsidR="00FA5EAC" w:rsidRPr="00AD15A9" w:rsidRDefault="00FA5EAC" w:rsidP="00AD15A9">
      <w:pPr>
        <w:pStyle w:val="ListParagraph"/>
        <w:numPr>
          <w:ilvl w:val="0"/>
          <w:numId w:val="18"/>
        </w:numPr>
        <w:tabs>
          <w:tab w:val="left" w:pos="567"/>
        </w:tabs>
        <w:spacing w:before="60" w:after="60"/>
        <w:rPr>
          <w:rFonts w:ascii="Myriad Pro" w:eastAsia="Calibri" w:hAnsi="Myriad Pro" w:cs="Calibri"/>
          <w:sz w:val="20"/>
          <w:szCs w:val="20"/>
          <w:lang w:val="en-US"/>
        </w:rPr>
      </w:pPr>
      <w:r w:rsidRPr="00AD15A9">
        <w:rPr>
          <w:rFonts w:ascii="Myriad Pro" w:eastAsia="Calibri" w:hAnsi="Myriad Pro" w:cs="Calibri"/>
          <w:sz w:val="20"/>
          <w:szCs w:val="20"/>
          <w:lang w:val="en-US"/>
        </w:rPr>
        <w:t xml:space="preserve">migrants, especially refugees, who have had difficult experiences, need to feel welcome and reassured. Learning the language of the host country may not be their </w:t>
      </w:r>
      <w:proofErr w:type="gramStart"/>
      <w:r w:rsidRPr="00AD15A9">
        <w:rPr>
          <w:rFonts w:ascii="Myriad Pro" w:eastAsia="Calibri" w:hAnsi="Myriad Pro" w:cs="Calibri"/>
          <w:sz w:val="20"/>
          <w:szCs w:val="20"/>
          <w:lang w:val="en-US"/>
        </w:rPr>
        <w:t>first priority</w:t>
      </w:r>
      <w:proofErr w:type="gramEnd"/>
      <w:r w:rsidRPr="00AD15A9">
        <w:rPr>
          <w:rFonts w:ascii="Myriad Pro" w:eastAsia="Calibri" w:hAnsi="Myriad Pro" w:cs="Calibri"/>
          <w:sz w:val="20"/>
          <w:szCs w:val="20"/>
          <w:lang w:val="en-US"/>
        </w:rPr>
        <w:t>.</w:t>
      </w:r>
    </w:p>
    <w:p w14:paraId="377D3389" w14:textId="77777777" w:rsidR="00FA5EAC" w:rsidRPr="00FA5EAC" w:rsidRDefault="00FA5EAC" w:rsidP="00FA5EAC">
      <w:pPr>
        <w:spacing w:after="120"/>
        <w:jc w:val="both"/>
        <w:rPr>
          <w:rFonts w:ascii="Myriad Pro" w:eastAsia="Calibri" w:hAnsi="Myriad Pro" w:cs="Calibri"/>
          <w:bCs/>
          <w:sz w:val="20"/>
          <w:szCs w:val="20"/>
          <w:lang w:val="en-GB"/>
        </w:rPr>
      </w:pPr>
    </w:p>
    <w:p w14:paraId="592EE0BD" w14:textId="77777777" w:rsidR="00FA5EAC" w:rsidRPr="00FA5EAC" w:rsidRDefault="00FA5EAC" w:rsidP="00FA5EAC">
      <w:pPr>
        <w:spacing w:after="120"/>
        <w:jc w:val="both"/>
        <w:rPr>
          <w:rFonts w:ascii="Myriad Pro" w:eastAsia="Calibri" w:hAnsi="Myriad Pro" w:cs="Calibri"/>
          <w:bCs/>
          <w:sz w:val="20"/>
          <w:szCs w:val="20"/>
          <w:lang w:val="en-GB"/>
        </w:rPr>
      </w:pPr>
      <w:r w:rsidRPr="00FA5EAC">
        <w:rPr>
          <w:rFonts w:ascii="Myriad Pro" w:eastAsia="Calibri" w:hAnsi="Myriad Pro" w:cs="Calibri"/>
          <w:bCs/>
          <w:sz w:val="20"/>
          <w:szCs w:val="20"/>
          <w:lang w:val="en-GB"/>
        </w:rPr>
        <w:lastRenderedPageBreak/>
        <w:t>It is therefore important:</w:t>
      </w:r>
    </w:p>
    <w:p w14:paraId="7670A7EC" w14:textId="77777777" w:rsidR="00FA5EAC" w:rsidRPr="00FA5EAC" w:rsidRDefault="00FA5EAC" w:rsidP="00FA5EAC">
      <w:pPr>
        <w:numPr>
          <w:ilvl w:val="0"/>
          <w:numId w:val="16"/>
        </w:numPr>
        <w:spacing w:after="120" w:line="259" w:lineRule="auto"/>
        <w:jc w:val="both"/>
        <w:rPr>
          <w:rFonts w:ascii="Myriad Pro" w:eastAsia="Calibri" w:hAnsi="Myriad Pro" w:cs="Calibri"/>
          <w:bCs/>
          <w:sz w:val="20"/>
          <w:szCs w:val="20"/>
          <w:lang w:val="en-GB"/>
        </w:rPr>
      </w:pPr>
      <w:r w:rsidRPr="00FA5EAC">
        <w:rPr>
          <w:rFonts w:ascii="Myriad Pro" w:eastAsia="Calibri" w:hAnsi="Myriad Pro" w:cs="Calibri"/>
          <w:bCs/>
          <w:sz w:val="20"/>
          <w:szCs w:val="20"/>
          <w:u w:val="single"/>
          <w:lang w:val="en-GB"/>
        </w:rPr>
        <w:t>not</w:t>
      </w:r>
      <w:r w:rsidRPr="00FA5EAC">
        <w:rPr>
          <w:rFonts w:ascii="Myriad Pro" w:eastAsia="Calibri" w:hAnsi="Myriad Pro" w:cs="Calibri"/>
          <w:bCs/>
          <w:sz w:val="20"/>
          <w:szCs w:val="20"/>
          <w:lang w:val="en-GB"/>
        </w:rPr>
        <w:t xml:space="preserve"> to make any assumptions, </w:t>
      </w:r>
      <w:proofErr w:type="gramStart"/>
      <w:r w:rsidRPr="00FA5EAC">
        <w:rPr>
          <w:rFonts w:ascii="Myriad Pro" w:eastAsia="Calibri" w:hAnsi="Myriad Pro" w:cs="Calibri"/>
          <w:bCs/>
          <w:sz w:val="20"/>
          <w:szCs w:val="20"/>
          <w:lang w:val="en-GB"/>
        </w:rPr>
        <w:t>e.g.</w:t>
      </w:r>
      <w:proofErr w:type="gramEnd"/>
      <w:r w:rsidRPr="00FA5EAC">
        <w:rPr>
          <w:rFonts w:ascii="Myriad Pro" w:eastAsia="Calibri" w:hAnsi="Myriad Pro" w:cs="Calibri"/>
          <w:bCs/>
          <w:sz w:val="20"/>
          <w:szCs w:val="20"/>
          <w:lang w:val="en-GB"/>
        </w:rPr>
        <w:t xml:space="preserve"> related to literacy, school/educational experience, qualifications or work experience;</w:t>
      </w:r>
    </w:p>
    <w:p w14:paraId="5AE6ECD6" w14:textId="77777777" w:rsidR="00FA5EAC" w:rsidRPr="00FA5EAC" w:rsidRDefault="00FA5EAC" w:rsidP="00FA5EAC">
      <w:pPr>
        <w:numPr>
          <w:ilvl w:val="0"/>
          <w:numId w:val="16"/>
        </w:numPr>
        <w:spacing w:after="120" w:line="259" w:lineRule="auto"/>
        <w:jc w:val="both"/>
        <w:rPr>
          <w:rFonts w:ascii="Myriad Pro" w:eastAsia="Calibri" w:hAnsi="Myriad Pro" w:cs="Calibri"/>
          <w:bCs/>
          <w:sz w:val="20"/>
          <w:szCs w:val="20"/>
          <w:lang w:val="en-US"/>
        </w:rPr>
      </w:pPr>
      <w:r w:rsidRPr="00FA5EAC">
        <w:rPr>
          <w:rFonts w:ascii="Myriad Pro" w:hAnsi="Myriad Pro" w:cs="Calibri"/>
          <w:bCs/>
          <w:sz w:val="20"/>
          <w:szCs w:val="20"/>
          <w:lang w:val="en-GB"/>
        </w:rPr>
        <w:t xml:space="preserve">to try to obtain any information already gathered about learners (e.g., previous schooling, </w:t>
      </w:r>
      <w:proofErr w:type="gramStart"/>
      <w:r w:rsidRPr="00FA5EAC">
        <w:rPr>
          <w:rFonts w:ascii="Myriad Pro" w:hAnsi="Myriad Pro" w:cs="Calibri"/>
          <w:bCs/>
          <w:sz w:val="20"/>
          <w:szCs w:val="20"/>
          <w:lang w:val="en-GB"/>
        </w:rPr>
        <w:t>health</w:t>
      </w:r>
      <w:proofErr w:type="gramEnd"/>
      <w:r w:rsidRPr="00FA5EAC">
        <w:rPr>
          <w:rFonts w:ascii="Myriad Pro" w:hAnsi="Myriad Pro" w:cs="Calibri"/>
          <w:bCs/>
          <w:sz w:val="20"/>
          <w:szCs w:val="20"/>
          <w:lang w:val="en-GB"/>
        </w:rPr>
        <w:t xml:space="preserve"> and other special needs etc.) before meeting them to discuss their language needs. </w:t>
      </w:r>
    </w:p>
    <w:p w14:paraId="6818C15B" w14:textId="77777777" w:rsidR="00FA5EAC" w:rsidRPr="00FA5EAC" w:rsidRDefault="00FA5EAC" w:rsidP="00FA5EAC">
      <w:pPr>
        <w:spacing w:after="120"/>
        <w:jc w:val="both"/>
        <w:rPr>
          <w:rFonts w:ascii="Myriad Pro" w:eastAsia="Calibri" w:hAnsi="Myriad Pro" w:cs="Calibri"/>
          <w:b/>
          <w:bCs/>
          <w:sz w:val="20"/>
          <w:szCs w:val="20"/>
          <w:lang w:val="en-GB"/>
        </w:rPr>
      </w:pPr>
    </w:p>
    <w:p w14:paraId="18BEA451" w14:textId="77777777" w:rsidR="00FA5EAC" w:rsidRPr="00FA5EAC" w:rsidRDefault="00FA5EAC" w:rsidP="00FA5EAC">
      <w:pPr>
        <w:spacing w:before="120" w:after="120"/>
        <w:jc w:val="both"/>
        <w:rPr>
          <w:rFonts w:ascii="Myriad Pro" w:hAnsi="Myriad Pro" w:cs="Calibri"/>
          <w:b/>
          <w:bCs/>
          <w:sz w:val="20"/>
          <w:szCs w:val="20"/>
          <w:lang w:val="en-US"/>
        </w:rPr>
      </w:pPr>
      <w:r w:rsidRPr="00FA5EAC">
        <w:rPr>
          <w:rFonts w:ascii="Myriad Pro" w:hAnsi="Myriad Pro" w:cs="Calibri"/>
          <w:b/>
          <w:bCs/>
          <w:sz w:val="20"/>
          <w:szCs w:val="20"/>
          <w:lang w:val="en-US"/>
        </w:rPr>
        <w:t>Checking availability</w:t>
      </w:r>
    </w:p>
    <w:p w14:paraId="64B26C40" w14:textId="77777777" w:rsidR="00FA5EAC" w:rsidRPr="00FA5EAC" w:rsidRDefault="00FA5EAC" w:rsidP="00FA5EAC">
      <w:pPr>
        <w:spacing w:before="120" w:after="120"/>
        <w:jc w:val="both"/>
        <w:rPr>
          <w:rFonts w:ascii="Myriad Pro" w:hAnsi="Myriad Pro" w:cs="Calibri"/>
          <w:sz w:val="20"/>
          <w:szCs w:val="20"/>
          <w:lang w:val="en-GB"/>
        </w:rPr>
      </w:pPr>
      <w:r w:rsidRPr="00FA5EAC">
        <w:rPr>
          <w:rFonts w:ascii="Myriad Pro" w:hAnsi="Myriad Pro" w:cs="Calibri"/>
          <w:sz w:val="20"/>
          <w:szCs w:val="20"/>
          <w:lang w:val="en-GB"/>
        </w:rPr>
        <w:t xml:space="preserve">It’s a good idea to check migrants’ availability and whether they need any </w:t>
      </w:r>
      <w:proofErr w:type="gramStart"/>
      <w:r w:rsidRPr="00FA5EAC">
        <w:rPr>
          <w:rFonts w:ascii="Myriad Pro" w:hAnsi="Myriad Pro" w:cs="Calibri"/>
          <w:sz w:val="20"/>
          <w:szCs w:val="20"/>
          <w:lang w:val="en-GB"/>
        </w:rPr>
        <w:t>particular support</w:t>
      </w:r>
      <w:proofErr w:type="gramEnd"/>
      <w:r w:rsidRPr="00FA5EAC">
        <w:rPr>
          <w:rFonts w:ascii="Myriad Pro" w:hAnsi="Myriad Pro" w:cs="Calibri"/>
          <w:sz w:val="20"/>
          <w:szCs w:val="20"/>
          <w:lang w:val="en-GB"/>
        </w:rPr>
        <w:t xml:space="preserve"> to attend language activities. For example, some parents/carers with children may only be able to attend if there is childcare available or if their children can stay with them during the session. Other migrants may be working part time and/or may have transportation difficulties due to distance and the cost of public transport.</w:t>
      </w:r>
    </w:p>
    <w:p w14:paraId="2BEFAF43" w14:textId="77777777" w:rsidR="00FA5EAC" w:rsidRPr="00FA5EAC" w:rsidRDefault="00FA5EAC" w:rsidP="00FA5EAC">
      <w:pPr>
        <w:spacing w:after="120"/>
        <w:jc w:val="both"/>
        <w:rPr>
          <w:rFonts w:ascii="Myriad Pro" w:eastAsia="Calibri" w:hAnsi="Myriad Pro" w:cs="Calibri"/>
          <w:b/>
          <w:bCs/>
          <w:sz w:val="20"/>
          <w:szCs w:val="20"/>
          <w:lang w:val="en-GB"/>
        </w:rPr>
      </w:pPr>
    </w:p>
    <w:p w14:paraId="25237947" w14:textId="77777777" w:rsidR="00FA5EAC" w:rsidRPr="00FA5EAC" w:rsidRDefault="00FA5EAC" w:rsidP="00FA5EAC">
      <w:pPr>
        <w:spacing w:after="120"/>
        <w:jc w:val="both"/>
        <w:rPr>
          <w:rFonts w:ascii="Myriad Pro" w:eastAsia="Calibri" w:hAnsi="Myriad Pro" w:cs="Calibri"/>
          <w:b/>
          <w:bCs/>
          <w:sz w:val="20"/>
          <w:szCs w:val="20"/>
          <w:lang w:val="en-GB"/>
        </w:rPr>
      </w:pPr>
      <w:r w:rsidRPr="00FA5EAC">
        <w:rPr>
          <w:rFonts w:ascii="Myriad Pro" w:eastAsia="Calibri" w:hAnsi="Myriad Pro" w:cs="Calibri"/>
          <w:b/>
          <w:bCs/>
          <w:sz w:val="20"/>
          <w:szCs w:val="20"/>
          <w:lang w:val="en-GB"/>
        </w:rPr>
        <w:t>Some general guidelines</w:t>
      </w:r>
    </w:p>
    <w:p w14:paraId="5CF06DC3" w14:textId="77777777" w:rsidR="00FA5EAC" w:rsidRPr="00FA5EAC" w:rsidRDefault="00FA5EAC" w:rsidP="00FA5EAC">
      <w:pPr>
        <w:spacing w:after="160"/>
        <w:jc w:val="both"/>
        <w:rPr>
          <w:rFonts w:ascii="Myriad Pro" w:hAnsi="Myriad Pro"/>
          <w:sz w:val="20"/>
          <w:szCs w:val="20"/>
          <w:lang w:val="en-GB" w:eastAsia="zh-CN"/>
        </w:rPr>
      </w:pPr>
      <w:r w:rsidRPr="00FA5EAC">
        <w:rPr>
          <w:rFonts w:ascii="Myriad Pro" w:hAnsi="Myriad Pro"/>
          <w:sz w:val="20"/>
          <w:szCs w:val="20"/>
          <w:lang w:val="en-GB" w:eastAsia="zh-CN"/>
        </w:rPr>
        <w:t xml:space="preserve">Here are some points to bear in mind when using the tools in this series. </w:t>
      </w:r>
    </w:p>
    <w:p w14:paraId="0EAFAAEF" w14:textId="77777777" w:rsidR="00FA5EAC" w:rsidRPr="00FA5EAC" w:rsidRDefault="00FA5EAC" w:rsidP="00FA5EAC">
      <w:pPr>
        <w:numPr>
          <w:ilvl w:val="0"/>
          <w:numId w:val="15"/>
        </w:numPr>
        <w:spacing w:after="160" w:line="259" w:lineRule="auto"/>
        <w:contextualSpacing/>
        <w:jc w:val="both"/>
        <w:rPr>
          <w:rFonts w:ascii="Myriad Pro" w:hAnsi="Myriad Pro"/>
          <w:sz w:val="20"/>
          <w:szCs w:val="20"/>
          <w:lang w:val="en-GB" w:eastAsia="zh-CN"/>
        </w:rPr>
      </w:pPr>
      <w:r w:rsidRPr="00FA5EAC">
        <w:rPr>
          <w:rFonts w:ascii="Myriad Pro" w:hAnsi="Myriad Pro"/>
          <w:sz w:val="20"/>
          <w:szCs w:val="20"/>
          <w:lang w:val="en-GB" w:eastAsia="zh-CN"/>
        </w:rPr>
        <w:t xml:space="preserve">Adapt the contents of the tools to the target language, the context (country, region, etc.) and the specific needs of the learners, </w:t>
      </w:r>
      <w:proofErr w:type="gramStart"/>
      <w:r w:rsidRPr="00FA5EAC">
        <w:rPr>
          <w:rFonts w:ascii="Myriad Pro" w:hAnsi="Myriad Pro"/>
          <w:sz w:val="20"/>
          <w:szCs w:val="20"/>
          <w:lang w:val="en-GB" w:eastAsia="zh-CN"/>
        </w:rPr>
        <w:t>taking into account</w:t>
      </w:r>
      <w:proofErr w:type="gramEnd"/>
      <w:r w:rsidRPr="00FA5EAC">
        <w:rPr>
          <w:rFonts w:ascii="Myriad Pro" w:hAnsi="Myriad Pro"/>
          <w:sz w:val="20"/>
          <w:szCs w:val="20"/>
          <w:lang w:val="en-GB" w:eastAsia="zh-CN"/>
        </w:rPr>
        <w:t xml:space="preserve"> the cultural content of learning materials, as well as intercultural aspects of interaction with and between learners.</w:t>
      </w:r>
    </w:p>
    <w:p w14:paraId="043D452E" w14:textId="77777777" w:rsidR="00FA5EAC" w:rsidRPr="00FA5EAC" w:rsidRDefault="00FA5EAC" w:rsidP="00FA5EAC">
      <w:pPr>
        <w:numPr>
          <w:ilvl w:val="0"/>
          <w:numId w:val="15"/>
        </w:numPr>
        <w:spacing w:after="160" w:line="259" w:lineRule="auto"/>
        <w:contextualSpacing/>
        <w:jc w:val="both"/>
        <w:rPr>
          <w:rFonts w:ascii="Myriad Pro" w:hAnsi="Myriad Pro"/>
          <w:sz w:val="20"/>
          <w:szCs w:val="20"/>
          <w:lang w:val="en-GB" w:eastAsia="zh-CN"/>
        </w:rPr>
      </w:pPr>
      <w:r w:rsidRPr="00FA5EAC">
        <w:rPr>
          <w:rFonts w:ascii="Myriad Pro" w:hAnsi="Myriad Pro"/>
          <w:sz w:val="20"/>
          <w:szCs w:val="20"/>
          <w:lang w:val="en-GB" w:eastAsia="zh-CN"/>
        </w:rPr>
        <w:t>Be sensitive to the learners’ feelings and choose topics and pictures carefully.</w:t>
      </w:r>
    </w:p>
    <w:p w14:paraId="3D93AB96" w14:textId="77777777" w:rsidR="00FA5EAC" w:rsidRPr="00FA5EAC" w:rsidRDefault="00FA5EAC" w:rsidP="00FA5EAC">
      <w:pPr>
        <w:numPr>
          <w:ilvl w:val="0"/>
          <w:numId w:val="15"/>
        </w:numPr>
        <w:spacing w:after="160" w:line="259" w:lineRule="auto"/>
        <w:contextualSpacing/>
        <w:jc w:val="both"/>
        <w:rPr>
          <w:rFonts w:ascii="Myriad Pro" w:hAnsi="Myriad Pro"/>
          <w:sz w:val="20"/>
          <w:szCs w:val="20"/>
          <w:lang w:val="en-GB" w:eastAsia="zh-CN"/>
        </w:rPr>
      </w:pPr>
      <w:r w:rsidRPr="00FA5EAC">
        <w:rPr>
          <w:rFonts w:ascii="Myriad Pro" w:hAnsi="Myriad Pro"/>
          <w:sz w:val="20"/>
          <w:szCs w:val="20"/>
          <w:lang w:val="en-GB" w:eastAsia="zh-CN"/>
        </w:rPr>
        <w:t xml:space="preserve">Be aware of learners' possible special needs, in particular eventual </w:t>
      </w:r>
      <w:proofErr w:type="gramStart"/>
      <w:r w:rsidRPr="00FA5EAC">
        <w:rPr>
          <w:rFonts w:ascii="Myriad Pro" w:hAnsi="Myriad Pro"/>
          <w:sz w:val="20"/>
          <w:szCs w:val="20"/>
          <w:lang w:val="en-GB" w:eastAsia="zh-CN"/>
        </w:rPr>
        <w:t>eyesight</w:t>
      </w:r>
      <w:proofErr w:type="gramEnd"/>
      <w:r w:rsidRPr="00FA5EAC">
        <w:rPr>
          <w:rFonts w:ascii="Myriad Pro" w:hAnsi="Myriad Pro"/>
          <w:sz w:val="20"/>
          <w:szCs w:val="20"/>
          <w:lang w:val="en-GB" w:eastAsia="zh-CN"/>
        </w:rPr>
        <w:t xml:space="preserve"> and hearing problems.</w:t>
      </w:r>
    </w:p>
    <w:p w14:paraId="652A63F8" w14:textId="77777777" w:rsidR="00FA5EAC" w:rsidRPr="00FA5EAC" w:rsidRDefault="00FA5EAC" w:rsidP="00FA5EAC">
      <w:pPr>
        <w:numPr>
          <w:ilvl w:val="0"/>
          <w:numId w:val="15"/>
        </w:numPr>
        <w:spacing w:after="160" w:line="259" w:lineRule="auto"/>
        <w:contextualSpacing/>
        <w:jc w:val="both"/>
        <w:rPr>
          <w:rFonts w:ascii="Myriad Pro" w:hAnsi="Myriad Pro"/>
          <w:sz w:val="20"/>
          <w:szCs w:val="20"/>
          <w:lang w:val="en-GB" w:eastAsia="zh-CN"/>
        </w:rPr>
      </w:pPr>
      <w:r w:rsidRPr="00FA5EAC">
        <w:rPr>
          <w:rFonts w:ascii="Myriad Pro" w:hAnsi="Myriad Pro"/>
          <w:sz w:val="20"/>
          <w:szCs w:val="20"/>
          <w:lang w:val="en-GB" w:eastAsia="zh-CN"/>
        </w:rPr>
        <w:t xml:space="preserve">Reassure the learners before using each tool by pointing out e.g. </w:t>
      </w:r>
      <w:r w:rsidRPr="00FA5EAC">
        <w:rPr>
          <w:rFonts w:ascii="Myriad Pro" w:hAnsi="Myriad Pro" w:cs="Calibri"/>
          <w:sz w:val="20"/>
          <w:szCs w:val="20"/>
          <w:lang w:val="en-GB" w:eastAsia="it-IT"/>
        </w:rPr>
        <w:t>“</w:t>
      </w:r>
      <w:r w:rsidRPr="00FA5EAC">
        <w:rPr>
          <w:rFonts w:ascii="Myriad Pro" w:hAnsi="Myriad Pro"/>
          <w:i/>
          <w:iCs/>
          <w:sz w:val="20"/>
          <w:szCs w:val="20"/>
          <w:lang w:val="en-GB" w:eastAsia="zh-CN"/>
        </w:rPr>
        <w:t>This is a useful activity to help me get to know you and your language needs</w:t>
      </w:r>
      <w:r w:rsidRPr="00FA5EAC">
        <w:rPr>
          <w:rFonts w:ascii="Myriad Pro" w:hAnsi="Myriad Pro"/>
          <w:sz w:val="20"/>
          <w:szCs w:val="20"/>
          <w:lang w:val="en-GB" w:eastAsia="zh-CN"/>
        </w:rPr>
        <w:t xml:space="preserve">”. </w:t>
      </w:r>
    </w:p>
    <w:p w14:paraId="43F9D1B1" w14:textId="024E2373" w:rsidR="00287745" w:rsidRPr="00601A15" w:rsidRDefault="00287745" w:rsidP="00601A15">
      <w:pPr>
        <w:spacing w:after="160" w:line="259" w:lineRule="auto"/>
        <w:rPr>
          <w:rFonts w:ascii="Myriad Pro" w:hAnsi="Myriad Pro"/>
          <w:sz w:val="20"/>
          <w:szCs w:val="20"/>
          <w:lang w:val="en-GB"/>
        </w:rPr>
      </w:pPr>
    </w:p>
    <w:sectPr w:rsidR="00287745" w:rsidRPr="00601A15"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DC25" w14:textId="77777777" w:rsidR="00FD012A" w:rsidRDefault="00FD012A" w:rsidP="00C523EA">
      <w:r>
        <w:separator/>
      </w:r>
    </w:p>
  </w:endnote>
  <w:endnote w:type="continuationSeparator" w:id="0">
    <w:p w14:paraId="62F1FC4C" w14:textId="77777777" w:rsidR="00FD012A" w:rsidRDefault="00FD012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FDBB6BE" w:rsidR="00186952" w:rsidRDefault="00601A15" w:rsidP="00B33421">
          <w:pPr>
            <w:tabs>
              <w:tab w:val="center" w:pos="4820"/>
            </w:tabs>
            <w:spacing w:before="60"/>
            <w:rPr>
              <w:rFonts w:eastAsia="Calibri" w:cs="Cambria"/>
              <w:sz w:val="18"/>
              <w:szCs w:val="18"/>
              <w:lang w:val="en-US"/>
            </w:rPr>
          </w:pPr>
          <w:r>
            <w:rPr>
              <w:rFonts w:eastAsia="Calibri" w:cs="Cambria"/>
              <w:b/>
              <w:sz w:val="18"/>
              <w:szCs w:val="18"/>
              <w:lang w:val="en-US"/>
            </w:rPr>
            <w:t xml:space="preserve">Introduction to the second series </w:t>
          </w:r>
          <w:r w:rsidR="00C32BDD">
            <w:rPr>
              <w:rFonts w:eastAsia="Calibri" w:cs="Cambria"/>
              <w:b/>
              <w:sz w:val="18"/>
              <w:szCs w:val="18"/>
              <w:lang w:val="en-US"/>
            </w:rPr>
            <w:t xml:space="preserve"> </w:t>
          </w:r>
          <w:r>
            <w:rPr>
              <w:rFonts w:eastAsia="Calibri" w:cs="Cambria"/>
              <w:b/>
              <w:sz w:val="18"/>
              <w:szCs w:val="18"/>
              <w:lang w:val="en-US"/>
            </w:rPr>
            <w:t xml:space="preserve">   </w:t>
          </w:r>
          <w:r w:rsidR="00C32BDD">
            <w:rPr>
              <w:rFonts w:eastAsia="Calibri" w:cs="Cambria"/>
              <w:b/>
              <w:sz w:val="18"/>
              <w:szCs w:val="18"/>
              <w:lang w:val="en-US"/>
            </w:rPr>
            <w:t xml:space="preserve"> </w:t>
          </w:r>
          <w:r>
            <w:rPr>
              <w:rFonts w:eastAsia="Calibri" w:cs="Cambria"/>
              <w:b/>
              <w:sz w:val="18"/>
              <w:szCs w:val="18"/>
              <w:lang w:val="en-US"/>
            </w:rPr>
            <w:t xml:space="preserve">  </w:t>
          </w:r>
          <w:r w:rsidR="00C32BDD">
            <w:rPr>
              <w:rFonts w:eastAsia="Calibri" w:cs="Cambria"/>
              <w:b/>
              <w:sz w:val="18"/>
              <w:szCs w:val="18"/>
              <w:lang w:val="en-US"/>
            </w:rPr>
            <w:t>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29CB" w14:textId="77777777" w:rsidR="00FD012A" w:rsidRDefault="00FD012A" w:rsidP="00C523EA">
      <w:r>
        <w:separator/>
      </w:r>
    </w:p>
  </w:footnote>
  <w:footnote w:type="continuationSeparator" w:id="0">
    <w:p w14:paraId="3D84CC61" w14:textId="77777777" w:rsidR="00FD012A" w:rsidRDefault="00FD012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1B2FCA"/>
    <w:multiLevelType w:val="hybridMultilevel"/>
    <w:tmpl w:val="26749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2"/>
  </w:num>
  <w:num w:numId="2" w16cid:durableId="1247761672">
    <w:abstractNumId w:val="7"/>
  </w:num>
  <w:num w:numId="3" w16cid:durableId="695236864">
    <w:abstractNumId w:val="13"/>
  </w:num>
  <w:num w:numId="4" w16cid:durableId="1869487878">
    <w:abstractNumId w:val="1"/>
  </w:num>
  <w:num w:numId="5" w16cid:durableId="1229881289">
    <w:abstractNumId w:val="10"/>
  </w:num>
  <w:num w:numId="6" w16cid:durableId="847334046">
    <w:abstractNumId w:val="9"/>
  </w:num>
  <w:num w:numId="7" w16cid:durableId="855851539">
    <w:abstractNumId w:val="7"/>
  </w:num>
  <w:num w:numId="8" w16cid:durableId="1438527522">
    <w:abstractNumId w:val="3"/>
  </w:num>
  <w:num w:numId="9" w16cid:durableId="66462525">
    <w:abstractNumId w:val="8"/>
  </w:num>
  <w:num w:numId="10" w16cid:durableId="1083332573">
    <w:abstractNumId w:val="15"/>
  </w:num>
  <w:num w:numId="11" w16cid:durableId="110051674">
    <w:abstractNumId w:val="7"/>
  </w:num>
  <w:num w:numId="12" w16cid:durableId="1751926612">
    <w:abstractNumId w:val="5"/>
  </w:num>
  <w:num w:numId="13" w16cid:durableId="1973290193">
    <w:abstractNumId w:val="12"/>
  </w:num>
  <w:num w:numId="14" w16cid:durableId="1677918417">
    <w:abstractNumId w:val="0"/>
  </w:num>
  <w:num w:numId="15" w16cid:durableId="1509909472">
    <w:abstractNumId w:val="4"/>
  </w:num>
  <w:num w:numId="16" w16cid:durableId="1595094968">
    <w:abstractNumId w:val="14"/>
  </w:num>
  <w:num w:numId="17" w16cid:durableId="1410347437">
    <w:abstractNumId w:val="6"/>
  </w:num>
  <w:num w:numId="18" w16cid:durableId="133499188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01A15"/>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15A9"/>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7471"/>
    <w:rsid w:val="00F934F1"/>
    <w:rsid w:val="00FA5EAC"/>
    <w:rsid w:val="00FB0515"/>
    <w:rsid w:val="00FB1DA7"/>
    <w:rsid w:val="00FB70A6"/>
    <w:rsid w:val="00FC4F80"/>
    <w:rsid w:val="00FD012A"/>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595</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4</cp:revision>
  <cp:lastPrinted>2024-03-14T08:47:00Z</cp:lastPrinted>
  <dcterms:created xsi:type="dcterms:W3CDTF">2024-03-18T22:25:00Z</dcterms:created>
  <dcterms:modified xsi:type="dcterms:W3CDTF">2024-03-18T22:27:00Z</dcterms:modified>
</cp:coreProperties>
</file>