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E79F" w14:textId="77777777" w:rsidR="000814F0" w:rsidRDefault="000814F0" w:rsidP="00DF20DC">
      <w:pPr>
        <w:ind w:right="282"/>
      </w:pPr>
    </w:p>
    <w:p w14:paraId="466F7649" w14:textId="77777777" w:rsidR="00DF20DC" w:rsidRPr="00DF20DC" w:rsidRDefault="00DF20DC" w:rsidP="00DF20DC"/>
    <w:p w14:paraId="3D1998D9" w14:textId="77777777" w:rsidR="00DF20DC" w:rsidRPr="00DF20DC" w:rsidRDefault="00DF20DC" w:rsidP="00DF20DC"/>
    <w:p w14:paraId="68480E3A" w14:textId="77777777" w:rsidR="00055EC3" w:rsidRDefault="00055EC3" w:rsidP="00055EC3"/>
    <w:p w14:paraId="2F4458CF" w14:textId="2655082B" w:rsidR="00055EC3" w:rsidRPr="008E2093" w:rsidRDefault="00055EC3" w:rsidP="00055EC3">
      <w:pPr>
        <w:pStyle w:val="Heading1"/>
        <w:jc w:val="center"/>
        <w:rPr>
          <w:lang w:val="en-US"/>
        </w:rPr>
      </w:pPr>
      <w:bookmarkStart w:id="0" w:name="_Toc124169751"/>
      <w:bookmarkStart w:id="1" w:name="_Toc124170084"/>
      <w:r w:rsidRPr="008E2093">
        <w:rPr>
          <w:lang w:val="en-US"/>
        </w:rPr>
        <w:t>Implementation of the</w:t>
      </w:r>
      <w:r>
        <w:rPr>
          <w:lang w:val="en-US"/>
        </w:rPr>
        <w:t xml:space="preserve"> </w:t>
      </w:r>
      <w:r w:rsidRPr="008E2093">
        <w:rPr>
          <w:lang w:val="en-US"/>
        </w:rPr>
        <w:t>Intercultural Cities programme by participating cities</w:t>
      </w:r>
      <w:bookmarkEnd w:id="0"/>
      <w:bookmarkEnd w:id="1"/>
    </w:p>
    <w:p w14:paraId="6C0FD3BD" w14:textId="32D4F0CB" w:rsidR="00055EC3" w:rsidRPr="00654B1B" w:rsidRDefault="00CB1059" w:rsidP="00055EC3">
      <w:pPr>
        <w:pStyle w:val="Heading1"/>
        <w:jc w:val="center"/>
        <w:rPr>
          <w:smallCaps/>
          <w:lang w:val="en-US"/>
        </w:rPr>
      </w:pPr>
      <w:bookmarkStart w:id="2" w:name="_Toc124169752"/>
      <w:bookmarkStart w:id="3" w:name="_Toc124170085"/>
      <w:r>
        <w:rPr>
          <w:smallCaps/>
          <w:lang w:val="en-US"/>
        </w:rPr>
        <w:t>Guide and Template</w:t>
      </w:r>
      <w:r w:rsidR="00055EC3" w:rsidRPr="00654B1B">
        <w:rPr>
          <w:smallCaps/>
          <w:lang w:val="en-US"/>
        </w:rPr>
        <w:t xml:space="preserve"> for col</w:t>
      </w:r>
      <w:r w:rsidR="00055EC3">
        <w:rPr>
          <w:smallCaps/>
          <w:lang w:val="en-US"/>
        </w:rPr>
        <w:t>lection of Good practices</w:t>
      </w:r>
      <w:bookmarkEnd w:id="2"/>
      <w:bookmarkEnd w:id="3"/>
    </w:p>
    <w:p w14:paraId="4C0B0733" w14:textId="276F83BA" w:rsidR="00055EC3" w:rsidRDefault="00055EC3" w:rsidP="00055EC3">
      <w:pPr>
        <w:spacing w:after="0" w:line="240" w:lineRule="auto"/>
        <w:rPr>
          <w:rFonts w:ascii="Calibri" w:hAnsi="Calibri"/>
          <w:b/>
          <w:bCs/>
          <w:szCs w:val="28"/>
        </w:rPr>
      </w:pPr>
      <w:r w:rsidRPr="00654B1B">
        <w:rPr>
          <w:rFonts w:ascii="Calibri" w:hAnsi="Calibri"/>
          <w:szCs w:val="28"/>
        </w:rPr>
        <w:t>Good practices are a key-learning tool of the Intercultural Cities Programme (ICC). They are collected to showcase and replicate innovative practices and successful actions tested by participating cities in the development and implementation of their intercultural policies.</w:t>
      </w:r>
      <w:r>
        <w:rPr>
          <w:rFonts w:ascii="Calibri" w:hAnsi="Calibri"/>
          <w:szCs w:val="28"/>
        </w:rPr>
        <w:t xml:space="preserve"> As per the statement of intent signed to join the ICC programme, </w:t>
      </w:r>
      <w:r w:rsidR="006E67F3" w:rsidRPr="006E67F3">
        <w:rPr>
          <w:rFonts w:ascii="Calibri" w:hAnsi="Calibri"/>
          <w:b/>
          <w:bCs/>
          <w:szCs w:val="28"/>
        </w:rPr>
        <w:t>member</w:t>
      </w:r>
      <w:r w:rsidR="006E67F3">
        <w:rPr>
          <w:rFonts w:ascii="Calibri" w:hAnsi="Calibri"/>
          <w:szCs w:val="28"/>
        </w:rPr>
        <w:t xml:space="preserve"> </w:t>
      </w:r>
      <w:r w:rsidRPr="00136019">
        <w:rPr>
          <w:rFonts w:ascii="Calibri" w:hAnsi="Calibri"/>
          <w:b/>
          <w:bCs/>
          <w:szCs w:val="28"/>
        </w:rPr>
        <w:t>cities have the duty to report on good practices regularly.</w:t>
      </w:r>
    </w:p>
    <w:p w14:paraId="7C1D320F" w14:textId="77777777" w:rsidR="00CB1059" w:rsidRDefault="00CB1059" w:rsidP="00055EC3">
      <w:pPr>
        <w:spacing w:after="0" w:line="240" w:lineRule="auto"/>
        <w:rPr>
          <w:rFonts w:ascii="Calibri" w:hAnsi="Calibri"/>
          <w:b/>
          <w:bCs/>
          <w:szCs w:val="28"/>
        </w:rPr>
      </w:pPr>
    </w:p>
    <w:sdt>
      <w:sdtPr>
        <w:rPr>
          <w:rFonts w:asciiTheme="minorHAnsi" w:eastAsiaTheme="minorHAnsi" w:hAnsiTheme="minorHAnsi" w:cstheme="minorBidi"/>
          <w:color w:val="auto"/>
          <w:sz w:val="22"/>
          <w:szCs w:val="22"/>
          <w:lang w:val="en-GB" w:eastAsia="en-US"/>
        </w:rPr>
        <w:id w:val="-827819447"/>
        <w:docPartObj>
          <w:docPartGallery w:val="Table of Contents"/>
          <w:docPartUnique/>
        </w:docPartObj>
      </w:sdtPr>
      <w:sdtEndPr>
        <w:rPr>
          <w:b/>
          <w:bCs/>
        </w:rPr>
      </w:sdtEndPr>
      <w:sdtContent>
        <w:p w14:paraId="7E19EC58" w14:textId="41F79FC2" w:rsidR="00CB1059" w:rsidRDefault="00CB1059">
          <w:pPr>
            <w:pStyle w:val="TOCHeading"/>
          </w:pPr>
          <w:r>
            <w:t xml:space="preserve">Table </w:t>
          </w:r>
          <w:r w:rsidR="0035372A">
            <w:t>of contents</w:t>
          </w:r>
        </w:p>
        <w:p w14:paraId="3BF9D831" w14:textId="100DC6F5" w:rsidR="00CB1059" w:rsidRDefault="00CB1059">
          <w:pPr>
            <w:pStyle w:val="TOC1"/>
            <w:tabs>
              <w:tab w:val="right" w:leader="dot" w:pos="8494"/>
            </w:tabs>
            <w:rPr>
              <w:rFonts w:eastAsiaTheme="minorEastAsia"/>
              <w:noProof/>
              <w:lang w:val="fr-FR" w:eastAsia="fr-FR"/>
            </w:rPr>
          </w:pPr>
          <w:r>
            <w:fldChar w:fldCharType="begin"/>
          </w:r>
          <w:r>
            <w:instrText xml:space="preserve"> TOC \o "1-3" \h \z \u </w:instrText>
          </w:r>
          <w:r>
            <w:fldChar w:fldCharType="separate"/>
          </w:r>
        </w:p>
        <w:p w14:paraId="7AE7A9C9" w14:textId="76C20BAD" w:rsidR="00CB1059" w:rsidRDefault="0035372A">
          <w:pPr>
            <w:pStyle w:val="TOC1"/>
            <w:tabs>
              <w:tab w:val="right" w:leader="dot" w:pos="8494"/>
            </w:tabs>
            <w:rPr>
              <w:rFonts w:eastAsiaTheme="minorEastAsia"/>
              <w:noProof/>
              <w:lang w:val="fr-FR" w:eastAsia="fr-FR"/>
            </w:rPr>
          </w:pPr>
          <w:hyperlink w:anchor="_Toc124170085" w:history="1">
            <w:r w:rsidR="00CB1059" w:rsidRPr="00F475F7">
              <w:rPr>
                <w:rStyle w:val="Hyperlink"/>
                <w:smallCaps/>
                <w:noProof/>
                <w:lang w:val="en-US"/>
              </w:rPr>
              <w:t>Guide and Template for collection of Good practices</w:t>
            </w:r>
            <w:r w:rsidR="00CB1059">
              <w:rPr>
                <w:noProof/>
                <w:webHidden/>
              </w:rPr>
              <w:tab/>
            </w:r>
            <w:r w:rsidR="00CB1059">
              <w:rPr>
                <w:noProof/>
                <w:webHidden/>
              </w:rPr>
              <w:fldChar w:fldCharType="begin"/>
            </w:r>
            <w:r w:rsidR="00CB1059">
              <w:rPr>
                <w:noProof/>
                <w:webHidden/>
              </w:rPr>
              <w:instrText xml:space="preserve"> PAGEREF _Toc124170085 \h </w:instrText>
            </w:r>
            <w:r w:rsidR="00CB1059">
              <w:rPr>
                <w:noProof/>
                <w:webHidden/>
              </w:rPr>
            </w:r>
            <w:r w:rsidR="00CB1059">
              <w:rPr>
                <w:noProof/>
                <w:webHidden/>
              </w:rPr>
              <w:fldChar w:fldCharType="separate"/>
            </w:r>
            <w:r>
              <w:rPr>
                <w:noProof/>
                <w:webHidden/>
              </w:rPr>
              <w:t>1</w:t>
            </w:r>
            <w:r w:rsidR="00CB1059">
              <w:rPr>
                <w:noProof/>
                <w:webHidden/>
              </w:rPr>
              <w:fldChar w:fldCharType="end"/>
            </w:r>
          </w:hyperlink>
        </w:p>
        <w:p w14:paraId="246989FE" w14:textId="718E3FB2" w:rsidR="00CB1059" w:rsidRDefault="0035372A">
          <w:pPr>
            <w:pStyle w:val="TOC2"/>
            <w:tabs>
              <w:tab w:val="right" w:leader="dot" w:pos="8494"/>
            </w:tabs>
            <w:rPr>
              <w:rFonts w:eastAsiaTheme="minorEastAsia"/>
              <w:noProof/>
              <w:lang w:val="fr-FR" w:eastAsia="fr-FR"/>
            </w:rPr>
          </w:pPr>
          <w:hyperlink w:anchor="_Toc124170086" w:history="1">
            <w:r w:rsidR="00CB1059" w:rsidRPr="00F475F7">
              <w:rPr>
                <w:rStyle w:val="Hyperlink"/>
                <w:noProof/>
              </w:rPr>
              <w:t>How can you recognise a good practice?</w:t>
            </w:r>
            <w:r w:rsidR="00CB1059">
              <w:rPr>
                <w:noProof/>
                <w:webHidden/>
              </w:rPr>
              <w:tab/>
            </w:r>
            <w:r w:rsidR="00CB1059">
              <w:rPr>
                <w:noProof/>
                <w:webHidden/>
              </w:rPr>
              <w:fldChar w:fldCharType="begin"/>
            </w:r>
            <w:r w:rsidR="00CB1059">
              <w:rPr>
                <w:noProof/>
                <w:webHidden/>
              </w:rPr>
              <w:instrText xml:space="preserve"> PAGEREF _Toc124170086 \h </w:instrText>
            </w:r>
            <w:r w:rsidR="00CB1059">
              <w:rPr>
                <w:noProof/>
                <w:webHidden/>
              </w:rPr>
            </w:r>
            <w:r w:rsidR="00CB1059">
              <w:rPr>
                <w:noProof/>
                <w:webHidden/>
              </w:rPr>
              <w:fldChar w:fldCharType="separate"/>
            </w:r>
            <w:r>
              <w:rPr>
                <w:noProof/>
                <w:webHidden/>
              </w:rPr>
              <w:t>2</w:t>
            </w:r>
            <w:r w:rsidR="00CB1059">
              <w:rPr>
                <w:noProof/>
                <w:webHidden/>
              </w:rPr>
              <w:fldChar w:fldCharType="end"/>
            </w:r>
          </w:hyperlink>
        </w:p>
        <w:p w14:paraId="7FDFA66B" w14:textId="0A607FC1" w:rsidR="00CB1059" w:rsidRDefault="0035372A">
          <w:pPr>
            <w:pStyle w:val="TOC2"/>
            <w:tabs>
              <w:tab w:val="right" w:leader="dot" w:pos="8494"/>
            </w:tabs>
            <w:rPr>
              <w:rFonts w:eastAsiaTheme="minorEastAsia"/>
              <w:noProof/>
              <w:lang w:val="fr-FR" w:eastAsia="fr-FR"/>
            </w:rPr>
          </w:pPr>
          <w:hyperlink w:anchor="_Toc124170087" w:history="1">
            <w:r w:rsidR="00CB1059" w:rsidRPr="00F475F7">
              <w:rPr>
                <w:rStyle w:val="Hyperlink"/>
                <w:noProof/>
              </w:rPr>
              <w:t>Guidance for reporting</w:t>
            </w:r>
            <w:r w:rsidR="00CB1059">
              <w:rPr>
                <w:noProof/>
                <w:webHidden/>
              </w:rPr>
              <w:tab/>
            </w:r>
            <w:r w:rsidR="00CB1059">
              <w:rPr>
                <w:noProof/>
                <w:webHidden/>
              </w:rPr>
              <w:fldChar w:fldCharType="begin"/>
            </w:r>
            <w:r w:rsidR="00CB1059">
              <w:rPr>
                <w:noProof/>
                <w:webHidden/>
              </w:rPr>
              <w:instrText xml:space="preserve"> PAGEREF _Toc124170087 \h </w:instrText>
            </w:r>
            <w:r w:rsidR="00CB1059">
              <w:rPr>
                <w:noProof/>
                <w:webHidden/>
              </w:rPr>
            </w:r>
            <w:r w:rsidR="00CB1059">
              <w:rPr>
                <w:noProof/>
                <w:webHidden/>
              </w:rPr>
              <w:fldChar w:fldCharType="separate"/>
            </w:r>
            <w:r>
              <w:rPr>
                <w:noProof/>
                <w:webHidden/>
              </w:rPr>
              <w:t>2</w:t>
            </w:r>
            <w:r w:rsidR="00CB1059">
              <w:rPr>
                <w:noProof/>
                <w:webHidden/>
              </w:rPr>
              <w:fldChar w:fldCharType="end"/>
            </w:r>
          </w:hyperlink>
        </w:p>
        <w:p w14:paraId="42004C36" w14:textId="4DAD5225" w:rsidR="00CB1059" w:rsidRDefault="0035372A">
          <w:pPr>
            <w:pStyle w:val="TOC2"/>
            <w:tabs>
              <w:tab w:val="right" w:leader="dot" w:pos="8494"/>
            </w:tabs>
            <w:rPr>
              <w:rFonts w:eastAsiaTheme="minorEastAsia"/>
              <w:noProof/>
              <w:lang w:val="fr-FR" w:eastAsia="fr-FR"/>
            </w:rPr>
          </w:pPr>
          <w:hyperlink w:anchor="_Toc124170088" w:history="1">
            <w:r w:rsidR="00CB1059" w:rsidRPr="00F475F7">
              <w:rPr>
                <w:rStyle w:val="Hyperlink"/>
                <w:noProof/>
              </w:rPr>
              <w:t>Fields of action</w:t>
            </w:r>
            <w:r w:rsidR="00CB1059">
              <w:rPr>
                <w:noProof/>
                <w:webHidden/>
              </w:rPr>
              <w:tab/>
            </w:r>
            <w:r w:rsidR="00CB1059">
              <w:rPr>
                <w:noProof/>
                <w:webHidden/>
              </w:rPr>
              <w:fldChar w:fldCharType="begin"/>
            </w:r>
            <w:r w:rsidR="00CB1059">
              <w:rPr>
                <w:noProof/>
                <w:webHidden/>
              </w:rPr>
              <w:instrText xml:space="preserve"> PAGEREF _Toc124170088 \h </w:instrText>
            </w:r>
            <w:r w:rsidR="00CB1059">
              <w:rPr>
                <w:noProof/>
                <w:webHidden/>
              </w:rPr>
            </w:r>
            <w:r w:rsidR="00CB1059">
              <w:rPr>
                <w:noProof/>
                <w:webHidden/>
              </w:rPr>
              <w:fldChar w:fldCharType="separate"/>
            </w:r>
            <w:r>
              <w:rPr>
                <w:noProof/>
                <w:webHidden/>
              </w:rPr>
              <w:t>2</w:t>
            </w:r>
            <w:r w:rsidR="00CB1059">
              <w:rPr>
                <w:noProof/>
                <w:webHidden/>
              </w:rPr>
              <w:fldChar w:fldCharType="end"/>
            </w:r>
          </w:hyperlink>
        </w:p>
        <w:p w14:paraId="2078787B" w14:textId="4CD0E9EA" w:rsidR="00CB1059" w:rsidRDefault="0035372A">
          <w:pPr>
            <w:pStyle w:val="TOC2"/>
            <w:tabs>
              <w:tab w:val="right" w:leader="dot" w:pos="8494"/>
            </w:tabs>
            <w:rPr>
              <w:rFonts w:eastAsiaTheme="minorEastAsia"/>
              <w:noProof/>
              <w:lang w:val="fr-FR" w:eastAsia="fr-FR"/>
            </w:rPr>
          </w:pPr>
          <w:hyperlink w:anchor="_Toc124170089" w:history="1">
            <w:r w:rsidR="00CB1059" w:rsidRPr="00F475F7">
              <w:rPr>
                <w:rStyle w:val="Hyperlink"/>
                <w:noProof/>
              </w:rPr>
              <w:t>Example of Good practice reporting</w:t>
            </w:r>
            <w:r w:rsidR="00CB1059">
              <w:rPr>
                <w:noProof/>
                <w:webHidden/>
              </w:rPr>
              <w:tab/>
            </w:r>
            <w:r w:rsidR="00CB1059">
              <w:rPr>
                <w:noProof/>
                <w:webHidden/>
              </w:rPr>
              <w:fldChar w:fldCharType="begin"/>
            </w:r>
            <w:r w:rsidR="00CB1059">
              <w:rPr>
                <w:noProof/>
                <w:webHidden/>
              </w:rPr>
              <w:instrText xml:space="preserve"> PAGEREF _Toc124170089 \h </w:instrText>
            </w:r>
            <w:r w:rsidR="00CB1059">
              <w:rPr>
                <w:noProof/>
                <w:webHidden/>
              </w:rPr>
            </w:r>
            <w:r w:rsidR="00CB1059">
              <w:rPr>
                <w:noProof/>
                <w:webHidden/>
              </w:rPr>
              <w:fldChar w:fldCharType="separate"/>
            </w:r>
            <w:r>
              <w:rPr>
                <w:noProof/>
                <w:webHidden/>
              </w:rPr>
              <w:t>5</w:t>
            </w:r>
            <w:r w:rsidR="00CB1059">
              <w:rPr>
                <w:noProof/>
                <w:webHidden/>
              </w:rPr>
              <w:fldChar w:fldCharType="end"/>
            </w:r>
          </w:hyperlink>
        </w:p>
        <w:p w14:paraId="48B2B763" w14:textId="7AD34FB5" w:rsidR="00CB1059" w:rsidRDefault="0035372A">
          <w:pPr>
            <w:pStyle w:val="TOC1"/>
            <w:tabs>
              <w:tab w:val="right" w:leader="dot" w:pos="8494"/>
            </w:tabs>
            <w:rPr>
              <w:rFonts w:eastAsiaTheme="minorEastAsia"/>
              <w:noProof/>
              <w:lang w:val="fr-FR" w:eastAsia="fr-FR"/>
            </w:rPr>
          </w:pPr>
          <w:hyperlink w:anchor="_Toc124170090" w:history="1">
            <w:r w:rsidR="00CB1059" w:rsidRPr="00F475F7">
              <w:rPr>
                <w:rStyle w:val="Hyperlink"/>
                <w:noProof/>
              </w:rPr>
              <w:t>TEMPLATE FOR REPORTING</w:t>
            </w:r>
            <w:r w:rsidR="00CB1059">
              <w:rPr>
                <w:noProof/>
                <w:webHidden/>
              </w:rPr>
              <w:tab/>
            </w:r>
            <w:r w:rsidR="00CB1059">
              <w:rPr>
                <w:noProof/>
                <w:webHidden/>
              </w:rPr>
              <w:fldChar w:fldCharType="begin"/>
            </w:r>
            <w:r w:rsidR="00CB1059">
              <w:rPr>
                <w:noProof/>
                <w:webHidden/>
              </w:rPr>
              <w:instrText xml:space="preserve"> PAGEREF _Toc124170090 \h </w:instrText>
            </w:r>
            <w:r w:rsidR="00CB1059">
              <w:rPr>
                <w:noProof/>
                <w:webHidden/>
              </w:rPr>
            </w:r>
            <w:r w:rsidR="00CB1059">
              <w:rPr>
                <w:noProof/>
                <w:webHidden/>
              </w:rPr>
              <w:fldChar w:fldCharType="separate"/>
            </w:r>
            <w:r>
              <w:rPr>
                <w:noProof/>
                <w:webHidden/>
              </w:rPr>
              <w:t>7</w:t>
            </w:r>
            <w:r w:rsidR="00CB1059">
              <w:rPr>
                <w:noProof/>
                <w:webHidden/>
              </w:rPr>
              <w:fldChar w:fldCharType="end"/>
            </w:r>
          </w:hyperlink>
        </w:p>
        <w:p w14:paraId="438CF90F" w14:textId="0B322D5B" w:rsidR="00CB1059" w:rsidRDefault="00CB1059">
          <w:r>
            <w:rPr>
              <w:b/>
              <w:bCs/>
            </w:rPr>
            <w:fldChar w:fldCharType="end"/>
          </w:r>
        </w:p>
      </w:sdtContent>
    </w:sdt>
    <w:p w14:paraId="6F2998F5" w14:textId="77777777" w:rsidR="00CB1059" w:rsidRDefault="00CB1059" w:rsidP="00055EC3">
      <w:pPr>
        <w:spacing w:after="0" w:line="240" w:lineRule="auto"/>
        <w:rPr>
          <w:rFonts w:ascii="Calibri" w:hAnsi="Calibri"/>
          <w:b/>
          <w:bCs/>
          <w:szCs w:val="28"/>
        </w:rPr>
      </w:pPr>
    </w:p>
    <w:p w14:paraId="155CE86B" w14:textId="284D1F53" w:rsidR="00055EC3" w:rsidRDefault="00055EC3" w:rsidP="00055EC3">
      <w:pPr>
        <w:spacing w:after="0" w:line="240" w:lineRule="auto"/>
        <w:rPr>
          <w:rFonts w:ascii="Calibri" w:hAnsi="Calibri"/>
          <w:b/>
          <w:bCs/>
          <w:szCs w:val="28"/>
        </w:rPr>
      </w:pPr>
    </w:p>
    <w:p w14:paraId="1D0315C9" w14:textId="77777777" w:rsidR="00CB1059" w:rsidRDefault="00CB1059">
      <w:pPr>
        <w:spacing w:after="160" w:line="259" w:lineRule="auto"/>
        <w:jc w:val="left"/>
        <w:rPr>
          <w:rFonts w:eastAsiaTheme="majorEastAsia" w:cstheme="majorBidi"/>
          <w:b/>
          <w:color w:val="20478A"/>
          <w:szCs w:val="26"/>
        </w:rPr>
      </w:pPr>
      <w:r>
        <w:br w:type="page"/>
      </w:r>
    </w:p>
    <w:p w14:paraId="31B76D73" w14:textId="54D8D227" w:rsidR="00055EC3" w:rsidRPr="00136019" w:rsidRDefault="00055EC3" w:rsidP="00055EC3">
      <w:pPr>
        <w:pStyle w:val="Heading2"/>
      </w:pPr>
      <w:bookmarkStart w:id="4" w:name="_Toc124170086"/>
      <w:r>
        <w:lastRenderedPageBreak/>
        <w:t>How can you recognise a good practice?</w:t>
      </w:r>
      <w:bookmarkEnd w:id="4"/>
    </w:p>
    <w:p w14:paraId="2DFCB009" w14:textId="1BAADE76" w:rsidR="00055EC3" w:rsidRDefault="00055EC3" w:rsidP="00055EC3">
      <w:pPr>
        <w:spacing w:after="0" w:line="240" w:lineRule="auto"/>
        <w:rPr>
          <w:rFonts w:ascii="Calibri" w:hAnsi="Calibri"/>
          <w:szCs w:val="28"/>
        </w:rPr>
      </w:pPr>
      <w:r>
        <w:rPr>
          <w:rFonts w:ascii="Calibri" w:hAnsi="Calibri"/>
          <w:szCs w:val="28"/>
        </w:rPr>
        <w:t>A good practice is:</w:t>
      </w:r>
    </w:p>
    <w:p w14:paraId="052525B8" w14:textId="77777777" w:rsidR="00055EC3" w:rsidRPr="00654B1B" w:rsidRDefault="00055EC3" w:rsidP="00055EC3">
      <w:pPr>
        <w:spacing w:after="0" w:line="240" w:lineRule="auto"/>
        <w:rPr>
          <w:rFonts w:ascii="Calibri" w:hAnsi="Calibri"/>
          <w:szCs w:val="28"/>
        </w:rPr>
      </w:pPr>
    </w:p>
    <w:p w14:paraId="0369C320" w14:textId="77777777" w:rsidR="00055EC3" w:rsidRDefault="00055EC3" w:rsidP="00055EC3">
      <w:pPr>
        <w:pStyle w:val="ListParagraph"/>
        <w:numPr>
          <w:ilvl w:val="0"/>
          <w:numId w:val="5"/>
        </w:numPr>
        <w:spacing w:after="200" w:line="276" w:lineRule="auto"/>
      </w:pPr>
      <w:r w:rsidRPr="00055EC3">
        <w:rPr>
          <w:u w:val="single"/>
        </w:rPr>
        <w:t>Goal-oriented</w:t>
      </w:r>
      <w:r>
        <w:t xml:space="preserve">: it aims at </w:t>
      </w:r>
      <w:bookmarkStart w:id="5" w:name="_Hlk107826193"/>
      <w:r>
        <w:t>reducing inequalities, contributes to create an understanding of diversity as a collective advantage, enhances and fosters active citizen participation, and improves the well-being, trust, sense of belonging and inclusion of newcomers in society.</w:t>
      </w:r>
      <w:bookmarkEnd w:id="5"/>
    </w:p>
    <w:p w14:paraId="0B6F50DC" w14:textId="77777777" w:rsidR="00055EC3" w:rsidRDefault="00055EC3" w:rsidP="00055EC3">
      <w:pPr>
        <w:pStyle w:val="ListParagraph"/>
        <w:numPr>
          <w:ilvl w:val="0"/>
          <w:numId w:val="5"/>
        </w:numPr>
        <w:spacing w:after="200" w:line="276" w:lineRule="auto"/>
      </w:pPr>
      <w:r w:rsidRPr="00055EC3">
        <w:rPr>
          <w:u w:val="single"/>
        </w:rPr>
        <w:t>Customer-responsive</w:t>
      </w:r>
      <w:r>
        <w:t xml:space="preserve">: it starts from the </w:t>
      </w:r>
      <w:bookmarkStart w:id="6" w:name="_Hlk107826299"/>
      <w:r>
        <w:t>needs and circumstances of both integrating immigrants and the whole society</w:t>
      </w:r>
      <w:bookmarkEnd w:id="6"/>
      <w:r>
        <w:t>.</w:t>
      </w:r>
    </w:p>
    <w:p w14:paraId="487DBE2B" w14:textId="77777777" w:rsidR="00055EC3" w:rsidRDefault="00055EC3" w:rsidP="00055EC3">
      <w:pPr>
        <w:pStyle w:val="ListParagraph"/>
        <w:numPr>
          <w:ilvl w:val="0"/>
          <w:numId w:val="5"/>
        </w:numPr>
        <w:spacing w:after="200" w:line="276" w:lineRule="auto"/>
      </w:pPr>
      <w:r w:rsidRPr="00055EC3">
        <w:rPr>
          <w:u w:val="single"/>
        </w:rPr>
        <w:t>Context-sensitive</w:t>
      </w:r>
      <w:r>
        <w:t xml:space="preserve">: it also </w:t>
      </w:r>
      <w:bookmarkStart w:id="7" w:name="_Hlk107826356"/>
      <w:r>
        <w:t>takes challenging conditions and local specific strengths into account</w:t>
      </w:r>
      <w:bookmarkEnd w:id="7"/>
      <w:r>
        <w:t>.</w:t>
      </w:r>
    </w:p>
    <w:p w14:paraId="1AF564F2" w14:textId="6E2EA5D9" w:rsidR="00055EC3" w:rsidRDefault="00055EC3" w:rsidP="00055EC3">
      <w:pPr>
        <w:pStyle w:val="ListParagraph"/>
        <w:numPr>
          <w:ilvl w:val="0"/>
          <w:numId w:val="5"/>
        </w:numPr>
        <w:spacing w:after="200" w:line="276" w:lineRule="auto"/>
      </w:pPr>
      <w:r w:rsidRPr="00055EC3">
        <w:rPr>
          <w:u w:val="single"/>
        </w:rPr>
        <w:t>Highly impacting</w:t>
      </w:r>
      <w:r>
        <w:t>: it produces better results than before from the beneficiary’s perspective, namely because it involves a wide range of stakeholders, relies on actors and channels that can work as multipliers (of both the key messages and the methodology) and builds stakeholders capacity to continue the action after the end of the project.</w:t>
      </w:r>
    </w:p>
    <w:p w14:paraId="532E4BEA" w14:textId="77777777" w:rsidR="00055EC3" w:rsidRDefault="00055EC3" w:rsidP="00055EC3">
      <w:pPr>
        <w:pStyle w:val="ListParagraph"/>
        <w:numPr>
          <w:ilvl w:val="0"/>
          <w:numId w:val="5"/>
        </w:numPr>
        <w:spacing w:after="200" w:line="276" w:lineRule="auto"/>
      </w:pPr>
      <w:r w:rsidRPr="00055EC3">
        <w:rPr>
          <w:u w:val="single"/>
        </w:rPr>
        <w:t>Capable of being modelled</w:t>
      </w:r>
      <w:r>
        <w:t xml:space="preserve">: </w:t>
      </w:r>
      <w:bookmarkStart w:id="8" w:name="_Hlk107826103"/>
      <w:r>
        <w:t>it contains clearly defined essential elements and processes that help to achieve a goal that is desirable for the whole society considered as a diverse society</w:t>
      </w:r>
      <w:bookmarkEnd w:id="8"/>
      <w:r>
        <w:t>.</w:t>
      </w:r>
    </w:p>
    <w:p w14:paraId="0A5F77A1" w14:textId="6509E094" w:rsidR="00055EC3" w:rsidRPr="00055EC3" w:rsidRDefault="00055EC3" w:rsidP="00055EC3">
      <w:pPr>
        <w:pStyle w:val="ListParagraph"/>
        <w:numPr>
          <w:ilvl w:val="0"/>
          <w:numId w:val="5"/>
        </w:numPr>
        <w:spacing w:after="200" w:line="276" w:lineRule="auto"/>
      </w:pPr>
      <w:r w:rsidRPr="00055EC3">
        <w:rPr>
          <w:u w:val="single"/>
        </w:rPr>
        <w:t>Can be generalised</w:t>
      </w:r>
      <w:r>
        <w:t xml:space="preserve">: the </w:t>
      </w:r>
      <w:bookmarkStart w:id="9" w:name="_Hlk107826420"/>
      <w:r>
        <w:t xml:space="preserve">project is likely to produce similar effects when introduced in other similar operating environments </w:t>
      </w:r>
      <w:bookmarkEnd w:id="9"/>
      <w:r>
        <w:t>and/or to be easily adapted to other contexts.</w:t>
      </w:r>
    </w:p>
    <w:p w14:paraId="0B7D05FA" w14:textId="5E325E66" w:rsidR="00055EC3" w:rsidRPr="00654B1B" w:rsidRDefault="00055EC3" w:rsidP="00055EC3">
      <w:pPr>
        <w:pStyle w:val="Heading2"/>
      </w:pPr>
      <w:bookmarkStart w:id="10" w:name="_Toc124170087"/>
      <w:r w:rsidRPr="00654B1B">
        <w:t xml:space="preserve">Guidance for </w:t>
      </w:r>
      <w:r w:rsidR="006E67F3">
        <w:t>reporting</w:t>
      </w:r>
      <w:bookmarkEnd w:id="10"/>
    </w:p>
    <w:p w14:paraId="565AFAEC" w14:textId="77777777" w:rsidR="00055EC3" w:rsidRPr="00654B1B" w:rsidRDefault="00055EC3" w:rsidP="00055EC3">
      <w:pPr>
        <w:numPr>
          <w:ilvl w:val="0"/>
          <w:numId w:val="4"/>
        </w:numPr>
        <w:spacing w:before="100" w:beforeAutospacing="1" w:after="100" w:afterAutospacing="1" w:line="240" w:lineRule="auto"/>
        <w:jc w:val="left"/>
        <w:rPr>
          <w:rFonts w:eastAsia="Times New Roman" w:cs="Times New Roman"/>
          <w:u w:val="single"/>
          <w:lang w:eastAsia="en-GB"/>
        </w:rPr>
      </w:pPr>
      <w:r w:rsidRPr="00654B1B">
        <w:rPr>
          <w:rFonts w:eastAsia="Times New Roman" w:cs="Times New Roman"/>
          <w:u w:val="single"/>
          <w:lang w:eastAsia="en-GB"/>
        </w:rPr>
        <w:t xml:space="preserve">Keep the information short and to the point: keep it simple and effective! </w:t>
      </w:r>
    </w:p>
    <w:p w14:paraId="7B5904ED" w14:textId="1B9BEE2A" w:rsidR="00055EC3" w:rsidRPr="00654B1B" w:rsidRDefault="00055EC3" w:rsidP="00055EC3">
      <w:pPr>
        <w:numPr>
          <w:ilvl w:val="0"/>
          <w:numId w:val="4"/>
        </w:numPr>
        <w:spacing w:before="100" w:beforeAutospacing="1" w:after="100" w:afterAutospacing="1" w:line="240" w:lineRule="auto"/>
        <w:jc w:val="left"/>
        <w:rPr>
          <w:rFonts w:eastAsia="Times New Roman" w:cs="Times New Roman"/>
          <w:lang w:eastAsia="en-GB"/>
        </w:rPr>
      </w:pPr>
      <w:r w:rsidRPr="00654B1B">
        <w:rPr>
          <w:rFonts w:eastAsia="Times New Roman" w:cs="Times New Roman"/>
          <w:lang w:eastAsia="en-GB"/>
        </w:rPr>
        <w:t xml:space="preserve">Identify the main </w:t>
      </w:r>
      <w:r w:rsidR="006E67F3">
        <w:rPr>
          <w:rFonts w:eastAsia="Times New Roman" w:cs="Times New Roman"/>
          <w:lang w:eastAsia="en-GB"/>
        </w:rPr>
        <w:t xml:space="preserve">challenges the action aimed to solve, the </w:t>
      </w:r>
      <w:r w:rsidRPr="00654B1B">
        <w:rPr>
          <w:rFonts w:eastAsia="Times New Roman" w:cs="Times New Roman"/>
          <w:lang w:eastAsia="en-GB"/>
        </w:rPr>
        <w:t>goal(s) that the action pursued, its key-points, and the main output(s) and results</w:t>
      </w:r>
      <w:r w:rsidR="006E67F3">
        <w:rPr>
          <w:rFonts w:eastAsia="Times New Roman" w:cs="Times New Roman"/>
          <w:lang w:eastAsia="en-GB"/>
        </w:rPr>
        <w:t>.</w:t>
      </w:r>
    </w:p>
    <w:p w14:paraId="211EE618" w14:textId="480C8165" w:rsidR="00055EC3" w:rsidRPr="00654B1B" w:rsidRDefault="00055EC3" w:rsidP="00055EC3">
      <w:pPr>
        <w:numPr>
          <w:ilvl w:val="0"/>
          <w:numId w:val="4"/>
        </w:numPr>
        <w:spacing w:before="100" w:beforeAutospacing="1" w:after="100" w:afterAutospacing="1" w:line="240" w:lineRule="auto"/>
        <w:jc w:val="left"/>
        <w:rPr>
          <w:rFonts w:eastAsia="Times New Roman" w:cs="Times New Roman"/>
          <w:lang w:eastAsia="en-GB"/>
        </w:rPr>
      </w:pPr>
      <w:r w:rsidRPr="00654B1B">
        <w:rPr>
          <w:rFonts w:eastAsia="Times New Roman" w:cs="Times New Roman"/>
          <w:lang w:eastAsia="en-GB"/>
        </w:rPr>
        <w:t xml:space="preserve">Explain in a clear, focussed and concise way how the action was </w:t>
      </w:r>
      <w:r w:rsidR="00CD1165">
        <w:rPr>
          <w:rFonts w:eastAsia="Times New Roman" w:cs="Times New Roman"/>
          <w:lang w:eastAsia="en-GB"/>
        </w:rPr>
        <w:t>implemented</w:t>
      </w:r>
      <w:r w:rsidR="006E67F3">
        <w:rPr>
          <w:rFonts w:eastAsia="Times New Roman" w:cs="Times New Roman"/>
          <w:lang w:eastAsia="en-GB"/>
        </w:rPr>
        <w:t>.</w:t>
      </w:r>
    </w:p>
    <w:p w14:paraId="396DF312" w14:textId="77777777" w:rsidR="00055EC3" w:rsidRPr="00654B1B" w:rsidRDefault="00055EC3" w:rsidP="00055EC3">
      <w:pPr>
        <w:numPr>
          <w:ilvl w:val="0"/>
          <w:numId w:val="4"/>
        </w:numPr>
        <w:spacing w:before="100" w:beforeAutospacing="1" w:after="100" w:afterAutospacing="1" w:line="240" w:lineRule="auto"/>
        <w:jc w:val="left"/>
        <w:rPr>
          <w:rFonts w:eastAsia="Times New Roman" w:cs="Times New Roman"/>
          <w:lang w:eastAsia="en-GB"/>
        </w:rPr>
      </w:pPr>
      <w:r w:rsidRPr="00654B1B">
        <w:rPr>
          <w:rFonts w:eastAsia="Times New Roman" w:cs="Times New Roman"/>
          <w:lang w:eastAsia="en-GB"/>
        </w:rPr>
        <w:t>Write your text having in mind that your practices can inspire others and have vocation to be replicated.</w:t>
      </w:r>
    </w:p>
    <w:p w14:paraId="4A12D6E6" w14:textId="22CCEC1D" w:rsidR="00055EC3" w:rsidRPr="00654B1B" w:rsidRDefault="00055EC3" w:rsidP="00055EC3">
      <w:pPr>
        <w:numPr>
          <w:ilvl w:val="0"/>
          <w:numId w:val="4"/>
        </w:numPr>
        <w:spacing w:before="100" w:beforeAutospacing="1" w:after="100" w:afterAutospacing="1" w:line="240" w:lineRule="auto"/>
        <w:jc w:val="left"/>
        <w:rPr>
          <w:rFonts w:eastAsia="Times New Roman" w:cs="Times New Roman"/>
          <w:lang w:eastAsia="en-GB"/>
        </w:rPr>
      </w:pPr>
      <w:r w:rsidRPr="00654B1B">
        <w:rPr>
          <w:rFonts w:eastAsia="Times New Roman" w:cs="Times New Roman"/>
          <w:lang w:eastAsia="en-GB"/>
        </w:rPr>
        <w:t>Avoid describing the city: there is already a city description on the ICC page</w:t>
      </w:r>
      <w:r w:rsidR="006E67F3">
        <w:rPr>
          <w:rFonts w:eastAsia="Times New Roman" w:cs="Times New Roman"/>
          <w:lang w:eastAsia="en-GB"/>
        </w:rPr>
        <w:t>.</w:t>
      </w:r>
    </w:p>
    <w:p w14:paraId="3DF791E5" w14:textId="77777777" w:rsidR="00055EC3" w:rsidRPr="00654B1B" w:rsidRDefault="00055EC3" w:rsidP="00055EC3">
      <w:pPr>
        <w:numPr>
          <w:ilvl w:val="0"/>
          <w:numId w:val="4"/>
        </w:numPr>
        <w:spacing w:before="100" w:beforeAutospacing="1" w:after="100" w:afterAutospacing="1" w:line="240" w:lineRule="auto"/>
        <w:jc w:val="left"/>
        <w:rPr>
          <w:rFonts w:eastAsia="Times New Roman" w:cs="Times New Roman"/>
          <w:lang w:eastAsia="en-GB"/>
        </w:rPr>
      </w:pPr>
      <w:r w:rsidRPr="00654B1B">
        <w:rPr>
          <w:rFonts w:eastAsia="Times New Roman" w:cs="Times New Roman"/>
          <w:lang w:eastAsia="en-GB"/>
        </w:rPr>
        <w:t>Complete your report with any suitable references to online sources of supporting information (web, publications, etc.)</w:t>
      </w:r>
    </w:p>
    <w:p w14:paraId="49B9B760" w14:textId="2A8AE802" w:rsidR="00CD1165" w:rsidRPr="00CD1165" w:rsidRDefault="00055EC3" w:rsidP="00CD1165">
      <w:pPr>
        <w:numPr>
          <w:ilvl w:val="0"/>
          <w:numId w:val="4"/>
        </w:numPr>
        <w:spacing w:before="100" w:beforeAutospacing="1" w:after="100" w:afterAutospacing="1" w:line="240" w:lineRule="auto"/>
        <w:jc w:val="left"/>
        <w:rPr>
          <w:b/>
        </w:rPr>
      </w:pPr>
      <w:r w:rsidRPr="00CD1165">
        <w:rPr>
          <w:rFonts w:eastAsia="Times New Roman" w:cs="Times New Roman"/>
          <w:lang w:eastAsia="en-GB"/>
        </w:rPr>
        <w:t xml:space="preserve">Use the list of fields of action below for reference </w:t>
      </w:r>
      <w:r w:rsidR="006E67F3">
        <w:rPr>
          <w:rFonts w:eastAsia="Times New Roman" w:cs="Times New Roman"/>
          <w:lang w:eastAsia="en-GB"/>
        </w:rPr>
        <w:t>:</w:t>
      </w:r>
    </w:p>
    <w:p w14:paraId="3F320971" w14:textId="23352ADA" w:rsidR="003F013D" w:rsidRPr="00913B4E" w:rsidRDefault="003F013D" w:rsidP="00CB1059">
      <w:pPr>
        <w:pStyle w:val="Heading2"/>
      </w:pPr>
      <w:bookmarkStart w:id="11" w:name="_Toc124170088"/>
      <w:r w:rsidRPr="00913B4E">
        <w:t>Fields of action</w:t>
      </w:r>
      <w:bookmarkEnd w:id="11"/>
    </w:p>
    <w:p w14:paraId="7DA111DC" w14:textId="038BE648" w:rsidR="003F013D" w:rsidRPr="00913B4E" w:rsidRDefault="003F013D" w:rsidP="006E67F3">
      <w:pPr>
        <w:pStyle w:val="ListParagraph"/>
        <w:numPr>
          <w:ilvl w:val="0"/>
          <w:numId w:val="2"/>
        </w:numPr>
        <w:spacing w:after="200" w:line="276" w:lineRule="auto"/>
      </w:pPr>
      <w:r w:rsidRPr="00913B4E">
        <w:rPr>
          <w:b/>
          <w:bCs/>
        </w:rPr>
        <w:t>Leadership and Political commitment</w:t>
      </w:r>
      <w:r w:rsidRPr="00913B4E">
        <w:t xml:space="preserve">: </w:t>
      </w:r>
      <w:r w:rsidR="00821A17" w:rsidRPr="00913B4E">
        <w:t>e.g.</w:t>
      </w:r>
      <w:r w:rsidRPr="00913B4E">
        <w:t xml:space="preserve"> </w:t>
      </w:r>
      <w:r w:rsidR="006E67F3">
        <w:t>political</w:t>
      </w:r>
      <w:r w:rsidR="00CD1165" w:rsidRPr="00CD1165">
        <w:t xml:space="preserve"> statement</w:t>
      </w:r>
      <w:r w:rsidR="006E67F3">
        <w:t>(s)</w:t>
      </w:r>
      <w:r w:rsidR="00CD1165" w:rsidRPr="00CD1165">
        <w:t xml:space="preserve"> by the Mayor</w:t>
      </w:r>
      <w:r w:rsidR="00CD1165">
        <w:t xml:space="preserve">; dedicated budget for intercultural policies; </w:t>
      </w:r>
      <w:r w:rsidRPr="00913B4E">
        <w:t xml:space="preserve">design and implementation of intercultural strategies/action plans; public discourse; intercultural competence for public institutions; </w:t>
      </w:r>
      <w:r w:rsidR="00CB1059">
        <w:t xml:space="preserve">investment in initiative to transform the system; </w:t>
      </w:r>
      <w:r w:rsidR="00CD1165">
        <w:t>cross-departmental mechanisms for cooperation; policies to recruit a diverse staff in the municipal services;</w:t>
      </w:r>
      <w:r w:rsidR="006E67F3">
        <w:t xml:space="preserve"> policy/processes/structures to carry out a prior assessment of the intercultural nature of projects to be funded;</w:t>
      </w:r>
      <w:r w:rsidR="00CD1165">
        <w:t xml:space="preserve"> etc.</w:t>
      </w:r>
    </w:p>
    <w:p w14:paraId="27370EA6" w14:textId="212E71D5" w:rsidR="003F013D" w:rsidRDefault="003F013D" w:rsidP="006E67F3">
      <w:pPr>
        <w:pStyle w:val="ListParagraph"/>
        <w:numPr>
          <w:ilvl w:val="0"/>
          <w:numId w:val="2"/>
        </w:numPr>
        <w:spacing w:after="200" w:line="276" w:lineRule="auto"/>
      </w:pPr>
      <w:r w:rsidRPr="00913B4E">
        <w:rPr>
          <w:b/>
          <w:bCs/>
        </w:rPr>
        <w:t>Communication and public awareness on the value of interculturality</w:t>
      </w:r>
      <w:r w:rsidRPr="00913B4E">
        <w:t xml:space="preserve">: </w:t>
      </w:r>
      <w:r w:rsidR="00821A17">
        <w:t>e.g.</w:t>
      </w:r>
      <w:r w:rsidR="006E67F3">
        <w:t xml:space="preserve"> </w:t>
      </w:r>
      <w:r w:rsidRPr="00913B4E">
        <w:t xml:space="preserve">projects, action plans, processes, tools, training on intercultural literacy, developing a culture </w:t>
      </w:r>
      <w:r w:rsidRPr="00913B4E">
        <w:lastRenderedPageBreak/>
        <w:t>of inclusion and interculturality, anti-racism, anti-discrimination, diversity advantage, social media communication</w:t>
      </w:r>
      <w:r>
        <w:t xml:space="preserve">, etc.; </w:t>
      </w:r>
      <w:r w:rsidR="00FD7F0B">
        <w:t xml:space="preserve">intercultural awareness training for the communication department; </w:t>
      </w:r>
      <w:r w:rsidR="006E67F3">
        <w:t xml:space="preserve">inclusive communication and alternative narratives; </w:t>
      </w:r>
      <w:r>
        <w:t>c</w:t>
      </w:r>
      <w:r w:rsidRPr="00654B1B">
        <w:t xml:space="preserve">ooperation with media; awareness campaigns; special awards/ceremonies </w:t>
      </w:r>
      <w:r>
        <w:t xml:space="preserve">on </w:t>
      </w:r>
      <w:r w:rsidR="006E67F3">
        <w:t xml:space="preserve">highlighting citizens’ </w:t>
      </w:r>
      <w:r>
        <w:t>contributions to interculturality</w:t>
      </w:r>
      <w:r w:rsidRPr="00654B1B">
        <w:t xml:space="preserve">; opinion surveys; </w:t>
      </w:r>
      <w:r>
        <w:t xml:space="preserve">research and </w:t>
      </w:r>
      <w:r w:rsidRPr="00654B1B">
        <w:t xml:space="preserve">publications about the diversity in the city and its impact; </w:t>
      </w:r>
      <w:r w:rsidR="00CD1165">
        <w:t xml:space="preserve">official </w:t>
      </w:r>
      <w:r w:rsidRPr="00654B1B">
        <w:t xml:space="preserve">webs/apps </w:t>
      </w:r>
      <w:r w:rsidR="00CD1165">
        <w:t>communicating on interculturality</w:t>
      </w:r>
      <w:r>
        <w:t>;</w:t>
      </w:r>
      <w:r w:rsidRPr="00654B1B">
        <w:t xml:space="preserve"> </w:t>
      </w:r>
      <w:r w:rsidR="006E67F3">
        <w:t>mechanisms for</w:t>
      </w:r>
      <w:r w:rsidRPr="00654B1B">
        <w:t xml:space="preserve"> </w:t>
      </w:r>
      <w:r>
        <w:t xml:space="preserve">reaching out to diverse groups; </w:t>
      </w:r>
      <w:r w:rsidRPr="00654B1B">
        <w:t>etc</w:t>
      </w:r>
      <w:r>
        <w:t>.</w:t>
      </w:r>
    </w:p>
    <w:p w14:paraId="0639B52C" w14:textId="61EDF6C9" w:rsidR="003F013D" w:rsidRDefault="003F013D" w:rsidP="006E67F3">
      <w:pPr>
        <w:pStyle w:val="ListParagraph"/>
        <w:numPr>
          <w:ilvl w:val="0"/>
          <w:numId w:val="2"/>
        </w:numPr>
        <w:spacing w:after="200" w:line="276" w:lineRule="auto"/>
      </w:pPr>
      <w:r w:rsidRPr="00913B4E">
        <w:rPr>
          <w:b/>
          <w:bCs/>
        </w:rPr>
        <w:t>Anti-discrimination and equality</w:t>
      </w:r>
      <w:r>
        <w:t xml:space="preserve">: </w:t>
      </w:r>
      <w:r w:rsidR="006E67F3">
        <w:t xml:space="preserve">etc. </w:t>
      </w:r>
      <w:r>
        <w:t xml:space="preserve">projects, action plans, processes, tools, training on anti-discrimination and or equality; awareness raising campaigns; data collection and analysis; equality bodies; </w:t>
      </w:r>
      <w:r w:rsidR="00FD7F0B">
        <w:t xml:space="preserve">monitoring media reports; </w:t>
      </w:r>
      <w:r>
        <w:t>where applicable: legislation/declarations; etc.; may target specific fields such as:</w:t>
      </w:r>
    </w:p>
    <w:p w14:paraId="6EE81BAB" w14:textId="0C16699D" w:rsidR="003F013D" w:rsidRDefault="003F013D" w:rsidP="006E67F3">
      <w:pPr>
        <w:pStyle w:val="ListParagraph"/>
        <w:numPr>
          <w:ilvl w:val="1"/>
          <w:numId w:val="2"/>
        </w:numPr>
        <w:spacing w:after="200" w:line="276" w:lineRule="auto"/>
      </w:pPr>
      <w:r w:rsidRPr="00913B4E">
        <w:rPr>
          <w:u w:val="single"/>
        </w:rPr>
        <w:t>Gender and intersectionality</w:t>
      </w:r>
      <w:r>
        <w:t xml:space="preserve"> (</w:t>
      </w:r>
      <w:r w:rsidR="00821A17">
        <w:t>e.g.</w:t>
      </w:r>
      <w:r>
        <w:t xml:space="preserve"> mainstreaming of gender and interculturality issues; empowerment of migrant women; programmes/projects for the intercultural inclusion of LGBTI persons; awareness raising campaigns; employment programmes; cooperation with civil society and NGOs; etc.)</w:t>
      </w:r>
    </w:p>
    <w:p w14:paraId="597A6249" w14:textId="6A059699" w:rsidR="003F013D" w:rsidRPr="00654B1B" w:rsidRDefault="003F013D" w:rsidP="006E67F3">
      <w:pPr>
        <w:pStyle w:val="ListParagraph"/>
        <w:numPr>
          <w:ilvl w:val="1"/>
          <w:numId w:val="2"/>
        </w:numPr>
        <w:spacing w:after="200" w:line="276" w:lineRule="auto"/>
      </w:pPr>
      <w:r w:rsidRPr="00913B4E">
        <w:rPr>
          <w:u w:val="single"/>
        </w:rPr>
        <w:t>Roma and Travelers</w:t>
      </w:r>
      <w:r w:rsidRPr="00654B1B">
        <w:t xml:space="preserve"> (</w:t>
      </w:r>
      <w:r w:rsidR="00821A17" w:rsidRPr="00654B1B">
        <w:t>e.g.</w:t>
      </w:r>
      <w:r w:rsidRPr="00654B1B">
        <w:t xml:space="preserve"> </w:t>
      </w:r>
      <w:r>
        <w:t>facilitating a</w:t>
      </w:r>
      <w:r w:rsidRPr="00654B1B">
        <w:t>ccess to social rights</w:t>
      </w:r>
      <w:r>
        <w:t xml:space="preserve"> and</w:t>
      </w:r>
      <w:r w:rsidRPr="00654B1B">
        <w:t xml:space="preserve"> public services; anti-gypsyism and awareness; Roma mediators; school de-segregation</w:t>
      </w:r>
      <w:r>
        <w:t>; employability networks;</w:t>
      </w:r>
      <w:r w:rsidRPr="00654B1B">
        <w:t xml:space="preserve"> social inclusion; </w:t>
      </w:r>
      <w:r w:rsidR="006E67F3">
        <w:t xml:space="preserve">political participation; </w:t>
      </w:r>
      <w:r>
        <w:t xml:space="preserve">communication campaigns; </w:t>
      </w:r>
      <w:r w:rsidRPr="00654B1B">
        <w:t>etc.)</w:t>
      </w:r>
    </w:p>
    <w:p w14:paraId="47196B67" w14:textId="1A92FAF6" w:rsidR="003F013D" w:rsidRPr="00654B1B" w:rsidRDefault="003F013D" w:rsidP="006E67F3">
      <w:pPr>
        <w:pStyle w:val="ListParagraph"/>
        <w:numPr>
          <w:ilvl w:val="1"/>
          <w:numId w:val="2"/>
        </w:numPr>
        <w:spacing w:after="200" w:line="276" w:lineRule="auto"/>
      </w:pPr>
      <w:r w:rsidRPr="00913B4E">
        <w:rPr>
          <w:u w:val="single"/>
        </w:rPr>
        <w:t>Youth</w:t>
      </w:r>
      <w:r>
        <w:t xml:space="preserve"> (</w:t>
      </w:r>
      <w:r w:rsidR="00821A17">
        <w:t>e.g.,</w:t>
      </w:r>
      <w:r>
        <w:t xml:space="preserve"> human rights education programmes; democratic citizenship education; active participation; </w:t>
      </w:r>
      <w:r w:rsidR="006E67F3">
        <w:t xml:space="preserve">youth empowerment; </w:t>
      </w:r>
      <w:r>
        <w:t>etc.)</w:t>
      </w:r>
    </w:p>
    <w:p w14:paraId="353A22F0" w14:textId="1664A948" w:rsidR="003F013D" w:rsidRDefault="003F013D" w:rsidP="006E67F3">
      <w:pPr>
        <w:pStyle w:val="ListParagraph"/>
        <w:numPr>
          <w:ilvl w:val="0"/>
          <w:numId w:val="2"/>
        </w:numPr>
        <w:spacing w:after="200" w:line="276" w:lineRule="auto"/>
      </w:pPr>
      <w:r w:rsidRPr="00913B4E">
        <w:rPr>
          <w:b/>
          <w:bCs/>
        </w:rPr>
        <w:t>Anti-rumour strategies &amp; campaigns</w:t>
      </w:r>
      <w:r w:rsidRPr="00654B1B">
        <w:t xml:space="preserve">, </w:t>
      </w:r>
      <w:r w:rsidR="006E67F3">
        <w:t xml:space="preserve">and </w:t>
      </w:r>
      <w:r w:rsidRPr="00654B1B">
        <w:t>actions against hate speech and hate crime</w:t>
      </w:r>
      <w:r w:rsidR="006E67F3">
        <w:t>;</w:t>
      </w:r>
    </w:p>
    <w:p w14:paraId="125B26D5" w14:textId="103BA9BB" w:rsidR="003F013D" w:rsidRDefault="003F013D" w:rsidP="006E67F3">
      <w:pPr>
        <w:pStyle w:val="ListParagraph"/>
        <w:numPr>
          <w:ilvl w:val="0"/>
          <w:numId w:val="2"/>
        </w:numPr>
        <w:spacing w:after="200" w:line="276" w:lineRule="auto"/>
      </w:pPr>
      <w:r w:rsidRPr="00913B4E">
        <w:rPr>
          <w:b/>
          <w:bCs/>
        </w:rPr>
        <w:t>Education</w:t>
      </w:r>
      <w:r>
        <w:t xml:space="preserve">: </w:t>
      </w:r>
      <w:r w:rsidR="00821A17">
        <w:t>e.g.</w:t>
      </w:r>
      <w:r>
        <w:t xml:space="preserve"> intercultural education</w:t>
      </w:r>
      <w:r w:rsidR="00CD1165">
        <w:t>/projects</w:t>
      </w:r>
      <w:r>
        <w:t xml:space="preserve">; educational projects in libraries/museums; support centres to promote intercultural skills and interaction; human rights education; after-school </w:t>
      </w:r>
      <w:r w:rsidR="006E67F3">
        <w:t xml:space="preserve">intercultural </w:t>
      </w:r>
      <w:r>
        <w:t>activities; training of teachers</w:t>
      </w:r>
      <w:r w:rsidR="006E67F3">
        <w:t xml:space="preserve"> on intercultural competence</w:t>
      </w:r>
      <w:r>
        <w:t xml:space="preserve">; activities to involve the parents; cooperation with </w:t>
      </w:r>
      <w:r w:rsidRPr="00654B1B">
        <w:t>universities; informal</w:t>
      </w:r>
      <w:r w:rsidR="00CD1165">
        <w:t>/extra-curricular</w:t>
      </w:r>
      <w:r w:rsidRPr="00654B1B">
        <w:t xml:space="preserve"> education; intercultural curriculum; </w:t>
      </w:r>
      <w:r w:rsidR="00CD1165">
        <w:t xml:space="preserve">efforts to recruit a diverse staff; </w:t>
      </w:r>
      <w:r>
        <w:t>etc.</w:t>
      </w:r>
    </w:p>
    <w:p w14:paraId="4DED8475" w14:textId="73FE7383" w:rsidR="003F013D" w:rsidRDefault="003F013D" w:rsidP="006E67F3">
      <w:pPr>
        <w:pStyle w:val="ListParagraph"/>
        <w:numPr>
          <w:ilvl w:val="0"/>
          <w:numId w:val="2"/>
        </w:numPr>
        <w:spacing w:after="200" w:line="276" w:lineRule="auto"/>
      </w:pPr>
      <w:r w:rsidRPr="00913B4E">
        <w:rPr>
          <w:b/>
          <w:bCs/>
        </w:rPr>
        <w:t>Public space</w:t>
      </w:r>
      <w:r>
        <w:t xml:space="preserve">: </w:t>
      </w:r>
      <w:r w:rsidR="00821A17">
        <w:t>e.g.</w:t>
      </w:r>
      <w:r>
        <w:t xml:space="preserve"> intercultural urban planning for increased interaction; sustainable and </w:t>
      </w:r>
      <w:r w:rsidR="006E67F3">
        <w:t>inclusive</w:t>
      </w:r>
      <w:r>
        <w:t xml:space="preserve"> urban planning; participation in design</w:t>
      </w:r>
      <w:r w:rsidR="00CD1165">
        <w:t xml:space="preserve"> or renewal</w:t>
      </w:r>
      <w:r>
        <w:t xml:space="preserve"> of public space; anti-discrimination actions and policies; intercultural gardening; </w:t>
      </w:r>
      <w:r w:rsidR="006E67F3">
        <w:t xml:space="preserve">inclusive </w:t>
      </w:r>
      <w:r>
        <w:t xml:space="preserve">public transport; redesigning neighbourhoods with citizens; local innovation; tactical urbanism; placemaking; </w:t>
      </w:r>
      <w:r w:rsidRPr="00654B1B">
        <w:t xml:space="preserve">desegregation of neighbourhoods; </w:t>
      </w:r>
      <w:r>
        <w:t>etc.;</w:t>
      </w:r>
    </w:p>
    <w:p w14:paraId="2BFF567F" w14:textId="34428DEE" w:rsidR="003F013D" w:rsidRDefault="003F013D" w:rsidP="006E67F3">
      <w:pPr>
        <w:pStyle w:val="ListParagraph"/>
        <w:numPr>
          <w:ilvl w:val="0"/>
          <w:numId w:val="2"/>
        </w:numPr>
        <w:spacing w:after="200" w:line="276" w:lineRule="auto"/>
      </w:pPr>
      <w:r w:rsidRPr="00913B4E">
        <w:rPr>
          <w:b/>
          <w:bCs/>
        </w:rPr>
        <w:t>Public services</w:t>
      </w:r>
      <w:r>
        <w:t xml:space="preserve">: </w:t>
      </w:r>
      <w:r w:rsidR="00821A17">
        <w:t>e.g.</w:t>
      </w:r>
      <w:r>
        <w:t xml:space="preserve"> recruitment of diverse staff; </w:t>
      </w:r>
      <w:r w:rsidR="00CD1165">
        <w:t xml:space="preserve">multilingual services; </w:t>
      </w:r>
      <w:r>
        <w:t>intercultural competence trainings</w:t>
      </w:r>
      <w:r w:rsidR="006E67F3">
        <w:t xml:space="preserve"> for </w:t>
      </w:r>
      <w:r w:rsidR="00821A17">
        <w:t>public</w:t>
      </w:r>
      <w:r w:rsidR="006E67F3">
        <w:t xml:space="preserve"> officials in charge of providing services to the citizenry</w:t>
      </w:r>
      <w:r>
        <w:t>; awareness and campaigns; translation of information; facilitation of access to, and prevention of discrimination; etc.; may target specific fields such as:</w:t>
      </w:r>
    </w:p>
    <w:p w14:paraId="7DA5FF61" w14:textId="6395396C" w:rsidR="003F013D" w:rsidRDefault="003F013D" w:rsidP="006E67F3">
      <w:pPr>
        <w:pStyle w:val="ListParagraph"/>
        <w:numPr>
          <w:ilvl w:val="1"/>
          <w:numId w:val="2"/>
        </w:numPr>
        <w:spacing w:after="200" w:line="276" w:lineRule="auto"/>
      </w:pPr>
      <w:r w:rsidRPr="00913B4E">
        <w:rPr>
          <w:u w:val="single"/>
        </w:rPr>
        <w:t>Health, social care and family support</w:t>
      </w:r>
      <w:r>
        <w:t xml:space="preserve"> </w:t>
      </w:r>
      <w:r w:rsidRPr="00654B1B">
        <w:t>(</w:t>
      </w:r>
      <w:proofErr w:type="gramStart"/>
      <w:r w:rsidR="00821A17" w:rsidRPr="00654B1B">
        <w:t>e.g.</w:t>
      </w:r>
      <w:proofErr w:type="gramEnd"/>
      <w:r w:rsidRPr="00654B1B">
        <w:t xml:space="preserve"> access to health; social care; intercultural competence for public hospital employees; family support; etc.)</w:t>
      </w:r>
    </w:p>
    <w:p w14:paraId="644323BF" w14:textId="347DAFCC" w:rsidR="003F013D" w:rsidRDefault="003F013D" w:rsidP="006E67F3">
      <w:pPr>
        <w:pStyle w:val="ListParagraph"/>
        <w:numPr>
          <w:ilvl w:val="1"/>
          <w:numId w:val="2"/>
        </w:numPr>
        <w:spacing w:after="200" w:line="276" w:lineRule="auto"/>
        <w:rPr>
          <w:u w:val="single"/>
        </w:rPr>
      </w:pPr>
      <w:r w:rsidRPr="00913B4E">
        <w:rPr>
          <w:u w:val="single"/>
        </w:rPr>
        <w:t>Sustainable housing</w:t>
      </w:r>
      <w:r w:rsidR="006E67F3">
        <w:rPr>
          <w:u w:val="single"/>
        </w:rPr>
        <w:t xml:space="preserve"> </w:t>
      </w:r>
    </w:p>
    <w:p w14:paraId="0BCBC327" w14:textId="3A4A25BD" w:rsidR="003F013D" w:rsidRPr="00FD7F0B" w:rsidRDefault="003F013D" w:rsidP="006E67F3">
      <w:pPr>
        <w:pStyle w:val="ListParagraph"/>
        <w:numPr>
          <w:ilvl w:val="1"/>
          <w:numId w:val="2"/>
        </w:numPr>
        <w:spacing w:after="200" w:line="276" w:lineRule="auto"/>
        <w:rPr>
          <w:u w:val="single"/>
        </w:rPr>
      </w:pPr>
      <w:r w:rsidRPr="00913B4E">
        <w:rPr>
          <w:u w:val="single"/>
        </w:rPr>
        <w:t>Security and safety</w:t>
      </w:r>
      <w:r w:rsidRPr="00654B1B">
        <w:t xml:space="preserve"> (</w:t>
      </w:r>
      <w:r w:rsidR="00821A17" w:rsidRPr="00654B1B">
        <w:t>e.g.</w:t>
      </w:r>
      <w:r w:rsidRPr="00654B1B">
        <w:t xml:space="preserve"> Intercultural competence of police; public space and urban planning</w:t>
      </w:r>
      <w:r>
        <w:t xml:space="preserve"> for safer neighbourhoods</w:t>
      </w:r>
      <w:r w:rsidRPr="00654B1B">
        <w:t xml:space="preserve">; intercultural mediation; conflict </w:t>
      </w:r>
      <w:r w:rsidRPr="00654B1B">
        <w:lastRenderedPageBreak/>
        <w:t xml:space="preserve">prevention; </w:t>
      </w:r>
      <w:r>
        <w:t xml:space="preserve">human rights education; community policing; </w:t>
      </w:r>
      <w:r w:rsidRPr="00654B1B">
        <w:t>prevention of extremism; etc.)</w:t>
      </w:r>
    </w:p>
    <w:p w14:paraId="230A7454" w14:textId="11096174" w:rsidR="003F013D" w:rsidRPr="00654B1B" w:rsidRDefault="003F013D" w:rsidP="006E67F3">
      <w:pPr>
        <w:pStyle w:val="ListParagraph"/>
        <w:numPr>
          <w:ilvl w:val="0"/>
          <w:numId w:val="2"/>
        </w:numPr>
        <w:spacing w:after="200" w:line="276" w:lineRule="auto"/>
      </w:pPr>
      <w:r w:rsidRPr="00913B4E">
        <w:rPr>
          <w:b/>
          <w:bCs/>
        </w:rPr>
        <w:t>Business</w:t>
      </w:r>
      <w:r>
        <w:rPr>
          <w:b/>
          <w:bCs/>
        </w:rPr>
        <w:t>/Employment</w:t>
      </w:r>
      <w:r w:rsidRPr="00913B4E">
        <w:rPr>
          <w:b/>
          <w:bCs/>
        </w:rPr>
        <w:t xml:space="preserve"> and diversity</w:t>
      </w:r>
      <w:r>
        <w:t xml:space="preserve">: </w:t>
      </w:r>
      <w:r w:rsidR="00821A17" w:rsidRPr="00654B1B">
        <w:t>e.g.</w:t>
      </w:r>
      <w:r w:rsidRPr="00654B1B">
        <w:t xml:space="preserve"> </w:t>
      </w:r>
      <w:r>
        <w:t>employability programmes; partnership with private business or civil society; s</w:t>
      </w:r>
      <w:r w:rsidRPr="00654B1B">
        <w:t>elf-employment and entrepreneurship; access to loans; business incubators; social innovation; access to public procurement for diverse enterprises;</w:t>
      </w:r>
      <w:r>
        <w:t xml:space="preserve"> r</w:t>
      </w:r>
      <w:r w:rsidRPr="00654B1B">
        <w:t>ecognition of skills and qualification; vocational training and career development; workforce diversity and capacity building; etc.</w:t>
      </w:r>
    </w:p>
    <w:p w14:paraId="631D8717" w14:textId="2D4E1346" w:rsidR="003F013D" w:rsidRDefault="003F013D" w:rsidP="006E67F3">
      <w:pPr>
        <w:pStyle w:val="ListParagraph"/>
        <w:numPr>
          <w:ilvl w:val="0"/>
          <w:numId w:val="2"/>
        </w:numPr>
        <w:spacing w:after="200" w:line="276" w:lineRule="auto"/>
      </w:pPr>
      <w:r w:rsidRPr="00913B4E">
        <w:rPr>
          <w:b/>
          <w:bCs/>
        </w:rPr>
        <w:t>Cultural and social life, leisure and heritage</w:t>
      </w:r>
      <w:r w:rsidR="006E67F3">
        <w:rPr>
          <w:b/>
          <w:bCs/>
        </w:rPr>
        <w:t>:</w:t>
      </w:r>
      <w:r w:rsidRPr="00654B1B">
        <w:t xml:space="preserve"> </w:t>
      </w:r>
      <w:r w:rsidR="00821A17" w:rsidRPr="00654B1B">
        <w:t>e.g.</w:t>
      </w:r>
      <w:r w:rsidRPr="00654B1B">
        <w:t xml:space="preserve"> </w:t>
      </w:r>
      <w:r>
        <w:t xml:space="preserve">public acknowledgment of diverse heritage; processes to ensure a diverse programming of cultural activities in public theatres, museums, etc.; intercultural </w:t>
      </w:r>
      <w:r w:rsidRPr="00654B1B">
        <w:t>festivals</w:t>
      </w:r>
      <w:r>
        <w:t xml:space="preserve"> and intercultural days</w:t>
      </w:r>
      <w:r w:rsidRPr="00654B1B">
        <w:t xml:space="preserve">; </w:t>
      </w:r>
      <w:r>
        <w:t xml:space="preserve">artistic activities to promote intercultural literacy and youth participation; </w:t>
      </w:r>
      <w:r w:rsidRPr="00654B1B">
        <w:t xml:space="preserve">sport and recreation; urban heritage; </w:t>
      </w:r>
      <w:r w:rsidR="006E67F3">
        <w:t xml:space="preserve">intercultural use of </w:t>
      </w:r>
      <w:r>
        <w:t xml:space="preserve">public </w:t>
      </w:r>
      <w:r w:rsidRPr="00654B1B">
        <w:t>libraries</w:t>
      </w:r>
      <w:r>
        <w:t xml:space="preserve"> and museums</w:t>
      </w:r>
      <w:r w:rsidRPr="00654B1B">
        <w:t>; etc</w:t>
      </w:r>
      <w:r>
        <w:t xml:space="preserve">. </w:t>
      </w:r>
    </w:p>
    <w:p w14:paraId="448A6AE3" w14:textId="620129F5" w:rsidR="00FD7F0B" w:rsidRPr="00654B1B" w:rsidRDefault="00FD7F0B" w:rsidP="006E67F3">
      <w:pPr>
        <w:pStyle w:val="ListParagraph"/>
        <w:numPr>
          <w:ilvl w:val="1"/>
          <w:numId w:val="2"/>
        </w:numPr>
        <w:spacing w:after="200" w:line="276" w:lineRule="auto"/>
      </w:pPr>
      <w:r>
        <w:rPr>
          <w:u w:val="single"/>
        </w:rPr>
        <w:t>I</w:t>
      </w:r>
      <w:r w:rsidRPr="00913B4E">
        <w:rPr>
          <w:u w:val="single"/>
        </w:rPr>
        <w:t>nterreligious dialogue</w:t>
      </w:r>
      <w:r>
        <w:t>: i</w:t>
      </w:r>
      <w:r w:rsidRPr="00654B1B">
        <w:t>nter</w:t>
      </w:r>
      <w:r>
        <w:t>religious</w:t>
      </w:r>
      <w:r w:rsidRPr="00654B1B">
        <w:t xml:space="preserve"> councils; mediation; places of worship; anti-discrimination measures; prevention of religious extremism; etc</w:t>
      </w:r>
      <w:r w:rsidR="006E67F3">
        <w:t>.</w:t>
      </w:r>
    </w:p>
    <w:p w14:paraId="36CB00AD" w14:textId="05942ACE" w:rsidR="003F013D" w:rsidRDefault="003F013D" w:rsidP="006E67F3">
      <w:pPr>
        <w:pStyle w:val="ListParagraph"/>
        <w:numPr>
          <w:ilvl w:val="0"/>
          <w:numId w:val="2"/>
        </w:numPr>
        <w:spacing w:after="200" w:line="276" w:lineRule="auto"/>
      </w:pPr>
      <w:r w:rsidRPr="00CD1165">
        <w:rPr>
          <w:b/>
          <w:bCs/>
        </w:rPr>
        <w:t>Intercultural mediation and conflict resolution</w:t>
      </w:r>
      <w:r w:rsidR="00CD1165">
        <w:t>: public mediation services; Roma mediators; intercultural competence; interreligious dialogue; etc.</w:t>
      </w:r>
    </w:p>
    <w:p w14:paraId="24E5C57D" w14:textId="77777777" w:rsidR="003F013D" w:rsidRDefault="003F013D" w:rsidP="006E67F3">
      <w:pPr>
        <w:pStyle w:val="ListParagraph"/>
        <w:numPr>
          <w:ilvl w:val="0"/>
          <w:numId w:val="2"/>
        </w:numPr>
        <w:spacing w:after="200" w:line="276" w:lineRule="auto"/>
      </w:pPr>
      <w:r w:rsidRPr="00913B4E">
        <w:rPr>
          <w:b/>
          <w:bCs/>
        </w:rPr>
        <w:t>Language</w:t>
      </w:r>
      <w:r>
        <w:t>: promotion of multilingualism; l</w:t>
      </w:r>
      <w:r w:rsidRPr="00654B1B">
        <w:t>anguage courses</w:t>
      </w:r>
      <w:r>
        <w:t xml:space="preserve"> for newcomers</w:t>
      </w:r>
      <w:r w:rsidRPr="00654B1B">
        <w:t>; visibility</w:t>
      </w:r>
      <w:r>
        <w:t xml:space="preserve">, </w:t>
      </w:r>
      <w:r w:rsidRPr="00654B1B">
        <w:t>recognition</w:t>
      </w:r>
      <w:r>
        <w:t xml:space="preserve"> and teaching</w:t>
      </w:r>
      <w:r w:rsidRPr="00654B1B">
        <w:t xml:space="preserve"> of minority</w:t>
      </w:r>
      <w:r>
        <w:t>/migrant</w:t>
      </w:r>
      <w:r w:rsidRPr="00654B1B">
        <w:t xml:space="preserve"> languages</w:t>
      </w:r>
      <w:r>
        <w:t xml:space="preserve"> as resources</w:t>
      </w:r>
      <w:r w:rsidRPr="00654B1B">
        <w:t xml:space="preserve">;  </w:t>
      </w:r>
      <w:r>
        <w:t>availability of information related to public services in several languages, etc.</w:t>
      </w:r>
    </w:p>
    <w:p w14:paraId="1DD621AE" w14:textId="141C42AD" w:rsidR="003F013D" w:rsidRDefault="003F013D" w:rsidP="006E67F3">
      <w:pPr>
        <w:pStyle w:val="ListParagraph"/>
        <w:numPr>
          <w:ilvl w:val="0"/>
          <w:numId w:val="2"/>
        </w:numPr>
        <w:spacing w:after="200" w:line="276" w:lineRule="auto"/>
      </w:pPr>
      <w:r w:rsidRPr="00FD7F0B">
        <w:rPr>
          <w:b/>
          <w:bCs/>
        </w:rPr>
        <w:t>International outlook</w:t>
      </w:r>
      <w:r w:rsidR="00FD7F0B">
        <w:t>: cooperation with diaspora; policies to encourage international cooperation and exchanges; international connections and twinning programmes; programmes for attracting foreign students; etc.</w:t>
      </w:r>
    </w:p>
    <w:p w14:paraId="3AD6DED0" w14:textId="260950B5" w:rsidR="003F013D" w:rsidRPr="00FD7F0B" w:rsidRDefault="003F013D" w:rsidP="006E67F3">
      <w:pPr>
        <w:pStyle w:val="ListParagraph"/>
        <w:numPr>
          <w:ilvl w:val="0"/>
          <w:numId w:val="2"/>
        </w:numPr>
        <w:spacing w:after="200" w:line="276" w:lineRule="auto"/>
      </w:pPr>
      <w:r w:rsidRPr="00FD7F0B">
        <w:rPr>
          <w:b/>
          <w:bCs/>
        </w:rPr>
        <w:t>Intercultural intelligence</w:t>
      </w:r>
      <w:r w:rsidR="00FD7F0B" w:rsidRPr="00FD7F0B">
        <w:t xml:space="preserve">: </w:t>
      </w:r>
      <w:r w:rsidR="00821A17" w:rsidRPr="00FD7F0B">
        <w:t>e.g.</w:t>
      </w:r>
      <w:r w:rsidR="00FD7F0B" w:rsidRPr="00FD7F0B">
        <w:t xml:space="preserve"> monitoring and map</w:t>
      </w:r>
      <w:r w:rsidR="00FD7F0B">
        <w:t xml:space="preserve">ping city diversity; intercultural competence for public officers and elected officials; </w:t>
      </w:r>
      <w:r w:rsidR="006E67F3">
        <w:t xml:space="preserve">mainstreaming interculturalism in public policies; </w:t>
      </w:r>
      <w:r w:rsidR="00FD7F0B">
        <w:t>etc.</w:t>
      </w:r>
    </w:p>
    <w:p w14:paraId="602E99CB" w14:textId="4D41F984" w:rsidR="003F013D" w:rsidRDefault="003F013D" w:rsidP="006E67F3">
      <w:pPr>
        <w:pStyle w:val="ListParagraph"/>
        <w:numPr>
          <w:ilvl w:val="0"/>
          <w:numId w:val="2"/>
        </w:numPr>
        <w:spacing w:after="200" w:line="276" w:lineRule="auto"/>
      </w:pPr>
      <w:r w:rsidRPr="00913B4E">
        <w:rPr>
          <w:b/>
          <w:bCs/>
        </w:rPr>
        <w:t>Welcoming newcomers</w:t>
      </w:r>
      <w:r>
        <w:t xml:space="preserve">: </w:t>
      </w:r>
      <w:r w:rsidR="00821A17">
        <w:t>e.g.</w:t>
      </w:r>
      <w:r>
        <w:t xml:space="preserve"> integration programmes with intercultural elements; w</w:t>
      </w:r>
      <w:r w:rsidRPr="00654B1B">
        <w:t xml:space="preserve">elcoming programmes; </w:t>
      </w:r>
      <w:r>
        <w:t xml:space="preserve">projects </w:t>
      </w:r>
      <w:r w:rsidR="006E67F3">
        <w:t>aimed at the intercultural inclusion of</w:t>
      </w:r>
      <w:r w:rsidRPr="00654B1B">
        <w:t xml:space="preserve"> unaccompanied minors; </w:t>
      </w:r>
      <w:r>
        <w:t xml:space="preserve">facilitating </w:t>
      </w:r>
      <w:r w:rsidRPr="00654B1B">
        <w:t>residence and work permits; family reunification; solidarity networks; etc.</w:t>
      </w:r>
      <w:r>
        <w:t>; may target in particular:</w:t>
      </w:r>
    </w:p>
    <w:p w14:paraId="76CEDE7A" w14:textId="77777777" w:rsidR="003F013D" w:rsidRDefault="003F013D" w:rsidP="006E67F3">
      <w:pPr>
        <w:pStyle w:val="ListParagraph"/>
        <w:numPr>
          <w:ilvl w:val="1"/>
          <w:numId w:val="2"/>
        </w:numPr>
        <w:spacing w:after="200" w:line="276" w:lineRule="auto"/>
      </w:pPr>
      <w:r w:rsidRPr="00913B4E">
        <w:rPr>
          <w:u w:val="single"/>
        </w:rPr>
        <w:t>Refugees</w:t>
      </w:r>
    </w:p>
    <w:p w14:paraId="7939F770" w14:textId="77777777" w:rsidR="003F013D" w:rsidRPr="00913B4E" w:rsidRDefault="003F013D" w:rsidP="006E67F3">
      <w:pPr>
        <w:pStyle w:val="ListParagraph"/>
        <w:numPr>
          <w:ilvl w:val="1"/>
          <w:numId w:val="2"/>
        </w:numPr>
        <w:spacing w:after="200" w:line="276" w:lineRule="auto"/>
        <w:rPr>
          <w:u w:val="single"/>
        </w:rPr>
      </w:pPr>
      <w:r w:rsidRPr="00913B4E">
        <w:rPr>
          <w:u w:val="single"/>
        </w:rPr>
        <w:t>Migrants</w:t>
      </w:r>
    </w:p>
    <w:p w14:paraId="3FD66D1D" w14:textId="1FCE8D96" w:rsidR="003F013D" w:rsidRPr="00913B4E" w:rsidRDefault="003F013D" w:rsidP="006E67F3">
      <w:pPr>
        <w:pStyle w:val="ListParagraph"/>
        <w:numPr>
          <w:ilvl w:val="1"/>
          <w:numId w:val="2"/>
        </w:numPr>
        <w:spacing w:after="200" w:line="276" w:lineRule="auto"/>
        <w:rPr>
          <w:u w:val="single"/>
        </w:rPr>
      </w:pPr>
      <w:r w:rsidRPr="00913B4E">
        <w:rPr>
          <w:u w:val="single"/>
        </w:rPr>
        <w:t>Societ</w:t>
      </w:r>
      <w:r w:rsidR="006E67F3">
        <w:rPr>
          <w:u w:val="single"/>
        </w:rPr>
        <w:t>y at large</w:t>
      </w:r>
    </w:p>
    <w:p w14:paraId="3C229000" w14:textId="0D43B1DD" w:rsidR="003F013D" w:rsidRDefault="003F013D" w:rsidP="006E67F3">
      <w:pPr>
        <w:pStyle w:val="ListParagraph"/>
        <w:numPr>
          <w:ilvl w:val="0"/>
          <w:numId w:val="2"/>
        </w:numPr>
        <w:spacing w:after="200" w:line="276" w:lineRule="auto"/>
      </w:pPr>
      <w:r w:rsidRPr="00913B4E">
        <w:rPr>
          <w:b/>
          <w:bCs/>
        </w:rPr>
        <w:t>Public and political Participation</w:t>
      </w:r>
      <w:r>
        <w:t xml:space="preserve">: </w:t>
      </w:r>
      <w:r w:rsidR="00821A17">
        <w:t>e.g.</w:t>
      </w:r>
      <w:r>
        <w:t xml:space="preserve"> intercultural councils; youth councils; citizens assemblies; p</w:t>
      </w:r>
      <w:r w:rsidRPr="00654B1B">
        <w:t xml:space="preserve">articipatory budget; </w:t>
      </w:r>
      <w:r>
        <w:t xml:space="preserve">participation </w:t>
      </w:r>
      <w:r w:rsidRPr="00654B1B">
        <w:t xml:space="preserve">networks; </w:t>
      </w:r>
      <w:r w:rsidR="00CD1165">
        <w:t xml:space="preserve">public consultations; </w:t>
      </w:r>
      <w:r w:rsidRPr="00654B1B">
        <w:t xml:space="preserve">access to voting rights; </w:t>
      </w:r>
      <w:r w:rsidR="00FD7F0B">
        <w:t xml:space="preserve">awareness campaigns; </w:t>
      </w:r>
      <w:r w:rsidRPr="00654B1B">
        <w:t>IT tools and online platforms; support to civil society; etc</w:t>
      </w:r>
    </w:p>
    <w:p w14:paraId="14FB1B4E" w14:textId="20BBDC4F" w:rsidR="003F013D" w:rsidRDefault="003F013D" w:rsidP="006E67F3">
      <w:pPr>
        <w:pStyle w:val="ListParagraph"/>
        <w:numPr>
          <w:ilvl w:val="0"/>
          <w:numId w:val="2"/>
        </w:numPr>
        <w:spacing w:after="200" w:line="276" w:lineRule="auto"/>
      </w:pPr>
      <w:r w:rsidRPr="00913B4E">
        <w:rPr>
          <w:b/>
          <w:bCs/>
        </w:rPr>
        <w:t>Interaction</w:t>
      </w:r>
      <w:r w:rsidR="00CD1165">
        <w:rPr>
          <w:b/>
          <w:bCs/>
        </w:rPr>
        <w:t xml:space="preserve">: </w:t>
      </w:r>
      <w:r w:rsidR="00FD7F0B">
        <w:t>all measures, projects and policy facilitating meaningful intercultural interaction and social trust.</w:t>
      </w:r>
      <w:r w:rsidR="00CD1165" w:rsidRPr="00CD1165">
        <w:t xml:space="preserve"> </w:t>
      </w:r>
    </w:p>
    <w:p w14:paraId="4C18437E" w14:textId="77777777" w:rsidR="00CB1059" w:rsidRDefault="00CB1059">
      <w:pPr>
        <w:spacing w:after="160" w:line="259" w:lineRule="auto"/>
        <w:jc w:val="left"/>
        <w:rPr>
          <w:rFonts w:eastAsiaTheme="majorEastAsia" w:cstheme="majorBidi"/>
          <w:b/>
          <w:color w:val="20478A"/>
          <w:szCs w:val="26"/>
        </w:rPr>
      </w:pPr>
      <w:bookmarkStart w:id="12" w:name="_Toc124170089"/>
      <w:r>
        <w:br w:type="page"/>
      </w:r>
    </w:p>
    <w:p w14:paraId="2A614999" w14:textId="57A7669C" w:rsidR="00CB1059" w:rsidRPr="00CB1059" w:rsidRDefault="00CB1059" w:rsidP="00CB1059">
      <w:pPr>
        <w:pStyle w:val="Heading2"/>
      </w:pPr>
      <w:r>
        <w:lastRenderedPageBreak/>
        <w:t>Example of Good practice reporting</w:t>
      </w:r>
      <w:bookmarkEnd w:id="12"/>
    </w:p>
    <w:p w14:paraId="71514EAB" w14:textId="77777777" w:rsidR="00CB1059" w:rsidRPr="00CB1059" w:rsidRDefault="00CB1059" w:rsidP="00CB1059">
      <w:pPr>
        <w:rPr>
          <w:b/>
          <w:bCs/>
        </w:rPr>
      </w:pPr>
      <w:bookmarkStart w:id="13" w:name="_Toc124169757"/>
      <w:r w:rsidRPr="00CB1059">
        <w:rPr>
          <w:b/>
          <w:bCs/>
        </w:rPr>
        <w:t>Contact details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664"/>
      </w:tblGrid>
      <w:tr w:rsidR="00CB1059" w:rsidRPr="006E67F3" w14:paraId="006D7FCC" w14:textId="77777777" w:rsidTr="00CB1059">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743D906" w14:textId="77777777" w:rsidR="00CB1059" w:rsidRPr="006E67F3" w:rsidRDefault="00CB1059" w:rsidP="00FD2BEA">
            <w:pPr>
              <w:rPr>
                <w:lang w:eastAsia="fr-FR"/>
              </w:rPr>
            </w:pPr>
            <w:r w:rsidRPr="006E67F3">
              <w:rPr>
                <w:lang w:eastAsia="fr-FR"/>
              </w:rPr>
              <w:t>City:</w:t>
            </w:r>
          </w:p>
        </w:tc>
        <w:tc>
          <w:tcPr>
            <w:tcW w:w="5664" w:type="dxa"/>
            <w:tcBorders>
              <w:top w:val="single" w:sz="4" w:space="0" w:color="auto"/>
              <w:left w:val="single" w:sz="4" w:space="0" w:color="auto"/>
              <w:bottom w:val="single" w:sz="4" w:space="0" w:color="auto"/>
              <w:right w:val="single" w:sz="4" w:space="0" w:color="auto"/>
            </w:tcBorders>
            <w:hideMark/>
          </w:tcPr>
          <w:p w14:paraId="60E9B264" w14:textId="1E4635C6" w:rsidR="00CB1059" w:rsidRPr="00821A17" w:rsidRDefault="00821A17" w:rsidP="00FD2BEA">
            <w:pPr>
              <w:rPr>
                <w:bCs/>
                <w:i/>
                <w:iCs/>
                <w:lang w:eastAsia="fr-FR"/>
              </w:rPr>
            </w:pPr>
            <w:r w:rsidRPr="00821A17">
              <w:rPr>
                <w:bCs/>
                <w:i/>
                <w:iCs/>
                <w:lang w:eastAsia="fr-FR"/>
              </w:rPr>
              <w:t>Bergen</w:t>
            </w:r>
          </w:p>
        </w:tc>
      </w:tr>
      <w:tr w:rsidR="00CB1059" w:rsidRPr="006E67F3" w14:paraId="7B65CEEB" w14:textId="77777777" w:rsidTr="00CB1059">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CC63F2" w14:textId="77777777" w:rsidR="00CB1059" w:rsidRPr="006E67F3" w:rsidRDefault="00CB1059" w:rsidP="00FD2BEA">
            <w:pPr>
              <w:rPr>
                <w:lang w:eastAsia="fr-FR"/>
              </w:rPr>
            </w:pPr>
            <w:r w:rsidRPr="006E67F3">
              <w:rPr>
                <w:lang w:eastAsia="fr-FR"/>
              </w:rPr>
              <w:t>Department:</w:t>
            </w:r>
          </w:p>
        </w:tc>
        <w:tc>
          <w:tcPr>
            <w:tcW w:w="5664" w:type="dxa"/>
            <w:tcBorders>
              <w:top w:val="single" w:sz="4" w:space="0" w:color="auto"/>
              <w:left w:val="single" w:sz="4" w:space="0" w:color="auto"/>
              <w:bottom w:val="single" w:sz="4" w:space="0" w:color="auto"/>
              <w:right w:val="single" w:sz="4" w:space="0" w:color="auto"/>
            </w:tcBorders>
            <w:hideMark/>
          </w:tcPr>
          <w:p w14:paraId="5322DC2F" w14:textId="6E80D0EA" w:rsidR="00CB1059" w:rsidRPr="00821A17" w:rsidRDefault="00821A17" w:rsidP="00FD2BEA">
            <w:pPr>
              <w:rPr>
                <w:i/>
                <w:iCs/>
                <w:lang w:eastAsia="fr-FR"/>
              </w:rPr>
            </w:pPr>
            <w:r w:rsidRPr="00821A17">
              <w:rPr>
                <w:i/>
                <w:iCs/>
                <w:lang w:eastAsia="fr-FR"/>
              </w:rPr>
              <w:t>N/A</w:t>
            </w:r>
          </w:p>
        </w:tc>
      </w:tr>
      <w:tr w:rsidR="00CB1059" w:rsidRPr="006E67F3" w14:paraId="680C27BC" w14:textId="77777777" w:rsidTr="00CB1059">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C01824" w14:textId="77777777" w:rsidR="00CB1059" w:rsidRPr="006E67F3" w:rsidRDefault="00CB1059" w:rsidP="00FD2BEA">
            <w:pPr>
              <w:rPr>
                <w:lang w:eastAsia="fr-FR"/>
              </w:rPr>
            </w:pPr>
            <w:r w:rsidRPr="006E67F3">
              <w:rPr>
                <w:lang w:eastAsia="fr-FR"/>
              </w:rPr>
              <w:t>Date of completing the form:</w:t>
            </w:r>
          </w:p>
        </w:tc>
        <w:tc>
          <w:tcPr>
            <w:tcW w:w="5664" w:type="dxa"/>
            <w:tcBorders>
              <w:top w:val="single" w:sz="4" w:space="0" w:color="auto"/>
              <w:left w:val="single" w:sz="4" w:space="0" w:color="auto"/>
              <w:bottom w:val="single" w:sz="4" w:space="0" w:color="auto"/>
              <w:right w:val="single" w:sz="4" w:space="0" w:color="auto"/>
            </w:tcBorders>
            <w:hideMark/>
          </w:tcPr>
          <w:p w14:paraId="636ADFD6" w14:textId="0D6875A9" w:rsidR="00CB1059" w:rsidRPr="00821A17" w:rsidRDefault="00821A17" w:rsidP="00FD2BEA">
            <w:pPr>
              <w:rPr>
                <w:i/>
                <w:iCs/>
                <w:lang w:eastAsia="fr-FR"/>
              </w:rPr>
            </w:pPr>
            <w:r w:rsidRPr="00821A17">
              <w:rPr>
                <w:i/>
                <w:iCs/>
                <w:lang w:eastAsia="fr-FR"/>
              </w:rPr>
              <w:t>N/A</w:t>
            </w:r>
          </w:p>
          <w:p w14:paraId="161A0EE1" w14:textId="77777777" w:rsidR="00CB1059" w:rsidRPr="00821A17" w:rsidRDefault="00CB1059" w:rsidP="00FD2BEA">
            <w:pPr>
              <w:rPr>
                <w:i/>
                <w:iCs/>
                <w:lang w:eastAsia="fr-FR"/>
              </w:rPr>
            </w:pPr>
          </w:p>
          <w:p w14:paraId="00B98411" w14:textId="77777777" w:rsidR="00CB1059" w:rsidRPr="00821A17" w:rsidRDefault="00CB1059" w:rsidP="00FD2BEA">
            <w:pPr>
              <w:rPr>
                <w:i/>
                <w:iCs/>
                <w:lang w:eastAsia="fr-FR"/>
              </w:rPr>
            </w:pPr>
          </w:p>
        </w:tc>
      </w:tr>
      <w:tr w:rsidR="00CB1059" w:rsidRPr="006E67F3" w14:paraId="42BBB1D6" w14:textId="77777777" w:rsidTr="00CB1059">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5D53E8" w14:textId="77777777" w:rsidR="00CB1059" w:rsidRPr="006E67F3" w:rsidRDefault="00CB1059" w:rsidP="00FD2BEA">
            <w:pPr>
              <w:rPr>
                <w:lang w:eastAsia="fr-FR"/>
              </w:rPr>
            </w:pPr>
            <w:r w:rsidRPr="006E67F3">
              <w:rPr>
                <w:lang w:eastAsia="fr-FR"/>
              </w:rPr>
              <w:t>Contact person</w:t>
            </w:r>
          </w:p>
        </w:tc>
        <w:tc>
          <w:tcPr>
            <w:tcW w:w="5664" w:type="dxa"/>
            <w:tcBorders>
              <w:top w:val="single" w:sz="4" w:space="0" w:color="auto"/>
              <w:left w:val="single" w:sz="4" w:space="0" w:color="auto"/>
              <w:bottom w:val="single" w:sz="4" w:space="0" w:color="auto"/>
              <w:right w:val="single" w:sz="4" w:space="0" w:color="auto"/>
            </w:tcBorders>
          </w:tcPr>
          <w:p w14:paraId="5868ACD8" w14:textId="2E940CC2" w:rsidR="00CB1059" w:rsidRPr="00821A17" w:rsidRDefault="00821A17" w:rsidP="00FD2BEA">
            <w:pPr>
              <w:rPr>
                <w:i/>
                <w:iCs/>
                <w:lang w:eastAsia="fr-FR"/>
              </w:rPr>
            </w:pPr>
            <w:r w:rsidRPr="00821A17">
              <w:rPr>
                <w:i/>
                <w:iCs/>
                <w:lang w:eastAsia="fr-FR"/>
              </w:rPr>
              <w:t>N/A</w:t>
            </w:r>
          </w:p>
        </w:tc>
      </w:tr>
    </w:tbl>
    <w:p w14:paraId="513E1C55" w14:textId="77777777" w:rsidR="00821A17" w:rsidRDefault="00821A17" w:rsidP="00CB1059">
      <w:pPr>
        <w:rPr>
          <w:b/>
          <w:bCs/>
        </w:rPr>
      </w:pPr>
      <w:bookmarkStart w:id="14" w:name="_Toc124169758"/>
    </w:p>
    <w:p w14:paraId="35A230A4" w14:textId="7E1A47B6" w:rsidR="00CB1059" w:rsidRPr="00CB1059" w:rsidRDefault="00CB1059" w:rsidP="00CB1059">
      <w:pPr>
        <w:rPr>
          <w:b/>
          <w:bCs/>
        </w:rPr>
      </w:pPr>
      <w:r w:rsidRPr="00CB1059">
        <w:rPr>
          <w:b/>
          <w:bCs/>
        </w:rPr>
        <w:t>The Action</w:t>
      </w:r>
      <w:bookmarkEnd w:id="14"/>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5698"/>
      </w:tblGrid>
      <w:tr w:rsidR="00CB1059" w:rsidRPr="006E67F3" w14:paraId="5FC28904" w14:textId="77777777" w:rsidTr="00FD2BE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30CB83" w14:textId="77777777" w:rsidR="00CB1059" w:rsidRPr="006E67F3" w:rsidRDefault="00CB1059" w:rsidP="00FD2BEA">
            <w:pPr>
              <w:rPr>
                <w:lang w:eastAsia="fr-FR"/>
              </w:rPr>
            </w:pPr>
            <w:r w:rsidRPr="006E67F3">
              <w:rPr>
                <w:lang w:eastAsia="fr-FR"/>
              </w:rPr>
              <w:t>Title :</w:t>
            </w:r>
          </w:p>
        </w:tc>
        <w:tc>
          <w:tcPr>
            <w:tcW w:w="5698" w:type="dxa"/>
            <w:tcBorders>
              <w:top w:val="single" w:sz="4" w:space="0" w:color="auto"/>
              <w:left w:val="single" w:sz="4" w:space="0" w:color="auto"/>
              <w:bottom w:val="single" w:sz="4" w:space="0" w:color="auto"/>
              <w:right w:val="single" w:sz="4" w:space="0" w:color="auto"/>
            </w:tcBorders>
            <w:hideMark/>
          </w:tcPr>
          <w:p w14:paraId="2CFC2274" w14:textId="4E7C4DCB" w:rsidR="00CB1059" w:rsidRPr="00CB1059" w:rsidRDefault="00CB1059" w:rsidP="00FD2BEA">
            <w:pPr>
              <w:rPr>
                <w:b/>
                <w:i/>
                <w:iCs/>
                <w:lang w:eastAsia="fr-FR"/>
              </w:rPr>
            </w:pPr>
            <w:r>
              <w:rPr>
                <w:i/>
                <w:iCs/>
              </w:rPr>
              <w:t>Research on</w:t>
            </w:r>
            <w:r w:rsidRPr="00CB1059">
              <w:rPr>
                <w:i/>
                <w:iCs/>
              </w:rPr>
              <w:t xml:space="preserve"> structural racism</w:t>
            </w:r>
          </w:p>
        </w:tc>
      </w:tr>
      <w:tr w:rsidR="00CB1059" w:rsidRPr="006E67F3" w14:paraId="61750E6C" w14:textId="77777777" w:rsidTr="00FD2BE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0F463B" w14:textId="77777777" w:rsidR="00CB1059" w:rsidRPr="006E67F3" w:rsidRDefault="00CB1059" w:rsidP="00FD2BEA">
            <w:pPr>
              <w:rPr>
                <w:lang w:eastAsia="fr-FR"/>
              </w:rPr>
            </w:pPr>
            <w:r w:rsidRPr="006E67F3">
              <w:rPr>
                <w:lang w:eastAsia="fr-FR"/>
              </w:rPr>
              <w:t>Main field of action:</w:t>
            </w:r>
          </w:p>
        </w:tc>
        <w:tc>
          <w:tcPr>
            <w:tcW w:w="5698" w:type="dxa"/>
            <w:tcBorders>
              <w:top w:val="single" w:sz="4" w:space="0" w:color="auto"/>
              <w:left w:val="single" w:sz="4" w:space="0" w:color="auto"/>
              <w:bottom w:val="single" w:sz="4" w:space="0" w:color="auto"/>
              <w:right w:val="single" w:sz="4" w:space="0" w:color="auto"/>
            </w:tcBorders>
            <w:hideMark/>
          </w:tcPr>
          <w:p w14:paraId="76060EDC" w14:textId="5503C9AC" w:rsidR="00CB1059" w:rsidRPr="006E67F3" w:rsidRDefault="00CB1059" w:rsidP="00FD2BEA">
            <w:pPr>
              <w:rPr>
                <w:b/>
                <w:i/>
                <w:lang w:eastAsia="fr-FR"/>
              </w:rPr>
            </w:pPr>
            <w:r w:rsidRPr="00CB1059">
              <w:rPr>
                <w:bCs/>
                <w:i/>
                <w:lang w:eastAsia="fr-FR"/>
              </w:rPr>
              <w:t>Antidiscrimination and equality; (intercultural intelligence)</w:t>
            </w:r>
          </w:p>
        </w:tc>
      </w:tr>
      <w:tr w:rsidR="00CB1059" w:rsidRPr="006E67F3" w14:paraId="50572CED" w14:textId="77777777" w:rsidTr="00FD2BE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B732DA" w14:textId="77777777" w:rsidR="00CB1059" w:rsidRPr="006E67F3" w:rsidRDefault="00CB1059" w:rsidP="00FD2BEA">
            <w:pPr>
              <w:rPr>
                <w:lang w:eastAsia="fr-FR"/>
              </w:rPr>
            </w:pPr>
            <w:r w:rsidRPr="006E67F3">
              <w:rPr>
                <w:lang w:eastAsia="fr-FR"/>
              </w:rPr>
              <w:t>Main purpose:</w:t>
            </w:r>
          </w:p>
        </w:tc>
        <w:tc>
          <w:tcPr>
            <w:tcW w:w="5698" w:type="dxa"/>
            <w:tcBorders>
              <w:top w:val="single" w:sz="4" w:space="0" w:color="auto"/>
              <w:left w:val="single" w:sz="4" w:space="0" w:color="auto"/>
              <w:bottom w:val="single" w:sz="4" w:space="0" w:color="auto"/>
              <w:right w:val="single" w:sz="4" w:space="0" w:color="auto"/>
            </w:tcBorders>
            <w:hideMark/>
          </w:tcPr>
          <w:p w14:paraId="2926CB6F" w14:textId="6B36981E" w:rsidR="00CB1059" w:rsidRPr="00CB1059" w:rsidRDefault="00CB1059" w:rsidP="00CB1059">
            <w:pPr>
              <w:spacing w:after="200" w:line="276" w:lineRule="auto"/>
            </w:pPr>
            <w:r w:rsidRPr="00CB1059">
              <w:rPr>
                <w:i/>
                <w:iCs/>
              </w:rPr>
              <w:t>Provoking debate, enabling understanding and stimulating action through research on structural racism in Bergen, Norway</w:t>
            </w:r>
          </w:p>
        </w:tc>
      </w:tr>
      <w:tr w:rsidR="00CB1059" w:rsidRPr="006E67F3" w14:paraId="5714ACE5" w14:textId="77777777" w:rsidTr="00FD2BE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636481" w14:textId="77777777" w:rsidR="00CB1059" w:rsidRPr="006E67F3" w:rsidRDefault="00CB1059" w:rsidP="00FD2BEA">
            <w:pPr>
              <w:rPr>
                <w:lang w:eastAsia="fr-FR"/>
              </w:rPr>
            </w:pPr>
            <w:r w:rsidRPr="006E67F3">
              <w:rPr>
                <w:lang w:eastAsia="fr-FR"/>
              </w:rPr>
              <w:t>Implementation period :</w:t>
            </w:r>
          </w:p>
        </w:tc>
        <w:tc>
          <w:tcPr>
            <w:tcW w:w="5698" w:type="dxa"/>
            <w:tcBorders>
              <w:top w:val="single" w:sz="4" w:space="0" w:color="auto"/>
              <w:left w:val="single" w:sz="4" w:space="0" w:color="auto"/>
              <w:bottom w:val="single" w:sz="4" w:space="0" w:color="auto"/>
              <w:right w:val="single" w:sz="4" w:space="0" w:color="auto"/>
            </w:tcBorders>
            <w:hideMark/>
          </w:tcPr>
          <w:p w14:paraId="6F136B9F" w14:textId="2876AF3C" w:rsidR="00CB1059" w:rsidRPr="006E67F3" w:rsidRDefault="00CB1059" w:rsidP="00FD2BEA">
            <w:pPr>
              <w:rPr>
                <w:i/>
                <w:lang w:eastAsia="fr-FR"/>
              </w:rPr>
            </w:pPr>
            <w:r>
              <w:rPr>
                <w:i/>
                <w:lang w:eastAsia="fr-FR"/>
              </w:rPr>
              <w:t>1</w:t>
            </w:r>
            <w:r w:rsidRPr="006E67F3">
              <w:rPr>
                <w:i/>
                <w:lang w:eastAsia="fr-FR"/>
              </w:rPr>
              <w:t xml:space="preserve">2 months, </w:t>
            </w:r>
            <w:r w:rsidR="00821A17" w:rsidRPr="006E67F3">
              <w:rPr>
                <w:i/>
                <w:lang w:eastAsia="fr-FR"/>
              </w:rPr>
              <w:t>Jan</w:t>
            </w:r>
            <w:r w:rsidRPr="006E67F3">
              <w:rPr>
                <w:i/>
                <w:lang w:eastAsia="fr-FR"/>
              </w:rPr>
              <w:t>/</w:t>
            </w:r>
            <w:r>
              <w:rPr>
                <w:i/>
                <w:lang w:eastAsia="fr-FR"/>
              </w:rPr>
              <w:t>dec</w:t>
            </w:r>
            <w:r w:rsidRPr="006E67F3">
              <w:rPr>
                <w:i/>
                <w:lang w:eastAsia="fr-FR"/>
              </w:rPr>
              <w:t xml:space="preserve"> </w:t>
            </w:r>
            <w:r>
              <w:rPr>
                <w:i/>
                <w:lang w:eastAsia="fr-FR"/>
              </w:rPr>
              <w:t>YEAR</w:t>
            </w:r>
          </w:p>
        </w:tc>
      </w:tr>
    </w:tbl>
    <w:p w14:paraId="4F39AA07" w14:textId="77777777" w:rsidR="00CB1059" w:rsidRPr="006E67F3" w:rsidRDefault="00CB1059" w:rsidP="00CB1059">
      <w:pPr>
        <w:spacing w:line="240" w:lineRule="auto"/>
      </w:pPr>
    </w:p>
    <w:p w14:paraId="723CAA67" w14:textId="77777777" w:rsidR="00CB1059" w:rsidRPr="00CB1059" w:rsidRDefault="00CB1059" w:rsidP="00CB1059">
      <w:pPr>
        <w:rPr>
          <w:b/>
          <w:bCs/>
        </w:rPr>
      </w:pPr>
      <w:bookmarkStart w:id="15" w:name="_Toc124169759"/>
      <w:r w:rsidRPr="00CB1059">
        <w:rPr>
          <w:b/>
          <w:bCs/>
        </w:rPr>
        <w:t>Description of the Action</w:t>
      </w:r>
      <w:bookmarkEnd w:id="15"/>
    </w:p>
    <w:p w14:paraId="205C9B04" w14:textId="77777777" w:rsidR="00CB1059" w:rsidRPr="00CB1059" w:rsidRDefault="00CB1059" w:rsidP="00CB1059">
      <w:pPr>
        <w:spacing w:after="200" w:line="276" w:lineRule="auto"/>
        <w:rPr>
          <w:i/>
          <w:iCs/>
        </w:rPr>
      </w:pPr>
      <w:r w:rsidRPr="00CB1059">
        <w:rPr>
          <w:b/>
          <w:bCs/>
          <w:i/>
          <w:iCs/>
        </w:rPr>
        <w:t>Purpose</w:t>
      </w:r>
      <w:r w:rsidRPr="00CB1059">
        <w:rPr>
          <w:i/>
          <w:iCs/>
        </w:rPr>
        <w:t>: This research initiative was undertaken by Bergen Municipality to establish how minority ethnic populations perceived the way they were treated by the city’s services and how they experienced living in Bergen. There was an interest to capture the narratives of minority ethnic people and to hear their critique.</w:t>
      </w:r>
    </w:p>
    <w:p w14:paraId="1BB39B2F" w14:textId="2B542272" w:rsidR="00CB1059" w:rsidRPr="00CB1059" w:rsidRDefault="00CB1059" w:rsidP="00CB1059">
      <w:pPr>
        <w:spacing w:after="200" w:line="276" w:lineRule="auto"/>
        <w:rPr>
          <w:i/>
          <w:iCs/>
        </w:rPr>
      </w:pPr>
      <w:r w:rsidRPr="00CB1059">
        <w:rPr>
          <w:b/>
          <w:bCs/>
          <w:i/>
          <w:iCs/>
        </w:rPr>
        <w:t>Stimulus</w:t>
      </w:r>
      <w:r>
        <w:rPr>
          <w:b/>
          <w:bCs/>
          <w:i/>
          <w:iCs/>
        </w:rPr>
        <w:t>/Rationale</w:t>
      </w:r>
      <w:r w:rsidRPr="00CB1059">
        <w:rPr>
          <w:i/>
          <w:iCs/>
        </w:rPr>
        <w:t>: The primary driver for this initiative was political commitment. The municipality, through its Diversity and Equality Section, was also engaging with the Muslim community on experiences of Islamophobia and this was a further stimulus. The institutional infrastructure of a Diversity and Equality section was also important.</w:t>
      </w:r>
    </w:p>
    <w:p w14:paraId="54550C6D" w14:textId="172A9BFC" w:rsidR="00CB1059" w:rsidRPr="00CB1059" w:rsidRDefault="00CB1059" w:rsidP="00CB1059">
      <w:pPr>
        <w:spacing w:after="200" w:line="276" w:lineRule="auto"/>
        <w:rPr>
          <w:i/>
          <w:iCs/>
        </w:rPr>
      </w:pPr>
      <w:r w:rsidRPr="00CB1059">
        <w:rPr>
          <w:b/>
          <w:bCs/>
          <w:i/>
          <w:iCs/>
        </w:rPr>
        <w:t>Process</w:t>
      </w:r>
      <w:r w:rsidRPr="00CB1059">
        <w:rPr>
          <w:i/>
          <w:iCs/>
        </w:rPr>
        <w:t>: The contracting of an external research team, with expertise in structural racism, was central to the approach taken. Involving this expertise is noted as important for the effectiveness of the initiative. A wider engagement with civil society and minority ethnic communities was sought in the development of actions resulting from the research findings.</w:t>
      </w:r>
    </w:p>
    <w:p w14:paraId="5DCA8DD5" w14:textId="77777777" w:rsidR="00CB1059" w:rsidRPr="00CB1059" w:rsidRDefault="00CB1059" w:rsidP="00CB1059">
      <w:pPr>
        <w:spacing w:after="200" w:line="276" w:lineRule="auto"/>
        <w:rPr>
          <w:i/>
          <w:iCs/>
        </w:rPr>
      </w:pPr>
      <w:r w:rsidRPr="00CB1059">
        <w:rPr>
          <w:i/>
          <w:iCs/>
        </w:rPr>
        <w:t xml:space="preserve">A qualitative aspect to the research involved one-to-one interviews with a small number of minority ethnic people. Securing such first-hand narratives of encounters with the city’s services and of living in Bergen, is noted as a politically influential part of the final report. Education services emerged as a particular focus for concern. A quantitative aspect to the research involved a survey of some four hundred minority ethnic people. Employment and the housing rental market emerged as a particular focus for concern. </w:t>
      </w:r>
    </w:p>
    <w:p w14:paraId="3EB01539" w14:textId="77777777" w:rsidR="00CB1059" w:rsidRPr="00CB1059" w:rsidRDefault="00CB1059" w:rsidP="00CB1059">
      <w:pPr>
        <w:spacing w:after="200" w:line="276" w:lineRule="auto"/>
        <w:rPr>
          <w:i/>
          <w:iCs/>
        </w:rPr>
      </w:pPr>
      <w:r w:rsidRPr="00CB1059">
        <w:rPr>
          <w:i/>
          <w:iCs/>
        </w:rPr>
        <w:t xml:space="preserve">There were methodological challenges. The COVID-19 pandemic ruled out holding the intended group interviews. Data protection concerns precluded access to the data required to secure a fully representative survey, with respondents subsequently found to be more highly educated than the average. </w:t>
      </w:r>
    </w:p>
    <w:p w14:paraId="042AF451" w14:textId="55BA3792" w:rsidR="00CB1059" w:rsidRPr="00CB1059" w:rsidRDefault="00CB1059" w:rsidP="00CB1059">
      <w:pPr>
        <w:spacing w:after="200" w:line="276" w:lineRule="auto"/>
        <w:rPr>
          <w:i/>
          <w:iCs/>
        </w:rPr>
      </w:pPr>
      <w:r w:rsidRPr="00CB1059">
        <w:rPr>
          <w:i/>
          <w:iCs/>
        </w:rPr>
        <w:lastRenderedPageBreak/>
        <w:t>The distinction between individual and systemic forms of discrimination was not easy to establish. However, the understanding and expertise of the research team on structural racism enabled patterns of racism to be identified from the analysis of interviews and survey findings, that pointed to more systemic forms.</w:t>
      </w:r>
    </w:p>
    <w:p w14:paraId="7EEB7B46" w14:textId="77777777" w:rsidR="00CB1059" w:rsidRPr="00CB1059" w:rsidRDefault="00CB1059" w:rsidP="00CB1059">
      <w:pPr>
        <w:spacing w:after="200" w:line="276" w:lineRule="auto"/>
        <w:rPr>
          <w:i/>
          <w:iCs/>
        </w:rPr>
      </w:pPr>
      <w:r w:rsidRPr="00CB1059">
        <w:rPr>
          <w:i/>
          <w:iCs/>
        </w:rPr>
        <w:t>The identification of the focus for the research as structural racism reflected the political commitment to the issue, and gave confidence in the initiative, encouraging participation by minority ethnic people.</w:t>
      </w:r>
    </w:p>
    <w:p w14:paraId="2AE520F2" w14:textId="77777777" w:rsidR="00CB1059" w:rsidRPr="00CB1059" w:rsidRDefault="00CB1059" w:rsidP="00CB1059">
      <w:pPr>
        <w:spacing w:after="200" w:line="276" w:lineRule="auto"/>
        <w:rPr>
          <w:i/>
          <w:iCs/>
        </w:rPr>
      </w:pPr>
      <w:r w:rsidRPr="00CB1059">
        <w:rPr>
          <w:b/>
          <w:bCs/>
          <w:i/>
          <w:iCs/>
        </w:rPr>
        <w:t>Impact</w:t>
      </w:r>
      <w:r w:rsidRPr="00CB1059">
        <w:rPr>
          <w:i/>
          <w:iCs/>
        </w:rPr>
        <w:t>: The research report provoked debate. Politicians on the City Council took it seriously, and a number of public meetings on the report were held. There was good media coverage and debate of the report.</w:t>
      </w:r>
    </w:p>
    <w:p w14:paraId="332DA8C6" w14:textId="77777777" w:rsidR="00CB1059" w:rsidRPr="00CB1059" w:rsidRDefault="00CB1059" w:rsidP="00CB1059">
      <w:pPr>
        <w:spacing w:after="200" w:line="276" w:lineRule="auto"/>
        <w:rPr>
          <w:i/>
          <w:iCs/>
        </w:rPr>
      </w:pPr>
      <w:r w:rsidRPr="00CB1059">
        <w:rPr>
          <w:i/>
          <w:iCs/>
        </w:rPr>
        <w:t>The research report enabled understanding of the issue of structural racism, and it has become a reference point for the issue. A specific and accessible theoretical chapter on the issue was included in the report on what the concept of structural racism means in the Norwegian context. This has enabled city officials to operationalise the concept in plans and actions.</w:t>
      </w:r>
    </w:p>
    <w:p w14:paraId="79B08AFE" w14:textId="77777777" w:rsidR="00CB1059" w:rsidRPr="00CB1059" w:rsidRDefault="00CB1059" w:rsidP="00CB1059">
      <w:pPr>
        <w:spacing w:after="200" w:line="276" w:lineRule="auto"/>
        <w:rPr>
          <w:i/>
          <w:iCs/>
        </w:rPr>
      </w:pPr>
      <w:r w:rsidRPr="00CB1059">
        <w:rPr>
          <w:i/>
          <w:iCs/>
        </w:rPr>
        <w:t>The research report has stimulated action and continues to do so. An action plan on discrimination and hatred experienced by Muslim people was published. Funding has been allocated to the education sector to combat racism in a more systematic way, enabling teachers in relation to the issue and increasing awareness. A cooperation of several NGOs, representative of a range of minority groups, has been funded to establish an office to enable low-threshold reporting of discrimination.</w:t>
      </w:r>
    </w:p>
    <w:p w14:paraId="2D1DB53B" w14:textId="04D13507" w:rsidR="00CB1059" w:rsidRPr="00CB1059" w:rsidRDefault="00CB1059" w:rsidP="00CB1059">
      <w:pPr>
        <w:spacing w:after="200" w:line="276" w:lineRule="auto"/>
        <w:rPr>
          <w:i/>
          <w:iCs/>
        </w:rPr>
      </w:pPr>
      <w:r w:rsidRPr="00CB1059">
        <w:rPr>
          <w:b/>
          <w:bCs/>
          <w:i/>
          <w:iCs/>
        </w:rPr>
        <w:t>Key reference documents</w:t>
      </w:r>
      <w:r w:rsidRPr="00CB1059">
        <w:rPr>
          <w:i/>
          <w:iCs/>
        </w:rPr>
        <w:t>: Sindre Bangstad, Edvard Nergård Larsen &amp; Lise B.Grung, Structural Racism in Bergen, Report 2021/09, Vista Analysis and KIFO, 2021 (Norwegian).</w:t>
      </w:r>
    </w:p>
    <w:p w14:paraId="6BE90A67" w14:textId="77777777" w:rsidR="00CB1059" w:rsidRDefault="00CB1059">
      <w:pPr>
        <w:spacing w:after="160" w:line="259" w:lineRule="auto"/>
        <w:jc w:val="left"/>
        <w:rPr>
          <w:rFonts w:eastAsiaTheme="majorEastAsia" w:cstheme="majorBidi"/>
          <w:b/>
          <w:color w:val="20478A"/>
          <w:sz w:val="26"/>
          <w:szCs w:val="32"/>
        </w:rPr>
      </w:pPr>
      <w:r>
        <w:br w:type="page"/>
      </w:r>
    </w:p>
    <w:p w14:paraId="59C4CB93" w14:textId="39617C44" w:rsidR="006E67F3" w:rsidRPr="00CD1165" w:rsidRDefault="006E67F3" w:rsidP="00CB1059">
      <w:pPr>
        <w:pStyle w:val="Heading1"/>
      </w:pPr>
      <w:bookmarkStart w:id="16" w:name="_Toc124170090"/>
      <w:r>
        <w:lastRenderedPageBreak/>
        <w:t>TEMPLATE FOR REPORTING</w:t>
      </w:r>
      <w:bookmarkEnd w:id="16"/>
    </w:p>
    <w:p w14:paraId="6640F91E" w14:textId="77777777" w:rsidR="00CB1059" w:rsidRPr="00CB1059" w:rsidRDefault="00CB1059" w:rsidP="00CB1059">
      <w:pPr>
        <w:rPr>
          <w:b/>
          <w:bCs/>
        </w:rPr>
      </w:pPr>
      <w:r w:rsidRPr="00CB1059">
        <w:rPr>
          <w:b/>
          <w:bCs/>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664"/>
      </w:tblGrid>
      <w:tr w:rsidR="00CB1059" w:rsidRPr="006E67F3" w14:paraId="6EC95966" w14:textId="77777777" w:rsidTr="00FD2BEA">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A1DCB9" w14:textId="77777777" w:rsidR="00CB1059" w:rsidRPr="006E67F3" w:rsidRDefault="00CB1059" w:rsidP="00FD2BEA">
            <w:pPr>
              <w:rPr>
                <w:lang w:eastAsia="fr-FR"/>
              </w:rPr>
            </w:pPr>
            <w:r w:rsidRPr="006E67F3">
              <w:rPr>
                <w:lang w:eastAsia="fr-FR"/>
              </w:rPr>
              <w:t>City:</w:t>
            </w:r>
          </w:p>
        </w:tc>
        <w:tc>
          <w:tcPr>
            <w:tcW w:w="5664" w:type="dxa"/>
            <w:tcBorders>
              <w:top w:val="single" w:sz="4" w:space="0" w:color="auto"/>
              <w:left w:val="single" w:sz="4" w:space="0" w:color="auto"/>
              <w:bottom w:val="single" w:sz="4" w:space="0" w:color="auto"/>
              <w:right w:val="single" w:sz="4" w:space="0" w:color="auto"/>
            </w:tcBorders>
            <w:hideMark/>
          </w:tcPr>
          <w:p w14:paraId="0D9D8378" w14:textId="77777777" w:rsidR="00CB1059" w:rsidRPr="006E67F3" w:rsidRDefault="00CB1059" w:rsidP="00FD2BEA">
            <w:pPr>
              <w:rPr>
                <w:b/>
                <w:lang w:eastAsia="fr-FR"/>
              </w:rPr>
            </w:pPr>
          </w:p>
        </w:tc>
      </w:tr>
      <w:tr w:rsidR="00CB1059" w:rsidRPr="006E67F3" w14:paraId="2A987E44" w14:textId="77777777" w:rsidTr="00FD2BEA">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7790D8" w14:textId="77777777" w:rsidR="00CB1059" w:rsidRPr="006E67F3" w:rsidRDefault="00CB1059" w:rsidP="00FD2BEA">
            <w:pPr>
              <w:rPr>
                <w:lang w:eastAsia="fr-FR"/>
              </w:rPr>
            </w:pPr>
            <w:r w:rsidRPr="006E67F3">
              <w:rPr>
                <w:lang w:eastAsia="fr-FR"/>
              </w:rPr>
              <w:t>Department:</w:t>
            </w:r>
          </w:p>
        </w:tc>
        <w:tc>
          <w:tcPr>
            <w:tcW w:w="5664" w:type="dxa"/>
            <w:tcBorders>
              <w:top w:val="single" w:sz="4" w:space="0" w:color="auto"/>
              <w:left w:val="single" w:sz="4" w:space="0" w:color="auto"/>
              <w:bottom w:val="single" w:sz="4" w:space="0" w:color="auto"/>
              <w:right w:val="single" w:sz="4" w:space="0" w:color="auto"/>
            </w:tcBorders>
            <w:hideMark/>
          </w:tcPr>
          <w:p w14:paraId="2EFC92CD" w14:textId="77777777" w:rsidR="00CB1059" w:rsidRPr="006E67F3" w:rsidRDefault="00CB1059" w:rsidP="00FD2BEA">
            <w:pPr>
              <w:rPr>
                <w:lang w:eastAsia="fr-FR"/>
              </w:rPr>
            </w:pPr>
          </w:p>
        </w:tc>
      </w:tr>
      <w:tr w:rsidR="00CB1059" w:rsidRPr="006E67F3" w14:paraId="05A09D97" w14:textId="77777777" w:rsidTr="00FD2BEA">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30CE98" w14:textId="77777777" w:rsidR="00CB1059" w:rsidRPr="006E67F3" w:rsidRDefault="00CB1059" w:rsidP="00FD2BEA">
            <w:pPr>
              <w:rPr>
                <w:lang w:eastAsia="fr-FR"/>
              </w:rPr>
            </w:pPr>
            <w:r w:rsidRPr="006E67F3">
              <w:rPr>
                <w:lang w:eastAsia="fr-FR"/>
              </w:rPr>
              <w:t>Date of completing the form:</w:t>
            </w:r>
          </w:p>
        </w:tc>
        <w:tc>
          <w:tcPr>
            <w:tcW w:w="5664" w:type="dxa"/>
            <w:tcBorders>
              <w:top w:val="single" w:sz="4" w:space="0" w:color="auto"/>
              <w:left w:val="single" w:sz="4" w:space="0" w:color="auto"/>
              <w:bottom w:val="single" w:sz="4" w:space="0" w:color="auto"/>
              <w:right w:val="single" w:sz="4" w:space="0" w:color="auto"/>
            </w:tcBorders>
            <w:hideMark/>
          </w:tcPr>
          <w:p w14:paraId="66727987" w14:textId="3F2B7AA9" w:rsidR="00CB1059" w:rsidRPr="006E67F3" w:rsidRDefault="00CB1059" w:rsidP="00FD2BEA">
            <w:pPr>
              <w:rPr>
                <w:lang w:eastAsia="fr-FR"/>
              </w:rPr>
            </w:pPr>
            <w:r w:rsidRPr="006E67F3">
              <w:rPr>
                <w:lang w:eastAsia="fr-FR"/>
              </w:rPr>
              <w:t>D</w:t>
            </w:r>
            <w:r w:rsidR="00821A17">
              <w:rPr>
                <w:lang w:eastAsia="fr-FR"/>
              </w:rPr>
              <w:t>D</w:t>
            </w:r>
            <w:r w:rsidRPr="006E67F3">
              <w:rPr>
                <w:lang w:eastAsia="fr-FR"/>
              </w:rPr>
              <w:t>/</w:t>
            </w:r>
            <w:r w:rsidR="00821A17">
              <w:rPr>
                <w:lang w:eastAsia="fr-FR"/>
              </w:rPr>
              <w:t>M</w:t>
            </w:r>
            <w:r w:rsidRPr="006E67F3">
              <w:rPr>
                <w:lang w:eastAsia="fr-FR"/>
              </w:rPr>
              <w:t>M/Y</w:t>
            </w:r>
            <w:r w:rsidR="00821A17">
              <w:rPr>
                <w:lang w:eastAsia="fr-FR"/>
              </w:rPr>
              <w:t>YYY</w:t>
            </w:r>
          </w:p>
          <w:p w14:paraId="50AD27DA" w14:textId="77777777" w:rsidR="00CB1059" w:rsidRPr="006E67F3" w:rsidRDefault="00CB1059" w:rsidP="00FD2BEA">
            <w:pPr>
              <w:rPr>
                <w:lang w:eastAsia="fr-FR"/>
              </w:rPr>
            </w:pPr>
          </w:p>
          <w:p w14:paraId="1DDEC10C" w14:textId="77777777" w:rsidR="00CB1059" w:rsidRPr="006E67F3" w:rsidRDefault="00CB1059" w:rsidP="00FD2BEA">
            <w:pPr>
              <w:rPr>
                <w:lang w:eastAsia="fr-FR"/>
              </w:rPr>
            </w:pPr>
          </w:p>
        </w:tc>
      </w:tr>
      <w:tr w:rsidR="00CB1059" w:rsidRPr="006E67F3" w14:paraId="5A349DE2" w14:textId="77777777" w:rsidTr="00FD2BEA">
        <w:trPr>
          <w:trHeight w:hRule="exact" w:val="284"/>
        </w:trPr>
        <w:tc>
          <w:tcPr>
            <w:tcW w:w="28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CA4E1E" w14:textId="77777777" w:rsidR="00CB1059" w:rsidRPr="006E67F3" w:rsidRDefault="00CB1059" w:rsidP="00FD2BEA">
            <w:pPr>
              <w:rPr>
                <w:lang w:eastAsia="fr-FR"/>
              </w:rPr>
            </w:pPr>
            <w:r w:rsidRPr="006E67F3">
              <w:rPr>
                <w:lang w:eastAsia="fr-FR"/>
              </w:rPr>
              <w:t>Contact person</w:t>
            </w:r>
          </w:p>
        </w:tc>
        <w:tc>
          <w:tcPr>
            <w:tcW w:w="5664" w:type="dxa"/>
            <w:tcBorders>
              <w:top w:val="single" w:sz="4" w:space="0" w:color="auto"/>
              <w:left w:val="single" w:sz="4" w:space="0" w:color="auto"/>
              <w:bottom w:val="single" w:sz="4" w:space="0" w:color="auto"/>
              <w:right w:val="single" w:sz="4" w:space="0" w:color="auto"/>
            </w:tcBorders>
          </w:tcPr>
          <w:p w14:paraId="5523D1CE" w14:textId="77777777" w:rsidR="00CB1059" w:rsidRPr="006E67F3" w:rsidRDefault="00CB1059" w:rsidP="00FD2BEA">
            <w:pPr>
              <w:rPr>
                <w:lang w:eastAsia="fr-FR"/>
              </w:rPr>
            </w:pPr>
          </w:p>
        </w:tc>
      </w:tr>
    </w:tbl>
    <w:p w14:paraId="524CD817" w14:textId="77777777" w:rsidR="00CB1059" w:rsidRDefault="00CB1059" w:rsidP="00CB1059">
      <w:pPr>
        <w:rPr>
          <w:b/>
          <w:bCs/>
        </w:rPr>
      </w:pPr>
    </w:p>
    <w:p w14:paraId="2F99BCF9" w14:textId="751218C3" w:rsidR="00CB1059" w:rsidRPr="00CB1059" w:rsidRDefault="00CB1059" w:rsidP="00CB1059">
      <w:pPr>
        <w:rPr>
          <w:b/>
          <w:bCs/>
        </w:rPr>
      </w:pPr>
      <w:r w:rsidRPr="00CB1059">
        <w:rPr>
          <w:b/>
          <w:bCs/>
        </w:rPr>
        <w:t>The Action</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5698"/>
      </w:tblGrid>
      <w:tr w:rsidR="00CB1059" w:rsidRPr="006E67F3" w14:paraId="06C0AD90" w14:textId="77777777" w:rsidTr="00FD2BE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F35614" w14:textId="77777777" w:rsidR="00CB1059" w:rsidRPr="006E67F3" w:rsidRDefault="00CB1059" w:rsidP="00FD2BEA">
            <w:pPr>
              <w:rPr>
                <w:lang w:eastAsia="fr-FR"/>
              </w:rPr>
            </w:pPr>
            <w:r w:rsidRPr="006E67F3">
              <w:rPr>
                <w:lang w:eastAsia="fr-FR"/>
              </w:rPr>
              <w:t>Title :</w:t>
            </w:r>
          </w:p>
        </w:tc>
        <w:tc>
          <w:tcPr>
            <w:tcW w:w="5698" w:type="dxa"/>
            <w:tcBorders>
              <w:top w:val="single" w:sz="4" w:space="0" w:color="auto"/>
              <w:left w:val="single" w:sz="4" w:space="0" w:color="auto"/>
              <w:bottom w:val="single" w:sz="4" w:space="0" w:color="auto"/>
              <w:right w:val="single" w:sz="4" w:space="0" w:color="auto"/>
            </w:tcBorders>
            <w:hideMark/>
          </w:tcPr>
          <w:p w14:paraId="0D3A0AE5" w14:textId="690ACFE2" w:rsidR="00CB1059" w:rsidRPr="00CB1059" w:rsidRDefault="00CB1059" w:rsidP="00FD2BEA">
            <w:pPr>
              <w:rPr>
                <w:b/>
                <w:i/>
                <w:iCs/>
                <w:lang w:eastAsia="fr-FR"/>
              </w:rPr>
            </w:pPr>
          </w:p>
        </w:tc>
      </w:tr>
      <w:tr w:rsidR="00CB1059" w:rsidRPr="006E67F3" w14:paraId="0C83E799" w14:textId="77777777" w:rsidTr="00FD2BE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CF33E6" w14:textId="77777777" w:rsidR="00CB1059" w:rsidRPr="006E67F3" w:rsidRDefault="00CB1059" w:rsidP="00FD2BEA">
            <w:pPr>
              <w:rPr>
                <w:lang w:eastAsia="fr-FR"/>
              </w:rPr>
            </w:pPr>
            <w:r w:rsidRPr="006E67F3">
              <w:rPr>
                <w:lang w:eastAsia="fr-FR"/>
              </w:rPr>
              <w:t>Main field of action:</w:t>
            </w:r>
          </w:p>
        </w:tc>
        <w:tc>
          <w:tcPr>
            <w:tcW w:w="5698" w:type="dxa"/>
            <w:tcBorders>
              <w:top w:val="single" w:sz="4" w:space="0" w:color="auto"/>
              <w:left w:val="single" w:sz="4" w:space="0" w:color="auto"/>
              <w:bottom w:val="single" w:sz="4" w:space="0" w:color="auto"/>
              <w:right w:val="single" w:sz="4" w:space="0" w:color="auto"/>
            </w:tcBorders>
            <w:hideMark/>
          </w:tcPr>
          <w:p w14:paraId="3006B614" w14:textId="5ED5EFA9" w:rsidR="00CB1059" w:rsidRPr="006E67F3" w:rsidRDefault="00CB1059" w:rsidP="00FD2BEA">
            <w:pPr>
              <w:rPr>
                <w:b/>
                <w:i/>
                <w:lang w:eastAsia="fr-FR"/>
              </w:rPr>
            </w:pPr>
          </w:p>
        </w:tc>
      </w:tr>
      <w:tr w:rsidR="00CB1059" w:rsidRPr="006E67F3" w14:paraId="725A4D27" w14:textId="77777777" w:rsidTr="00FD2BE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589340" w14:textId="77777777" w:rsidR="00CB1059" w:rsidRPr="006E67F3" w:rsidRDefault="00CB1059" w:rsidP="00FD2BEA">
            <w:pPr>
              <w:rPr>
                <w:lang w:eastAsia="fr-FR"/>
              </w:rPr>
            </w:pPr>
            <w:r w:rsidRPr="006E67F3">
              <w:rPr>
                <w:lang w:eastAsia="fr-FR"/>
              </w:rPr>
              <w:t>Main purpose:</w:t>
            </w:r>
          </w:p>
        </w:tc>
        <w:tc>
          <w:tcPr>
            <w:tcW w:w="5698" w:type="dxa"/>
            <w:tcBorders>
              <w:top w:val="single" w:sz="4" w:space="0" w:color="auto"/>
              <w:left w:val="single" w:sz="4" w:space="0" w:color="auto"/>
              <w:bottom w:val="single" w:sz="4" w:space="0" w:color="auto"/>
              <w:right w:val="single" w:sz="4" w:space="0" w:color="auto"/>
            </w:tcBorders>
            <w:hideMark/>
          </w:tcPr>
          <w:p w14:paraId="5015E0B5" w14:textId="50580913" w:rsidR="00CB1059" w:rsidRPr="00CB1059" w:rsidRDefault="00CB1059" w:rsidP="00FD2BEA">
            <w:pPr>
              <w:spacing w:after="200" w:line="276" w:lineRule="auto"/>
            </w:pPr>
          </w:p>
        </w:tc>
      </w:tr>
      <w:tr w:rsidR="00CB1059" w:rsidRPr="006E67F3" w14:paraId="7CBBB9E8" w14:textId="77777777" w:rsidTr="00FD2BEA">
        <w:tc>
          <w:tcPr>
            <w:tcW w:w="2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D4EC35D" w14:textId="77777777" w:rsidR="00CB1059" w:rsidRPr="006E67F3" w:rsidRDefault="00CB1059" w:rsidP="00FD2BEA">
            <w:pPr>
              <w:rPr>
                <w:lang w:eastAsia="fr-FR"/>
              </w:rPr>
            </w:pPr>
            <w:r w:rsidRPr="006E67F3">
              <w:rPr>
                <w:lang w:eastAsia="fr-FR"/>
              </w:rPr>
              <w:t>Implementation period :</w:t>
            </w:r>
          </w:p>
        </w:tc>
        <w:tc>
          <w:tcPr>
            <w:tcW w:w="5698" w:type="dxa"/>
            <w:tcBorders>
              <w:top w:val="single" w:sz="4" w:space="0" w:color="auto"/>
              <w:left w:val="single" w:sz="4" w:space="0" w:color="auto"/>
              <w:bottom w:val="single" w:sz="4" w:space="0" w:color="auto"/>
              <w:right w:val="single" w:sz="4" w:space="0" w:color="auto"/>
            </w:tcBorders>
            <w:hideMark/>
          </w:tcPr>
          <w:p w14:paraId="21A9735F" w14:textId="5C610035" w:rsidR="00CB1059" w:rsidRPr="006E67F3" w:rsidRDefault="00CB1059" w:rsidP="00FD2BEA">
            <w:pPr>
              <w:rPr>
                <w:i/>
                <w:lang w:eastAsia="fr-FR"/>
              </w:rPr>
            </w:pPr>
          </w:p>
        </w:tc>
      </w:tr>
    </w:tbl>
    <w:p w14:paraId="48D7F48A" w14:textId="77777777" w:rsidR="00CB1059" w:rsidRPr="006E67F3" w:rsidRDefault="00CB1059" w:rsidP="00CB1059">
      <w:pPr>
        <w:spacing w:line="240" w:lineRule="auto"/>
      </w:pPr>
    </w:p>
    <w:p w14:paraId="7B203717" w14:textId="77777777" w:rsidR="00CB1059" w:rsidRDefault="00CB1059" w:rsidP="00CB1059">
      <w:pPr>
        <w:pStyle w:val="NoSpacing"/>
      </w:pPr>
      <w:r w:rsidRPr="00CB1059">
        <w:rPr>
          <w:b/>
          <w:bCs/>
        </w:rPr>
        <w:t>Purpose</w:t>
      </w:r>
      <w:r w:rsidRPr="00CB1059">
        <w:t xml:space="preserve">: </w:t>
      </w:r>
    </w:p>
    <w:p w14:paraId="5E6F5E63" w14:textId="77777777" w:rsidR="00CB1059" w:rsidRDefault="00CB1059" w:rsidP="00CB1059">
      <w:pPr>
        <w:pStyle w:val="NoSpacing"/>
      </w:pPr>
    </w:p>
    <w:p w14:paraId="3F17957C" w14:textId="77777777" w:rsidR="00CB1059" w:rsidRDefault="00CB1059" w:rsidP="00CB1059">
      <w:pPr>
        <w:pStyle w:val="NoSpacing"/>
      </w:pPr>
      <w:r w:rsidRPr="00CB1059">
        <w:rPr>
          <w:b/>
          <w:bCs/>
        </w:rPr>
        <w:t>Stimulus/Rationale</w:t>
      </w:r>
      <w:r w:rsidRPr="00CB1059">
        <w:t xml:space="preserve">: </w:t>
      </w:r>
    </w:p>
    <w:p w14:paraId="3F869136" w14:textId="77777777" w:rsidR="00CB1059" w:rsidRDefault="00CB1059" w:rsidP="00CB1059">
      <w:pPr>
        <w:pStyle w:val="NoSpacing"/>
      </w:pPr>
    </w:p>
    <w:p w14:paraId="4AF7BF49" w14:textId="77777777" w:rsidR="00CB1059" w:rsidRDefault="00CB1059" w:rsidP="00CB1059">
      <w:pPr>
        <w:pStyle w:val="NoSpacing"/>
      </w:pPr>
      <w:r w:rsidRPr="00CB1059">
        <w:rPr>
          <w:b/>
          <w:bCs/>
        </w:rPr>
        <w:t>Process</w:t>
      </w:r>
      <w:r w:rsidRPr="00CB1059">
        <w:t xml:space="preserve">: </w:t>
      </w:r>
    </w:p>
    <w:p w14:paraId="41D561FD" w14:textId="77777777" w:rsidR="00CB1059" w:rsidRDefault="00CB1059" w:rsidP="00CB1059">
      <w:pPr>
        <w:pStyle w:val="NoSpacing"/>
      </w:pPr>
    </w:p>
    <w:p w14:paraId="34412278" w14:textId="77777777" w:rsidR="00CB1059" w:rsidRDefault="00CB1059" w:rsidP="00CB1059">
      <w:pPr>
        <w:pStyle w:val="NoSpacing"/>
      </w:pPr>
      <w:r w:rsidRPr="00CB1059">
        <w:rPr>
          <w:b/>
          <w:bCs/>
        </w:rPr>
        <w:t>Impact</w:t>
      </w:r>
      <w:r w:rsidRPr="00CB1059">
        <w:t xml:space="preserve">: </w:t>
      </w:r>
    </w:p>
    <w:p w14:paraId="00F94BDC" w14:textId="77777777" w:rsidR="00CB1059" w:rsidRDefault="00CB1059" w:rsidP="00CB1059">
      <w:pPr>
        <w:pStyle w:val="NoSpacing"/>
      </w:pPr>
    </w:p>
    <w:p w14:paraId="6262A265" w14:textId="41D41A14" w:rsidR="00CB1059" w:rsidRPr="00CB1059" w:rsidRDefault="00CB1059" w:rsidP="00CB1059">
      <w:pPr>
        <w:pStyle w:val="NoSpacing"/>
      </w:pPr>
      <w:r w:rsidRPr="00CB1059">
        <w:rPr>
          <w:b/>
          <w:bCs/>
        </w:rPr>
        <w:t>Key reference documents</w:t>
      </w:r>
      <w:r w:rsidRPr="00CB1059">
        <w:t xml:space="preserve">: </w:t>
      </w:r>
    </w:p>
    <w:sectPr w:rsidR="00CB1059" w:rsidRPr="00CB1059" w:rsidSect="00055EC3">
      <w:headerReference w:type="default" r:id="rId7"/>
      <w:footerReference w:type="default" r:id="rId8"/>
      <w:headerReference w:type="first" r:id="rId9"/>
      <w:footerReference w:type="first" r:id="rId10"/>
      <w:pgSz w:w="11906" w:h="16838"/>
      <w:pgMar w:top="1440" w:right="1701"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30579" w14:textId="77777777" w:rsidR="00055EC3" w:rsidRDefault="00055EC3" w:rsidP="00DF20DC">
      <w:pPr>
        <w:spacing w:after="0" w:line="240" w:lineRule="auto"/>
      </w:pPr>
      <w:r>
        <w:separator/>
      </w:r>
    </w:p>
  </w:endnote>
  <w:endnote w:type="continuationSeparator" w:id="0">
    <w:p w14:paraId="59C99DD7" w14:textId="77777777" w:rsidR="00055EC3" w:rsidRDefault="00055EC3" w:rsidP="00DF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121309"/>
      <w:docPartObj>
        <w:docPartGallery w:val="Page Numbers (Bottom of Page)"/>
        <w:docPartUnique/>
      </w:docPartObj>
    </w:sdtPr>
    <w:sdtEndPr/>
    <w:sdtContent>
      <w:p w14:paraId="56293834" w14:textId="5F2B3E4D" w:rsidR="00821A17" w:rsidRDefault="00821A17">
        <w:pPr>
          <w:pStyle w:val="Footer"/>
          <w:jc w:val="center"/>
        </w:pPr>
        <w:r>
          <w:fldChar w:fldCharType="begin"/>
        </w:r>
        <w:r>
          <w:instrText>PAGE   \* MERGEFORMAT</w:instrText>
        </w:r>
        <w:r>
          <w:fldChar w:fldCharType="separate"/>
        </w:r>
        <w:r>
          <w:rPr>
            <w:lang w:val="fr-FR"/>
          </w:rPr>
          <w:t>2</w:t>
        </w:r>
        <w:r>
          <w:fldChar w:fldCharType="end"/>
        </w:r>
      </w:p>
    </w:sdtContent>
  </w:sdt>
  <w:p w14:paraId="6225DAB1" w14:textId="77777777" w:rsidR="00821A17" w:rsidRDefault="00821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716368"/>
      <w:docPartObj>
        <w:docPartGallery w:val="Page Numbers (Bottom of Page)"/>
        <w:docPartUnique/>
      </w:docPartObj>
    </w:sdtPr>
    <w:sdtEndPr/>
    <w:sdtContent>
      <w:p w14:paraId="30615E7F" w14:textId="2FD26CD7" w:rsidR="00821A17" w:rsidRDefault="00821A17">
        <w:pPr>
          <w:pStyle w:val="Footer"/>
          <w:jc w:val="center"/>
        </w:pPr>
        <w:r>
          <w:fldChar w:fldCharType="begin"/>
        </w:r>
        <w:r>
          <w:instrText>PAGE   \* MERGEFORMAT</w:instrText>
        </w:r>
        <w:r>
          <w:fldChar w:fldCharType="separate"/>
        </w:r>
        <w:r>
          <w:rPr>
            <w:lang w:val="fr-FR"/>
          </w:rPr>
          <w:t>2</w:t>
        </w:r>
        <w:r>
          <w:fldChar w:fldCharType="end"/>
        </w:r>
      </w:p>
    </w:sdtContent>
  </w:sdt>
  <w:p w14:paraId="7975334C" w14:textId="77777777" w:rsidR="00821A17" w:rsidRDefault="00821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ED9E" w14:textId="77777777" w:rsidR="00055EC3" w:rsidRDefault="00055EC3" w:rsidP="00DF20DC">
      <w:pPr>
        <w:spacing w:after="0" w:line="240" w:lineRule="auto"/>
      </w:pPr>
      <w:r>
        <w:separator/>
      </w:r>
    </w:p>
  </w:footnote>
  <w:footnote w:type="continuationSeparator" w:id="0">
    <w:p w14:paraId="64A9FCD4" w14:textId="77777777" w:rsidR="00055EC3" w:rsidRDefault="00055EC3" w:rsidP="00DF2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3"/>
      <w:gridCol w:w="3543"/>
    </w:tblGrid>
    <w:tr w:rsidR="00DF20DC" w14:paraId="7E180FFC" w14:textId="77777777" w:rsidTr="008B4752">
      <w:tc>
        <w:tcPr>
          <w:tcW w:w="5813" w:type="dxa"/>
        </w:tcPr>
        <w:p w14:paraId="28764EA1" w14:textId="315F0316" w:rsidR="00DF20DC" w:rsidRDefault="00DF20DC" w:rsidP="00DF20DC">
          <w:pPr>
            <w:pStyle w:val="Header"/>
            <w:ind w:right="459"/>
          </w:pPr>
        </w:p>
        <w:p w14:paraId="5DB333C7" w14:textId="77777777" w:rsidR="00DF20DC" w:rsidRDefault="00DF20DC" w:rsidP="00DF20DC">
          <w:pPr>
            <w:pStyle w:val="Header"/>
          </w:pPr>
        </w:p>
      </w:tc>
      <w:tc>
        <w:tcPr>
          <w:tcW w:w="3543" w:type="dxa"/>
        </w:tcPr>
        <w:p w14:paraId="3ED64976" w14:textId="77777777" w:rsidR="00DF20DC" w:rsidRDefault="00DF20DC" w:rsidP="00DF20DC">
          <w:pPr>
            <w:pStyle w:val="Header"/>
            <w:ind w:left="-108"/>
          </w:pPr>
        </w:p>
        <w:p w14:paraId="3DCD0A7C" w14:textId="77777777" w:rsidR="00DF20DC" w:rsidRPr="00A106C5" w:rsidRDefault="00DF20DC" w:rsidP="00DF20DC">
          <w:pPr>
            <w:ind w:left="-250"/>
          </w:pPr>
        </w:p>
      </w:tc>
    </w:tr>
  </w:tbl>
  <w:p w14:paraId="7C2A27AF" w14:textId="77777777" w:rsidR="00DF20DC" w:rsidRDefault="00DF2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179D" w14:textId="78CEE646" w:rsidR="00055EC3" w:rsidRDefault="00055EC3">
    <w:pPr>
      <w:pStyle w:val="Header"/>
    </w:pPr>
    <w:r>
      <w:rPr>
        <w:noProof/>
      </w:rPr>
      <w:drawing>
        <wp:anchor distT="0" distB="0" distL="114300" distR="114300" simplePos="0" relativeHeight="251662336" behindDoc="0" locked="0" layoutInCell="1" allowOverlap="1" wp14:anchorId="346515D3" wp14:editId="2102E526">
          <wp:simplePos x="0" y="0"/>
          <wp:positionH relativeFrom="column">
            <wp:posOffset>-1074420</wp:posOffset>
          </wp:positionH>
          <wp:positionV relativeFrom="paragraph">
            <wp:posOffset>-450215</wp:posOffset>
          </wp:positionV>
          <wp:extent cx="7547212" cy="1410938"/>
          <wp:effectExtent l="0" t="0" r="0" b="0"/>
          <wp:wrapNone/>
          <wp:docPr id="1" name="Image 1" descr="Une image contenant mè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C_banner_slogan_EN.JPG"/>
                  <pic:cNvPicPr/>
                </pic:nvPicPr>
                <pic:blipFill>
                  <a:blip r:embed="rId1">
                    <a:extLst>
                      <a:ext uri="{28A0092B-C50C-407E-A947-70E740481C1C}">
                        <a14:useLocalDpi xmlns:a14="http://schemas.microsoft.com/office/drawing/2010/main" val="0"/>
                      </a:ext>
                    </a:extLst>
                  </a:blip>
                  <a:stretch>
                    <a:fillRect/>
                  </a:stretch>
                </pic:blipFill>
                <pic:spPr>
                  <a:xfrm>
                    <a:off x="0" y="0"/>
                    <a:ext cx="7547212" cy="14109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F17"/>
    <w:multiLevelType w:val="hybridMultilevel"/>
    <w:tmpl w:val="339EC0A0"/>
    <w:lvl w:ilvl="0" w:tplc="F56247BC">
      <w:start w:val="1"/>
      <w:numFmt w:val="bullet"/>
      <w:lvlText w:val=""/>
      <w:lvlJc w:val="left"/>
      <w:pPr>
        <w:ind w:left="720" w:hanging="360"/>
      </w:pPr>
      <w:rPr>
        <w:rFonts w:ascii="Wingdings" w:hAnsi="Wingdings" w:hint="default"/>
        <w:b/>
        <w:i w:val="0"/>
        <w:color w:val="C72D5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5B4"/>
    <w:multiLevelType w:val="hybridMultilevel"/>
    <w:tmpl w:val="F8D0C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31684"/>
    <w:multiLevelType w:val="hybridMultilevel"/>
    <w:tmpl w:val="8E607AFC"/>
    <w:lvl w:ilvl="0" w:tplc="8C1481A6">
      <w:start w:val="1"/>
      <w:numFmt w:val="decimal"/>
      <w:lvlText w:val="%1."/>
      <w:lvlJc w:val="left"/>
      <w:pPr>
        <w:ind w:left="876" w:hanging="516"/>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9A394A"/>
    <w:multiLevelType w:val="multilevel"/>
    <w:tmpl w:val="1476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C67BA"/>
    <w:multiLevelType w:val="hybridMultilevel"/>
    <w:tmpl w:val="D49C21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953645">
    <w:abstractNumId w:val="0"/>
  </w:num>
  <w:num w:numId="2" w16cid:durableId="1791237308">
    <w:abstractNumId w:val="2"/>
  </w:num>
  <w:num w:numId="3" w16cid:durableId="687878507">
    <w:abstractNumId w:val="4"/>
  </w:num>
  <w:num w:numId="4" w16cid:durableId="1579750644">
    <w:abstractNumId w:val="3"/>
  </w:num>
  <w:num w:numId="5" w16cid:durableId="190181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C3"/>
    <w:rsid w:val="00055EC3"/>
    <w:rsid w:val="000814F0"/>
    <w:rsid w:val="0035372A"/>
    <w:rsid w:val="003D532A"/>
    <w:rsid w:val="003F013D"/>
    <w:rsid w:val="00454187"/>
    <w:rsid w:val="006E67F3"/>
    <w:rsid w:val="00821A17"/>
    <w:rsid w:val="00950E0B"/>
    <w:rsid w:val="00A4591D"/>
    <w:rsid w:val="00CB1059"/>
    <w:rsid w:val="00CD1165"/>
    <w:rsid w:val="00CD49A2"/>
    <w:rsid w:val="00DF20DC"/>
    <w:rsid w:val="00FD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FA6A"/>
  <w15:chartTrackingRefBased/>
  <w15:docId w15:val="{89EA9EA6-C5C3-42F2-99C4-9AC336BB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DC"/>
    <w:pPr>
      <w:spacing w:after="120" w:line="264" w:lineRule="auto"/>
      <w:jc w:val="both"/>
    </w:pPr>
  </w:style>
  <w:style w:type="paragraph" w:styleId="Heading1">
    <w:name w:val="heading 1"/>
    <w:basedOn w:val="Normal"/>
    <w:next w:val="Normal"/>
    <w:link w:val="Heading1Char"/>
    <w:uiPriority w:val="9"/>
    <w:qFormat/>
    <w:rsid w:val="00DF20DC"/>
    <w:pPr>
      <w:keepNext/>
      <w:keepLines/>
      <w:spacing w:before="240" w:after="240"/>
      <w:outlineLvl w:val="0"/>
    </w:pPr>
    <w:rPr>
      <w:rFonts w:eastAsiaTheme="majorEastAsia" w:cstheme="majorBidi"/>
      <w:b/>
      <w:color w:val="20478A"/>
      <w:sz w:val="26"/>
      <w:szCs w:val="32"/>
    </w:rPr>
  </w:style>
  <w:style w:type="paragraph" w:styleId="Heading2">
    <w:name w:val="heading 2"/>
    <w:basedOn w:val="Normal"/>
    <w:next w:val="Normal"/>
    <w:link w:val="Heading2Char"/>
    <w:uiPriority w:val="9"/>
    <w:unhideWhenUsed/>
    <w:qFormat/>
    <w:rsid w:val="00DF20DC"/>
    <w:pPr>
      <w:keepNext/>
      <w:keepLines/>
      <w:spacing w:before="160" w:after="160"/>
      <w:outlineLvl w:val="1"/>
    </w:pPr>
    <w:rPr>
      <w:rFonts w:eastAsiaTheme="majorEastAsia" w:cstheme="majorBidi"/>
      <w:b/>
      <w:color w:val="20478A"/>
      <w:szCs w:val="26"/>
    </w:rPr>
  </w:style>
  <w:style w:type="paragraph" w:styleId="Heading3">
    <w:name w:val="heading 3"/>
    <w:basedOn w:val="Normal"/>
    <w:next w:val="Normal"/>
    <w:link w:val="Heading3Char"/>
    <w:uiPriority w:val="9"/>
    <w:unhideWhenUsed/>
    <w:qFormat/>
    <w:rsid w:val="00DF20DC"/>
    <w:pPr>
      <w:keepNext/>
      <w:keepLines/>
      <w:spacing w:before="120"/>
      <w:outlineLvl w:val="2"/>
    </w:pPr>
    <w:rPr>
      <w:rFonts w:eastAsiaTheme="majorEastAsia" w:cstheme="majorBidi"/>
      <w:b/>
      <w:i/>
      <w:color w:val="20478A"/>
      <w:szCs w:val="24"/>
    </w:rPr>
  </w:style>
  <w:style w:type="paragraph" w:styleId="Heading4">
    <w:name w:val="heading 4"/>
    <w:basedOn w:val="Normal"/>
    <w:next w:val="Normal"/>
    <w:link w:val="Heading4Char"/>
    <w:uiPriority w:val="9"/>
    <w:unhideWhenUsed/>
    <w:qFormat/>
    <w:rsid w:val="00DF20DC"/>
    <w:pPr>
      <w:keepNext/>
      <w:keepLines/>
      <w:spacing w:before="120"/>
      <w:outlineLvl w:val="3"/>
    </w:pPr>
    <w:rPr>
      <w:rFonts w:eastAsiaTheme="majorEastAsia" w:cstheme="majorBidi"/>
      <w:b/>
      <w:i/>
      <w:iCs/>
      <w:color w:val="20478A"/>
      <w:u w:val="single"/>
    </w:rPr>
  </w:style>
  <w:style w:type="paragraph" w:styleId="Heading5">
    <w:name w:val="heading 5"/>
    <w:basedOn w:val="Normal"/>
    <w:next w:val="Normal"/>
    <w:link w:val="Heading5Char"/>
    <w:uiPriority w:val="9"/>
    <w:unhideWhenUsed/>
    <w:qFormat/>
    <w:rsid w:val="00DF20DC"/>
    <w:pPr>
      <w:shd w:val="clear" w:color="auto" w:fill="DBE79D"/>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0DC"/>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DF20DC"/>
  </w:style>
  <w:style w:type="paragraph" w:styleId="Footer">
    <w:name w:val="footer"/>
    <w:basedOn w:val="Normal"/>
    <w:link w:val="FooterChar"/>
    <w:uiPriority w:val="99"/>
    <w:unhideWhenUsed/>
    <w:rsid w:val="00DF2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0DC"/>
  </w:style>
  <w:style w:type="table" w:styleId="TableGrid">
    <w:name w:val="Table Grid"/>
    <w:basedOn w:val="TableNormal"/>
    <w:uiPriority w:val="59"/>
    <w:rsid w:val="00DF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20DC"/>
    <w:rPr>
      <w:rFonts w:eastAsiaTheme="majorEastAsia" w:cstheme="majorBidi"/>
      <w:b/>
      <w:color w:val="20478A"/>
      <w:sz w:val="26"/>
      <w:szCs w:val="32"/>
    </w:rPr>
  </w:style>
  <w:style w:type="character" w:customStyle="1" w:styleId="Heading2Char">
    <w:name w:val="Heading 2 Char"/>
    <w:basedOn w:val="DefaultParagraphFont"/>
    <w:link w:val="Heading2"/>
    <w:uiPriority w:val="9"/>
    <w:rsid w:val="00DF20DC"/>
    <w:rPr>
      <w:rFonts w:eastAsiaTheme="majorEastAsia" w:cstheme="majorBidi"/>
      <w:b/>
      <w:color w:val="20478A"/>
      <w:szCs w:val="26"/>
    </w:rPr>
  </w:style>
  <w:style w:type="paragraph" w:styleId="ListParagraph">
    <w:name w:val="List Paragraph"/>
    <w:basedOn w:val="Normal"/>
    <w:uiPriority w:val="34"/>
    <w:qFormat/>
    <w:rsid w:val="00DF20DC"/>
    <w:pPr>
      <w:ind w:left="720"/>
      <w:contextualSpacing/>
    </w:pPr>
  </w:style>
  <w:style w:type="character" w:customStyle="1" w:styleId="Heading3Char">
    <w:name w:val="Heading 3 Char"/>
    <w:basedOn w:val="DefaultParagraphFont"/>
    <w:link w:val="Heading3"/>
    <w:uiPriority w:val="9"/>
    <w:rsid w:val="00DF20DC"/>
    <w:rPr>
      <w:rFonts w:eastAsiaTheme="majorEastAsia" w:cstheme="majorBidi"/>
      <w:b/>
      <w:i/>
      <w:color w:val="20478A"/>
      <w:szCs w:val="24"/>
    </w:rPr>
  </w:style>
  <w:style w:type="character" w:customStyle="1" w:styleId="Heading4Char">
    <w:name w:val="Heading 4 Char"/>
    <w:basedOn w:val="DefaultParagraphFont"/>
    <w:link w:val="Heading4"/>
    <w:uiPriority w:val="9"/>
    <w:rsid w:val="00DF20DC"/>
    <w:rPr>
      <w:rFonts w:eastAsiaTheme="majorEastAsia" w:cstheme="majorBidi"/>
      <w:b/>
      <w:i/>
      <w:iCs/>
      <w:color w:val="20478A"/>
      <w:u w:val="single"/>
    </w:rPr>
  </w:style>
  <w:style w:type="character" w:customStyle="1" w:styleId="Heading5Char">
    <w:name w:val="Heading 5 Char"/>
    <w:basedOn w:val="DefaultParagraphFont"/>
    <w:link w:val="Heading5"/>
    <w:uiPriority w:val="9"/>
    <w:rsid w:val="00DF20DC"/>
    <w:rPr>
      <w:rFonts w:eastAsiaTheme="majorEastAsia" w:cstheme="majorBidi"/>
      <w:shd w:val="clear" w:color="auto" w:fill="DBE79D"/>
    </w:rPr>
  </w:style>
  <w:style w:type="paragraph" w:styleId="Title">
    <w:name w:val="Title"/>
    <w:basedOn w:val="Normal"/>
    <w:next w:val="Normal"/>
    <w:link w:val="TitleChar"/>
    <w:uiPriority w:val="10"/>
    <w:qFormat/>
    <w:rsid w:val="00055EC3"/>
    <w:pPr>
      <w:spacing w:before="240" w:after="60" w:line="276" w:lineRule="auto"/>
      <w:jc w:val="center"/>
      <w:outlineLvl w:val="0"/>
    </w:pPr>
    <w:rPr>
      <w:rFonts w:ascii="Cambria" w:eastAsia="Times New Roman" w:hAnsi="Cambria" w:cs="Times New Roman"/>
      <w:b/>
      <w:bCs/>
      <w:kern w:val="28"/>
      <w:sz w:val="32"/>
      <w:szCs w:val="32"/>
      <w:lang w:val="it-IT"/>
    </w:rPr>
  </w:style>
  <w:style w:type="character" w:customStyle="1" w:styleId="TitleChar">
    <w:name w:val="Title Char"/>
    <w:basedOn w:val="DefaultParagraphFont"/>
    <w:link w:val="Title"/>
    <w:uiPriority w:val="10"/>
    <w:rsid w:val="00055EC3"/>
    <w:rPr>
      <w:rFonts w:ascii="Cambria" w:eastAsia="Times New Roman" w:hAnsi="Cambria" w:cs="Times New Roman"/>
      <w:b/>
      <w:bCs/>
      <w:kern w:val="28"/>
      <w:sz w:val="32"/>
      <w:szCs w:val="32"/>
      <w:lang w:val="it-IT"/>
    </w:rPr>
  </w:style>
  <w:style w:type="paragraph" w:styleId="TOCHeading">
    <w:name w:val="TOC Heading"/>
    <w:basedOn w:val="Heading1"/>
    <w:next w:val="Normal"/>
    <w:uiPriority w:val="39"/>
    <w:unhideWhenUsed/>
    <w:qFormat/>
    <w:rsid w:val="00CB1059"/>
    <w:pPr>
      <w:spacing w:after="0" w:line="259" w:lineRule="auto"/>
      <w:jc w:val="left"/>
      <w:outlineLvl w:val="9"/>
    </w:pPr>
    <w:rPr>
      <w:rFonts w:asciiTheme="majorHAnsi" w:hAnsiTheme="majorHAnsi"/>
      <w:b w:val="0"/>
      <w:color w:val="2F5496" w:themeColor="accent1" w:themeShade="BF"/>
      <w:sz w:val="32"/>
      <w:lang w:val="fr-FR" w:eastAsia="fr-FR"/>
    </w:rPr>
  </w:style>
  <w:style w:type="paragraph" w:styleId="TOC1">
    <w:name w:val="toc 1"/>
    <w:basedOn w:val="Normal"/>
    <w:next w:val="Normal"/>
    <w:autoRedefine/>
    <w:uiPriority w:val="39"/>
    <w:unhideWhenUsed/>
    <w:rsid w:val="00CB1059"/>
    <w:pPr>
      <w:spacing w:after="100"/>
    </w:pPr>
  </w:style>
  <w:style w:type="paragraph" w:styleId="TOC2">
    <w:name w:val="toc 2"/>
    <w:basedOn w:val="Normal"/>
    <w:next w:val="Normal"/>
    <w:autoRedefine/>
    <w:uiPriority w:val="39"/>
    <w:unhideWhenUsed/>
    <w:rsid w:val="00CB1059"/>
    <w:pPr>
      <w:spacing w:after="100"/>
      <w:ind w:left="220"/>
    </w:pPr>
  </w:style>
  <w:style w:type="paragraph" w:styleId="TOC3">
    <w:name w:val="toc 3"/>
    <w:basedOn w:val="Normal"/>
    <w:next w:val="Normal"/>
    <w:autoRedefine/>
    <w:uiPriority w:val="39"/>
    <w:unhideWhenUsed/>
    <w:rsid w:val="00CB1059"/>
    <w:pPr>
      <w:spacing w:after="100"/>
      <w:ind w:left="440"/>
    </w:pPr>
  </w:style>
  <w:style w:type="character" w:styleId="Hyperlink">
    <w:name w:val="Hyperlink"/>
    <w:basedOn w:val="DefaultParagraphFont"/>
    <w:uiPriority w:val="99"/>
    <w:unhideWhenUsed/>
    <w:rsid w:val="00CB1059"/>
    <w:rPr>
      <w:color w:val="0563C1" w:themeColor="hyperlink"/>
      <w:u w:val="single"/>
    </w:rPr>
  </w:style>
  <w:style w:type="paragraph" w:styleId="NoSpacing">
    <w:name w:val="No Spacing"/>
    <w:uiPriority w:val="1"/>
    <w:qFormat/>
    <w:rsid w:val="00CB1059"/>
    <w:pPr>
      <w:spacing w:after="0" w:line="240" w:lineRule="auto"/>
      <w:jc w:val="both"/>
    </w:pPr>
  </w:style>
  <w:style w:type="character" w:styleId="UnresolvedMention">
    <w:name w:val="Unresolved Mention"/>
    <w:basedOn w:val="DefaultParagraphFont"/>
    <w:uiPriority w:val="99"/>
    <w:semiHidden/>
    <w:unhideWhenUsed/>
    <w:rsid w:val="00CB1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ESSANDRO\Documents\Mod&#232;les%20Office%20personnalis&#233;s\Standard%20ICC%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 ICC document template</Template>
  <TotalTime>3</TotalTime>
  <Pages>7</Pages>
  <Words>2079</Words>
  <Characters>11853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D'ALESSANDRO Ivana</dc:creator>
  <cp:keywords/>
  <dc:description/>
  <cp:lastModifiedBy>Nichola HOWSON</cp:lastModifiedBy>
  <cp:revision>3</cp:revision>
  <cp:lastPrinted>2023-01-17T09:10:00Z</cp:lastPrinted>
  <dcterms:created xsi:type="dcterms:W3CDTF">2023-01-11T14:14:00Z</dcterms:created>
  <dcterms:modified xsi:type="dcterms:W3CDTF">2023-01-17T09:10:00Z</dcterms:modified>
</cp:coreProperties>
</file>