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602D9" w14:textId="77777777" w:rsidR="00903924" w:rsidRPr="005813E7" w:rsidRDefault="00903924" w:rsidP="003845CB">
      <w:pPr>
        <w:rPr>
          <w:b/>
          <w:u w:val="single"/>
        </w:rPr>
      </w:pPr>
      <w:bookmarkStart w:id="0" w:name="_GoBack"/>
      <w:bookmarkEnd w:id="0"/>
      <w:r w:rsidRPr="005813E7">
        <w:rPr>
          <w:b/>
          <w:u w:val="single"/>
        </w:rPr>
        <w:t>Deepening efforts with enlarged priorities</w:t>
      </w:r>
    </w:p>
    <w:p w14:paraId="10D4F1AD" w14:textId="0ACBC87C" w:rsidR="00133E8A" w:rsidRDefault="00F8576D" w:rsidP="003845CB">
      <w:pPr>
        <w:rPr>
          <w:rFonts w:eastAsia="Times New Roman" w:cstheme="minorHAnsi"/>
          <w:color w:val="161616"/>
        </w:rPr>
      </w:pPr>
      <w:r w:rsidRPr="004B138F">
        <w:rPr>
          <w:rFonts w:eastAsia="Times New Roman" w:cstheme="minorHAnsi"/>
          <w:color w:val="161616"/>
        </w:rPr>
        <w:t xml:space="preserve">The </w:t>
      </w:r>
      <w:r w:rsidRPr="004B138F">
        <w:rPr>
          <w:rFonts w:eastAsia="Times New Roman" w:cstheme="minorHAnsi"/>
          <w:i/>
          <w:iCs/>
          <w:color w:val="161616"/>
        </w:rPr>
        <w:t>Horizontal Facility for the Western Balkans and Turkey (Horizontal Facility II) 2019-2022</w:t>
      </w:r>
      <w:r w:rsidRPr="004B138F">
        <w:rPr>
          <w:rFonts w:eastAsia="Times New Roman" w:cstheme="minorHAnsi"/>
          <w:color w:val="161616"/>
        </w:rPr>
        <w:t xml:space="preserve"> is a co-operation initiative of the European Union and Council of Europe </w:t>
      </w:r>
      <w:r w:rsidR="004E5536">
        <w:rPr>
          <w:rFonts w:eastAsia="Times New Roman" w:cstheme="minorHAnsi"/>
          <w:color w:val="161616"/>
        </w:rPr>
        <w:t>with</w:t>
      </w:r>
      <w:r w:rsidR="004E5536" w:rsidRPr="004B138F">
        <w:rPr>
          <w:rFonts w:eastAsia="Times New Roman" w:cstheme="minorHAnsi"/>
          <w:color w:val="161616"/>
        </w:rPr>
        <w:t xml:space="preserve"> </w:t>
      </w:r>
      <w:r w:rsidRPr="004B138F">
        <w:rPr>
          <w:rFonts w:eastAsia="Times New Roman" w:cstheme="minorHAnsi"/>
          <w:color w:val="161616"/>
        </w:rPr>
        <w:t>the Western Balkans region and Turkey</w:t>
      </w:r>
      <w:r>
        <w:rPr>
          <w:rFonts w:eastAsia="Times New Roman" w:cstheme="minorHAnsi"/>
          <w:color w:val="161616"/>
        </w:rPr>
        <w:t>.</w:t>
      </w:r>
      <w:r w:rsidR="0063195D">
        <w:rPr>
          <w:rFonts w:eastAsia="Times New Roman" w:cstheme="minorHAnsi"/>
          <w:color w:val="161616"/>
        </w:rPr>
        <w:t xml:space="preserve"> The programme supports </w:t>
      </w:r>
      <w:r w:rsidR="0063195D" w:rsidRPr="00172656">
        <w:rPr>
          <w:rFonts w:eastAsia="Times New Roman" w:cstheme="minorHAnsi"/>
          <w:color w:val="161616"/>
        </w:rPr>
        <w:t>tailored reform processes</w:t>
      </w:r>
      <w:r w:rsidR="004E5536">
        <w:rPr>
          <w:rFonts w:eastAsia="Times New Roman" w:cstheme="minorHAnsi"/>
          <w:color w:val="161616"/>
        </w:rPr>
        <w:t xml:space="preserve"> agreed with the authorities, in line</w:t>
      </w:r>
      <w:r w:rsidR="004E5536" w:rsidRPr="004E5536">
        <w:t xml:space="preserve"> </w:t>
      </w:r>
      <w:r w:rsidR="0060437E">
        <w:t xml:space="preserve">with </w:t>
      </w:r>
      <w:r w:rsidR="004E5536" w:rsidRPr="004E5536">
        <w:rPr>
          <w:rFonts w:eastAsia="Times New Roman" w:cstheme="minorHAnsi"/>
          <w:color w:val="161616"/>
        </w:rPr>
        <w:t>relevant Council of Europe monitoring</w:t>
      </w:r>
      <w:r w:rsidR="004E5536">
        <w:rPr>
          <w:rFonts w:eastAsia="Times New Roman" w:cstheme="minorHAnsi"/>
          <w:color w:val="161616"/>
        </w:rPr>
        <w:t xml:space="preserve"> and advisory</w:t>
      </w:r>
      <w:r w:rsidR="004E5536" w:rsidRPr="004E5536">
        <w:rPr>
          <w:rFonts w:eastAsia="Times New Roman" w:cstheme="minorHAnsi"/>
          <w:color w:val="161616"/>
        </w:rPr>
        <w:t xml:space="preserve"> bodies’ recommendations</w:t>
      </w:r>
      <w:r w:rsidR="004E5536">
        <w:rPr>
          <w:rFonts w:eastAsia="Times New Roman" w:cstheme="minorHAnsi"/>
          <w:color w:val="161616"/>
        </w:rPr>
        <w:t>,</w:t>
      </w:r>
      <w:r w:rsidR="0063195D" w:rsidRPr="00172656">
        <w:rPr>
          <w:rFonts w:eastAsia="Times New Roman" w:cstheme="minorHAnsi"/>
          <w:color w:val="161616"/>
        </w:rPr>
        <w:t xml:space="preserve"> </w:t>
      </w:r>
      <w:r w:rsidR="00DC29D2">
        <w:rPr>
          <w:rFonts w:eastAsia="Times New Roman" w:cstheme="minorHAnsi"/>
          <w:color w:val="161616"/>
        </w:rPr>
        <w:t>in the fields of human rights, rule of law and democracy</w:t>
      </w:r>
      <w:r w:rsidR="0063195D">
        <w:rPr>
          <w:rFonts w:eastAsia="Times New Roman" w:cstheme="minorHAnsi"/>
          <w:color w:val="161616"/>
        </w:rPr>
        <w:t>.</w:t>
      </w:r>
      <w:r>
        <w:rPr>
          <w:rFonts w:eastAsia="Times New Roman" w:cstheme="minorHAnsi"/>
          <w:color w:val="161616"/>
        </w:rPr>
        <w:t xml:space="preserve"> It builds </w:t>
      </w:r>
      <w:r w:rsidR="00B850C7">
        <w:rPr>
          <w:rFonts w:eastAsia="Times New Roman" w:cstheme="minorHAnsi"/>
          <w:color w:val="161616"/>
        </w:rPr>
        <w:t>up</w:t>
      </w:r>
      <w:r>
        <w:rPr>
          <w:rFonts w:eastAsia="Times New Roman" w:cstheme="minorHAnsi"/>
          <w:color w:val="161616"/>
        </w:rPr>
        <w:t xml:space="preserve">on the results </w:t>
      </w:r>
      <w:r w:rsidR="00BA64EE">
        <w:rPr>
          <w:rFonts w:eastAsia="Times New Roman" w:cstheme="minorHAnsi"/>
          <w:color w:val="161616"/>
        </w:rPr>
        <w:t xml:space="preserve">and progress </w:t>
      </w:r>
      <w:r>
        <w:rPr>
          <w:rFonts w:eastAsia="Times New Roman" w:cstheme="minorHAnsi"/>
          <w:color w:val="161616"/>
        </w:rPr>
        <w:t>achieved under the first phase of the programme, implemented in the period 2016-2019</w:t>
      </w:r>
      <w:r w:rsidR="000476B1">
        <w:rPr>
          <w:rFonts w:eastAsia="Times New Roman" w:cstheme="minorHAnsi"/>
          <w:color w:val="161616"/>
        </w:rPr>
        <w:t>, which include</w:t>
      </w:r>
      <w:r w:rsidR="000E23B5">
        <w:rPr>
          <w:rFonts w:eastAsia="Times New Roman" w:cstheme="minorHAnsi"/>
          <w:color w:val="161616"/>
        </w:rPr>
        <w:t xml:space="preserve">: </w:t>
      </w:r>
    </w:p>
    <w:p w14:paraId="01C927D5" w14:textId="62D7D171" w:rsidR="00ED5198" w:rsidRDefault="00FA5D3B" w:rsidP="00ED5198">
      <w:pPr>
        <w:pStyle w:val="ListParagraph"/>
        <w:numPr>
          <w:ilvl w:val="0"/>
          <w:numId w:val="7"/>
        </w:numPr>
        <w:rPr>
          <w:rFonts w:eastAsia="Times New Roman" w:cstheme="minorHAnsi"/>
          <w:color w:val="161616"/>
        </w:rPr>
      </w:pPr>
      <w:r>
        <w:rPr>
          <w:color w:val="161616"/>
        </w:rPr>
        <w:t>Advances in the</w:t>
      </w:r>
      <w:r w:rsidR="000E23B5" w:rsidRPr="002F4AE2">
        <w:rPr>
          <w:color w:val="161616"/>
        </w:rPr>
        <w:t xml:space="preserve"> implementation of reforms of the judiciary, prisons and police</w:t>
      </w:r>
      <w:r>
        <w:rPr>
          <w:color w:val="161616"/>
        </w:rPr>
        <w:t xml:space="preserve"> through </w:t>
      </w:r>
      <w:r w:rsidR="009F2DF8">
        <w:rPr>
          <w:color w:val="161616"/>
        </w:rPr>
        <w:t xml:space="preserve">technical </w:t>
      </w:r>
      <w:r>
        <w:rPr>
          <w:color w:val="161616"/>
        </w:rPr>
        <w:t>support provided to the Beneficiaries</w:t>
      </w:r>
      <w:r w:rsidR="00696376">
        <w:rPr>
          <w:color w:val="161616"/>
        </w:rPr>
        <w:t>;</w:t>
      </w:r>
      <w:r w:rsidR="00ED5198" w:rsidRPr="00ED5198">
        <w:rPr>
          <w:rFonts w:eastAsia="Times New Roman" w:cstheme="minorHAnsi"/>
          <w:color w:val="161616"/>
        </w:rPr>
        <w:t xml:space="preserve"> </w:t>
      </w:r>
    </w:p>
    <w:p w14:paraId="37231A90" w14:textId="49B00C00" w:rsidR="00ED5198" w:rsidRPr="00B849C0" w:rsidRDefault="00ED5198" w:rsidP="00ED5198">
      <w:pPr>
        <w:pStyle w:val="ListParagraph"/>
        <w:numPr>
          <w:ilvl w:val="0"/>
          <w:numId w:val="7"/>
        </w:numPr>
        <w:rPr>
          <w:rFonts w:eastAsia="Times New Roman" w:cstheme="minorHAnsi"/>
          <w:color w:val="161616"/>
        </w:rPr>
      </w:pPr>
      <w:r>
        <w:rPr>
          <w:rFonts w:eastAsia="Times New Roman" w:cstheme="minorHAnsi"/>
          <w:color w:val="161616"/>
        </w:rPr>
        <w:t xml:space="preserve">Strengthened harmonisation of legislation and practices </w:t>
      </w:r>
      <w:r w:rsidRPr="00B849C0">
        <w:rPr>
          <w:rFonts w:eastAsia="Times New Roman" w:cstheme="minorHAnsi"/>
          <w:color w:val="161616"/>
        </w:rPr>
        <w:t>with the European Convention on Human Rights (ECHR)</w:t>
      </w:r>
      <w:r>
        <w:rPr>
          <w:rFonts w:eastAsia="Times New Roman" w:cstheme="minorHAnsi"/>
          <w:color w:val="161616"/>
        </w:rPr>
        <w:t>;</w:t>
      </w:r>
      <w:r w:rsidRPr="00B849C0">
        <w:rPr>
          <w:rFonts w:eastAsia="Times New Roman" w:cstheme="minorHAnsi"/>
          <w:color w:val="161616"/>
        </w:rPr>
        <w:t xml:space="preserve"> </w:t>
      </w:r>
    </w:p>
    <w:p w14:paraId="3EDF7D20" w14:textId="000BDDA1" w:rsidR="003D4675" w:rsidRPr="005A236B" w:rsidRDefault="004E5536" w:rsidP="00D35194">
      <w:pPr>
        <w:pBdr>
          <w:top w:val="single" w:sz="4" w:space="0" w:color="auto"/>
          <w:left w:val="single" w:sz="4" w:space="4" w:color="auto"/>
          <w:bottom w:val="single" w:sz="4" w:space="1" w:color="auto"/>
          <w:right w:val="single" w:sz="4" w:space="4" w:color="auto"/>
        </w:pBdr>
        <w:rPr>
          <w:color w:val="161616"/>
        </w:rPr>
      </w:pPr>
      <w:r>
        <w:rPr>
          <w:color w:val="161616"/>
        </w:rPr>
        <w:t>B</w:t>
      </w:r>
      <w:r w:rsidR="00CB5E75" w:rsidRPr="00CB5E75">
        <w:rPr>
          <w:color w:val="161616"/>
        </w:rPr>
        <w:t>ringing policies, institutions and practices further in line with the case-law of the European Court of Human Rights (</w:t>
      </w:r>
      <w:r w:rsidR="00EB54F0">
        <w:rPr>
          <w:color w:val="161616"/>
        </w:rPr>
        <w:t>ECtHR</w:t>
      </w:r>
      <w:r w:rsidR="00CB5E75" w:rsidRPr="00CB5E75">
        <w:rPr>
          <w:color w:val="161616"/>
        </w:rPr>
        <w:t>), the recommendations of the European Committee for the Prevention of Torture and Inhuman or Degrading Treatment or Punishment (CPT) and the opinions of the Venice Commission and standards of the European Commission for the Efficiency of Justice (CEPEJ).</w:t>
      </w:r>
    </w:p>
    <w:p w14:paraId="633F25BA" w14:textId="57DD564A" w:rsidR="00F8576D" w:rsidRPr="0089388D" w:rsidRDefault="00777742" w:rsidP="000E23B5">
      <w:pPr>
        <w:pStyle w:val="ListParagraph"/>
        <w:numPr>
          <w:ilvl w:val="0"/>
          <w:numId w:val="7"/>
        </w:numPr>
        <w:rPr>
          <w:rFonts w:eastAsia="Times New Roman" w:cstheme="minorHAnsi"/>
          <w:color w:val="161616"/>
        </w:rPr>
      </w:pPr>
      <w:r>
        <w:rPr>
          <w:color w:val="161616"/>
        </w:rPr>
        <w:t>S</w:t>
      </w:r>
      <w:r w:rsidR="000E23B5" w:rsidRPr="002F4AE2">
        <w:rPr>
          <w:color w:val="161616"/>
        </w:rPr>
        <w:t>trengthen</w:t>
      </w:r>
      <w:r w:rsidR="002237D0">
        <w:rPr>
          <w:color w:val="161616"/>
        </w:rPr>
        <w:t>ed</w:t>
      </w:r>
      <w:r w:rsidR="000E23B5" w:rsidRPr="002F4AE2">
        <w:rPr>
          <w:color w:val="161616"/>
        </w:rPr>
        <w:t xml:space="preserve"> policies </w:t>
      </w:r>
      <w:r w:rsidR="00C74B58">
        <w:rPr>
          <w:rFonts w:eastAsia="Times New Roman" w:cstheme="minorHAnsi"/>
          <w:color w:val="161616"/>
        </w:rPr>
        <w:t xml:space="preserve">against </w:t>
      </w:r>
      <w:r w:rsidR="00C74B58" w:rsidRPr="00C74B58">
        <w:rPr>
          <w:color w:val="161616"/>
        </w:rPr>
        <w:t>corruption</w:t>
      </w:r>
      <w:r w:rsidR="000E23B5" w:rsidRPr="005A236B">
        <w:rPr>
          <w:color w:val="161616"/>
        </w:rPr>
        <w:t>, money laundering and financing of terrorism</w:t>
      </w:r>
      <w:r w:rsidR="00FA5D3B">
        <w:rPr>
          <w:color w:val="161616"/>
        </w:rPr>
        <w:t xml:space="preserve"> in the Beneficiaries</w:t>
      </w:r>
      <w:r w:rsidR="00696376">
        <w:rPr>
          <w:color w:val="161616"/>
        </w:rPr>
        <w:t>;</w:t>
      </w:r>
    </w:p>
    <w:p w14:paraId="0ED816D6" w14:textId="77777777" w:rsidR="00F4449C" w:rsidRPr="00EB54F0" w:rsidRDefault="004E5536" w:rsidP="00EB54F0">
      <w:pPr>
        <w:pBdr>
          <w:top w:val="single" w:sz="4" w:space="0" w:color="auto"/>
          <w:left w:val="single" w:sz="4" w:space="4" w:color="auto"/>
          <w:bottom w:val="single" w:sz="4" w:space="1" w:color="auto"/>
          <w:right w:val="single" w:sz="4" w:space="4" w:color="auto"/>
        </w:pBdr>
        <w:rPr>
          <w:color w:val="161616"/>
        </w:rPr>
      </w:pPr>
      <w:r w:rsidRPr="00EB54F0">
        <w:rPr>
          <w:color w:val="161616"/>
        </w:rPr>
        <w:t>A</w:t>
      </w:r>
      <w:r w:rsidR="006F76AA" w:rsidRPr="00EB54F0">
        <w:rPr>
          <w:color w:val="161616"/>
        </w:rPr>
        <w:t>ddress</w:t>
      </w:r>
      <w:r w:rsidRPr="00EB54F0">
        <w:rPr>
          <w:color w:val="161616"/>
        </w:rPr>
        <w:t>ing</w:t>
      </w:r>
      <w:r w:rsidR="006F76AA" w:rsidRPr="00EB54F0">
        <w:rPr>
          <w:color w:val="161616"/>
        </w:rPr>
        <w:t xml:space="preserve"> shortcomings identified in the evaluations by the Committee of Experts on the Evaluation of Anti-Money Laundering Measures and the Financing of Terrorism (MONEYVAL) and the Group of States against Corruption (GRECO)</w:t>
      </w:r>
      <w:r w:rsidR="00ED5198" w:rsidRPr="00EB54F0">
        <w:rPr>
          <w:color w:val="161616"/>
        </w:rPr>
        <w:t>.</w:t>
      </w:r>
      <w:r w:rsidR="006F76AA" w:rsidRPr="00EB54F0">
        <w:rPr>
          <w:color w:val="161616"/>
        </w:rPr>
        <w:t xml:space="preserve"> </w:t>
      </w:r>
    </w:p>
    <w:p w14:paraId="10739617" w14:textId="300B14A9" w:rsidR="000E23B5" w:rsidRDefault="002237D0" w:rsidP="000E23B5">
      <w:pPr>
        <w:pStyle w:val="ListParagraph"/>
        <w:numPr>
          <w:ilvl w:val="0"/>
          <w:numId w:val="7"/>
        </w:numPr>
        <w:rPr>
          <w:rFonts w:eastAsia="Times New Roman" w:cstheme="minorHAnsi"/>
          <w:color w:val="161616"/>
        </w:rPr>
      </w:pPr>
      <w:r>
        <w:rPr>
          <w:rFonts w:eastAsia="Times New Roman" w:cstheme="minorHAnsi"/>
          <w:color w:val="161616"/>
        </w:rPr>
        <w:t>S</w:t>
      </w:r>
      <w:r w:rsidR="00B2644F">
        <w:rPr>
          <w:rFonts w:eastAsia="Times New Roman" w:cstheme="minorHAnsi"/>
          <w:color w:val="161616"/>
        </w:rPr>
        <w:t>trengthened</w:t>
      </w:r>
      <w:r w:rsidR="00E41C81">
        <w:rPr>
          <w:rFonts w:eastAsia="Times New Roman" w:cstheme="minorHAnsi"/>
          <w:color w:val="161616"/>
        </w:rPr>
        <w:t xml:space="preserve"> </w:t>
      </w:r>
      <w:r>
        <w:rPr>
          <w:rFonts w:eastAsia="Times New Roman" w:cstheme="minorHAnsi"/>
          <w:color w:val="161616"/>
        </w:rPr>
        <w:t xml:space="preserve">legislation/policies and </w:t>
      </w:r>
      <w:r w:rsidR="00E41C81">
        <w:rPr>
          <w:rFonts w:eastAsia="Times New Roman" w:cstheme="minorHAnsi"/>
          <w:color w:val="161616"/>
        </w:rPr>
        <w:t xml:space="preserve">capacities </w:t>
      </w:r>
      <w:r w:rsidR="00BA64EE">
        <w:rPr>
          <w:rFonts w:eastAsia="Times New Roman" w:cstheme="minorHAnsi"/>
          <w:color w:val="161616"/>
        </w:rPr>
        <w:t>on</w:t>
      </w:r>
      <w:r w:rsidR="005A236B">
        <w:rPr>
          <w:rFonts w:eastAsia="Times New Roman" w:cstheme="minorHAnsi"/>
          <w:color w:val="161616"/>
        </w:rPr>
        <w:t xml:space="preserve"> </w:t>
      </w:r>
      <w:r w:rsidR="005A236B" w:rsidRPr="00FE6FB8">
        <w:rPr>
          <w:rFonts w:eastAsia="Times New Roman" w:cstheme="minorHAnsi"/>
          <w:color w:val="161616"/>
        </w:rPr>
        <w:t>inclusiveness</w:t>
      </w:r>
      <w:r w:rsidR="00E41C81">
        <w:rPr>
          <w:rFonts w:eastAsia="Times New Roman" w:cstheme="minorHAnsi"/>
          <w:color w:val="161616"/>
        </w:rPr>
        <w:t xml:space="preserve"> and integrity in </w:t>
      </w:r>
      <w:r w:rsidR="00287D38" w:rsidRPr="00FE6FB8">
        <w:rPr>
          <w:rFonts w:eastAsia="Times New Roman" w:cstheme="minorHAnsi"/>
          <w:color w:val="161616"/>
        </w:rPr>
        <w:t>education,</w:t>
      </w:r>
      <w:r w:rsidR="00287D38">
        <w:rPr>
          <w:rFonts w:eastAsia="Times New Roman" w:cstheme="minorHAnsi"/>
          <w:color w:val="161616"/>
        </w:rPr>
        <w:t xml:space="preserve"> </w:t>
      </w:r>
      <w:r w:rsidR="00287D38" w:rsidRPr="00FE6FB8">
        <w:rPr>
          <w:rFonts w:eastAsia="Times New Roman" w:cstheme="minorHAnsi"/>
          <w:color w:val="161616"/>
        </w:rPr>
        <w:t>anti</w:t>
      </w:r>
      <w:r w:rsidR="00FE6FB8" w:rsidRPr="00FE6FB8">
        <w:rPr>
          <w:rFonts w:eastAsia="Times New Roman" w:cstheme="minorHAnsi"/>
          <w:color w:val="161616"/>
        </w:rPr>
        <w:t xml:space="preserve">-discrimination, </w:t>
      </w:r>
      <w:r w:rsidR="008013E1">
        <w:rPr>
          <w:rFonts w:eastAsia="Times New Roman" w:cstheme="minorHAnsi"/>
          <w:color w:val="161616"/>
        </w:rPr>
        <w:t xml:space="preserve">protection of </w:t>
      </w:r>
      <w:r w:rsidR="00FE6FB8" w:rsidRPr="00FE6FB8">
        <w:rPr>
          <w:rFonts w:eastAsia="Times New Roman" w:cstheme="minorHAnsi"/>
          <w:color w:val="161616"/>
        </w:rPr>
        <w:t xml:space="preserve">minorities and </w:t>
      </w:r>
      <w:r w:rsidR="008013E1">
        <w:rPr>
          <w:rFonts w:eastAsia="Times New Roman" w:cstheme="minorHAnsi"/>
          <w:color w:val="161616"/>
        </w:rPr>
        <w:t xml:space="preserve">the fight against </w:t>
      </w:r>
      <w:r w:rsidR="00FE6FB8" w:rsidRPr="00FE6FB8">
        <w:rPr>
          <w:rFonts w:eastAsia="Times New Roman" w:cstheme="minorHAnsi"/>
          <w:color w:val="161616"/>
        </w:rPr>
        <w:t>trafficking</w:t>
      </w:r>
      <w:r w:rsidR="008013E1">
        <w:rPr>
          <w:rFonts w:eastAsia="Times New Roman" w:cstheme="minorHAnsi"/>
          <w:color w:val="161616"/>
        </w:rPr>
        <w:t xml:space="preserve"> in human beings</w:t>
      </w:r>
      <w:r w:rsidR="00696376">
        <w:rPr>
          <w:rFonts w:eastAsia="Times New Roman" w:cstheme="minorHAnsi"/>
          <w:color w:val="161616"/>
        </w:rPr>
        <w:t>;</w:t>
      </w:r>
    </w:p>
    <w:p w14:paraId="3344C7BF" w14:textId="34247787" w:rsidR="00052C85" w:rsidRDefault="00052C85" w:rsidP="00052C85">
      <w:pPr>
        <w:rPr>
          <w:rFonts w:eastAsia="Times New Roman" w:cstheme="minorHAnsi"/>
          <w:color w:val="161616"/>
        </w:rPr>
      </w:pPr>
      <w:r w:rsidRPr="00052C85">
        <w:rPr>
          <w:rFonts w:eastAsia="Times New Roman" w:cstheme="minorHAnsi"/>
          <w:noProof/>
          <w:color w:val="161616"/>
          <w:lang w:val="en-US"/>
        </w:rPr>
        <mc:AlternateContent>
          <mc:Choice Requires="wps">
            <w:drawing>
              <wp:anchor distT="0" distB="0" distL="114300" distR="114300" simplePos="0" relativeHeight="251659264" behindDoc="0" locked="0" layoutInCell="1" allowOverlap="1" wp14:anchorId="4107AC5A" wp14:editId="2455696D">
                <wp:simplePos x="0" y="0"/>
                <wp:positionH relativeFrom="column">
                  <wp:posOffset>-31750</wp:posOffset>
                </wp:positionH>
                <wp:positionV relativeFrom="paragraph">
                  <wp:posOffset>48895</wp:posOffset>
                </wp:positionV>
                <wp:extent cx="5784850" cy="103505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035050"/>
                        </a:xfrm>
                        <a:prstGeom prst="rect">
                          <a:avLst/>
                        </a:prstGeom>
                        <a:solidFill>
                          <a:srgbClr val="FFFFFF"/>
                        </a:solidFill>
                        <a:ln w="9525">
                          <a:solidFill>
                            <a:srgbClr val="000000"/>
                          </a:solidFill>
                          <a:miter lim="800000"/>
                          <a:headEnd/>
                          <a:tailEnd/>
                        </a:ln>
                      </wps:spPr>
                      <wps:txbx>
                        <w:txbxContent>
                          <w:p w14:paraId="3AF05B2F" w14:textId="5AF611E7" w:rsidR="00052C85" w:rsidRDefault="00052C85">
                            <w:r w:rsidRPr="00052C85">
                              <w:t>Implementing recommendations of the European Commission against Racism and Intolerance (ECRI), the Group of Experts on Action against Trafficking in Human Beings (GRETA) and the Commissioner for Human Rights, as well as those emanating from the monitoring of the Framework Convention on National Minorities (FCNM) and the European Charter for Regional or Minority Languages (ECRML).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7AC5A" id="_x0000_t202" coordsize="21600,21600" o:spt="202" path="m,l,21600r21600,l21600,xe">
                <v:stroke joinstyle="miter"/>
                <v:path gradientshapeok="t" o:connecttype="rect"/>
              </v:shapetype>
              <v:shape id="Text Box 2" o:spid="_x0000_s1026" type="#_x0000_t202" style="position:absolute;margin-left:-2.5pt;margin-top:3.85pt;width:455.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pWIwIAAEc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">
                <v:textbox>
                  <w:txbxContent>
                    <w:p w14:paraId="3AF05B2F" w14:textId="5AF611E7" w:rsidR="00052C85" w:rsidRDefault="00052C85">
                      <w:r w:rsidRPr="00052C85">
                        <w:t>Implementing recommendations of the European Commission against Racism and Intolerance (ECRI), the Group of Experts on Action against Trafficking in Human Beings (GRETA) and the Commissioner for Human Rights, as well as those emanating from the monitoring of the Framework Convention on National Minorities (FCNM) and the European Charter for Regional or Minority Languages (ECRML).</w:t>
                      </w:r>
                    </w:p>
                  </w:txbxContent>
                </v:textbox>
              </v:shape>
            </w:pict>
          </mc:Fallback>
        </mc:AlternateContent>
      </w:r>
    </w:p>
    <w:p w14:paraId="30B40C15" w14:textId="77777777" w:rsidR="00052C85" w:rsidRDefault="00052C85" w:rsidP="00052C85">
      <w:pPr>
        <w:rPr>
          <w:rFonts w:eastAsia="Times New Roman" w:cstheme="minorHAnsi"/>
          <w:color w:val="161616"/>
        </w:rPr>
      </w:pPr>
    </w:p>
    <w:p w14:paraId="06404930" w14:textId="77777777" w:rsidR="00052C85" w:rsidRDefault="00052C85" w:rsidP="00052C85">
      <w:pPr>
        <w:rPr>
          <w:rFonts w:eastAsia="Times New Roman" w:cstheme="minorHAnsi"/>
          <w:color w:val="161616"/>
        </w:rPr>
      </w:pPr>
    </w:p>
    <w:p w14:paraId="6B447BD2" w14:textId="77777777" w:rsidR="00052C85" w:rsidRDefault="00052C85" w:rsidP="00052C85">
      <w:pPr>
        <w:rPr>
          <w:rFonts w:eastAsia="Times New Roman" w:cstheme="minorHAnsi"/>
          <w:color w:val="161616"/>
        </w:rPr>
      </w:pPr>
    </w:p>
    <w:p w14:paraId="4FA4C21C" w14:textId="3943B767" w:rsidR="006553EF" w:rsidRPr="00EB54F0" w:rsidRDefault="0062772C" w:rsidP="006553EF">
      <w:pPr>
        <w:pStyle w:val="ListParagraph"/>
        <w:numPr>
          <w:ilvl w:val="0"/>
          <w:numId w:val="7"/>
        </w:numPr>
        <w:jc w:val="both"/>
        <w:rPr>
          <w:rFonts w:eastAsia="Times New Roman" w:cstheme="minorHAnsi"/>
          <w:color w:val="161616"/>
          <w:lang w:val="sr-Latn-RS"/>
        </w:rPr>
      </w:pPr>
      <w:r w:rsidRPr="00EB3453">
        <w:rPr>
          <w:rFonts w:eastAsia="Times New Roman" w:cstheme="minorHAnsi"/>
          <w:color w:val="161616"/>
        </w:rPr>
        <w:t>Guidance provided to Beneficiaries</w:t>
      </w:r>
      <w:r w:rsidR="00411C41" w:rsidRPr="00EB3453">
        <w:rPr>
          <w:rFonts w:eastAsia="Times New Roman" w:cstheme="minorHAnsi"/>
          <w:color w:val="161616"/>
        </w:rPr>
        <w:t xml:space="preserve"> on drafting legislation and policies </w:t>
      </w:r>
      <w:r w:rsidR="00FE6FB8" w:rsidRPr="00EB3453">
        <w:rPr>
          <w:rFonts w:eastAsia="Times New Roman" w:cstheme="minorHAnsi"/>
          <w:color w:val="161616"/>
        </w:rPr>
        <w:t>through the Expertise Co-ordination Mechanism</w:t>
      </w:r>
      <w:r w:rsidR="00EC5365">
        <w:rPr>
          <w:rFonts w:eastAsia="Times New Roman" w:cstheme="minorHAnsi"/>
          <w:color w:val="161616"/>
        </w:rPr>
        <w:t xml:space="preserve">. For example, </w:t>
      </w:r>
      <w:r w:rsidR="00FF49EB">
        <w:rPr>
          <w:rFonts w:eastAsia="Times New Roman" w:cstheme="minorHAnsi"/>
          <w:color w:val="161616"/>
        </w:rPr>
        <w:t xml:space="preserve"> </w:t>
      </w:r>
    </w:p>
    <w:p w14:paraId="6B9B9D22" w14:textId="48D386E2" w:rsidR="00FF49EB" w:rsidRPr="00F97E56" w:rsidRDefault="000E125C" w:rsidP="000E125C">
      <w:pPr>
        <w:jc w:val="both"/>
        <w:rPr>
          <w:rFonts w:eastAsia="Times New Roman" w:cstheme="minorHAnsi"/>
          <w:color w:val="161616"/>
          <w:lang w:val="sr-Latn-RS"/>
        </w:rPr>
      </w:pPr>
      <w:r>
        <w:rPr>
          <w:rFonts w:eastAsia="Times New Roman" w:cstheme="minorHAnsi"/>
          <w:color w:val="161616"/>
        </w:rPr>
        <w:t>E</w:t>
      </w:r>
      <w:r w:rsidR="006553EF" w:rsidRPr="00F97E56">
        <w:rPr>
          <w:rFonts w:eastAsia="Times New Roman" w:cstheme="minorHAnsi"/>
          <w:color w:val="161616"/>
        </w:rPr>
        <w:t>xpertise was</w:t>
      </w:r>
      <w:r w:rsidR="00FF49EB" w:rsidRPr="00F97E56">
        <w:rPr>
          <w:rFonts w:eastAsia="Times New Roman" w:cstheme="minorHAnsi"/>
          <w:color w:val="161616"/>
        </w:rPr>
        <w:t xml:space="preserve"> </w:t>
      </w:r>
      <w:r w:rsidR="006553EF" w:rsidRPr="00F97E56">
        <w:rPr>
          <w:rFonts w:eastAsia="Times New Roman" w:cstheme="minorHAnsi"/>
          <w:color w:val="161616"/>
        </w:rPr>
        <w:t>provided</w:t>
      </w:r>
      <w:r w:rsidR="00FF49EB" w:rsidRPr="00F97E56">
        <w:rPr>
          <w:rFonts w:eastAsia="Times New Roman" w:cstheme="minorHAnsi"/>
          <w:color w:val="161616"/>
        </w:rPr>
        <w:t xml:space="preserve"> </w:t>
      </w:r>
      <w:r w:rsidR="00292893" w:rsidRPr="00F97E56">
        <w:rPr>
          <w:rFonts w:eastAsia="Times New Roman" w:cstheme="minorHAnsi"/>
          <w:color w:val="161616"/>
        </w:rPr>
        <w:t>on</w:t>
      </w:r>
      <w:r w:rsidR="00EB54F0" w:rsidRPr="00F97E56">
        <w:rPr>
          <w:rFonts w:eastAsia="Times New Roman" w:cstheme="minorHAnsi"/>
          <w:color w:val="161616"/>
        </w:rPr>
        <w:t xml:space="preserve"> </w:t>
      </w:r>
      <w:r w:rsidR="00E450B7" w:rsidRPr="00F97E56">
        <w:rPr>
          <w:rFonts w:eastAsia="Times New Roman" w:cstheme="minorHAnsi"/>
          <w:color w:val="161616"/>
        </w:rPr>
        <w:t xml:space="preserve">the Law on </w:t>
      </w:r>
      <w:r w:rsidR="006553EF" w:rsidRPr="00F97E56">
        <w:rPr>
          <w:rFonts w:eastAsia="Times New Roman" w:cstheme="minorHAnsi"/>
          <w:color w:val="161616"/>
        </w:rPr>
        <w:t xml:space="preserve">Treatment of Property (Albania); </w:t>
      </w:r>
      <w:r w:rsidR="00717B89" w:rsidRPr="00F97E56">
        <w:rPr>
          <w:rFonts w:eastAsia="Times New Roman" w:cstheme="minorHAnsi"/>
          <w:color w:val="161616"/>
        </w:rPr>
        <w:t>the</w:t>
      </w:r>
      <w:r w:rsidR="00E450B7" w:rsidRPr="00F97E56">
        <w:rPr>
          <w:rFonts w:eastAsia="Times New Roman" w:cstheme="minorHAnsi"/>
          <w:color w:val="161616"/>
        </w:rPr>
        <w:t xml:space="preserve"> Law on the </w:t>
      </w:r>
      <w:r w:rsidR="00983915" w:rsidRPr="00F97E56">
        <w:rPr>
          <w:rFonts w:eastAsia="Times New Roman" w:cstheme="minorHAnsi"/>
          <w:color w:val="161616"/>
        </w:rPr>
        <w:t>rights of the victims of torture</w:t>
      </w:r>
      <w:r w:rsidR="006553EF" w:rsidRPr="00F97E56">
        <w:rPr>
          <w:rFonts w:eastAsia="Times New Roman" w:cstheme="minorHAnsi"/>
          <w:color w:val="161616"/>
        </w:rPr>
        <w:t xml:space="preserve"> (Bosnia and Herzegovina)</w:t>
      </w:r>
      <w:r w:rsidR="00E450B7" w:rsidRPr="00F97E56">
        <w:rPr>
          <w:rFonts w:eastAsia="Times New Roman" w:cstheme="minorHAnsi"/>
          <w:color w:val="161616"/>
        </w:rPr>
        <w:t xml:space="preserve">; </w:t>
      </w:r>
      <w:r w:rsidR="00717B89" w:rsidRPr="00F97E56">
        <w:rPr>
          <w:rFonts w:eastAsia="Times New Roman" w:cstheme="minorHAnsi"/>
          <w:color w:val="161616"/>
        </w:rPr>
        <w:t>the</w:t>
      </w:r>
      <w:r w:rsidR="00E450B7" w:rsidRPr="00F97E56">
        <w:rPr>
          <w:rFonts w:eastAsia="Times New Roman" w:cstheme="minorHAnsi"/>
          <w:color w:val="161616"/>
        </w:rPr>
        <w:t xml:space="preserve"> </w:t>
      </w:r>
      <w:r w:rsidR="00717B89" w:rsidRPr="00F97E56">
        <w:rPr>
          <w:rFonts w:eastAsia="Times New Roman" w:cstheme="minorHAnsi"/>
          <w:color w:val="161616"/>
        </w:rPr>
        <w:t>L</w:t>
      </w:r>
      <w:r w:rsidR="00E450B7" w:rsidRPr="00F97E56">
        <w:rPr>
          <w:rFonts w:eastAsia="Times New Roman" w:cstheme="minorHAnsi"/>
          <w:color w:val="161616"/>
        </w:rPr>
        <w:t>aw on Foreigners relating to migration (Montenegro);</w:t>
      </w:r>
      <w:r w:rsidR="00983915" w:rsidRPr="00F97E56">
        <w:rPr>
          <w:rFonts w:eastAsia="Times New Roman" w:cstheme="minorHAnsi"/>
          <w:color w:val="161616"/>
        </w:rPr>
        <w:t xml:space="preserve"> </w:t>
      </w:r>
      <w:r w:rsidR="00E450B7" w:rsidRPr="00F97E56">
        <w:rPr>
          <w:rFonts w:eastAsia="Times New Roman" w:cstheme="minorHAnsi"/>
          <w:color w:val="161616"/>
        </w:rPr>
        <w:t xml:space="preserve">the Law on </w:t>
      </w:r>
      <w:r w:rsidR="00983915" w:rsidRPr="00F97E56">
        <w:rPr>
          <w:rFonts w:eastAsia="Times New Roman" w:cstheme="minorHAnsi"/>
          <w:color w:val="161616"/>
        </w:rPr>
        <w:t>protection against discrimination</w:t>
      </w:r>
      <w:r w:rsidR="006553EF" w:rsidRPr="00F97E56">
        <w:rPr>
          <w:rFonts w:eastAsia="Times New Roman" w:cstheme="minorHAnsi"/>
          <w:color w:val="161616"/>
        </w:rPr>
        <w:t xml:space="preserve"> (North Macedonia);</w:t>
      </w:r>
      <w:r w:rsidR="00983915" w:rsidRPr="00F97E56">
        <w:rPr>
          <w:rFonts w:eastAsia="Times New Roman" w:cstheme="minorHAnsi"/>
          <w:color w:val="161616"/>
        </w:rPr>
        <w:t xml:space="preserve"> </w:t>
      </w:r>
      <w:r w:rsidR="006553EF" w:rsidRPr="00F97E56">
        <w:rPr>
          <w:rFonts w:eastAsia="Times New Roman" w:cstheme="minorHAnsi"/>
          <w:color w:val="161616"/>
        </w:rPr>
        <w:t xml:space="preserve">and </w:t>
      </w:r>
      <w:r w:rsidR="00E450B7" w:rsidRPr="00F97E56">
        <w:rPr>
          <w:rFonts w:eastAsia="Times New Roman" w:cstheme="minorHAnsi"/>
          <w:color w:val="161616"/>
        </w:rPr>
        <w:t>Co</w:t>
      </w:r>
      <w:r w:rsidR="006553EF" w:rsidRPr="00F97E56">
        <w:rPr>
          <w:rFonts w:eastAsia="Times New Roman" w:cstheme="minorHAnsi"/>
          <w:color w:val="161616"/>
        </w:rPr>
        <w:t>nstitutional provisions relating to the judiciary (Serbia)</w:t>
      </w:r>
    </w:p>
    <w:p w14:paraId="4DE744AC" w14:textId="77777777" w:rsidR="00C71B34" w:rsidRDefault="00C71B34" w:rsidP="00C71B34">
      <w:pPr>
        <w:ind w:left="720"/>
        <w:jc w:val="both"/>
        <w:rPr>
          <w:rFonts w:eastAsia="Times New Roman" w:cstheme="minorHAnsi"/>
          <w:color w:val="161616"/>
          <w:lang w:val="sr-Latn-RS"/>
        </w:rPr>
      </w:pPr>
    </w:p>
    <w:p w14:paraId="14381E90" w14:textId="77777777" w:rsidR="00C71B34" w:rsidRPr="00C71B34" w:rsidRDefault="00C71B34" w:rsidP="00C71B34">
      <w:pPr>
        <w:jc w:val="both"/>
        <w:rPr>
          <w:rFonts w:eastAsia="Times New Roman" w:cstheme="minorHAnsi"/>
          <w:color w:val="161616"/>
          <w:lang w:val="sr-Latn-RS"/>
        </w:rPr>
      </w:pPr>
    </w:p>
    <w:p w14:paraId="4C9CD3D5" w14:textId="57367564" w:rsidR="003845CB" w:rsidRDefault="003845CB" w:rsidP="003845CB">
      <w:r w:rsidRPr="005813E7">
        <w:rPr>
          <w:b/>
          <w:u w:val="single"/>
        </w:rPr>
        <w:lastRenderedPageBreak/>
        <w:t>Horizontal Facility II at a glance</w:t>
      </w:r>
    </w:p>
    <w:p w14:paraId="37777DFA" w14:textId="40ACDE7C" w:rsidR="00F13A18" w:rsidRDefault="00F13A18" w:rsidP="00F13A18">
      <w:pPr>
        <w:jc w:val="both"/>
      </w:pPr>
      <w:r>
        <w:rPr>
          <w:i/>
        </w:rPr>
        <w:t xml:space="preserve"> / </w:t>
      </w:r>
      <w:r w:rsidR="006C69F2" w:rsidRPr="0084372B">
        <w:rPr>
          <w:b/>
          <w:i/>
        </w:rPr>
        <w:t>The g</w:t>
      </w:r>
      <w:r w:rsidR="003845CB" w:rsidRPr="0084372B">
        <w:rPr>
          <w:b/>
          <w:i/>
        </w:rPr>
        <w:t>eographical scope</w:t>
      </w:r>
      <w:r w:rsidRPr="00F13A18">
        <w:t xml:space="preserve"> </w:t>
      </w:r>
      <w:r w:rsidR="00175ADF">
        <w:t xml:space="preserve">of </w:t>
      </w:r>
      <w:r w:rsidR="002F4AE2">
        <w:t xml:space="preserve">the </w:t>
      </w:r>
      <w:r w:rsidR="002F4AE2" w:rsidRPr="004B138F">
        <w:t>second</w:t>
      </w:r>
      <w:r w:rsidRPr="004B138F">
        <w:t xml:space="preserve"> phase of the programme cover</w:t>
      </w:r>
      <w:r>
        <w:t>s</w:t>
      </w:r>
      <w:r w:rsidRPr="004B138F">
        <w:t xml:space="preserve"> actions in Albania, Bosnia and Herzegovina, Kosovo*, Montenegro, North Macedonia, Serbia and Turkey</w:t>
      </w:r>
      <w:r w:rsidR="00CC7FC9">
        <w:t>, w</w:t>
      </w:r>
      <w:r w:rsidR="00411C41">
        <w:t>ith a distinct regional dimension</w:t>
      </w:r>
      <w:r w:rsidRPr="004B138F">
        <w:t>.</w:t>
      </w:r>
    </w:p>
    <w:p w14:paraId="7E28B35D" w14:textId="28D30136" w:rsidR="00F13A18" w:rsidRPr="004B138F" w:rsidRDefault="006161B0" w:rsidP="00F13A18">
      <w:pPr>
        <w:jc w:val="both"/>
      </w:pPr>
      <w:r>
        <w:rPr>
          <w:i/>
        </w:rPr>
        <w:t xml:space="preserve">/ </w:t>
      </w:r>
      <w:r w:rsidR="00903924" w:rsidRPr="0084372B">
        <w:rPr>
          <w:b/>
          <w:i/>
        </w:rPr>
        <w:t>T</w:t>
      </w:r>
      <w:r w:rsidR="0091407E">
        <w:rPr>
          <w:b/>
          <w:i/>
        </w:rPr>
        <w:t>he t</w:t>
      </w:r>
      <w:r w:rsidR="00903924" w:rsidRPr="0084372B">
        <w:rPr>
          <w:b/>
          <w:i/>
        </w:rPr>
        <w:t>hemes</w:t>
      </w:r>
      <w:r w:rsidR="00903924" w:rsidRPr="00903924">
        <w:rPr>
          <w:i/>
        </w:rPr>
        <w:t xml:space="preserve"> </w:t>
      </w:r>
      <w:r w:rsidR="00F13A18" w:rsidRPr="004B138F">
        <w:t>covered by the Horizontal Facility include:</w:t>
      </w:r>
    </w:p>
    <w:p w14:paraId="7A75E4ED" w14:textId="77777777" w:rsidR="00F13A18" w:rsidRPr="004B138F" w:rsidRDefault="00F13A18" w:rsidP="00F13A18">
      <w:pPr>
        <w:pStyle w:val="ListParagraph"/>
        <w:numPr>
          <w:ilvl w:val="0"/>
          <w:numId w:val="5"/>
        </w:numPr>
        <w:jc w:val="both"/>
      </w:pPr>
      <w:r w:rsidRPr="004B138F">
        <w:t>Ensuring justice;</w:t>
      </w:r>
    </w:p>
    <w:p w14:paraId="17DC58E7" w14:textId="77777777" w:rsidR="00F13A18" w:rsidRPr="004B138F" w:rsidRDefault="00F13A18" w:rsidP="00F13A18">
      <w:pPr>
        <w:pStyle w:val="ListParagraph"/>
        <w:numPr>
          <w:ilvl w:val="0"/>
          <w:numId w:val="5"/>
        </w:numPr>
        <w:jc w:val="both"/>
      </w:pPr>
      <w:r w:rsidRPr="004B138F">
        <w:t>Fighting economic crime;</w:t>
      </w:r>
    </w:p>
    <w:p w14:paraId="7B4B52AE" w14:textId="77777777" w:rsidR="00F13A18" w:rsidRPr="004B138F" w:rsidRDefault="00F13A18" w:rsidP="00F13A18">
      <w:pPr>
        <w:pStyle w:val="ListParagraph"/>
        <w:numPr>
          <w:ilvl w:val="0"/>
          <w:numId w:val="5"/>
        </w:numPr>
        <w:jc w:val="both"/>
      </w:pPr>
      <w:r w:rsidRPr="004B138F">
        <w:t>Combating discrimination and protecting the rights of vulnerable groups (including LGBTI, minorities and Roma) and</w:t>
      </w:r>
    </w:p>
    <w:p w14:paraId="13AFE954" w14:textId="77777777" w:rsidR="00F13A18" w:rsidRPr="004B138F" w:rsidRDefault="00F13A18" w:rsidP="00F13A18">
      <w:pPr>
        <w:pStyle w:val="ListParagraph"/>
        <w:numPr>
          <w:ilvl w:val="0"/>
          <w:numId w:val="5"/>
        </w:numPr>
        <w:jc w:val="both"/>
      </w:pPr>
      <w:r w:rsidRPr="004B138F">
        <w:t>Freedom of expression and freedom of the media.</w:t>
      </w:r>
    </w:p>
    <w:p w14:paraId="5E9708C4" w14:textId="42F8B020" w:rsidR="003845CB" w:rsidRDefault="006161B0" w:rsidP="006161B0">
      <w:pPr>
        <w:jc w:val="both"/>
        <w:rPr>
          <w:i/>
        </w:rPr>
      </w:pPr>
      <w:r>
        <w:rPr>
          <w:i/>
        </w:rPr>
        <w:t>/</w:t>
      </w:r>
      <w:r w:rsidR="002F4AE2">
        <w:rPr>
          <w:i/>
        </w:rPr>
        <w:t xml:space="preserve"> </w:t>
      </w:r>
      <w:r w:rsidR="002E1A71" w:rsidRPr="005A236B">
        <w:rPr>
          <w:b/>
          <w:i/>
        </w:rPr>
        <w:t xml:space="preserve">The </w:t>
      </w:r>
      <w:r w:rsidR="005A236B">
        <w:rPr>
          <w:b/>
          <w:i/>
        </w:rPr>
        <w:t>b</w:t>
      </w:r>
      <w:r w:rsidR="003845CB" w:rsidRPr="005A236B">
        <w:rPr>
          <w:b/>
          <w:i/>
        </w:rPr>
        <w:t>udget</w:t>
      </w:r>
      <w:r w:rsidR="005813E7" w:rsidRPr="005813E7">
        <w:rPr>
          <w:i/>
        </w:rPr>
        <w:t xml:space="preserve"> </w:t>
      </w:r>
      <w:r w:rsidR="005813E7" w:rsidRPr="005813E7">
        <w:t>allocated for</w:t>
      </w:r>
      <w:r w:rsidR="00F13A18">
        <w:t xml:space="preserve"> the programme </w:t>
      </w:r>
      <w:r w:rsidR="00F13A18" w:rsidRPr="004B138F">
        <w:t>amounts to ca. 41 Million EUR (85% funded by the European Union, 15% by the Council of Europe)</w:t>
      </w:r>
      <w:r w:rsidR="005813E7" w:rsidRPr="005813E7">
        <w:rPr>
          <w:i/>
        </w:rPr>
        <w:t xml:space="preserve"> </w:t>
      </w:r>
    </w:p>
    <w:p w14:paraId="6E46A671" w14:textId="66F9C4C4" w:rsidR="003264DC" w:rsidRPr="005A236B" w:rsidRDefault="00503C9B" w:rsidP="003264DC">
      <w:pPr>
        <w:jc w:val="both"/>
      </w:pPr>
      <w:r>
        <w:rPr>
          <w:i/>
        </w:rPr>
        <w:t xml:space="preserve">/ </w:t>
      </w:r>
      <w:r w:rsidR="002E1A71" w:rsidRPr="005A236B">
        <w:rPr>
          <w:b/>
          <w:i/>
        </w:rPr>
        <w:t xml:space="preserve">The </w:t>
      </w:r>
      <w:r w:rsidR="002F4AE2">
        <w:rPr>
          <w:b/>
          <w:i/>
        </w:rPr>
        <w:t>s</w:t>
      </w:r>
      <w:r w:rsidR="002F4AE2" w:rsidRPr="005A236B">
        <w:rPr>
          <w:b/>
          <w:i/>
        </w:rPr>
        <w:t>tructure</w:t>
      </w:r>
      <w:r w:rsidR="002F4AE2">
        <w:rPr>
          <w:i/>
        </w:rPr>
        <w:t xml:space="preserve"> of</w:t>
      </w:r>
      <w:r w:rsidR="00175ADF">
        <w:t xml:space="preserve"> t</w:t>
      </w:r>
      <w:r w:rsidR="003264DC" w:rsidRPr="005A236B">
        <w:t>he H</w:t>
      </w:r>
      <w:r w:rsidR="00B91467">
        <w:t>orizontal Facility</w:t>
      </w:r>
      <w:r w:rsidR="003264DC" w:rsidRPr="005A236B">
        <w:t xml:space="preserve"> Programme, as established in </w:t>
      </w:r>
      <w:r w:rsidR="00CC7FC9">
        <w:t>the</w:t>
      </w:r>
      <w:r w:rsidR="003264DC" w:rsidRPr="002F4AE2">
        <w:t xml:space="preserve"> first phase</w:t>
      </w:r>
      <w:r w:rsidR="00CC7FC9">
        <w:t xml:space="preserve"> of the programme</w:t>
      </w:r>
      <w:r w:rsidR="003264DC" w:rsidRPr="005A236B">
        <w:t xml:space="preserve">, follows a two-fold approach: </w:t>
      </w:r>
    </w:p>
    <w:p w14:paraId="37DD36A5" w14:textId="2AC281B2" w:rsidR="005C0C8F" w:rsidRPr="005A236B" w:rsidRDefault="003264DC" w:rsidP="005C0C8F">
      <w:pPr>
        <w:jc w:val="both"/>
      </w:pPr>
      <w:r w:rsidRPr="005A236B">
        <w:t>-</w:t>
      </w:r>
      <w:r w:rsidRPr="005A236B">
        <w:tab/>
      </w:r>
      <w:r w:rsidR="005C0C8F">
        <w:t>Technical co-operation, in the form of capacity-building, advice and other forms of technical support tailored to the needs of each H</w:t>
      </w:r>
      <w:r w:rsidR="00552278">
        <w:t xml:space="preserve">orizontal </w:t>
      </w:r>
      <w:r w:rsidR="005C0C8F">
        <w:t>F</w:t>
      </w:r>
      <w:r w:rsidR="00552278">
        <w:t>acility</w:t>
      </w:r>
      <w:r w:rsidR="005C0C8F">
        <w:t xml:space="preserve"> Beneficiary to achieve increased compliance with European standards</w:t>
      </w:r>
      <w:r w:rsidR="00063C8F">
        <w:t>;</w:t>
      </w:r>
    </w:p>
    <w:p w14:paraId="4637E425" w14:textId="09A6B1EA" w:rsidR="005C0C8F" w:rsidRDefault="003264DC">
      <w:pPr>
        <w:autoSpaceDE w:val="0"/>
        <w:autoSpaceDN w:val="0"/>
        <w:adjustRightInd w:val="0"/>
        <w:spacing w:after="0" w:line="240" w:lineRule="auto"/>
        <w:rPr>
          <w:rFonts w:ascii="Calibri" w:hAnsi="Calibri" w:cs="Calibri"/>
          <w:lang w:val="en-US"/>
        </w:rPr>
      </w:pPr>
      <w:r w:rsidRPr="005A236B">
        <w:t>-</w:t>
      </w:r>
      <w:r w:rsidRPr="005A236B">
        <w:tab/>
        <w:t xml:space="preserve">The Expertise Co-ordination Mechanism, </w:t>
      </w:r>
      <w:r w:rsidR="005C0C8F" w:rsidRPr="005A236B">
        <w:rPr>
          <w:rFonts w:ascii="Calibri" w:hAnsi="Calibri" w:cs="Calibri"/>
          <w:lang w:val="en-US"/>
        </w:rPr>
        <w:t>a flexible tool</w:t>
      </w:r>
      <w:r w:rsidR="005C0C8F" w:rsidRPr="005C0C8F">
        <w:t xml:space="preserve"> </w:t>
      </w:r>
      <w:r w:rsidRPr="005A236B">
        <w:t xml:space="preserve">through which the Council of Europe provides </w:t>
      </w:r>
      <w:r w:rsidR="005C0C8F">
        <w:t xml:space="preserve">ad hoc </w:t>
      </w:r>
      <w:r w:rsidRPr="005A236B">
        <w:t>legislative expertise and policy advice in response to requests</w:t>
      </w:r>
      <w:r>
        <w:t xml:space="preserve"> made by the Beneficiaries. </w:t>
      </w:r>
      <w:r w:rsidR="005C0C8F" w:rsidRPr="005A236B">
        <w:rPr>
          <w:rFonts w:ascii="Calibri" w:hAnsi="Calibri" w:cs="Calibri"/>
          <w:lang w:val="en-US"/>
        </w:rPr>
        <w:t>Th</w:t>
      </w:r>
      <w:r w:rsidR="00375C12">
        <w:rPr>
          <w:rFonts w:ascii="Calibri" w:hAnsi="Calibri" w:cs="Calibri"/>
          <w:lang w:val="en-US"/>
        </w:rPr>
        <w:t>e</w:t>
      </w:r>
      <w:r w:rsidR="005C0C8F" w:rsidRPr="005A236B">
        <w:rPr>
          <w:rFonts w:ascii="Calibri" w:hAnsi="Calibri" w:cs="Calibri"/>
          <w:lang w:val="en-US"/>
        </w:rPr>
        <w:t>se r</w:t>
      </w:r>
      <w:r w:rsidRPr="005A236B">
        <w:rPr>
          <w:rFonts w:ascii="Calibri" w:hAnsi="Calibri" w:cs="Calibri"/>
          <w:lang w:val="en-US"/>
        </w:rPr>
        <w:t xml:space="preserve">equests may </w:t>
      </w:r>
      <w:r w:rsidR="005C0C8F" w:rsidRPr="005A236B">
        <w:rPr>
          <w:rFonts w:ascii="Calibri" w:hAnsi="Calibri" w:cs="Calibri"/>
          <w:lang w:val="en-US"/>
        </w:rPr>
        <w:t>address</w:t>
      </w:r>
      <w:r w:rsidRPr="005A236B">
        <w:rPr>
          <w:rFonts w:ascii="Calibri" w:hAnsi="Calibri" w:cs="Calibri"/>
          <w:lang w:val="en-US"/>
        </w:rPr>
        <w:t xml:space="preserve"> one of the </w:t>
      </w:r>
      <w:r w:rsidR="005C0C8F" w:rsidRPr="005A236B">
        <w:rPr>
          <w:rFonts w:ascii="Calibri" w:hAnsi="Calibri" w:cs="Calibri"/>
          <w:lang w:val="en-US"/>
        </w:rPr>
        <w:t xml:space="preserve">four thematic areas of the </w:t>
      </w:r>
      <w:r w:rsidR="002F4AE2" w:rsidRPr="005A236B">
        <w:rPr>
          <w:rFonts w:ascii="Calibri" w:hAnsi="Calibri" w:cs="Calibri"/>
          <w:lang w:val="en-US"/>
        </w:rPr>
        <w:t>programme but</w:t>
      </w:r>
      <w:r w:rsidR="005C0C8F" w:rsidRPr="005A236B">
        <w:rPr>
          <w:rFonts w:ascii="Calibri" w:hAnsi="Calibri" w:cs="Calibri"/>
          <w:lang w:val="en-US"/>
        </w:rPr>
        <w:t xml:space="preserve"> can also address</w:t>
      </w:r>
      <w:r w:rsidR="00375C12">
        <w:rPr>
          <w:rFonts w:ascii="Calibri" w:hAnsi="Calibri" w:cs="Calibri"/>
          <w:lang w:val="en-US"/>
        </w:rPr>
        <w:t xml:space="preserve"> other</w:t>
      </w:r>
      <w:r w:rsidR="005C0C8F" w:rsidRPr="005A236B">
        <w:rPr>
          <w:rFonts w:ascii="Calibri" w:hAnsi="Calibri" w:cs="Calibri"/>
          <w:lang w:val="en-US"/>
        </w:rPr>
        <w:t xml:space="preserve"> issues falling under </w:t>
      </w:r>
      <w:r w:rsidRPr="005A236B">
        <w:rPr>
          <w:rFonts w:ascii="Calibri" w:hAnsi="Calibri" w:cs="Calibri"/>
          <w:lang w:val="en-US"/>
        </w:rPr>
        <w:t>the mandate of the Venice Commission.</w:t>
      </w:r>
    </w:p>
    <w:p w14:paraId="0E71984B" w14:textId="2FAC8E5D" w:rsidR="002F4AE2" w:rsidRDefault="002F4AE2" w:rsidP="002F4AE2">
      <w:pPr>
        <w:autoSpaceDE w:val="0"/>
        <w:autoSpaceDN w:val="0"/>
        <w:adjustRightInd w:val="0"/>
        <w:spacing w:after="0" w:line="240" w:lineRule="auto"/>
        <w:rPr>
          <w:rFonts w:ascii="Calibri" w:hAnsi="Calibri" w:cs="Calibri"/>
          <w:lang w:val="en-US"/>
        </w:rPr>
      </w:pPr>
    </w:p>
    <w:p w14:paraId="09DE5E0E" w14:textId="77777777" w:rsidR="00382C50" w:rsidRPr="005A236B" w:rsidRDefault="00382C50" w:rsidP="002F4AE2">
      <w:pPr>
        <w:autoSpaceDE w:val="0"/>
        <w:autoSpaceDN w:val="0"/>
        <w:adjustRightInd w:val="0"/>
        <w:spacing w:after="0" w:line="240" w:lineRule="auto"/>
        <w:rPr>
          <w:rFonts w:ascii="Calibri" w:hAnsi="Calibri" w:cs="Calibri"/>
          <w:lang w:val="en-US"/>
        </w:rPr>
      </w:pPr>
    </w:p>
    <w:p w14:paraId="63382B75" w14:textId="749EFB5D" w:rsidR="00903924" w:rsidRDefault="00903924" w:rsidP="003845CB">
      <w:pPr>
        <w:rPr>
          <w:b/>
          <w:u w:val="single"/>
        </w:rPr>
      </w:pPr>
      <w:r w:rsidRPr="005813E7">
        <w:rPr>
          <w:b/>
          <w:u w:val="single"/>
        </w:rPr>
        <w:t xml:space="preserve">What does the programme aim to achieve? </w:t>
      </w:r>
    </w:p>
    <w:p w14:paraId="7BE84A56" w14:textId="3F737074" w:rsidR="00271F0B" w:rsidRPr="00C74B58" w:rsidRDefault="00271F0B" w:rsidP="00B91467">
      <w:pPr>
        <w:autoSpaceDE w:val="0"/>
        <w:autoSpaceDN w:val="0"/>
        <w:adjustRightInd w:val="0"/>
        <w:spacing w:after="0" w:line="240" w:lineRule="auto"/>
        <w:rPr>
          <w:rFonts w:ascii="Calibri" w:hAnsi="Calibri"/>
          <w:lang w:val="en-US"/>
        </w:rPr>
      </w:pPr>
      <w:r w:rsidRPr="005A236B">
        <w:t>The programme</w:t>
      </w:r>
      <w:r w:rsidR="005A236B">
        <w:t xml:space="preserve"> </w:t>
      </w:r>
      <w:r w:rsidR="00B91467">
        <w:t>enables the Beneficiaries to meet</w:t>
      </w:r>
      <w:r w:rsidR="00B91467" w:rsidRPr="00C74B58">
        <w:rPr>
          <w:rFonts w:ascii="Calibri" w:hAnsi="Calibri"/>
          <w:lang w:val="en-US"/>
        </w:rPr>
        <w:t xml:space="preserve"> their reform agendas and </w:t>
      </w:r>
      <w:r w:rsidR="00411C41">
        <w:rPr>
          <w:rFonts w:ascii="Calibri" w:hAnsi="Calibri"/>
          <w:lang w:val="en-US"/>
        </w:rPr>
        <w:t xml:space="preserve">to </w:t>
      </w:r>
      <w:r w:rsidR="00B91467" w:rsidRPr="00C74B58">
        <w:rPr>
          <w:rFonts w:ascii="Calibri" w:hAnsi="Calibri"/>
          <w:lang w:val="en-US"/>
        </w:rPr>
        <w:t>comply with the European standards</w:t>
      </w:r>
      <w:r w:rsidR="00375C12">
        <w:rPr>
          <w:rFonts w:ascii="Calibri" w:hAnsi="Calibri"/>
          <w:lang w:val="en-US"/>
        </w:rPr>
        <w:t>, including</w:t>
      </w:r>
      <w:r w:rsidR="00B91467" w:rsidRPr="00C74B58">
        <w:rPr>
          <w:rFonts w:ascii="Calibri" w:hAnsi="Calibri"/>
          <w:lang w:val="en-US"/>
        </w:rPr>
        <w:t xml:space="preserve"> </w:t>
      </w:r>
      <w:r w:rsidR="00375C12">
        <w:rPr>
          <w:rFonts w:ascii="Calibri" w:hAnsi="Calibri"/>
          <w:lang w:val="en-US"/>
        </w:rPr>
        <w:t xml:space="preserve">where relevant </w:t>
      </w:r>
      <w:r w:rsidR="0089388D">
        <w:rPr>
          <w:rFonts w:ascii="Calibri" w:hAnsi="Calibri"/>
          <w:lang w:val="en-US"/>
        </w:rPr>
        <w:t>with</w:t>
      </w:r>
      <w:r w:rsidR="00B91467" w:rsidRPr="00C74B58">
        <w:rPr>
          <w:rFonts w:ascii="Calibri" w:hAnsi="Calibri"/>
          <w:lang w:val="en-US"/>
        </w:rPr>
        <w:t>in the framework of the EU enlargement process.</w:t>
      </w:r>
      <w:r w:rsidR="00573132" w:rsidRPr="00573132">
        <w:t xml:space="preserve"> </w:t>
      </w:r>
      <w:r w:rsidR="00573132">
        <w:t xml:space="preserve"> T</w:t>
      </w:r>
      <w:r w:rsidR="00573132" w:rsidRPr="00573132">
        <w:t xml:space="preserve">ailor-made and demand-driven support </w:t>
      </w:r>
      <w:r w:rsidR="00573132">
        <w:t>is</w:t>
      </w:r>
      <w:r w:rsidR="00573132" w:rsidRPr="00573132">
        <w:t xml:space="preserve"> provided to </w:t>
      </w:r>
      <w:r w:rsidR="00573132">
        <w:t xml:space="preserve">further </w:t>
      </w:r>
      <w:r w:rsidR="00573132" w:rsidRPr="00573132">
        <w:t>improve legal and policy frameworks and build institutional capacities, reinforcing the functioning of institutions.</w:t>
      </w:r>
    </w:p>
    <w:p w14:paraId="2727F94F" w14:textId="77777777" w:rsidR="00B91467" w:rsidRPr="00C74B58" w:rsidRDefault="00B91467" w:rsidP="00C74B58">
      <w:pPr>
        <w:autoSpaceDE w:val="0"/>
        <w:autoSpaceDN w:val="0"/>
        <w:adjustRightInd w:val="0"/>
        <w:spacing w:after="0" w:line="240" w:lineRule="auto"/>
        <w:rPr>
          <w:rFonts w:ascii="Calibri" w:hAnsi="Calibri"/>
          <w:lang w:val="en-US"/>
        </w:rPr>
      </w:pPr>
    </w:p>
    <w:p w14:paraId="21C6FBD6" w14:textId="2F79F363" w:rsidR="00496063" w:rsidRDefault="00573132" w:rsidP="003845CB">
      <w:r>
        <w:t>To this end, t</w:t>
      </w:r>
      <w:r w:rsidR="00271F0B">
        <w:t xml:space="preserve">he </w:t>
      </w:r>
      <w:r w:rsidR="001F672D">
        <w:t xml:space="preserve">programme </w:t>
      </w:r>
      <w:r w:rsidR="00271F0B">
        <w:t>activities include capacity development, technical support and expertise, and awareness raising</w:t>
      </w:r>
      <w:r w:rsidR="00A453BA">
        <w:t xml:space="preserve"> in all four thematic </w:t>
      </w:r>
      <w:r w:rsidR="002C15B5">
        <w:t>fields</w:t>
      </w:r>
      <w:r w:rsidR="00334A4A">
        <w:t>.</w:t>
      </w:r>
    </w:p>
    <w:p w14:paraId="7E5E03AF" w14:textId="0F0B0141" w:rsidR="004F408C" w:rsidRDefault="004F408C" w:rsidP="004F408C">
      <w:r>
        <w:t xml:space="preserve">The second phase of the programme </w:t>
      </w:r>
      <w:r w:rsidR="0089388D">
        <w:t xml:space="preserve">aims </w:t>
      </w:r>
      <w:r>
        <w:t xml:space="preserve">to </w:t>
      </w:r>
      <w:r w:rsidR="00ED6C37">
        <w:t>s</w:t>
      </w:r>
      <w:r>
        <w:t>trengthen the</w:t>
      </w:r>
      <w:r w:rsidR="00ED6C37">
        <w:t xml:space="preserve"> </w:t>
      </w:r>
      <w:r>
        <w:t xml:space="preserve">sustainability </w:t>
      </w:r>
      <w:r w:rsidR="00ED6C37">
        <w:t xml:space="preserve">of </w:t>
      </w:r>
      <w:r w:rsidR="0089388D">
        <w:t xml:space="preserve">results </w:t>
      </w:r>
      <w:r w:rsidR="00ED6C37">
        <w:t>achieve</w:t>
      </w:r>
      <w:r w:rsidR="0089388D">
        <w:t>d during</w:t>
      </w:r>
      <w:r w:rsidR="00ED6C37">
        <w:t xml:space="preserve"> the first phase</w:t>
      </w:r>
      <w:r w:rsidR="0089388D">
        <w:t>,</w:t>
      </w:r>
      <w:r w:rsidR="00ED6C37">
        <w:t xml:space="preserve"> while ensuring</w:t>
      </w:r>
      <w:r>
        <w:t xml:space="preserve"> ownership </w:t>
      </w:r>
      <w:r w:rsidR="0089388D">
        <w:t xml:space="preserve">by </w:t>
      </w:r>
      <w:r>
        <w:t xml:space="preserve">the Beneficiary institutions. </w:t>
      </w:r>
    </w:p>
    <w:p w14:paraId="58CAE7A3" w14:textId="5F623362" w:rsidR="00C945C1" w:rsidRDefault="00C945C1" w:rsidP="00C945C1">
      <w:r>
        <w:t>The programme aims at bringing substantial improvements directly to the lives of citizens through its actions, while e</w:t>
      </w:r>
      <w:r w:rsidR="00841628">
        <w:t>n</w:t>
      </w:r>
      <w:r>
        <w:t>hancing communication on the tangible results achieved.</w:t>
      </w:r>
    </w:p>
    <w:p w14:paraId="555A1622" w14:textId="77777777" w:rsidR="00841628" w:rsidRDefault="00841628" w:rsidP="00C945C1"/>
    <w:p w14:paraId="5AB1C7EC" w14:textId="0C98AD1C" w:rsidR="00841628" w:rsidRPr="00E67785" w:rsidRDefault="00841628" w:rsidP="00E67785">
      <w:pPr>
        <w:jc w:val="both"/>
        <w:rPr>
          <w:i/>
          <w:sz w:val="18"/>
          <w:szCs w:val="20"/>
        </w:rPr>
      </w:pPr>
      <w:r w:rsidRPr="00841628">
        <w:rPr>
          <w:i/>
          <w:sz w:val="18"/>
          <w:szCs w:val="20"/>
        </w:rPr>
        <w:t>* This designation is without prejudice to positions on status, and is in line with UNSCR 1244 and the ICJ Opinion on the Kosovo Declaration of Independence.</w:t>
      </w:r>
    </w:p>
    <w:p w14:paraId="008E4B8D" w14:textId="3AE4AC0A" w:rsidR="002F4AE2" w:rsidRPr="005813E7" w:rsidRDefault="00903924" w:rsidP="003845CB">
      <w:pPr>
        <w:rPr>
          <w:b/>
          <w:u w:val="single"/>
        </w:rPr>
      </w:pPr>
      <w:r w:rsidRPr="005813E7">
        <w:rPr>
          <w:b/>
          <w:u w:val="single"/>
        </w:rPr>
        <w:lastRenderedPageBreak/>
        <w:t xml:space="preserve">A unique approach </w:t>
      </w:r>
    </w:p>
    <w:p w14:paraId="6BBC1C4F" w14:textId="10542F98" w:rsidR="00903924" w:rsidRDefault="002E78D6" w:rsidP="003845CB">
      <w:pPr>
        <w:rPr>
          <w:u w:val="single"/>
        </w:rPr>
      </w:pPr>
      <w:r w:rsidRPr="002F4AE2">
        <w:rPr>
          <w:i/>
        </w:rPr>
        <w:t>/</w:t>
      </w:r>
      <w:r w:rsidR="002F4AE2" w:rsidRPr="002F4AE2">
        <w:rPr>
          <w:i/>
        </w:rPr>
        <w:t xml:space="preserve"> </w:t>
      </w:r>
      <w:r w:rsidRPr="002F4AE2">
        <w:rPr>
          <w:b/>
          <w:i/>
        </w:rPr>
        <w:t>Tailor made actions</w:t>
      </w:r>
      <w:r w:rsidR="006C69F2" w:rsidRPr="002F4AE2">
        <w:rPr>
          <w:b/>
          <w:i/>
        </w:rPr>
        <w:t xml:space="preserve"> </w:t>
      </w:r>
      <w:r w:rsidR="006C69F2" w:rsidRPr="002F4AE2">
        <w:t>are designed to address</w:t>
      </w:r>
      <w:r w:rsidRPr="002F4AE2">
        <w:rPr>
          <w:i/>
        </w:rPr>
        <w:t xml:space="preserve"> </w:t>
      </w:r>
      <w:r w:rsidR="006C69F2" w:rsidRPr="002F4AE2">
        <w:t>t</w:t>
      </w:r>
      <w:r w:rsidRPr="002F4AE2">
        <w:t xml:space="preserve">he specific needs in each </w:t>
      </w:r>
      <w:r w:rsidR="006C69F2" w:rsidRPr="002F4AE2">
        <w:t xml:space="preserve">Beneficiary </w:t>
      </w:r>
      <w:r w:rsidRPr="002F4AE2">
        <w:t>following consultations with the respective authorities</w:t>
      </w:r>
      <w:r>
        <w:rPr>
          <w:u w:val="single"/>
        </w:rPr>
        <w:t xml:space="preserve">. </w:t>
      </w:r>
    </w:p>
    <w:p w14:paraId="020C8EB5" w14:textId="4FB39E30" w:rsidR="002E78D6" w:rsidRPr="002F4AE2" w:rsidRDefault="002E78D6" w:rsidP="003845CB">
      <w:r w:rsidRPr="002F4AE2">
        <w:rPr>
          <w:i/>
        </w:rPr>
        <w:t xml:space="preserve">/ </w:t>
      </w:r>
      <w:r w:rsidR="002E1A71" w:rsidRPr="002F4AE2">
        <w:rPr>
          <w:b/>
          <w:i/>
        </w:rPr>
        <w:t>The</w:t>
      </w:r>
      <w:r w:rsidR="002E1A71" w:rsidRPr="002F4AE2">
        <w:rPr>
          <w:i/>
        </w:rPr>
        <w:t xml:space="preserve"> </w:t>
      </w:r>
      <w:r w:rsidRPr="002F4AE2">
        <w:rPr>
          <w:b/>
          <w:i/>
        </w:rPr>
        <w:t>Flexibility</w:t>
      </w:r>
      <w:r w:rsidR="00C3115C" w:rsidRPr="00C3115C">
        <w:rPr>
          <w:b/>
          <w:i/>
        </w:rPr>
        <w:t xml:space="preserve"> </w:t>
      </w:r>
      <w:r w:rsidR="007E5311" w:rsidRPr="002F4AE2">
        <w:t xml:space="preserve">of </w:t>
      </w:r>
      <w:r w:rsidR="00ED6C37">
        <w:t xml:space="preserve">the </w:t>
      </w:r>
      <w:r w:rsidR="007E5311" w:rsidRPr="002F4AE2">
        <w:t>H</w:t>
      </w:r>
      <w:r w:rsidR="00ED6C37">
        <w:t xml:space="preserve">orizontal </w:t>
      </w:r>
      <w:r w:rsidR="007E5311" w:rsidRPr="002F4AE2">
        <w:t>F</w:t>
      </w:r>
      <w:r w:rsidR="00ED6C37">
        <w:t>acility</w:t>
      </w:r>
      <w:r w:rsidR="007E5311" w:rsidRPr="002F4AE2">
        <w:t xml:space="preserve"> is extremely valued by the beneficiary institutions as it enables adaptation of the programme to changing circumstances and domestic priorities, while fostering strong local ownership of the results</w:t>
      </w:r>
      <w:r w:rsidR="00C00140" w:rsidRPr="002F4AE2">
        <w:t xml:space="preserve">. </w:t>
      </w:r>
      <w:r w:rsidR="00ED6C37">
        <w:t>R</w:t>
      </w:r>
      <w:r w:rsidR="00C00140" w:rsidRPr="002F4AE2">
        <w:t xml:space="preserve">esources </w:t>
      </w:r>
      <w:r w:rsidR="00375C12">
        <w:t>can be</w:t>
      </w:r>
      <w:r w:rsidR="00C00140" w:rsidRPr="002F4AE2">
        <w:t xml:space="preserve"> </w:t>
      </w:r>
      <w:r w:rsidR="00ED6C37">
        <w:t>reallocated in</w:t>
      </w:r>
      <w:r w:rsidR="00375C12">
        <w:t xml:space="preserve"> </w:t>
      </w:r>
      <w:r w:rsidR="00C00140" w:rsidRPr="002F4AE2">
        <w:t>the</w:t>
      </w:r>
      <w:r w:rsidR="00ED6C37">
        <w:t xml:space="preserve"> course of the</w:t>
      </w:r>
      <w:r w:rsidR="00C00140" w:rsidRPr="002F4AE2">
        <w:t xml:space="preserve"> implementation</w:t>
      </w:r>
      <w:r w:rsidR="0082730D" w:rsidRPr="002F4AE2">
        <w:t xml:space="preserve">, </w:t>
      </w:r>
      <w:r w:rsidR="00ED6C37">
        <w:t>to respond to</w:t>
      </w:r>
      <w:r w:rsidR="00C00140" w:rsidRPr="002F4AE2">
        <w:t xml:space="preserve"> </w:t>
      </w:r>
      <w:r w:rsidR="0082730D" w:rsidRPr="002F4AE2">
        <w:t>emerging</w:t>
      </w:r>
      <w:r w:rsidR="00C00140" w:rsidRPr="002F4AE2">
        <w:t xml:space="preserve"> needs</w:t>
      </w:r>
      <w:r w:rsidR="00301944" w:rsidRPr="002F4AE2">
        <w:t>.</w:t>
      </w:r>
    </w:p>
    <w:p w14:paraId="74A70676" w14:textId="0465C89B" w:rsidR="002E78D6" w:rsidRPr="002F4AE2" w:rsidRDefault="002E78D6" w:rsidP="003845CB">
      <w:r w:rsidRPr="002F4AE2">
        <w:rPr>
          <w:i/>
        </w:rPr>
        <w:t xml:space="preserve">/ </w:t>
      </w:r>
      <w:r w:rsidR="002E1A71" w:rsidRPr="002F4AE2">
        <w:rPr>
          <w:b/>
          <w:i/>
        </w:rPr>
        <w:t xml:space="preserve">The </w:t>
      </w:r>
      <w:r w:rsidRPr="002F4AE2">
        <w:rPr>
          <w:b/>
          <w:i/>
        </w:rPr>
        <w:t>Regional Dimension</w:t>
      </w:r>
      <w:r w:rsidRPr="00C3115C">
        <w:t xml:space="preserve"> </w:t>
      </w:r>
      <w:r w:rsidR="00C00140" w:rsidRPr="002F4AE2">
        <w:t xml:space="preserve">has been </w:t>
      </w:r>
      <w:r w:rsidR="00496063" w:rsidRPr="002F4AE2">
        <w:t>introduced in the course of the implementation of</w:t>
      </w:r>
      <w:r w:rsidR="00C00140" w:rsidRPr="002F4AE2">
        <w:t xml:space="preserve"> the first phase of the programme. </w:t>
      </w:r>
      <w:r w:rsidR="00496063" w:rsidRPr="002F4AE2">
        <w:t>The increased regional dimension</w:t>
      </w:r>
      <w:r w:rsidR="00C00140" w:rsidRPr="002F4AE2">
        <w:t xml:space="preserve"> featured in phase II allow</w:t>
      </w:r>
      <w:r w:rsidR="00496063" w:rsidRPr="002F4AE2">
        <w:t>s</w:t>
      </w:r>
      <w:r w:rsidR="00C00140" w:rsidRPr="002F4AE2">
        <w:t xml:space="preserve"> for a </w:t>
      </w:r>
      <w:r w:rsidR="00301944" w:rsidRPr="002F4AE2">
        <w:t>cross-border</w:t>
      </w:r>
      <w:r w:rsidR="00C00140" w:rsidRPr="002F4AE2">
        <w:t xml:space="preserve"> exchange on</w:t>
      </w:r>
      <w:r w:rsidR="00301944" w:rsidRPr="002F4AE2">
        <w:t xml:space="preserve"> addressing </w:t>
      </w:r>
      <w:r w:rsidR="00C00140" w:rsidRPr="002F4AE2">
        <w:t>common challenges</w:t>
      </w:r>
      <w:r w:rsidR="00496063" w:rsidRPr="002F4AE2">
        <w:t>,</w:t>
      </w:r>
      <w:r w:rsidR="005A236B" w:rsidRPr="002F4AE2">
        <w:t xml:space="preserve"> </w:t>
      </w:r>
      <w:r w:rsidR="00496063" w:rsidRPr="002F4AE2">
        <w:t>sharing best practices and establishing platforms and networks to this end.</w:t>
      </w:r>
    </w:p>
    <w:p w14:paraId="0FC248A1" w14:textId="77777777" w:rsidR="00F948C5" w:rsidRDefault="00FE18FB" w:rsidP="00FE6FB8">
      <w:pPr>
        <w:jc w:val="both"/>
      </w:pPr>
      <w:r w:rsidRPr="002F4AE2">
        <w:rPr>
          <w:i/>
        </w:rPr>
        <w:t xml:space="preserve">/ </w:t>
      </w:r>
      <w:r w:rsidRPr="002F4AE2">
        <w:rPr>
          <w:b/>
          <w:i/>
        </w:rPr>
        <w:t>Cross cutting issues</w:t>
      </w:r>
      <w:r w:rsidR="006C69F2" w:rsidRPr="002F4AE2">
        <w:t xml:space="preserve"> are </w:t>
      </w:r>
      <w:r w:rsidR="00E331B3">
        <w:t xml:space="preserve">integrated </w:t>
      </w:r>
      <w:r w:rsidR="006C69F2" w:rsidRPr="002F4AE2">
        <w:t>in</w:t>
      </w:r>
      <w:r w:rsidR="00E331B3">
        <w:t>to</w:t>
      </w:r>
      <w:r w:rsidR="006C69F2" w:rsidRPr="002F4AE2">
        <w:t xml:space="preserve"> the actions.</w:t>
      </w:r>
      <w:r w:rsidR="006C69F2" w:rsidRPr="002F4AE2">
        <w:rPr>
          <w:b/>
          <w:i/>
        </w:rPr>
        <w:t xml:space="preserve"> </w:t>
      </w:r>
      <w:r w:rsidRPr="002F4AE2">
        <w:t xml:space="preserve">All activities </w:t>
      </w:r>
      <w:r w:rsidRPr="004B138F">
        <w:t xml:space="preserve">under the Horizontal Facility II </w:t>
      </w:r>
      <w:r>
        <w:t>are</w:t>
      </w:r>
      <w:r w:rsidRPr="004B138F">
        <w:t xml:space="preserve"> conducted with a human rights approach, </w:t>
      </w:r>
      <w:r w:rsidR="00C00140" w:rsidRPr="004B138F">
        <w:t>incorporating principles of</w:t>
      </w:r>
      <w:r w:rsidRPr="004B138F">
        <w:t xml:space="preserve"> gender equality – </w:t>
      </w:r>
      <w:r w:rsidRPr="00BB28D0">
        <w:rPr>
          <w:rFonts w:cs="Arial"/>
        </w:rPr>
        <w:t>in line with the Gender Equality Strategy of the Council of Europe</w:t>
      </w:r>
      <w:r w:rsidR="002F4AE2">
        <w:rPr>
          <w:rFonts w:cs="Arial"/>
        </w:rPr>
        <w:t xml:space="preserve"> </w:t>
      </w:r>
      <w:r w:rsidR="00496063">
        <w:t>and based on the</w:t>
      </w:r>
      <w:r w:rsidR="004B6F0C" w:rsidRPr="004B6F0C">
        <w:t xml:space="preserve"> Gender mainstreaming toolkit for co</w:t>
      </w:r>
      <w:r w:rsidR="004B6F0C">
        <w:t>-</w:t>
      </w:r>
      <w:r w:rsidR="004B6F0C" w:rsidRPr="004B6F0C">
        <w:t>operation</w:t>
      </w:r>
      <w:r w:rsidR="004B6F0C">
        <w:t xml:space="preserve"> </w:t>
      </w:r>
      <w:r w:rsidR="001F3C5B">
        <w:t>projects</w:t>
      </w:r>
      <w:r w:rsidR="004B6F0C">
        <w:t xml:space="preserve"> -</w:t>
      </w:r>
      <w:r w:rsidR="00496063">
        <w:t xml:space="preserve"> </w:t>
      </w:r>
      <w:r w:rsidRPr="004B138F">
        <w:t xml:space="preserve">as well as non- discrimination, equality and inclusive participation, focusing on vulnerable groups and minorities. Co-operation with civil society organisations </w:t>
      </w:r>
      <w:r>
        <w:t>is</w:t>
      </w:r>
      <w:r w:rsidRPr="004B138F">
        <w:t xml:space="preserve"> ensured in accordance </w:t>
      </w:r>
      <w:r w:rsidR="00C00140" w:rsidRPr="004B138F">
        <w:t>with the</w:t>
      </w:r>
      <w:r w:rsidRPr="004B138F">
        <w:t xml:space="preserve"> Council </w:t>
      </w:r>
      <w:r w:rsidR="005A3A1D" w:rsidRPr="004B138F">
        <w:t>of Europe’</w:t>
      </w:r>
      <w:r w:rsidR="005A3A1D">
        <w:t>s</w:t>
      </w:r>
      <w:r w:rsidRPr="004B138F">
        <w:t xml:space="preserve"> Guideline</w:t>
      </w:r>
      <w:r w:rsidR="005A3A1D">
        <w:t>s</w:t>
      </w:r>
      <w:r w:rsidRPr="004B138F">
        <w:t xml:space="preserve"> on Civil Society Organisations’ participation in Council of Europe co-operation activities and in line with the European Commission Guidelines for EU support to civil society in enlargement countries</w:t>
      </w:r>
      <w:r w:rsidR="00FE6FB8">
        <w:t>.</w:t>
      </w:r>
      <w:r w:rsidR="005A3A1D">
        <w:t xml:space="preserve">                     </w:t>
      </w:r>
    </w:p>
    <w:p w14:paraId="2136C537" w14:textId="59A13821" w:rsidR="00F948C5" w:rsidRDefault="005A3A1D" w:rsidP="00FE6FB8">
      <w:pPr>
        <w:jc w:val="both"/>
      </w:pPr>
      <w:r>
        <w:t xml:space="preserve">                     </w:t>
      </w:r>
      <w:r w:rsidR="00E67785">
        <w:t xml:space="preserve">                  </w:t>
      </w:r>
    </w:p>
    <w:p w14:paraId="297248A1" w14:textId="2E2ECBA0" w:rsidR="005A3A1D" w:rsidRDefault="00717B89" w:rsidP="00FE6FB8">
      <w:pPr>
        <w:jc w:val="both"/>
      </w:pPr>
      <w:r>
        <w:rPr>
          <w:b/>
          <w:i/>
        </w:rPr>
        <w:t>/</w:t>
      </w:r>
      <w:r w:rsidR="008E3061">
        <w:rPr>
          <w:b/>
          <w:i/>
        </w:rPr>
        <w:t xml:space="preserve"> </w:t>
      </w:r>
      <w:r w:rsidRPr="00B849C0">
        <w:rPr>
          <w:b/>
          <w:i/>
        </w:rPr>
        <w:t>A unique working method, through the Council of Europe strategic triangle</w:t>
      </w:r>
    </w:p>
    <w:p w14:paraId="73938A27" w14:textId="24E51BF8" w:rsidR="005A3A1D" w:rsidRDefault="00F948C5" w:rsidP="00F948C5">
      <w:pPr>
        <w:jc w:val="center"/>
        <w:rPr>
          <w:i/>
          <w:u w:val="single"/>
        </w:rPr>
      </w:pPr>
      <w:r w:rsidRPr="00AD62D1">
        <w:rPr>
          <w:i/>
          <w:noProof/>
          <w:lang w:val="en-US"/>
        </w:rPr>
        <w:drawing>
          <wp:inline distT="0" distB="0" distL="0" distR="0" wp14:anchorId="4A4F44DB" wp14:editId="56FB09ED">
            <wp:extent cx="223774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7740" cy="1737360"/>
                    </a:xfrm>
                    <a:prstGeom prst="rect">
                      <a:avLst/>
                    </a:prstGeom>
                    <a:noFill/>
                  </pic:spPr>
                </pic:pic>
              </a:graphicData>
            </a:graphic>
          </wp:inline>
        </w:drawing>
      </w:r>
    </w:p>
    <w:p w14:paraId="046EBFAE" w14:textId="03FFE85E" w:rsidR="0062772C" w:rsidRDefault="0062772C" w:rsidP="0062772C">
      <w:pPr>
        <w:pStyle w:val="NoSpacing"/>
      </w:pPr>
    </w:p>
    <w:p w14:paraId="0B821B25" w14:textId="6EEBCB62" w:rsidR="0062772C" w:rsidRDefault="0062772C" w:rsidP="00B849C0">
      <w:pPr>
        <w:pStyle w:val="NoSpacing"/>
      </w:pPr>
    </w:p>
    <w:p w14:paraId="379317F5" w14:textId="77777777" w:rsidR="0062772C" w:rsidRPr="0062772C" w:rsidRDefault="0062772C" w:rsidP="00AD62D1">
      <w:pPr>
        <w:jc w:val="both"/>
      </w:pPr>
    </w:p>
    <w:p w14:paraId="01EFEAA3" w14:textId="4741592E" w:rsidR="008B7001" w:rsidRPr="00E67785" w:rsidRDefault="00B80F0E" w:rsidP="00E67785">
      <w:pPr>
        <w:jc w:val="both"/>
      </w:pPr>
      <w:r w:rsidRPr="00B80F0E">
        <w:t xml:space="preserve">Council of Europe technical assistance programmes form an integral part of the unique strategic triangle of standard-setting, monitoring and co-operation: the development of legally binding standards is linked with their monitoring by independent mechanisms and supplemented by technical co-operation to facilitate their implementation. The Council of Europe’s actions are developed and implemented in areas where the Council of Europe has strong expertise and added </w:t>
      </w:r>
      <w:r w:rsidR="00EB54F0" w:rsidRPr="00B80F0E">
        <w:t>value.</w:t>
      </w:r>
    </w:p>
    <w:sectPr w:rsidR="008B7001" w:rsidRPr="00E67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yriadPro-Regular">
    <w:altName w:val="MS Gothic"/>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6D1"/>
    <w:multiLevelType w:val="hybridMultilevel"/>
    <w:tmpl w:val="816CA3F4"/>
    <w:lvl w:ilvl="0" w:tplc="73F02840">
      <w:start w:val="5"/>
      <w:numFmt w:val="bullet"/>
      <w:lvlText w:val="-"/>
      <w:lvlJc w:val="left"/>
      <w:pPr>
        <w:ind w:left="720" w:hanging="360"/>
      </w:pPr>
      <w:rPr>
        <w:rFonts w:ascii="Calibri" w:eastAsiaTheme="minorHAnsi" w:hAnsi="Calibri" w:cs="MyriadPro-Regular"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D55FA"/>
    <w:multiLevelType w:val="hybridMultilevel"/>
    <w:tmpl w:val="42042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C6CC7"/>
    <w:multiLevelType w:val="hybridMultilevel"/>
    <w:tmpl w:val="CF0472B6"/>
    <w:lvl w:ilvl="0" w:tplc="9D6A7742">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391219"/>
    <w:multiLevelType w:val="hybridMultilevel"/>
    <w:tmpl w:val="99560D5E"/>
    <w:lvl w:ilvl="0" w:tplc="73F02840">
      <w:start w:val="5"/>
      <w:numFmt w:val="bullet"/>
      <w:lvlText w:val="-"/>
      <w:lvlJc w:val="left"/>
      <w:pPr>
        <w:ind w:left="720" w:hanging="360"/>
      </w:pPr>
      <w:rPr>
        <w:rFonts w:ascii="Calibri" w:eastAsiaTheme="minorHAnsi" w:hAnsi="Calibri"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86848"/>
    <w:multiLevelType w:val="hybridMultilevel"/>
    <w:tmpl w:val="BA421876"/>
    <w:lvl w:ilvl="0" w:tplc="4D94A33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A86BDA"/>
    <w:multiLevelType w:val="hybridMultilevel"/>
    <w:tmpl w:val="DC1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A23FE"/>
    <w:multiLevelType w:val="hybridMultilevel"/>
    <w:tmpl w:val="DA5EF10E"/>
    <w:lvl w:ilvl="0" w:tplc="A39C0FD6">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3F4E1A"/>
    <w:multiLevelType w:val="hybridMultilevel"/>
    <w:tmpl w:val="00B47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CB"/>
    <w:rsid w:val="0002328D"/>
    <w:rsid w:val="000235FA"/>
    <w:rsid w:val="000467E8"/>
    <w:rsid w:val="000476B1"/>
    <w:rsid w:val="00052C85"/>
    <w:rsid w:val="00063249"/>
    <w:rsid w:val="00063C8F"/>
    <w:rsid w:val="000B6C77"/>
    <w:rsid w:val="000E125C"/>
    <w:rsid w:val="000E23B5"/>
    <w:rsid w:val="00133E8A"/>
    <w:rsid w:val="001463B8"/>
    <w:rsid w:val="00167925"/>
    <w:rsid w:val="00171463"/>
    <w:rsid w:val="00172656"/>
    <w:rsid w:val="00175ADF"/>
    <w:rsid w:val="001B547E"/>
    <w:rsid w:val="001F3C5B"/>
    <w:rsid w:val="001F672D"/>
    <w:rsid w:val="001F7906"/>
    <w:rsid w:val="00221978"/>
    <w:rsid w:val="002237D0"/>
    <w:rsid w:val="00263802"/>
    <w:rsid w:val="00266848"/>
    <w:rsid w:val="00267E5A"/>
    <w:rsid w:val="00271F0B"/>
    <w:rsid w:val="00287D38"/>
    <w:rsid w:val="00292893"/>
    <w:rsid w:val="00296935"/>
    <w:rsid w:val="002A3A4C"/>
    <w:rsid w:val="002B41CD"/>
    <w:rsid w:val="002B4A13"/>
    <w:rsid w:val="002C15B5"/>
    <w:rsid w:val="002C3755"/>
    <w:rsid w:val="002D2DCB"/>
    <w:rsid w:val="002E1A71"/>
    <w:rsid w:val="002E78D6"/>
    <w:rsid w:val="002F4AE2"/>
    <w:rsid w:val="0030179D"/>
    <w:rsid w:val="00301944"/>
    <w:rsid w:val="0031225B"/>
    <w:rsid w:val="00322541"/>
    <w:rsid w:val="003264DC"/>
    <w:rsid w:val="00334A4A"/>
    <w:rsid w:val="003372A6"/>
    <w:rsid w:val="00350357"/>
    <w:rsid w:val="00354BC9"/>
    <w:rsid w:val="003615D2"/>
    <w:rsid w:val="00362A54"/>
    <w:rsid w:val="00375C12"/>
    <w:rsid w:val="003812CF"/>
    <w:rsid w:val="00382C50"/>
    <w:rsid w:val="003845CB"/>
    <w:rsid w:val="003851C4"/>
    <w:rsid w:val="00392FB0"/>
    <w:rsid w:val="003D4675"/>
    <w:rsid w:val="00411C41"/>
    <w:rsid w:val="004354D5"/>
    <w:rsid w:val="00442B8E"/>
    <w:rsid w:val="004454B3"/>
    <w:rsid w:val="00450469"/>
    <w:rsid w:val="00496063"/>
    <w:rsid w:val="004B6F0C"/>
    <w:rsid w:val="004E5536"/>
    <w:rsid w:val="004E7EAA"/>
    <w:rsid w:val="004F0BE0"/>
    <w:rsid w:val="004F408C"/>
    <w:rsid w:val="00503C9B"/>
    <w:rsid w:val="005249F9"/>
    <w:rsid w:val="00536D7C"/>
    <w:rsid w:val="005401DD"/>
    <w:rsid w:val="00552278"/>
    <w:rsid w:val="005626E4"/>
    <w:rsid w:val="00570218"/>
    <w:rsid w:val="00573132"/>
    <w:rsid w:val="00576A04"/>
    <w:rsid w:val="005813E7"/>
    <w:rsid w:val="00590E43"/>
    <w:rsid w:val="0059314C"/>
    <w:rsid w:val="005A236B"/>
    <w:rsid w:val="005A3A1D"/>
    <w:rsid w:val="005A7B64"/>
    <w:rsid w:val="005C0C8F"/>
    <w:rsid w:val="005D29A3"/>
    <w:rsid w:val="005E386A"/>
    <w:rsid w:val="0060437E"/>
    <w:rsid w:val="00613851"/>
    <w:rsid w:val="006161B0"/>
    <w:rsid w:val="0062036D"/>
    <w:rsid w:val="0062772C"/>
    <w:rsid w:val="0063195D"/>
    <w:rsid w:val="006553EF"/>
    <w:rsid w:val="00660E0F"/>
    <w:rsid w:val="00696376"/>
    <w:rsid w:val="006C69F2"/>
    <w:rsid w:val="006E639A"/>
    <w:rsid w:val="006F43EC"/>
    <w:rsid w:val="006F6E26"/>
    <w:rsid w:val="006F76AA"/>
    <w:rsid w:val="007003C3"/>
    <w:rsid w:val="00717B89"/>
    <w:rsid w:val="00777742"/>
    <w:rsid w:val="007E5311"/>
    <w:rsid w:val="007F1630"/>
    <w:rsid w:val="007F70AF"/>
    <w:rsid w:val="008013E1"/>
    <w:rsid w:val="008132B5"/>
    <w:rsid w:val="0082730D"/>
    <w:rsid w:val="008363E0"/>
    <w:rsid w:val="00841628"/>
    <w:rsid w:val="0084372B"/>
    <w:rsid w:val="0085481A"/>
    <w:rsid w:val="00862F85"/>
    <w:rsid w:val="0089388D"/>
    <w:rsid w:val="00897957"/>
    <w:rsid w:val="008A1AD3"/>
    <w:rsid w:val="008A58D3"/>
    <w:rsid w:val="008A72A2"/>
    <w:rsid w:val="008B3544"/>
    <w:rsid w:val="008B650F"/>
    <w:rsid w:val="008B7001"/>
    <w:rsid w:val="008E1076"/>
    <w:rsid w:val="008E3061"/>
    <w:rsid w:val="00903924"/>
    <w:rsid w:val="009064E0"/>
    <w:rsid w:val="0091407E"/>
    <w:rsid w:val="00954D3D"/>
    <w:rsid w:val="00983915"/>
    <w:rsid w:val="009E1209"/>
    <w:rsid w:val="009F2DF8"/>
    <w:rsid w:val="00A11B5C"/>
    <w:rsid w:val="00A23616"/>
    <w:rsid w:val="00A453BA"/>
    <w:rsid w:val="00AC3CD6"/>
    <w:rsid w:val="00AD139B"/>
    <w:rsid w:val="00AD6037"/>
    <w:rsid w:val="00AD62D1"/>
    <w:rsid w:val="00AD6D57"/>
    <w:rsid w:val="00AF434B"/>
    <w:rsid w:val="00B0057C"/>
    <w:rsid w:val="00B2644F"/>
    <w:rsid w:val="00B4323A"/>
    <w:rsid w:val="00B80F0E"/>
    <w:rsid w:val="00B849C0"/>
    <w:rsid w:val="00B850C7"/>
    <w:rsid w:val="00B91467"/>
    <w:rsid w:val="00BA64EE"/>
    <w:rsid w:val="00BB7994"/>
    <w:rsid w:val="00BD5BF3"/>
    <w:rsid w:val="00BE48D2"/>
    <w:rsid w:val="00C00140"/>
    <w:rsid w:val="00C3115C"/>
    <w:rsid w:val="00C62CC8"/>
    <w:rsid w:val="00C71B34"/>
    <w:rsid w:val="00C74B58"/>
    <w:rsid w:val="00C945C1"/>
    <w:rsid w:val="00CB5E75"/>
    <w:rsid w:val="00CB6DF1"/>
    <w:rsid w:val="00CC7FC9"/>
    <w:rsid w:val="00D00367"/>
    <w:rsid w:val="00D0135A"/>
    <w:rsid w:val="00D05DA9"/>
    <w:rsid w:val="00D35194"/>
    <w:rsid w:val="00D63FEB"/>
    <w:rsid w:val="00D66027"/>
    <w:rsid w:val="00D86CA5"/>
    <w:rsid w:val="00DA32A7"/>
    <w:rsid w:val="00DB37B1"/>
    <w:rsid w:val="00DC29D2"/>
    <w:rsid w:val="00DD708B"/>
    <w:rsid w:val="00DE7302"/>
    <w:rsid w:val="00DF5900"/>
    <w:rsid w:val="00E25F81"/>
    <w:rsid w:val="00E331B3"/>
    <w:rsid w:val="00E35788"/>
    <w:rsid w:val="00E41C81"/>
    <w:rsid w:val="00E450B7"/>
    <w:rsid w:val="00E530C6"/>
    <w:rsid w:val="00E57C75"/>
    <w:rsid w:val="00E63740"/>
    <w:rsid w:val="00E67785"/>
    <w:rsid w:val="00EB3453"/>
    <w:rsid w:val="00EB54F0"/>
    <w:rsid w:val="00EC5365"/>
    <w:rsid w:val="00ED5198"/>
    <w:rsid w:val="00ED6C37"/>
    <w:rsid w:val="00F13A18"/>
    <w:rsid w:val="00F4449C"/>
    <w:rsid w:val="00F8576D"/>
    <w:rsid w:val="00F948C5"/>
    <w:rsid w:val="00F97E56"/>
    <w:rsid w:val="00FA5D3B"/>
    <w:rsid w:val="00FD285A"/>
    <w:rsid w:val="00FE18FB"/>
    <w:rsid w:val="00FE6FB8"/>
    <w:rsid w:val="00FF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CBB7"/>
  <w15:docId w15:val="{CAFA9E3E-CFB8-4C0F-857D-A0DA93AD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5CB"/>
    <w:rPr>
      <w:rFonts w:ascii="Segoe UI" w:hAnsi="Segoe UI" w:cs="Segoe UI"/>
      <w:sz w:val="18"/>
      <w:szCs w:val="18"/>
    </w:rPr>
  </w:style>
  <w:style w:type="paragraph" w:styleId="ListParagraph">
    <w:name w:val="List Paragraph"/>
    <w:basedOn w:val="Normal"/>
    <w:uiPriority w:val="34"/>
    <w:qFormat/>
    <w:rsid w:val="003845CB"/>
    <w:pPr>
      <w:ind w:left="720"/>
      <w:contextualSpacing/>
    </w:pPr>
  </w:style>
  <w:style w:type="character" w:styleId="Hyperlink">
    <w:name w:val="Hyperlink"/>
    <w:basedOn w:val="DefaultParagraphFont"/>
    <w:uiPriority w:val="99"/>
    <w:unhideWhenUsed/>
    <w:rsid w:val="00903924"/>
    <w:rPr>
      <w:color w:val="0000FF" w:themeColor="hyperlink"/>
      <w:u w:val="single"/>
    </w:rPr>
  </w:style>
  <w:style w:type="character" w:styleId="CommentReference">
    <w:name w:val="annotation reference"/>
    <w:basedOn w:val="DefaultParagraphFont"/>
    <w:uiPriority w:val="99"/>
    <w:semiHidden/>
    <w:unhideWhenUsed/>
    <w:rsid w:val="006161B0"/>
    <w:rPr>
      <w:sz w:val="16"/>
      <w:szCs w:val="16"/>
    </w:rPr>
  </w:style>
  <w:style w:type="paragraph" w:styleId="CommentText">
    <w:name w:val="annotation text"/>
    <w:basedOn w:val="Normal"/>
    <w:link w:val="CommentTextChar"/>
    <w:uiPriority w:val="99"/>
    <w:semiHidden/>
    <w:unhideWhenUsed/>
    <w:rsid w:val="006161B0"/>
    <w:pPr>
      <w:spacing w:line="240" w:lineRule="auto"/>
    </w:pPr>
    <w:rPr>
      <w:sz w:val="20"/>
      <w:szCs w:val="20"/>
    </w:rPr>
  </w:style>
  <w:style w:type="character" w:customStyle="1" w:styleId="CommentTextChar">
    <w:name w:val="Comment Text Char"/>
    <w:basedOn w:val="DefaultParagraphFont"/>
    <w:link w:val="CommentText"/>
    <w:uiPriority w:val="99"/>
    <w:semiHidden/>
    <w:rsid w:val="006161B0"/>
    <w:rPr>
      <w:sz w:val="20"/>
      <w:szCs w:val="20"/>
    </w:rPr>
  </w:style>
  <w:style w:type="paragraph" w:styleId="CommentSubject">
    <w:name w:val="annotation subject"/>
    <w:basedOn w:val="CommentText"/>
    <w:next w:val="CommentText"/>
    <w:link w:val="CommentSubjectChar"/>
    <w:uiPriority w:val="99"/>
    <w:semiHidden/>
    <w:unhideWhenUsed/>
    <w:rsid w:val="006161B0"/>
    <w:rPr>
      <w:b/>
      <w:bCs/>
    </w:rPr>
  </w:style>
  <w:style w:type="character" w:customStyle="1" w:styleId="CommentSubjectChar">
    <w:name w:val="Comment Subject Char"/>
    <w:basedOn w:val="CommentTextChar"/>
    <w:link w:val="CommentSubject"/>
    <w:uiPriority w:val="99"/>
    <w:semiHidden/>
    <w:rsid w:val="006161B0"/>
    <w:rPr>
      <w:b/>
      <w:bCs/>
      <w:sz w:val="20"/>
      <w:szCs w:val="20"/>
    </w:rPr>
  </w:style>
  <w:style w:type="paragraph" w:styleId="Revision">
    <w:name w:val="Revision"/>
    <w:hidden/>
    <w:uiPriority w:val="99"/>
    <w:semiHidden/>
    <w:rsid w:val="003372A6"/>
    <w:pPr>
      <w:spacing w:after="0" w:line="240" w:lineRule="auto"/>
    </w:pPr>
  </w:style>
  <w:style w:type="paragraph" w:styleId="NoSpacing">
    <w:name w:val="No Spacing"/>
    <w:uiPriority w:val="1"/>
    <w:qFormat/>
    <w:rsid w:val="005C0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A74D-9A1F-4608-97E7-39BB4C01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CADEAC Pauline</dc:creator>
  <cp:lastModifiedBy>PAPILA Serkan</cp:lastModifiedBy>
  <cp:revision>2</cp:revision>
  <cp:lastPrinted>2019-09-04T12:35:00Z</cp:lastPrinted>
  <dcterms:created xsi:type="dcterms:W3CDTF">2019-10-31T13:00:00Z</dcterms:created>
  <dcterms:modified xsi:type="dcterms:W3CDTF">2019-10-31T13:00:00Z</dcterms:modified>
</cp:coreProperties>
</file>