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0DFC607C" w:rsidR="00BE43B2" w:rsidRPr="00EA2362" w:rsidRDefault="003A1929">
            <w:pPr>
              <w:rPr>
                <w:rFonts w:ascii="Tahoma" w:hAnsi="Tahoma" w:cs="Tahoma"/>
                <w:caps/>
                <w:color w:val="000000" w:themeColor="text1"/>
                <w:sz w:val="18"/>
                <w:szCs w:val="18"/>
                <w:highlight w:val="cyan"/>
              </w:rPr>
            </w:pPr>
            <w:r w:rsidRPr="003A1929">
              <w:rPr>
                <w:rFonts w:ascii="Tahoma" w:hAnsi="Tahoma" w:cs="Tahoma"/>
                <w:caps/>
                <w:color w:val="000000" w:themeColor="text1"/>
                <w:sz w:val="18"/>
                <w:szCs w:val="18"/>
              </w:rPr>
              <w:t>BH467</w:t>
            </w:r>
            <w:r w:rsidR="002F1EEA">
              <w:rPr>
                <w:rFonts w:ascii="Tahoma" w:hAnsi="Tahoma" w:cs="Tahoma"/>
                <w:caps/>
                <w:color w:val="000000" w:themeColor="text1"/>
                <w:sz w:val="18"/>
                <w:szCs w:val="18"/>
              </w:rPr>
              <w:t>4</w:t>
            </w:r>
            <w:r w:rsidRPr="003A1929">
              <w:rPr>
                <w:rFonts w:ascii="Tahoma" w:hAnsi="Tahoma" w:cs="Tahoma"/>
                <w:caps/>
                <w:color w:val="000000" w:themeColor="text1"/>
                <w:sz w:val="18"/>
                <w:szCs w:val="18"/>
              </w:rPr>
              <w:t>/202</w:t>
            </w:r>
            <w:r w:rsidR="00B201B1">
              <w:rPr>
                <w:rFonts w:ascii="Tahoma" w:hAnsi="Tahoma" w:cs="Tahoma"/>
                <w:caps/>
                <w:color w:val="000000" w:themeColor="text1"/>
                <w:sz w:val="18"/>
                <w:szCs w:val="18"/>
              </w:rPr>
              <w:t>1</w:t>
            </w:r>
            <w:r w:rsidRPr="003A1929">
              <w:rPr>
                <w:rFonts w:ascii="Tahoma" w:hAnsi="Tahoma" w:cs="Tahoma"/>
                <w:caps/>
                <w:color w:val="000000" w:themeColor="text1"/>
                <w:sz w:val="18"/>
                <w:szCs w:val="18"/>
              </w:rPr>
              <w:t>/</w:t>
            </w:r>
            <w:r w:rsidR="002F1EEA">
              <w:rPr>
                <w:rFonts w:ascii="Tahoma" w:hAnsi="Tahoma" w:cs="Tahoma"/>
                <w:caps/>
                <w:color w:val="000000" w:themeColor="text1"/>
                <w:sz w:val="18"/>
                <w:szCs w:val="18"/>
              </w:rPr>
              <w:t>3</w:t>
            </w:r>
            <w:r w:rsidR="0081475F">
              <w:rPr>
                <w:rFonts w:ascii="Tahoma" w:hAnsi="Tahoma" w:cs="Tahoma"/>
                <w:caps/>
                <w:color w:val="000000" w:themeColor="text1"/>
                <w:sz w:val="18"/>
                <w:szCs w:val="18"/>
              </w:rPr>
              <w:t>5</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7421DF9E" w:rsidR="00BE43B2" w:rsidRPr="003A1929" w:rsidRDefault="007750AB">
            <w:pPr>
              <w:rPr>
                <w:rFonts w:ascii="Tahoma" w:hAnsi="Tahoma" w:cs="Tahoma"/>
                <w:caps/>
                <w:color w:val="000000" w:themeColor="text1"/>
                <w:sz w:val="18"/>
                <w:szCs w:val="18"/>
              </w:rPr>
            </w:pPr>
            <w:r w:rsidRPr="008B79BB">
              <w:rPr>
                <w:rFonts w:ascii="Tahoma" w:hAnsi="Tahoma" w:cs="Tahoma"/>
                <w:caps/>
                <w:color w:val="000000"/>
                <w:sz w:val="18"/>
                <w:szCs w:val="18"/>
              </w:rPr>
              <w:t>PMM 23</w:t>
            </w:r>
            <w:r>
              <w:rPr>
                <w:rFonts w:ascii="Tahoma" w:hAnsi="Tahoma" w:cs="Tahoma"/>
                <w:caps/>
                <w:color w:val="000000"/>
                <w:sz w:val="18"/>
                <w:szCs w:val="18"/>
              </w:rPr>
              <w:t>76</w:t>
            </w:r>
            <w:r w:rsidRPr="008B79BB">
              <w:rPr>
                <w:rFonts w:ascii="Tahoma" w:hAnsi="Tahoma" w:cs="Tahoma"/>
                <w:caps/>
                <w:color w:val="000000"/>
                <w:sz w:val="18"/>
                <w:szCs w:val="18"/>
              </w:rPr>
              <w:t xml:space="preserve"> / NO HATE SPEECH AND COOPERATION UNIT</w:t>
            </w:r>
          </w:p>
        </w:tc>
      </w:tr>
      <w:tr w:rsidR="00BE43B2" w:rsidRPr="009A1043"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5545DB7F" w:rsidR="00BE43B2" w:rsidRPr="00E06FD7" w:rsidRDefault="00E06FD7">
            <w:pPr>
              <w:rPr>
                <w:rFonts w:ascii="Tahoma" w:hAnsi="Tahoma" w:cs="Tahoma"/>
                <w:b/>
                <w:caps/>
                <w:color w:val="000000" w:themeColor="text1"/>
                <w:sz w:val="18"/>
                <w:szCs w:val="18"/>
                <w:highlight w:val="cyan"/>
                <w:lang w:val="fr-FR"/>
              </w:rPr>
            </w:pPr>
            <w:r w:rsidRPr="00E06FD7">
              <w:rPr>
                <w:rFonts w:ascii="Tahoma" w:hAnsi="Tahoma" w:cs="Tahoma"/>
                <w:color w:val="000000" w:themeColor="text1"/>
                <w:sz w:val="18"/>
                <w:szCs w:val="18"/>
                <w:lang w:val="fr-FR"/>
              </w:rPr>
              <w:t>Maja Mikic Landra</w:t>
            </w:r>
            <w:r>
              <w:rPr>
                <w:rFonts w:ascii="Tahoma" w:hAnsi="Tahoma" w:cs="Tahoma"/>
                <w:color w:val="000000" w:themeColor="text1"/>
                <w:sz w:val="18"/>
                <w:szCs w:val="18"/>
                <w:lang w:val="fr-FR"/>
              </w:rPr>
              <w:t>toske</w:t>
            </w:r>
            <w:r w:rsidR="00BE43B2" w:rsidRPr="00E06FD7">
              <w:rPr>
                <w:rFonts w:ascii="Tahoma" w:hAnsi="Tahoma" w:cs="Tahoma"/>
                <w:color w:val="000000" w:themeColor="text1"/>
                <w:sz w:val="18"/>
                <w:szCs w:val="18"/>
                <w:lang w:val="fr-FR"/>
              </w:rPr>
              <w:t>/</w:t>
            </w:r>
            <w:r w:rsidRPr="00E06FD7">
              <w:rPr>
                <w:lang w:val="fr-FR"/>
              </w:rPr>
              <w:t xml:space="preserve"> </w:t>
            </w:r>
            <w:r w:rsidRPr="00E06FD7">
              <w:rPr>
                <w:rFonts w:ascii="Tahoma" w:hAnsi="Tahoma" w:cs="Tahoma"/>
                <w:color w:val="000000" w:themeColor="text1"/>
                <w:sz w:val="18"/>
                <w:szCs w:val="18"/>
                <w:lang w:val="fr-FR"/>
              </w:rPr>
              <w:t>maja.mikic-landratoske@coe.int</w:t>
            </w:r>
            <w:r w:rsidR="00BE43B2" w:rsidRPr="00E06FD7">
              <w:rPr>
                <w:rFonts w:ascii="Tahoma" w:hAnsi="Tahoma" w:cs="Tahoma"/>
                <w:color w:val="000000" w:themeColor="text1"/>
                <w:sz w:val="18"/>
                <w:szCs w:val="18"/>
                <w:lang w:val="fr-FR"/>
              </w:rPr>
              <w:t>/</w:t>
            </w:r>
            <w:r w:rsidRPr="00E06FD7">
              <w:rPr>
                <w:lang w:val="fr-FR"/>
              </w:rPr>
              <w:t xml:space="preserve"> </w:t>
            </w:r>
            <w:r w:rsidRPr="00E06FD7">
              <w:rPr>
                <w:rFonts w:ascii="Tahoma" w:hAnsi="Tahoma" w:cs="Tahoma"/>
                <w:color w:val="000000" w:themeColor="text1"/>
                <w:sz w:val="18"/>
                <w:szCs w:val="18"/>
                <w:lang w:val="fr-FR"/>
              </w:rPr>
              <w:t>+381 11 7155 512</w:t>
            </w:r>
          </w:p>
        </w:tc>
      </w:tr>
    </w:tbl>
    <w:p w14:paraId="7732789B" w14:textId="3D10C239" w:rsidR="00261462" w:rsidRPr="00E06FD7" w:rsidRDefault="003F572D" w:rsidP="005D5924">
      <w:pPr>
        <w:rPr>
          <w:rFonts w:ascii="Tahoma" w:hAnsi="Tahoma" w:cs="Tahoma"/>
          <w:b/>
          <w:caps/>
          <w:sz w:val="28"/>
          <w:szCs w:val="28"/>
          <w:lang w:val="fr-FR"/>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06FD7" w:rsidRDefault="00261462" w:rsidP="005D5924">
      <w:pPr>
        <w:rPr>
          <w:rFonts w:ascii="Tahoma" w:hAnsi="Tahoma" w:cs="Tahoma"/>
          <w:b/>
          <w:caps/>
          <w:sz w:val="28"/>
          <w:szCs w:val="28"/>
          <w:lang w:val="fr-FR"/>
        </w:rPr>
      </w:pPr>
    </w:p>
    <w:p w14:paraId="2AEC75C2" w14:textId="77777777" w:rsidR="00261462" w:rsidRPr="00E06FD7" w:rsidRDefault="00261462" w:rsidP="005D5924">
      <w:pPr>
        <w:rPr>
          <w:rFonts w:ascii="Tahoma" w:hAnsi="Tahoma" w:cs="Tahoma"/>
          <w:b/>
          <w:caps/>
          <w:sz w:val="28"/>
          <w:szCs w:val="28"/>
          <w:lang w:val="fr-FR"/>
        </w:rPr>
      </w:pPr>
    </w:p>
    <w:p w14:paraId="2D1D594F" w14:textId="46CC14C0" w:rsidR="00261462" w:rsidRPr="00E06FD7" w:rsidRDefault="00261462" w:rsidP="005D5924">
      <w:pPr>
        <w:rPr>
          <w:rFonts w:ascii="Tahoma" w:hAnsi="Tahoma" w:cs="Tahoma"/>
          <w:b/>
          <w:caps/>
          <w:sz w:val="28"/>
          <w:szCs w:val="28"/>
          <w:lang w:val="fr-FR"/>
        </w:rPr>
      </w:pPr>
    </w:p>
    <w:p w14:paraId="4AD2904E" w14:textId="77777777" w:rsidR="00261462" w:rsidRPr="00E06FD7" w:rsidRDefault="00261462" w:rsidP="005D5924">
      <w:pPr>
        <w:rPr>
          <w:rFonts w:ascii="Tahoma" w:hAnsi="Tahoma" w:cs="Tahoma"/>
          <w:b/>
          <w:caps/>
          <w:sz w:val="28"/>
          <w:szCs w:val="28"/>
          <w:lang w:val="fr-FR"/>
        </w:rPr>
      </w:pPr>
    </w:p>
    <w:p w14:paraId="6CEC8D60" w14:textId="77777777" w:rsidR="00261462" w:rsidRPr="00E06FD7" w:rsidRDefault="00261462" w:rsidP="005D5924">
      <w:pPr>
        <w:rPr>
          <w:rFonts w:ascii="Tahoma" w:hAnsi="Tahoma" w:cs="Tahoma"/>
          <w:b/>
          <w:caps/>
          <w:sz w:val="28"/>
          <w:szCs w:val="28"/>
          <w:lang w:val="fr-FR"/>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2B7892D8" w14:textId="1542AA96" w:rsidR="00DA093C" w:rsidRDefault="00261462" w:rsidP="009A1043">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81475F">
        <w:rPr>
          <w:rFonts w:ascii="Tahoma" w:hAnsi="Tahoma" w:cs="Tahoma"/>
          <w:b/>
        </w:rPr>
        <w:t xml:space="preserve">consultancy </w:t>
      </w:r>
      <w:r w:rsidR="00480A62" w:rsidRPr="00480A62">
        <w:rPr>
          <w:rFonts w:ascii="Tahoma" w:hAnsi="Tahoma" w:cs="Tahoma"/>
          <w:b/>
        </w:rPr>
        <w:t>services</w:t>
      </w:r>
      <w:r w:rsidR="0081475F">
        <w:rPr>
          <w:rFonts w:ascii="Tahoma" w:hAnsi="Tahoma" w:cs="Tahoma"/>
          <w:b/>
        </w:rPr>
        <w:t xml:space="preserve">, </w:t>
      </w:r>
      <w:r w:rsidR="0081475F" w:rsidRPr="0081475F">
        <w:rPr>
          <w:rFonts w:ascii="Tahoma" w:hAnsi="Tahoma" w:cs="Tahoma"/>
          <w:b/>
        </w:rPr>
        <w:t xml:space="preserve">technical assistance and backstopping in preparing the Commentaries to the Law on National Councils of National Minorities </w:t>
      </w:r>
      <w:r w:rsidR="006E7998" w:rsidRPr="006E7998">
        <w:rPr>
          <w:rFonts w:ascii="Tahoma" w:hAnsi="Tahoma" w:cs="Tahoma"/>
          <w:b/>
        </w:rPr>
        <w:t>within the Action HF25 ‘’Promotion on Diversity and Equality in Serbia’’.</w:t>
      </w:r>
    </w:p>
    <w:p w14:paraId="51C615E1" w14:textId="77777777" w:rsidR="006E7998" w:rsidRPr="00EA2362" w:rsidRDefault="006E7998"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4BA62755" w:rsidR="00261462" w:rsidRDefault="00261462" w:rsidP="00261462">
      <w:pPr>
        <w:rPr>
          <w:rFonts w:ascii="Tahoma" w:hAnsi="Tahoma" w:cs="Tahoma"/>
          <w:b/>
          <w:sz w:val="20"/>
          <w:szCs w:val="20"/>
        </w:rPr>
      </w:pPr>
    </w:p>
    <w:p w14:paraId="403FD0EE" w14:textId="77777777" w:rsidR="00DA093C" w:rsidRPr="00EA2362" w:rsidRDefault="00DA093C"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3A1EB30A"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79312651" w14:textId="77777777" w:rsidR="00261462" w:rsidRPr="00EA2362" w:rsidRDefault="00261462" w:rsidP="00FF6B29">
      <w:pPr>
        <w:pStyle w:val="ListParagraph"/>
        <w:numPr>
          <w:ilvl w:val="0"/>
          <w:numId w:val="10"/>
        </w:numPr>
        <w:rPr>
          <w:rFonts w:ascii="Tahoma" w:hAnsi="Tahoma" w:cs="Tahoma"/>
          <w:b/>
          <w:lang w:eastAsia="en-US"/>
        </w:rPr>
        <w:sectPr w:rsidR="00261462" w:rsidRPr="00EA2362" w:rsidSect="00182FB2">
          <w:headerReference w:type="default" r:id="rId12"/>
          <w:pgSz w:w="11907" w:h="16840" w:code="9"/>
          <w:pgMar w:top="284" w:right="1134" w:bottom="851" w:left="1134" w:header="285" w:footer="284" w:gutter="0"/>
          <w:cols w:space="708"/>
          <w:docGrid w:linePitch="360"/>
        </w:sectPr>
      </w:pPr>
    </w:p>
    <w:p w14:paraId="2957CF46" w14:textId="6B3F0743" w:rsidR="00DA093C" w:rsidRDefault="00DA093C" w:rsidP="00DA093C">
      <w:pPr>
        <w:spacing w:before="120"/>
        <w:rPr>
          <w:rFonts w:ascii="Tahoma" w:hAnsi="Tahoma" w:cs="Tahoma"/>
          <w:b/>
          <w:sz w:val="18"/>
          <w:szCs w:val="18"/>
        </w:rPr>
      </w:pPr>
    </w:p>
    <w:p w14:paraId="6C067625" w14:textId="77777777" w:rsidR="00DA093C" w:rsidRPr="000D371D" w:rsidRDefault="00DA093C" w:rsidP="00DA093C">
      <w:pPr>
        <w:spacing w:before="120"/>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DA093C" w:rsidRPr="000D371D" w14:paraId="74D4C087" w14:textId="77777777" w:rsidTr="005E16AB">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8B77A89" w14:textId="77777777" w:rsidR="00DA093C" w:rsidRPr="000D371D" w:rsidRDefault="00DA093C" w:rsidP="005E16AB">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E4A5E6" w14:textId="77777777" w:rsidR="00DA093C" w:rsidRPr="000D371D" w:rsidRDefault="00DA093C" w:rsidP="005E16AB">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0D371D">
              <w:rPr>
                <w:color w:val="FF0000"/>
                <w:sz w:val="16"/>
                <w:szCs w:val="16"/>
              </w:rPr>
              <w:t>►</w:t>
            </w:r>
            <w:r>
              <w:rPr>
                <w:rFonts w:ascii="Tahoma" w:hAnsi="Tahoma" w:cs="Tahoma"/>
                <w:sz w:val="18"/>
                <w:szCs w:val="18"/>
              </w:rPr>
              <w:t xml:space="preserve"> </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5BBD3102" w14:textId="77777777" w:rsidR="00DA093C" w:rsidRPr="00E00928" w:rsidRDefault="00DA093C" w:rsidP="005E16AB">
            <w:pPr>
              <w:rPr>
                <w:rFonts w:ascii="Tahoma" w:hAnsi="Tahoma" w:cs="Tahoma"/>
                <w:color w:val="000000"/>
                <w:sz w:val="20"/>
                <w:szCs w:val="20"/>
              </w:rPr>
            </w:pPr>
            <w:r w:rsidRPr="00E00928">
              <w:rPr>
                <w:rFonts w:ascii="Segoe UI Symbol" w:hAnsi="Segoe UI Symbol" w:cs="Segoe UI Symbol"/>
                <w:color w:val="000000"/>
                <w:sz w:val="18"/>
                <w:szCs w:val="18"/>
                <w:lang w:val="es-ES_tradnl"/>
              </w:rPr>
              <w:t xml:space="preserve">☐ Natural </w:t>
            </w:r>
            <w:proofErr w:type="spellStart"/>
            <w:r w:rsidRPr="00E00928">
              <w:rPr>
                <w:rFonts w:ascii="Segoe UI Symbol" w:hAnsi="Segoe UI Symbol" w:cs="Segoe UI Symbol"/>
                <w:color w:val="000000"/>
                <w:sz w:val="18"/>
                <w:szCs w:val="18"/>
                <w:lang w:val="es-ES_tradnl"/>
              </w:rPr>
              <w:t>person</w:t>
            </w:r>
            <w:proofErr w:type="spellEnd"/>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40E0C5F" w14:textId="77777777" w:rsidR="00DA093C" w:rsidRPr="00E00928" w:rsidRDefault="00DA093C" w:rsidP="005E16AB">
            <w:pPr>
              <w:rPr>
                <w:rFonts w:ascii="Tahoma" w:hAnsi="Tahoma" w:cs="Tahoma"/>
                <w:color w:val="000000"/>
                <w:sz w:val="20"/>
                <w:szCs w:val="20"/>
              </w:rPr>
            </w:pPr>
            <w:r w:rsidRPr="00E00928">
              <w:rPr>
                <w:rFonts w:ascii="Segoe UI Symbol" w:hAnsi="Segoe UI Symbol" w:cs="Segoe UI Symbol"/>
                <w:color w:val="000000"/>
                <w:sz w:val="18"/>
                <w:szCs w:val="18"/>
                <w:lang w:val="es-ES_tradnl"/>
              </w:rPr>
              <w:t xml:space="preserve">☐ Legal </w:t>
            </w:r>
            <w:proofErr w:type="spellStart"/>
            <w:r w:rsidRPr="00E00928">
              <w:rPr>
                <w:rFonts w:ascii="Segoe UI Symbol" w:hAnsi="Segoe UI Symbol" w:cs="Segoe UI Symbol"/>
                <w:color w:val="000000"/>
                <w:sz w:val="18"/>
                <w:szCs w:val="18"/>
                <w:lang w:val="es-ES_tradnl"/>
              </w:rPr>
              <w:t>person</w:t>
            </w:r>
            <w:proofErr w:type="spellEnd"/>
            <w:r w:rsidRPr="00E00928">
              <w:rPr>
                <w:rFonts w:ascii="Segoe UI Symbol" w:hAnsi="Segoe UI Symbol" w:cs="Segoe UI Symbol"/>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FD488B" w14:textId="77777777" w:rsidR="00DA093C" w:rsidRPr="00E00928" w:rsidRDefault="00DA093C" w:rsidP="005E16AB">
            <w:pPr>
              <w:rPr>
                <w:rFonts w:ascii="Tahoma" w:hAnsi="Tahoma" w:cs="Tahoma"/>
                <w:color w:val="000000"/>
                <w:sz w:val="20"/>
                <w:szCs w:val="20"/>
              </w:rPr>
            </w:pPr>
            <w:r w:rsidRPr="00E00928">
              <w:rPr>
                <w:rFonts w:ascii="Segoe UI Symbol" w:hAnsi="Segoe UI Symbol" w:cs="Segoe UI Symbol"/>
                <w:color w:val="000000"/>
                <w:sz w:val="18"/>
                <w:szCs w:val="18"/>
                <w:lang w:val="es-ES_tradnl"/>
              </w:rPr>
              <w:t xml:space="preserve">☐ </w:t>
            </w:r>
            <w:proofErr w:type="spellStart"/>
            <w:r w:rsidRPr="00E00928">
              <w:rPr>
                <w:rFonts w:ascii="Segoe UI Symbol" w:hAnsi="Segoe UI Symbol" w:cs="Segoe UI Symbol"/>
                <w:color w:val="000000"/>
                <w:sz w:val="18"/>
                <w:szCs w:val="18"/>
                <w:lang w:val="es-ES_tradnl"/>
              </w:rPr>
              <w:t>Consortium</w:t>
            </w:r>
            <w:proofErr w:type="spellEnd"/>
          </w:p>
        </w:tc>
      </w:tr>
      <w:tr w:rsidR="00DA093C" w:rsidRPr="000D371D" w14:paraId="0F558CCC" w14:textId="77777777" w:rsidTr="005E16AB">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20EAF88D" w14:textId="77777777" w:rsidR="00DA093C" w:rsidRPr="000D371D" w:rsidRDefault="00DA093C" w:rsidP="005E16AB">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14DF649" w14:textId="77777777" w:rsidR="00DA093C" w:rsidRPr="000D371D" w:rsidRDefault="00DA093C" w:rsidP="005E16AB">
            <w:pPr>
              <w:jc w:val="right"/>
              <w:rPr>
                <w:rFonts w:ascii="Tahoma" w:hAnsi="Tahoma" w:cs="Tahoma"/>
                <w:sz w:val="18"/>
                <w:szCs w:val="18"/>
              </w:rPr>
            </w:pPr>
            <w:r w:rsidRPr="000D371D">
              <w:rPr>
                <w:rFonts w:ascii="Tahoma" w:hAnsi="Tahoma" w:cs="Tahoma"/>
                <w:sz w:val="18"/>
                <w:szCs w:val="18"/>
              </w:rPr>
              <w:t>Name and address</w:t>
            </w:r>
          </w:p>
          <w:p w14:paraId="56EE5025" w14:textId="77777777" w:rsidR="00DA093C" w:rsidRPr="000D371D" w:rsidRDefault="00DA093C" w:rsidP="005E16AB">
            <w:pPr>
              <w:jc w:val="right"/>
              <w:rPr>
                <w:rFonts w:ascii="Tahoma" w:hAnsi="Tahoma" w:cs="Tahoma"/>
                <w:color w:val="FF0000"/>
              </w:rPr>
            </w:pPr>
            <w:r w:rsidRPr="000D371D">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F857E93" w14:textId="77777777" w:rsidR="00DA093C" w:rsidRPr="000D371D" w:rsidRDefault="00DA093C" w:rsidP="005E16AB">
            <w:pPr>
              <w:rPr>
                <w:rFonts w:ascii="Tahoma" w:hAnsi="Tahoma" w:cs="Tahoma"/>
                <w:color w:val="000000"/>
                <w:sz w:val="20"/>
                <w:szCs w:val="20"/>
              </w:rPr>
            </w:pPr>
          </w:p>
        </w:tc>
      </w:tr>
      <w:tr w:rsidR="00DA093C" w:rsidRPr="000D371D" w14:paraId="0B9B0F6F" w14:textId="77777777" w:rsidTr="005E16AB">
        <w:trPr>
          <w:trHeight w:val="632"/>
          <w:jc w:val="center"/>
        </w:trPr>
        <w:tc>
          <w:tcPr>
            <w:tcW w:w="450" w:type="dxa"/>
            <w:vMerge/>
            <w:tcBorders>
              <w:left w:val="single" w:sz="2" w:space="0" w:color="808080"/>
              <w:right w:val="single" w:sz="2" w:space="0" w:color="808080"/>
            </w:tcBorders>
            <w:shd w:val="clear" w:color="auto" w:fill="F2F2F2"/>
          </w:tcPr>
          <w:p w14:paraId="600714D8" w14:textId="77777777" w:rsidR="00DA093C" w:rsidRPr="000D371D" w:rsidRDefault="00DA093C" w:rsidP="005E16A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AB79F27" w14:textId="77777777" w:rsidR="00DA093C" w:rsidRPr="000D371D" w:rsidRDefault="00DA093C" w:rsidP="005E16AB">
            <w:pPr>
              <w:jc w:val="right"/>
              <w:rPr>
                <w:rFonts w:ascii="Tahoma" w:hAnsi="Tahoma" w:cs="Tahoma"/>
                <w:sz w:val="18"/>
                <w:szCs w:val="18"/>
              </w:rPr>
            </w:pPr>
            <w:r w:rsidRPr="000D371D">
              <w:rPr>
                <w:rFonts w:ascii="Tahoma" w:hAnsi="Tahoma" w:cs="Tahoma"/>
                <w:sz w:val="18"/>
                <w:szCs w:val="18"/>
              </w:rPr>
              <w:t>Representative</w:t>
            </w:r>
          </w:p>
          <w:p w14:paraId="4161583C" w14:textId="77777777" w:rsidR="00DA093C" w:rsidRPr="000D371D" w:rsidRDefault="00DA093C" w:rsidP="005E16AB">
            <w:pPr>
              <w:jc w:val="right"/>
              <w:rPr>
                <w:rFonts w:ascii="Tahoma" w:hAnsi="Tahoma" w:cs="Tahoma"/>
                <w:color w:val="FF0000"/>
              </w:rPr>
            </w:pPr>
            <w:r w:rsidRPr="000D371D">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E82D10F" w14:textId="77777777" w:rsidR="00DA093C" w:rsidRPr="000D371D" w:rsidRDefault="00DA093C" w:rsidP="005E16AB">
            <w:pPr>
              <w:rPr>
                <w:rFonts w:ascii="Tahoma" w:hAnsi="Tahoma" w:cs="Tahoma"/>
                <w:sz w:val="20"/>
                <w:szCs w:val="20"/>
              </w:rPr>
            </w:pPr>
          </w:p>
        </w:tc>
      </w:tr>
      <w:tr w:rsidR="00DA093C" w:rsidRPr="000D371D" w14:paraId="0587021A" w14:textId="77777777" w:rsidTr="005E16AB">
        <w:trPr>
          <w:trHeight w:val="632"/>
          <w:jc w:val="center"/>
        </w:trPr>
        <w:tc>
          <w:tcPr>
            <w:tcW w:w="450" w:type="dxa"/>
            <w:vMerge/>
            <w:tcBorders>
              <w:left w:val="single" w:sz="2" w:space="0" w:color="808080"/>
              <w:right w:val="single" w:sz="2" w:space="0" w:color="808080"/>
            </w:tcBorders>
            <w:shd w:val="clear" w:color="auto" w:fill="F2F2F2"/>
          </w:tcPr>
          <w:p w14:paraId="56ABC6C7" w14:textId="77777777" w:rsidR="00DA093C" w:rsidRPr="000D371D" w:rsidRDefault="00DA093C" w:rsidP="005E16A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F595A4" w14:textId="77777777" w:rsidR="00DA093C" w:rsidRPr="000D371D" w:rsidRDefault="00DA093C" w:rsidP="005E16AB">
            <w:pPr>
              <w:jc w:val="right"/>
              <w:rPr>
                <w:rFonts w:ascii="Tahoma" w:hAnsi="Tahoma" w:cs="Tahoma"/>
                <w:sz w:val="18"/>
                <w:szCs w:val="18"/>
              </w:rPr>
            </w:pPr>
            <w:r w:rsidRPr="000D371D">
              <w:rPr>
                <w:rFonts w:ascii="Tahoma" w:hAnsi="Tahoma" w:cs="Tahoma"/>
                <w:sz w:val="18"/>
                <w:szCs w:val="18"/>
              </w:rPr>
              <w:t>Contact person</w:t>
            </w:r>
          </w:p>
          <w:p w14:paraId="667A63C8" w14:textId="77777777" w:rsidR="00DA093C" w:rsidRPr="000D371D" w:rsidRDefault="00DA093C" w:rsidP="005E16AB">
            <w:pPr>
              <w:jc w:val="right"/>
              <w:rPr>
                <w:rFonts w:ascii="Tahoma" w:hAnsi="Tahoma" w:cs="Tahoma"/>
                <w:color w:val="FF0000"/>
              </w:rPr>
            </w:pPr>
            <w:r w:rsidRPr="000D371D">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052DA22" w14:textId="77777777" w:rsidR="00DA093C" w:rsidRPr="000D371D" w:rsidRDefault="00DA093C" w:rsidP="005E16AB">
            <w:pPr>
              <w:rPr>
                <w:rFonts w:ascii="Tahoma" w:hAnsi="Tahoma" w:cs="Tahoma"/>
                <w:sz w:val="20"/>
                <w:szCs w:val="20"/>
              </w:rPr>
            </w:pPr>
          </w:p>
        </w:tc>
      </w:tr>
      <w:tr w:rsidR="00DA093C" w:rsidRPr="000D371D" w14:paraId="50518947" w14:textId="77777777" w:rsidTr="005E16AB">
        <w:trPr>
          <w:trHeight w:val="632"/>
          <w:jc w:val="center"/>
        </w:trPr>
        <w:tc>
          <w:tcPr>
            <w:tcW w:w="450" w:type="dxa"/>
            <w:vMerge/>
            <w:tcBorders>
              <w:left w:val="single" w:sz="2" w:space="0" w:color="808080"/>
              <w:right w:val="single" w:sz="2" w:space="0" w:color="808080"/>
            </w:tcBorders>
            <w:shd w:val="clear" w:color="auto" w:fill="F2F2F2"/>
          </w:tcPr>
          <w:p w14:paraId="27685852" w14:textId="77777777" w:rsidR="00DA093C" w:rsidRPr="000D371D" w:rsidRDefault="00DA093C" w:rsidP="005E16A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910FE77" w14:textId="77777777" w:rsidR="00DA093C" w:rsidRPr="000D371D" w:rsidRDefault="00DA093C" w:rsidP="005E16AB">
            <w:pPr>
              <w:jc w:val="right"/>
              <w:rPr>
                <w:rFonts w:ascii="Tahoma" w:hAnsi="Tahoma" w:cs="Tahoma"/>
                <w:sz w:val="18"/>
                <w:szCs w:val="18"/>
              </w:rPr>
            </w:pPr>
            <w:r w:rsidRPr="000D371D">
              <w:rPr>
                <w:rFonts w:ascii="Tahoma" w:hAnsi="Tahoma" w:cs="Tahoma"/>
                <w:sz w:val="18"/>
                <w:szCs w:val="18"/>
              </w:rPr>
              <w:t>VAT n° (if any)</w:t>
            </w:r>
          </w:p>
          <w:p w14:paraId="4BFF097D" w14:textId="77777777" w:rsidR="00DA093C" w:rsidRPr="000D371D" w:rsidRDefault="00DA093C" w:rsidP="005E16AB">
            <w:pPr>
              <w:jc w:val="right"/>
              <w:rPr>
                <w:rFonts w:ascii="Tahoma" w:hAnsi="Tahoma" w:cs="Tahoma"/>
                <w:color w:val="FF0000"/>
              </w:rPr>
            </w:pPr>
            <w:r w:rsidRPr="000D371D">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21BD1EF" w14:textId="77777777" w:rsidR="00DA093C" w:rsidRPr="000D371D" w:rsidRDefault="00DA093C" w:rsidP="005E16AB">
            <w:pPr>
              <w:rPr>
                <w:rFonts w:ascii="Tahoma" w:hAnsi="Tahoma" w:cs="Tahoma"/>
                <w:sz w:val="20"/>
                <w:szCs w:val="20"/>
              </w:rPr>
            </w:pPr>
          </w:p>
        </w:tc>
      </w:tr>
      <w:tr w:rsidR="00DA093C" w:rsidRPr="000D371D" w14:paraId="1720075B" w14:textId="77777777" w:rsidTr="005E16AB">
        <w:trPr>
          <w:trHeight w:val="632"/>
          <w:jc w:val="center"/>
        </w:trPr>
        <w:tc>
          <w:tcPr>
            <w:tcW w:w="450" w:type="dxa"/>
            <w:vMerge/>
            <w:tcBorders>
              <w:left w:val="single" w:sz="2" w:space="0" w:color="808080"/>
              <w:right w:val="single" w:sz="2" w:space="0" w:color="808080"/>
            </w:tcBorders>
            <w:shd w:val="clear" w:color="auto" w:fill="F2F2F2"/>
          </w:tcPr>
          <w:p w14:paraId="630C3F42" w14:textId="77777777" w:rsidR="00DA093C" w:rsidRPr="000D371D" w:rsidRDefault="00DA093C" w:rsidP="005E16A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7E3B857" w14:textId="77777777" w:rsidR="00DA093C" w:rsidRPr="000D371D" w:rsidRDefault="00DA093C" w:rsidP="005E16AB">
            <w:pPr>
              <w:jc w:val="right"/>
              <w:rPr>
                <w:rFonts w:ascii="Tahoma" w:hAnsi="Tahoma" w:cs="Tahoma"/>
                <w:sz w:val="18"/>
                <w:szCs w:val="18"/>
              </w:rPr>
            </w:pPr>
            <w:r w:rsidRPr="000D371D">
              <w:rPr>
                <w:rFonts w:ascii="Tahoma" w:hAnsi="Tahoma" w:cs="Tahoma"/>
                <w:sz w:val="18"/>
                <w:szCs w:val="18"/>
              </w:rPr>
              <w:t>Country and registration n° (if any)</w:t>
            </w:r>
          </w:p>
          <w:p w14:paraId="2623DAFE" w14:textId="77777777" w:rsidR="00DA093C" w:rsidRPr="000D371D" w:rsidRDefault="00DA093C" w:rsidP="005E16AB">
            <w:pPr>
              <w:jc w:val="right"/>
              <w:rPr>
                <w:rFonts w:ascii="Tahoma" w:hAnsi="Tahoma" w:cs="Tahoma"/>
                <w:color w:val="FF0000"/>
              </w:rPr>
            </w:pPr>
            <w:r w:rsidRPr="000D371D">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894FFA4" w14:textId="77777777" w:rsidR="00DA093C" w:rsidRPr="000D371D" w:rsidRDefault="00DA093C" w:rsidP="005E16AB">
            <w:pPr>
              <w:rPr>
                <w:rFonts w:ascii="Tahoma" w:hAnsi="Tahoma" w:cs="Tahoma"/>
                <w:sz w:val="20"/>
                <w:szCs w:val="20"/>
              </w:rPr>
            </w:pPr>
          </w:p>
        </w:tc>
      </w:tr>
      <w:tr w:rsidR="00DA093C" w:rsidRPr="000D371D" w14:paraId="6D7E1C62" w14:textId="77777777" w:rsidTr="005E16AB">
        <w:trPr>
          <w:trHeight w:val="632"/>
          <w:jc w:val="center"/>
        </w:trPr>
        <w:tc>
          <w:tcPr>
            <w:tcW w:w="450" w:type="dxa"/>
            <w:vMerge/>
            <w:tcBorders>
              <w:left w:val="single" w:sz="2" w:space="0" w:color="808080"/>
              <w:right w:val="single" w:sz="2" w:space="0" w:color="808080"/>
            </w:tcBorders>
            <w:shd w:val="clear" w:color="auto" w:fill="F2F2F2"/>
          </w:tcPr>
          <w:p w14:paraId="42C6DA31" w14:textId="77777777" w:rsidR="00DA093C" w:rsidRPr="000D371D" w:rsidRDefault="00DA093C" w:rsidP="005E16A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AD631D" w14:textId="77777777" w:rsidR="00DA093C" w:rsidRPr="000D371D" w:rsidRDefault="00DA093C" w:rsidP="005E16AB">
            <w:pPr>
              <w:jc w:val="right"/>
              <w:rPr>
                <w:rFonts w:ascii="Tahoma" w:hAnsi="Tahoma" w:cs="Tahoma"/>
                <w:sz w:val="18"/>
                <w:szCs w:val="18"/>
              </w:rPr>
            </w:pPr>
            <w:r w:rsidRPr="000D371D">
              <w:rPr>
                <w:rFonts w:ascii="Tahoma" w:hAnsi="Tahoma" w:cs="Tahoma"/>
                <w:sz w:val="18"/>
                <w:szCs w:val="18"/>
              </w:rPr>
              <w:t>Email (Contact person)</w:t>
            </w:r>
          </w:p>
          <w:p w14:paraId="53C03D28" w14:textId="77777777" w:rsidR="00DA093C" w:rsidRPr="000D371D" w:rsidRDefault="00DA093C" w:rsidP="005E16AB">
            <w:pPr>
              <w:jc w:val="right"/>
              <w:rPr>
                <w:rFonts w:ascii="Tahoma" w:hAnsi="Tahoma" w:cs="Tahoma"/>
                <w:color w:val="FF0000"/>
              </w:rPr>
            </w:pPr>
            <w:r w:rsidRPr="000D371D">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0F6F768" w14:textId="77777777" w:rsidR="00DA093C" w:rsidRPr="000D371D" w:rsidRDefault="00DA093C" w:rsidP="005E16AB">
            <w:pPr>
              <w:rPr>
                <w:rFonts w:ascii="Tahoma" w:hAnsi="Tahoma" w:cs="Tahoma"/>
                <w:sz w:val="20"/>
                <w:szCs w:val="20"/>
              </w:rPr>
            </w:pPr>
          </w:p>
        </w:tc>
      </w:tr>
      <w:tr w:rsidR="00DA093C" w:rsidRPr="000D371D" w14:paraId="7DA29CFB" w14:textId="77777777" w:rsidTr="005E16AB">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1A13C002" w14:textId="77777777" w:rsidR="00DA093C" w:rsidRPr="000D371D" w:rsidRDefault="00DA093C" w:rsidP="005E16A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2B9CF7E" w14:textId="77777777" w:rsidR="00DA093C" w:rsidRPr="000D371D" w:rsidRDefault="00DA093C" w:rsidP="005E16AB">
            <w:pPr>
              <w:jc w:val="right"/>
              <w:rPr>
                <w:rFonts w:ascii="Tahoma" w:hAnsi="Tahoma" w:cs="Tahoma"/>
                <w:sz w:val="18"/>
                <w:szCs w:val="18"/>
              </w:rPr>
            </w:pPr>
            <w:r w:rsidRPr="000D371D">
              <w:rPr>
                <w:rFonts w:ascii="Tahoma" w:hAnsi="Tahoma" w:cs="Tahoma"/>
                <w:sz w:val="18"/>
                <w:szCs w:val="18"/>
              </w:rPr>
              <w:t>Phone number (Contact person)</w:t>
            </w:r>
          </w:p>
          <w:p w14:paraId="2D59C22E" w14:textId="77777777" w:rsidR="00DA093C" w:rsidRPr="000D371D" w:rsidRDefault="00DA093C" w:rsidP="005E16AB">
            <w:pPr>
              <w:jc w:val="right"/>
              <w:rPr>
                <w:rFonts w:ascii="Tahoma" w:hAnsi="Tahoma" w:cs="Tahoma"/>
                <w:color w:val="FF0000"/>
              </w:rPr>
            </w:pPr>
            <w:r w:rsidRPr="000D371D">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77B3B66" w14:textId="77777777" w:rsidR="00DA093C" w:rsidRPr="000D371D" w:rsidRDefault="00DA093C" w:rsidP="005E16AB">
            <w:pPr>
              <w:rPr>
                <w:rFonts w:ascii="Tahoma" w:hAnsi="Tahoma" w:cs="Tahoma"/>
                <w:sz w:val="20"/>
                <w:szCs w:val="20"/>
              </w:rPr>
            </w:pPr>
          </w:p>
        </w:tc>
      </w:tr>
      <w:tr w:rsidR="00DA093C" w:rsidRPr="000D371D" w14:paraId="405E8091" w14:textId="77777777" w:rsidTr="005E16AB">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26D3CB9" w14:textId="77777777" w:rsidR="00DA093C" w:rsidRPr="000D371D" w:rsidRDefault="00DA093C" w:rsidP="005E16AB">
            <w:pPr>
              <w:ind w:left="113" w:right="113"/>
              <w:rPr>
                <w:rFonts w:ascii="Tahoma" w:hAnsi="Tahoma" w:cs="Tahoma"/>
                <w:b/>
                <w:sz w:val="18"/>
                <w:szCs w:val="18"/>
              </w:rPr>
            </w:pPr>
            <w:r w:rsidRPr="000D371D">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BF62A5" w14:textId="77777777" w:rsidR="00DA093C" w:rsidRPr="000D371D" w:rsidRDefault="00DA093C" w:rsidP="005E16AB">
            <w:pPr>
              <w:jc w:val="right"/>
              <w:rPr>
                <w:rFonts w:ascii="Tahoma" w:hAnsi="Tahoma" w:cs="Tahoma"/>
                <w:sz w:val="18"/>
                <w:szCs w:val="18"/>
              </w:rPr>
            </w:pPr>
            <w:r w:rsidRPr="000D371D">
              <w:rPr>
                <w:rFonts w:ascii="Tahoma" w:hAnsi="Tahoma" w:cs="Tahoma"/>
                <w:sz w:val="18"/>
                <w:szCs w:val="18"/>
              </w:rPr>
              <w:t>Account holder</w:t>
            </w:r>
          </w:p>
          <w:p w14:paraId="30381AD3" w14:textId="77777777" w:rsidR="00DA093C" w:rsidRPr="000D371D" w:rsidRDefault="00DA093C" w:rsidP="005E16AB">
            <w:pPr>
              <w:jc w:val="right"/>
              <w:rPr>
                <w:rFonts w:ascii="Tahoma" w:hAnsi="Tahoma" w:cs="Tahoma"/>
                <w:color w:val="FF0000"/>
                <w:sz w:val="16"/>
                <w:szCs w:val="16"/>
              </w:rPr>
            </w:pPr>
            <w:r w:rsidRPr="000D371D">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369E40B" w14:textId="77777777" w:rsidR="00DA093C" w:rsidRPr="000D371D" w:rsidRDefault="00DA093C" w:rsidP="005E16AB">
            <w:pPr>
              <w:rPr>
                <w:rFonts w:ascii="Tahoma" w:hAnsi="Tahoma" w:cs="Tahoma"/>
                <w:sz w:val="20"/>
                <w:szCs w:val="20"/>
              </w:rPr>
            </w:pPr>
          </w:p>
        </w:tc>
      </w:tr>
      <w:tr w:rsidR="00DA093C" w:rsidRPr="000D371D" w14:paraId="6023F350" w14:textId="77777777" w:rsidTr="005E16AB">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04771D36" w14:textId="77777777" w:rsidR="00DA093C" w:rsidRPr="000D371D" w:rsidRDefault="00DA093C" w:rsidP="005E16AB">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8A84E9F" w14:textId="77777777" w:rsidR="00DA093C" w:rsidRPr="000D371D" w:rsidRDefault="00DA093C" w:rsidP="005E16AB">
            <w:pPr>
              <w:jc w:val="right"/>
              <w:rPr>
                <w:rFonts w:ascii="Tahoma" w:hAnsi="Tahoma" w:cs="Tahoma"/>
                <w:sz w:val="18"/>
                <w:szCs w:val="18"/>
              </w:rPr>
            </w:pPr>
            <w:r w:rsidRPr="000D371D">
              <w:rPr>
                <w:rFonts w:ascii="Tahoma" w:hAnsi="Tahoma" w:cs="Tahoma"/>
                <w:sz w:val="18"/>
                <w:szCs w:val="18"/>
              </w:rPr>
              <w:t>IBAN n°</w:t>
            </w:r>
          </w:p>
          <w:p w14:paraId="1BDD17D5" w14:textId="77777777" w:rsidR="00DA093C" w:rsidRPr="000D371D" w:rsidRDefault="00DA093C" w:rsidP="005E16AB">
            <w:pPr>
              <w:jc w:val="right"/>
              <w:rPr>
                <w:rFonts w:ascii="Tahoma" w:hAnsi="Tahoma" w:cs="Tahoma"/>
                <w:sz w:val="18"/>
                <w:szCs w:val="18"/>
              </w:rPr>
            </w:pPr>
            <w:r w:rsidRPr="000D371D">
              <w:rPr>
                <w:rFonts w:ascii="Tahoma" w:hAnsi="Tahoma" w:cs="Tahoma"/>
                <w:sz w:val="18"/>
                <w:szCs w:val="18"/>
              </w:rPr>
              <w:t>(if available)</w:t>
            </w:r>
          </w:p>
          <w:p w14:paraId="0BE819B4" w14:textId="77777777" w:rsidR="00DA093C" w:rsidRPr="000D371D" w:rsidRDefault="00DA093C" w:rsidP="005E16AB">
            <w:pPr>
              <w:jc w:val="right"/>
              <w:rPr>
                <w:rFonts w:ascii="Tahoma" w:hAnsi="Tahoma" w:cs="Tahoma"/>
                <w:color w:val="FF0000"/>
                <w:sz w:val="16"/>
                <w:szCs w:val="16"/>
              </w:rPr>
            </w:pPr>
            <w:r w:rsidRPr="000D371D">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622EC144" w14:textId="77777777" w:rsidR="00DA093C" w:rsidRPr="000D371D" w:rsidRDefault="00DA093C" w:rsidP="005E16AB">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6B9345B" w14:textId="77777777" w:rsidR="00DA093C" w:rsidRPr="000D371D" w:rsidRDefault="00DA093C" w:rsidP="005E16AB">
            <w:pPr>
              <w:jc w:val="right"/>
              <w:rPr>
                <w:rFonts w:ascii="Tahoma" w:hAnsi="Tahoma" w:cs="Tahoma"/>
                <w:sz w:val="18"/>
                <w:szCs w:val="18"/>
              </w:rPr>
            </w:pPr>
            <w:r w:rsidRPr="000D371D">
              <w:rPr>
                <w:rFonts w:ascii="Tahoma" w:hAnsi="Tahoma" w:cs="Tahoma"/>
                <w:sz w:val="18"/>
                <w:szCs w:val="18"/>
              </w:rPr>
              <w:t xml:space="preserve">Full bank account n° (for non-IBAN countries only) </w:t>
            </w:r>
            <w:r w:rsidRPr="000D371D">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7A1A5B0D" w14:textId="77777777" w:rsidR="00DA093C" w:rsidRPr="000D371D" w:rsidRDefault="00DA093C" w:rsidP="005E16AB">
            <w:pPr>
              <w:rPr>
                <w:rFonts w:ascii="Tahoma" w:hAnsi="Tahoma" w:cs="Tahoma"/>
                <w:sz w:val="20"/>
                <w:szCs w:val="20"/>
              </w:rPr>
            </w:pPr>
          </w:p>
        </w:tc>
      </w:tr>
      <w:tr w:rsidR="00DA093C" w:rsidRPr="000D371D" w14:paraId="44C07F9A" w14:textId="77777777" w:rsidTr="005E16AB">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5E3A2BFD" w14:textId="77777777" w:rsidR="00DA093C" w:rsidRPr="000D371D" w:rsidRDefault="00DA093C" w:rsidP="005E16AB">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8B66046" w14:textId="77777777" w:rsidR="00DA093C" w:rsidRPr="000D371D" w:rsidRDefault="00DA093C" w:rsidP="005E16AB">
            <w:pPr>
              <w:jc w:val="right"/>
              <w:rPr>
                <w:rFonts w:ascii="Tahoma" w:hAnsi="Tahoma" w:cs="Tahoma"/>
                <w:sz w:val="18"/>
                <w:szCs w:val="18"/>
              </w:rPr>
            </w:pPr>
            <w:r w:rsidRPr="000D371D">
              <w:rPr>
                <w:rFonts w:ascii="Tahoma" w:hAnsi="Tahoma" w:cs="Tahoma"/>
                <w:sz w:val="18"/>
                <w:szCs w:val="18"/>
              </w:rPr>
              <w:t>Bank name</w:t>
            </w:r>
          </w:p>
          <w:p w14:paraId="079855B2" w14:textId="77777777" w:rsidR="00DA093C" w:rsidRPr="000D371D" w:rsidRDefault="00DA093C" w:rsidP="005E16AB">
            <w:pPr>
              <w:jc w:val="right"/>
              <w:rPr>
                <w:rFonts w:ascii="Tahoma" w:hAnsi="Tahoma" w:cs="Tahoma"/>
                <w:sz w:val="18"/>
                <w:szCs w:val="18"/>
              </w:rPr>
            </w:pPr>
            <w:r w:rsidRPr="000D371D">
              <w:rPr>
                <w:rFonts w:ascii="Tahoma" w:hAnsi="Tahoma" w:cs="Tahoma"/>
                <w:sz w:val="18"/>
                <w:szCs w:val="18"/>
              </w:rPr>
              <w:t>and Branch</w:t>
            </w:r>
          </w:p>
          <w:p w14:paraId="7A1C2F4E" w14:textId="77777777" w:rsidR="00DA093C" w:rsidRPr="000D371D" w:rsidRDefault="00DA093C" w:rsidP="005E16AB">
            <w:pPr>
              <w:jc w:val="right"/>
              <w:rPr>
                <w:rFonts w:ascii="Tahoma" w:hAnsi="Tahoma" w:cs="Tahoma"/>
                <w:color w:val="FF0000"/>
                <w:sz w:val="16"/>
                <w:szCs w:val="16"/>
              </w:rPr>
            </w:pPr>
            <w:r w:rsidRPr="000D371D">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64FB288" w14:textId="77777777" w:rsidR="00DA093C" w:rsidRPr="000D371D" w:rsidRDefault="00DA093C" w:rsidP="005E16AB">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A80D429" w14:textId="77777777" w:rsidR="00DA093C" w:rsidRPr="000D371D" w:rsidRDefault="00DA093C" w:rsidP="005E16AB">
            <w:pPr>
              <w:jc w:val="right"/>
              <w:rPr>
                <w:rFonts w:ascii="Tahoma" w:hAnsi="Tahoma" w:cs="Tahoma"/>
                <w:sz w:val="18"/>
                <w:szCs w:val="18"/>
              </w:rPr>
            </w:pPr>
            <w:r w:rsidRPr="000D371D">
              <w:rPr>
                <w:rFonts w:ascii="Tahoma" w:hAnsi="Tahoma" w:cs="Tahoma"/>
                <w:sz w:val="18"/>
                <w:szCs w:val="18"/>
              </w:rPr>
              <w:t xml:space="preserve">BIC/SWIFT Code </w:t>
            </w:r>
          </w:p>
          <w:p w14:paraId="1B58110C" w14:textId="77777777" w:rsidR="00DA093C" w:rsidRPr="000D371D" w:rsidRDefault="00DA093C" w:rsidP="005E16AB">
            <w:pPr>
              <w:jc w:val="right"/>
              <w:rPr>
                <w:rFonts w:ascii="Tahoma" w:hAnsi="Tahoma" w:cs="Tahoma"/>
                <w:color w:val="FF0000"/>
                <w:sz w:val="18"/>
                <w:szCs w:val="18"/>
              </w:rPr>
            </w:pPr>
            <w:r w:rsidRPr="000D371D">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1C92BF45" w14:textId="77777777" w:rsidR="00DA093C" w:rsidRPr="000D371D" w:rsidRDefault="00DA093C" w:rsidP="005E16AB">
            <w:pPr>
              <w:rPr>
                <w:rFonts w:ascii="Tahoma" w:hAnsi="Tahoma" w:cs="Tahoma"/>
                <w:sz w:val="20"/>
                <w:szCs w:val="20"/>
              </w:rPr>
            </w:pPr>
          </w:p>
        </w:tc>
      </w:tr>
      <w:tr w:rsidR="00DA093C" w:rsidRPr="000D371D" w14:paraId="11C8D947" w14:textId="77777777" w:rsidTr="005E16AB">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27EC0001" w14:textId="77777777" w:rsidR="00DA093C" w:rsidRPr="000D371D" w:rsidRDefault="00DA093C" w:rsidP="005E16AB">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C8DDAA" w14:textId="77777777" w:rsidR="00DA093C" w:rsidRPr="000D371D" w:rsidRDefault="00DA093C" w:rsidP="005E16AB">
            <w:pPr>
              <w:jc w:val="right"/>
              <w:rPr>
                <w:rFonts w:ascii="Tahoma" w:hAnsi="Tahoma" w:cs="Tahoma"/>
                <w:sz w:val="18"/>
                <w:szCs w:val="18"/>
              </w:rPr>
            </w:pPr>
            <w:r w:rsidRPr="000D371D">
              <w:rPr>
                <w:rFonts w:ascii="Tahoma" w:hAnsi="Tahoma" w:cs="Tahoma"/>
                <w:sz w:val="18"/>
                <w:szCs w:val="18"/>
              </w:rPr>
              <w:t xml:space="preserve">Bank Address </w:t>
            </w:r>
          </w:p>
          <w:p w14:paraId="6BEC782E" w14:textId="77777777" w:rsidR="00DA093C" w:rsidRPr="000D371D" w:rsidRDefault="00DA093C" w:rsidP="005E16AB">
            <w:pPr>
              <w:jc w:val="right"/>
              <w:rPr>
                <w:rFonts w:ascii="Tahoma" w:hAnsi="Tahoma" w:cs="Tahoma"/>
                <w:color w:val="FF0000"/>
                <w:sz w:val="18"/>
                <w:szCs w:val="18"/>
              </w:rPr>
            </w:pPr>
            <w:r w:rsidRPr="000D371D">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69CB6A1B" w14:textId="77777777" w:rsidR="00DA093C" w:rsidRPr="000D371D" w:rsidRDefault="00DA093C" w:rsidP="005E16AB">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BB26F24" w14:textId="77777777" w:rsidR="00DA093C" w:rsidRPr="000D371D" w:rsidRDefault="00DA093C" w:rsidP="005E16AB">
            <w:pPr>
              <w:jc w:val="right"/>
              <w:rPr>
                <w:rFonts w:ascii="Tahoma" w:hAnsi="Tahoma" w:cs="Tahoma"/>
                <w:sz w:val="18"/>
                <w:szCs w:val="18"/>
              </w:rPr>
            </w:pPr>
            <w:r w:rsidRPr="000D371D">
              <w:rPr>
                <w:rFonts w:ascii="Tahoma" w:hAnsi="Tahoma" w:cs="Tahoma"/>
                <w:sz w:val="18"/>
                <w:szCs w:val="18"/>
              </w:rPr>
              <w:t xml:space="preserve">Account currency </w:t>
            </w:r>
            <w:r w:rsidRPr="000D371D">
              <w:rPr>
                <w:color w:val="FF0000"/>
                <w:sz w:val="16"/>
                <w:szCs w:val="16"/>
              </w:rPr>
              <w:t>►</w:t>
            </w:r>
            <w:r w:rsidRPr="000D371D">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475E900B" w14:textId="77777777" w:rsidR="00DA093C" w:rsidRPr="000D371D" w:rsidRDefault="00DA093C" w:rsidP="005E16AB">
            <w:pPr>
              <w:rPr>
                <w:rFonts w:ascii="Tahoma" w:hAnsi="Tahoma" w:cs="Tahoma"/>
                <w:sz w:val="20"/>
                <w:szCs w:val="20"/>
              </w:rPr>
            </w:pPr>
          </w:p>
        </w:tc>
      </w:tr>
    </w:tbl>
    <w:p w14:paraId="7F5C7AB9" w14:textId="08B7501A" w:rsidR="00A72D5E" w:rsidRDefault="00A72D5E">
      <w:pPr>
        <w:rPr>
          <w:rFonts w:ascii="Tahoma" w:hAnsi="Tahoma" w:cs="Tahoma"/>
          <w:b/>
          <w:lang w:eastAsia="en-US"/>
        </w:rPr>
      </w:pPr>
      <w:r>
        <w:rPr>
          <w:rFonts w:ascii="Tahoma" w:hAnsi="Tahoma" w:cs="Tahoma"/>
          <w:b/>
          <w:lang w:eastAsia="en-US"/>
        </w:rPr>
        <w:br w:type="page"/>
      </w: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7D530BEE" w14:textId="16583FEA" w:rsidR="0081475F" w:rsidRDefault="0081475F" w:rsidP="0081475F">
      <w:pPr>
        <w:spacing w:line="276" w:lineRule="auto"/>
        <w:jc w:val="both"/>
        <w:rPr>
          <w:rFonts w:ascii="Tahoma" w:hAnsi="Tahoma" w:cs="Tahoma"/>
          <w:sz w:val="20"/>
          <w:szCs w:val="20"/>
          <w:lang w:val="en-US"/>
        </w:rPr>
      </w:pPr>
      <w:r w:rsidRPr="0081475F">
        <w:rPr>
          <w:rFonts w:ascii="Tahoma" w:hAnsi="Tahoma" w:cs="Tahoma"/>
          <w:sz w:val="20"/>
          <w:szCs w:val="20"/>
          <w:lang w:val="en-US"/>
        </w:rPr>
        <w:t xml:space="preserve">The Action on “Promotion of diversity and equality in Serbia” is part of the Horizontal Facility for the Western Balkans and Turkey II, a joint </w:t>
      </w:r>
      <w:proofErr w:type="spellStart"/>
      <w:r w:rsidRPr="0081475F">
        <w:rPr>
          <w:rFonts w:ascii="Tahoma" w:hAnsi="Tahoma" w:cs="Tahoma"/>
          <w:sz w:val="20"/>
          <w:szCs w:val="20"/>
          <w:lang w:val="en-US"/>
        </w:rPr>
        <w:t>programme</w:t>
      </w:r>
      <w:proofErr w:type="spellEnd"/>
      <w:r w:rsidRPr="0081475F">
        <w:rPr>
          <w:rFonts w:ascii="Tahoma" w:hAnsi="Tahoma" w:cs="Tahoma"/>
          <w:sz w:val="20"/>
          <w:szCs w:val="20"/>
          <w:lang w:val="en-US"/>
        </w:rPr>
        <w:t xml:space="preserve"> of the Council of Europe (COE) and the European Union aiming at supporting South East Europe and Turkey to comply with European standards. The project supports beneficiaries in Serbia on countering hate speech and hate crime; promoting and protecting rights of national minorities and LGBTI persons; strengthening anti-discrimination institutions/mechanisms and their coordination; in line with the standards of the Council of Europe, including the case-law of the European Court of Human Rights, the Framework Convention for the Protection of National Minorities (FCNM), the European Charter for Regional and Minority Languages (ECRML), as well as the recommendations of the European Commission against Racism and Intolerance (ECRI).</w:t>
      </w:r>
    </w:p>
    <w:p w14:paraId="5298B079" w14:textId="77777777" w:rsidR="0081475F" w:rsidRPr="0081475F" w:rsidRDefault="0081475F" w:rsidP="0081475F">
      <w:pPr>
        <w:spacing w:line="276" w:lineRule="auto"/>
        <w:jc w:val="both"/>
        <w:rPr>
          <w:rFonts w:ascii="Tahoma" w:hAnsi="Tahoma" w:cs="Tahoma"/>
          <w:sz w:val="20"/>
          <w:szCs w:val="20"/>
          <w:lang w:val="en-US"/>
        </w:rPr>
      </w:pPr>
    </w:p>
    <w:p w14:paraId="75FDB187" w14:textId="3DA789E6" w:rsidR="0081475F" w:rsidRDefault="0081475F" w:rsidP="0081475F">
      <w:pPr>
        <w:spacing w:line="276" w:lineRule="auto"/>
        <w:jc w:val="both"/>
        <w:rPr>
          <w:rFonts w:ascii="Tahoma" w:hAnsi="Tahoma" w:cs="Tahoma"/>
          <w:sz w:val="20"/>
          <w:szCs w:val="20"/>
          <w:lang w:val="en-US"/>
        </w:rPr>
      </w:pPr>
      <w:r w:rsidRPr="0081475F">
        <w:rPr>
          <w:rFonts w:ascii="Tahoma" w:hAnsi="Tahoma" w:cs="Tahoma"/>
          <w:sz w:val="20"/>
          <w:szCs w:val="20"/>
          <w:lang w:val="en-US"/>
        </w:rPr>
        <w:t xml:space="preserve">In the framework of the Action and in </w:t>
      </w:r>
      <w:r w:rsidR="00564E88">
        <w:rPr>
          <w:rFonts w:ascii="Tahoma" w:hAnsi="Tahoma" w:cs="Tahoma"/>
          <w:sz w:val="20"/>
          <w:szCs w:val="20"/>
          <w:lang w:val="en-US"/>
        </w:rPr>
        <w:t>collaboration</w:t>
      </w:r>
      <w:r w:rsidRPr="0081475F">
        <w:rPr>
          <w:rFonts w:ascii="Tahoma" w:hAnsi="Tahoma" w:cs="Tahoma"/>
          <w:sz w:val="20"/>
          <w:szCs w:val="20"/>
          <w:lang w:val="en-US"/>
        </w:rPr>
        <w:t xml:space="preserve"> with the Ministry of Human and Minority Rights and Social Dialogue as a key beneficiary of the project, the consultant will provide technical assistance and backstopping in preparing the Commentar</w:t>
      </w:r>
      <w:r w:rsidR="00564E88">
        <w:rPr>
          <w:rFonts w:ascii="Tahoma" w:hAnsi="Tahoma" w:cs="Tahoma"/>
          <w:sz w:val="20"/>
          <w:szCs w:val="20"/>
          <w:lang w:val="en-US"/>
        </w:rPr>
        <w:t>y</w:t>
      </w:r>
      <w:r w:rsidRPr="0081475F">
        <w:rPr>
          <w:rFonts w:ascii="Tahoma" w:hAnsi="Tahoma" w:cs="Tahoma"/>
          <w:sz w:val="20"/>
          <w:szCs w:val="20"/>
          <w:lang w:val="en-US"/>
        </w:rPr>
        <w:t xml:space="preserve"> to the Law on National Councils of National Minorities. In view of the above, the consultant shall: </w:t>
      </w:r>
    </w:p>
    <w:p w14:paraId="75DC3C1C" w14:textId="77777777" w:rsidR="0081475F" w:rsidRPr="0081475F" w:rsidRDefault="0081475F" w:rsidP="0081475F">
      <w:pPr>
        <w:spacing w:line="276" w:lineRule="auto"/>
        <w:jc w:val="both"/>
        <w:rPr>
          <w:rFonts w:ascii="Tahoma" w:hAnsi="Tahoma" w:cs="Tahoma"/>
          <w:sz w:val="20"/>
          <w:szCs w:val="20"/>
          <w:lang w:val="en-US"/>
        </w:rPr>
      </w:pPr>
    </w:p>
    <w:p w14:paraId="209082DA" w14:textId="77777777" w:rsidR="0081475F" w:rsidRPr="0081475F" w:rsidRDefault="0081475F" w:rsidP="0081475F">
      <w:pPr>
        <w:spacing w:line="276" w:lineRule="auto"/>
        <w:jc w:val="both"/>
        <w:rPr>
          <w:rFonts w:ascii="Tahoma" w:hAnsi="Tahoma" w:cs="Tahoma"/>
          <w:sz w:val="20"/>
          <w:szCs w:val="20"/>
          <w:lang w:val="en-US"/>
        </w:rPr>
      </w:pPr>
      <w:r w:rsidRPr="0081475F">
        <w:rPr>
          <w:rFonts w:ascii="Tahoma" w:hAnsi="Tahoma" w:cs="Tahoma"/>
          <w:sz w:val="20"/>
          <w:szCs w:val="20"/>
          <w:lang w:val="en-US"/>
        </w:rPr>
        <w:t>(i)</w:t>
      </w:r>
      <w:r w:rsidRPr="0081475F">
        <w:rPr>
          <w:rFonts w:ascii="Tahoma" w:hAnsi="Tahoma" w:cs="Tahoma"/>
          <w:sz w:val="20"/>
          <w:szCs w:val="20"/>
          <w:lang w:val="en-US"/>
        </w:rPr>
        <w:tab/>
        <w:t xml:space="preserve">Provide a systematic interpretation of the provisions of the Law on National Councils of National Minorities.  </w:t>
      </w:r>
    </w:p>
    <w:p w14:paraId="62F8B3F1" w14:textId="77777777" w:rsidR="0081475F" w:rsidRPr="0081475F" w:rsidRDefault="0081475F" w:rsidP="0081475F">
      <w:pPr>
        <w:spacing w:line="276" w:lineRule="auto"/>
        <w:jc w:val="both"/>
        <w:rPr>
          <w:rFonts w:ascii="Tahoma" w:hAnsi="Tahoma" w:cs="Tahoma"/>
          <w:sz w:val="20"/>
          <w:szCs w:val="20"/>
          <w:lang w:val="en-US"/>
        </w:rPr>
      </w:pPr>
      <w:r w:rsidRPr="0081475F">
        <w:rPr>
          <w:rFonts w:ascii="Tahoma" w:hAnsi="Tahoma" w:cs="Tahoma"/>
          <w:sz w:val="20"/>
          <w:szCs w:val="20"/>
          <w:lang w:val="en-US"/>
        </w:rPr>
        <w:t>(ii)</w:t>
      </w:r>
      <w:r w:rsidRPr="0081475F">
        <w:rPr>
          <w:rFonts w:ascii="Tahoma" w:hAnsi="Tahoma" w:cs="Tahoma"/>
          <w:sz w:val="20"/>
          <w:szCs w:val="20"/>
          <w:lang w:val="en-US"/>
        </w:rPr>
        <w:tab/>
        <w:t xml:space="preserve">Refer legal institutes to the relevant regulations and court practice. </w:t>
      </w:r>
    </w:p>
    <w:p w14:paraId="7A1C2114" w14:textId="77777777" w:rsidR="0081475F" w:rsidRPr="0081475F" w:rsidRDefault="0081475F" w:rsidP="0081475F">
      <w:pPr>
        <w:spacing w:line="276" w:lineRule="auto"/>
        <w:jc w:val="both"/>
        <w:rPr>
          <w:rFonts w:ascii="Tahoma" w:hAnsi="Tahoma" w:cs="Tahoma"/>
          <w:sz w:val="20"/>
          <w:szCs w:val="20"/>
          <w:lang w:val="en-US"/>
        </w:rPr>
      </w:pPr>
      <w:r w:rsidRPr="0081475F">
        <w:rPr>
          <w:rFonts w:ascii="Tahoma" w:hAnsi="Tahoma" w:cs="Tahoma"/>
          <w:sz w:val="20"/>
          <w:szCs w:val="20"/>
          <w:lang w:val="en-US"/>
        </w:rPr>
        <w:t>(iii)</w:t>
      </w:r>
      <w:r w:rsidRPr="0081475F">
        <w:rPr>
          <w:rFonts w:ascii="Tahoma" w:hAnsi="Tahoma" w:cs="Tahoma"/>
          <w:sz w:val="20"/>
          <w:szCs w:val="20"/>
          <w:lang w:val="en-US"/>
        </w:rPr>
        <w:tab/>
        <w:t xml:space="preserve">Point out the standards of European law and solutions in comparative law. </w:t>
      </w:r>
    </w:p>
    <w:p w14:paraId="242DF820" w14:textId="77777777" w:rsidR="0081475F" w:rsidRPr="0081475F" w:rsidRDefault="0081475F" w:rsidP="0081475F">
      <w:pPr>
        <w:spacing w:line="276" w:lineRule="auto"/>
        <w:jc w:val="both"/>
        <w:rPr>
          <w:rFonts w:ascii="Tahoma" w:hAnsi="Tahoma" w:cs="Tahoma"/>
          <w:sz w:val="20"/>
          <w:szCs w:val="20"/>
          <w:lang w:val="en-US"/>
        </w:rPr>
      </w:pPr>
      <w:r w:rsidRPr="0081475F">
        <w:rPr>
          <w:rFonts w:ascii="Tahoma" w:hAnsi="Tahoma" w:cs="Tahoma"/>
          <w:sz w:val="20"/>
          <w:szCs w:val="20"/>
          <w:lang w:val="en-US"/>
        </w:rPr>
        <w:t>(iv)</w:t>
      </w:r>
      <w:r w:rsidRPr="0081475F">
        <w:rPr>
          <w:rFonts w:ascii="Tahoma" w:hAnsi="Tahoma" w:cs="Tahoma"/>
          <w:sz w:val="20"/>
          <w:szCs w:val="20"/>
          <w:lang w:val="en-US"/>
        </w:rPr>
        <w:tab/>
        <w:t xml:space="preserve">Present doctrinal understandings and appropriate literature, where necessary. </w:t>
      </w:r>
    </w:p>
    <w:p w14:paraId="633CE336" w14:textId="77777777" w:rsidR="0081475F" w:rsidRDefault="0081475F" w:rsidP="0081475F">
      <w:pPr>
        <w:spacing w:line="276" w:lineRule="auto"/>
        <w:jc w:val="both"/>
        <w:rPr>
          <w:rFonts w:ascii="Tahoma" w:hAnsi="Tahoma" w:cs="Tahoma"/>
          <w:sz w:val="20"/>
          <w:szCs w:val="20"/>
          <w:lang w:val="en-US"/>
        </w:rPr>
      </w:pPr>
      <w:r w:rsidRPr="0081475F">
        <w:rPr>
          <w:rFonts w:ascii="Tahoma" w:hAnsi="Tahoma" w:cs="Tahoma"/>
          <w:sz w:val="20"/>
          <w:szCs w:val="20"/>
          <w:lang w:val="en-US"/>
        </w:rPr>
        <w:t>(v)</w:t>
      </w:r>
      <w:r w:rsidRPr="0081475F">
        <w:rPr>
          <w:rFonts w:ascii="Tahoma" w:hAnsi="Tahoma" w:cs="Tahoma"/>
          <w:sz w:val="20"/>
          <w:szCs w:val="20"/>
          <w:lang w:val="en-US"/>
        </w:rPr>
        <w:tab/>
        <w:t xml:space="preserve">submit the narrative report to the COE covering the period of engagement and delivering the final document. </w:t>
      </w:r>
    </w:p>
    <w:p w14:paraId="49F635E4" w14:textId="77777777" w:rsidR="0081475F" w:rsidRDefault="0081475F" w:rsidP="0081475F">
      <w:pPr>
        <w:spacing w:line="276" w:lineRule="auto"/>
        <w:jc w:val="both"/>
        <w:rPr>
          <w:rFonts w:ascii="Tahoma" w:hAnsi="Tahoma" w:cs="Tahoma"/>
          <w:sz w:val="20"/>
          <w:szCs w:val="20"/>
          <w:lang w:val="en-US"/>
        </w:rPr>
      </w:pPr>
    </w:p>
    <w:p w14:paraId="1294A0D8" w14:textId="057E3D5B" w:rsidR="0081475F" w:rsidRDefault="0081475F" w:rsidP="0081475F">
      <w:pPr>
        <w:spacing w:line="276" w:lineRule="auto"/>
        <w:jc w:val="both"/>
        <w:rPr>
          <w:rFonts w:ascii="Tahoma" w:hAnsi="Tahoma" w:cs="Tahoma"/>
          <w:sz w:val="20"/>
          <w:szCs w:val="20"/>
          <w:lang w:val="en-US"/>
        </w:rPr>
      </w:pPr>
      <w:r w:rsidRPr="0081475F">
        <w:rPr>
          <w:rFonts w:ascii="Tahoma" w:hAnsi="Tahoma" w:cs="Tahoma"/>
          <w:sz w:val="20"/>
          <w:szCs w:val="20"/>
          <w:lang w:val="en-US"/>
        </w:rPr>
        <w:t xml:space="preserve">All working documents, reports and other outputs should be available in Serbian, while the narrative report summarizing engagement shall be delivered in English. </w:t>
      </w:r>
    </w:p>
    <w:p w14:paraId="57047126" w14:textId="77777777" w:rsidR="0081475F" w:rsidRPr="0081475F" w:rsidRDefault="0081475F" w:rsidP="0081475F">
      <w:pPr>
        <w:spacing w:line="276" w:lineRule="auto"/>
        <w:jc w:val="both"/>
        <w:rPr>
          <w:rFonts w:ascii="Tahoma" w:hAnsi="Tahoma" w:cs="Tahoma"/>
          <w:sz w:val="20"/>
          <w:szCs w:val="20"/>
          <w:lang w:val="en-US"/>
        </w:rPr>
      </w:pPr>
    </w:p>
    <w:p w14:paraId="6AEB414D" w14:textId="60759545" w:rsidR="0081475F" w:rsidRDefault="0081475F" w:rsidP="0081475F">
      <w:pPr>
        <w:spacing w:line="276" w:lineRule="auto"/>
        <w:jc w:val="both"/>
        <w:rPr>
          <w:rFonts w:ascii="Tahoma" w:hAnsi="Tahoma" w:cs="Tahoma"/>
          <w:sz w:val="20"/>
          <w:szCs w:val="20"/>
          <w:lang w:val="en-US"/>
        </w:rPr>
      </w:pPr>
      <w:r w:rsidRPr="0081475F">
        <w:rPr>
          <w:rFonts w:ascii="Tahoma" w:hAnsi="Tahoma" w:cs="Tahoma"/>
          <w:sz w:val="20"/>
          <w:szCs w:val="20"/>
          <w:lang w:val="en-US"/>
        </w:rPr>
        <w:t xml:space="preserve">All the above-mentioned activities should be conducted in close consultation with the COE and in collaboration with the Ministry of Human and Minority Rights and Social Dialogue. </w:t>
      </w:r>
    </w:p>
    <w:p w14:paraId="19EC6970" w14:textId="77777777" w:rsidR="0081475F" w:rsidRPr="0081475F" w:rsidRDefault="0081475F" w:rsidP="0081475F">
      <w:pPr>
        <w:spacing w:line="276" w:lineRule="auto"/>
        <w:jc w:val="both"/>
        <w:rPr>
          <w:rFonts w:ascii="Tahoma" w:hAnsi="Tahoma" w:cs="Tahoma"/>
          <w:sz w:val="20"/>
          <w:szCs w:val="20"/>
          <w:lang w:val="en-US"/>
        </w:rPr>
      </w:pPr>
    </w:p>
    <w:p w14:paraId="040932AB" w14:textId="4FFF3E00" w:rsidR="006E7998" w:rsidRDefault="0081475F" w:rsidP="0081475F">
      <w:pPr>
        <w:spacing w:line="276" w:lineRule="auto"/>
        <w:jc w:val="both"/>
        <w:rPr>
          <w:rFonts w:ascii="Tahoma" w:hAnsi="Tahoma" w:cs="Tahoma"/>
          <w:sz w:val="20"/>
          <w:szCs w:val="20"/>
          <w:lang w:val="en-US"/>
        </w:rPr>
      </w:pPr>
      <w:r w:rsidRPr="0081475F">
        <w:rPr>
          <w:rFonts w:ascii="Tahoma" w:hAnsi="Tahoma" w:cs="Tahoma"/>
          <w:sz w:val="20"/>
          <w:szCs w:val="20"/>
          <w:lang w:val="en-US"/>
        </w:rPr>
        <w:t xml:space="preserve">The consultant is expected to be acquainted with relevant national legislation, regulations and practice related to national minorities; Council of Europe standards and recommendations of its monitoring bodies, in particular the recommendations of the Advisory Committee of the FCNM and the Committee of Experts of the ECRML, ECRI’s General Policy Recommendations and country recommendations, including specific recommendations on Serbia, and the relevant case law of the ECtHR. She/he is expected to adapt the below expected deliverables </w:t>
      </w:r>
      <w:r w:rsidR="00564E88">
        <w:rPr>
          <w:rFonts w:ascii="Tahoma" w:hAnsi="Tahoma" w:cs="Tahoma"/>
          <w:sz w:val="20"/>
          <w:szCs w:val="20"/>
          <w:lang w:val="en-US"/>
        </w:rPr>
        <w:t>with support</w:t>
      </w:r>
      <w:r w:rsidRPr="0081475F">
        <w:rPr>
          <w:rFonts w:ascii="Tahoma" w:hAnsi="Tahoma" w:cs="Tahoma"/>
          <w:sz w:val="20"/>
          <w:szCs w:val="20"/>
          <w:lang w:val="en-US"/>
        </w:rPr>
        <w:t xml:space="preserve"> from the Ministry of Human and Minority Rights and Social Dialogue as a key project beneficiary, as well as </w:t>
      </w:r>
      <w:r w:rsidR="00564E88">
        <w:rPr>
          <w:rFonts w:ascii="Tahoma" w:hAnsi="Tahoma" w:cs="Tahoma"/>
          <w:sz w:val="20"/>
          <w:szCs w:val="20"/>
          <w:lang w:val="en-US"/>
        </w:rPr>
        <w:t>upon suggestions of</w:t>
      </w:r>
      <w:r w:rsidR="00564E88" w:rsidRPr="0081475F">
        <w:rPr>
          <w:rFonts w:ascii="Tahoma" w:hAnsi="Tahoma" w:cs="Tahoma"/>
          <w:sz w:val="20"/>
          <w:szCs w:val="20"/>
          <w:lang w:val="en-US"/>
        </w:rPr>
        <w:t xml:space="preserve"> </w:t>
      </w:r>
      <w:r w:rsidRPr="0081475F">
        <w:rPr>
          <w:rFonts w:ascii="Tahoma" w:hAnsi="Tahoma" w:cs="Tahoma"/>
          <w:sz w:val="20"/>
          <w:szCs w:val="20"/>
          <w:lang w:val="en-US"/>
        </w:rPr>
        <w:t>Council of Europe staff of the anti-discrimination department (No-hate speech and cooperation unit) managing the project.</w:t>
      </w:r>
    </w:p>
    <w:p w14:paraId="525F5EC4" w14:textId="2FC353CE" w:rsidR="0081475F" w:rsidRDefault="0081475F" w:rsidP="0081475F">
      <w:pPr>
        <w:spacing w:line="276" w:lineRule="auto"/>
        <w:jc w:val="both"/>
        <w:rPr>
          <w:rFonts w:ascii="Tahoma" w:hAnsi="Tahoma" w:cs="Tahoma"/>
          <w:sz w:val="20"/>
          <w:szCs w:val="20"/>
          <w:lang w:val="en-US"/>
        </w:rPr>
      </w:pPr>
    </w:p>
    <w:p w14:paraId="7372CE10" w14:textId="77777777" w:rsidR="0081475F" w:rsidRDefault="0081475F" w:rsidP="0081475F">
      <w:pPr>
        <w:spacing w:line="276" w:lineRule="auto"/>
        <w:jc w:val="both"/>
        <w:rPr>
          <w:rFonts w:ascii="Tahoma" w:hAnsi="Tahoma" w:cs="Tahoma"/>
          <w:sz w:val="20"/>
          <w:szCs w:val="20"/>
          <w:lang w:val="en-US"/>
        </w:rPr>
      </w:pPr>
    </w:p>
    <w:p w14:paraId="7D2E192F" w14:textId="3C62A67B" w:rsidR="003E0A41" w:rsidRPr="00253EED" w:rsidRDefault="00681751" w:rsidP="003E0A41">
      <w:pPr>
        <w:spacing w:line="276" w:lineRule="auto"/>
        <w:jc w:val="both"/>
        <w:rPr>
          <w:rFonts w:ascii="Tahoma" w:hAnsi="Tahoma" w:cs="Tahoma"/>
          <w:sz w:val="20"/>
          <w:szCs w:val="20"/>
        </w:rPr>
      </w:pPr>
      <w:r w:rsidRPr="00253EED">
        <w:rPr>
          <w:rFonts w:ascii="Tahoma" w:hAnsi="Tahoma" w:cs="Tahoma"/>
          <w:sz w:val="20"/>
          <w:szCs w:val="20"/>
        </w:rPr>
        <w:t>P</w:t>
      </w:r>
      <w:r w:rsidR="00E55F69" w:rsidRPr="00253EED">
        <w:rPr>
          <w:rFonts w:ascii="Tahoma" w:hAnsi="Tahoma" w:cs="Tahoma"/>
          <w:sz w:val="20"/>
          <w:szCs w:val="20"/>
        </w:rPr>
        <w:t>rices indicated below are final and not subject to review, throughout the duration of the contract</w:t>
      </w:r>
      <w:r w:rsidR="003E0A41" w:rsidRPr="00253EED">
        <w:rPr>
          <w:rFonts w:ascii="Tahoma" w:hAnsi="Tahoma" w:cs="Tahoma"/>
          <w:sz w:val="20"/>
          <w:szCs w:val="20"/>
        </w:rPr>
        <w:t>.</w:t>
      </w:r>
    </w:p>
    <w:p w14:paraId="082F0B9E" w14:textId="77777777" w:rsidR="00261462" w:rsidRPr="00253EED" w:rsidRDefault="00261462" w:rsidP="00261462">
      <w:pPr>
        <w:spacing w:line="276" w:lineRule="auto"/>
        <w:jc w:val="both"/>
        <w:rPr>
          <w:rFonts w:ascii="Tahoma" w:hAnsi="Tahoma" w:cs="Tahoma"/>
          <w:sz w:val="20"/>
          <w:szCs w:val="20"/>
        </w:rPr>
      </w:pPr>
    </w:p>
    <w:p w14:paraId="0FDD6952" w14:textId="717FAEF7" w:rsidR="00261462" w:rsidRPr="00EA2362" w:rsidRDefault="00480A62" w:rsidP="00261462">
      <w:pPr>
        <w:spacing w:line="276" w:lineRule="auto"/>
        <w:jc w:val="both"/>
        <w:rPr>
          <w:rFonts w:ascii="Tahoma" w:hAnsi="Tahoma" w:cs="Tahoma"/>
          <w:b/>
          <w:color w:val="000000"/>
          <w:sz w:val="20"/>
          <w:szCs w:val="20"/>
          <w:u w:val="single"/>
          <w:lang w:eastAsia="en-US"/>
        </w:rPr>
      </w:pPr>
      <w:r w:rsidRPr="009A1043">
        <w:rPr>
          <w:rFonts w:ascii="Tahoma" w:hAnsi="Tahoma" w:cs="Tahoma"/>
          <w:color w:val="000000"/>
          <w:sz w:val="20"/>
          <w:szCs w:val="20"/>
          <w:lang w:eastAsia="en-US"/>
        </w:rPr>
        <w:t xml:space="preserve">Prices are indicated in </w:t>
      </w:r>
      <w:r w:rsidR="0081475F" w:rsidRPr="009A1043">
        <w:rPr>
          <w:rFonts w:ascii="Tahoma" w:hAnsi="Tahoma" w:cs="Tahoma"/>
          <w:color w:val="000000"/>
          <w:sz w:val="20"/>
          <w:szCs w:val="20"/>
          <w:lang w:eastAsia="en-US"/>
        </w:rPr>
        <w:t>EUR</w:t>
      </w:r>
      <w:r w:rsidR="00261462" w:rsidRPr="009A1043">
        <w:rPr>
          <w:rFonts w:ascii="Tahoma" w:hAnsi="Tahoma" w:cs="Tahoma"/>
          <w:color w:val="000000"/>
          <w:sz w:val="20"/>
          <w:szCs w:val="20"/>
          <w:lang w:eastAsia="en-US"/>
        </w:rPr>
        <w:t xml:space="preserve"> without VAT.</w:t>
      </w:r>
      <w:r w:rsidR="00261462" w:rsidRPr="00253EED">
        <w:rPr>
          <w:rFonts w:ascii="Tahoma" w:hAnsi="Tahoma" w:cs="Tahoma"/>
          <w:color w:val="000000"/>
          <w:sz w:val="20"/>
          <w:szCs w:val="20"/>
          <w:lang w:eastAsia="en-US"/>
        </w:rPr>
        <w:t xml:space="preserve"> For the VAT regime to be mentioned on the invoice(s), please refer to Article 4.2 of the Legal Conditions (See Section C. below). </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4A683968" w:rsidR="006A1C4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1B6F3867" w14:textId="14D3974B" w:rsidR="0081475F" w:rsidRDefault="0081475F" w:rsidP="006A1C42">
      <w:pPr>
        <w:ind w:left="-284"/>
        <w:rPr>
          <w:rFonts w:ascii="Tahoma" w:eastAsia="Calibri" w:hAnsi="Tahoma" w:cs="Tahoma"/>
          <w:b/>
          <w:sz w:val="20"/>
          <w:szCs w:val="20"/>
          <w:lang w:val="en-US" w:eastAsia="en-US"/>
        </w:rPr>
      </w:pPr>
    </w:p>
    <w:p w14:paraId="145FE3DA" w14:textId="3DB4E03D" w:rsidR="0081475F" w:rsidRDefault="0081475F" w:rsidP="006A1C42">
      <w:pPr>
        <w:ind w:left="-284"/>
        <w:rPr>
          <w:rFonts w:ascii="Tahoma" w:eastAsia="Calibri" w:hAnsi="Tahoma" w:cs="Tahoma"/>
          <w:b/>
          <w:sz w:val="20"/>
          <w:szCs w:val="20"/>
          <w:lang w:val="en-US" w:eastAsia="en-US"/>
        </w:rPr>
      </w:pPr>
    </w:p>
    <w:p w14:paraId="5F0B46EB" w14:textId="4EAC9F81" w:rsidR="0081475F" w:rsidRDefault="0081475F" w:rsidP="006A1C42">
      <w:pPr>
        <w:ind w:left="-284"/>
        <w:rPr>
          <w:rFonts w:ascii="Tahoma" w:eastAsia="Calibri" w:hAnsi="Tahoma" w:cs="Tahoma"/>
          <w:b/>
          <w:sz w:val="20"/>
          <w:szCs w:val="20"/>
          <w:lang w:val="en-US" w:eastAsia="en-US"/>
        </w:rPr>
      </w:pPr>
    </w:p>
    <w:p w14:paraId="4F6FF48D" w14:textId="15059327" w:rsidR="0081475F" w:rsidRDefault="0081475F" w:rsidP="006A1C42">
      <w:pPr>
        <w:ind w:left="-284"/>
        <w:rPr>
          <w:rFonts w:ascii="Tahoma" w:eastAsia="Calibri" w:hAnsi="Tahoma" w:cs="Tahoma"/>
          <w:b/>
          <w:sz w:val="20"/>
          <w:szCs w:val="20"/>
          <w:lang w:val="en-US" w:eastAsia="en-US"/>
        </w:rPr>
      </w:pPr>
    </w:p>
    <w:p w14:paraId="11EAEF0D" w14:textId="7CE17BD1" w:rsidR="0081475F" w:rsidRDefault="0081475F" w:rsidP="006A1C42">
      <w:pPr>
        <w:ind w:left="-284"/>
        <w:rPr>
          <w:rFonts w:ascii="Tahoma" w:eastAsia="Calibri" w:hAnsi="Tahoma" w:cs="Tahoma"/>
          <w:b/>
          <w:sz w:val="20"/>
          <w:szCs w:val="20"/>
          <w:lang w:val="en-US" w:eastAsia="en-US"/>
        </w:rPr>
      </w:pPr>
    </w:p>
    <w:p w14:paraId="715806AC" w14:textId="5904D72A" w:rsidR="0081475F" w:rsidRDefault="0081475F" w:rsidP="006A1C42">
      <w:pPr>
        <w:ind w:left="-284"/>
        <w:rPr>
          <w:rFonts w:ascii="Tahoma" w:eastAsia="Calibri" w:hAnsi="Tahoma" w:cs="Tahoma"/>
          <w:b/>
          <w:sz w:val="20"/>
          <w:szCs w:val="20"/>
          <w:lang w:val="en-US" w:eastAsia="en-US"/>
        </w:rPr>
      </w:pPr>
    </w:p>
    <w:p w14:paraId="29BF48A4" w14:textId="77777777" w:rsidR="0081475F" w:rsidRPr="00EA2362" w:rsidRDefault="0081475F" w:rsidP="006A1C42">
      <w:pPr>
        <w:ind w:left="-284"/>
        <w:rPr>
          <w:rFonts w:ascii="Tahoma" w:eastAsia="Calibri" w:hAnsi="Tahoma" w:cs="Tahoma"/>
          <w:b/>
          <w:sz w:val="20"/>
          <w:szCs w:val="20"/>
          <w:lang w:val="en-US" w:eastAsia="en-US"/>
        </w:rPr>
      </w:pP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lastRenderedPageBreak/>
        <w:t>The Provider shall indicate its proposed fee(s) in the box(es) below.</w:t>
      </w:r>
    </w:p>
    <w:p w14:paraId="6D7BADC2" w14:textId="77777777" w:rsidR="0081475F" w:rsidRDefault="0081475F" w:rsidP="0081475F">
      <w:pPr>
        <w:spacing w:line="276" w:lineRule="auto"/>
        <w:jc w:val="both"/>
        <w:rPr>
          <w:rFonts w:ascii="Tahoma" w:hAnsi="Tahoma" w:cs="Tahoma"/>
          <w:sz w:val="18"/>
          <w:szCs w:val="18"/>
          <w:lang w:eastAsia="en-US"/>
        </w:rPr>
      </w:pPr>
    </w:p>
    <w:p w14:paraId="35FD41E5" w14:textId="6E37CB35" w:rsidR="0081475F" w:rsidRPr="0081475F" w:rsidRDefault="00261462" w:rsidP="0081475F">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AE1DFE">
                <wp:simplePos x="0" y="0"/>
                <wp:positionH relativeFrom="column">
                  <wp:posOffset>5344795</wp:posOffset>
                </wp:positionH>
                <wp:positionV relativeFrom="paragraph">
                  <wp:posOffset>-168910</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F9DD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420.85pt;margin-top:-13.3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" adj="3973" strokecolor="red">
                <o:lock v:ext="edit" aspectratio="t"/>
                <v:textbox style="layout-flow:vertical-ideographic"/>
                <w10:anchorlock/>
              </v:shape>
            </w:pict>
          </mc:Fallback>
        </mc:AlternateContent>
      </w:r>
    </w:p>
    <w:tbl>
      <w:tblPr>
        <w:tblW w:w="9779" w:type="dxa"/>
        <w:jc w:val="center"/>
        <w:tblCellMar>
          <w:left w:w="0" w:type="dxa"/>
          <w:right w:w="0" w:type="dxa"/>
        </w:tblCellMar>
        <w:tblLook w:val="04A0" w:firstRow="1" w:lastRow="0" w:firstColumn="1" w:lastColumn="0" w:noHBand="0" w:noVBand="1"/>
      </w:tblPr>
      <w:tblGrid>
        <w:gridCol w:w="6888"/>
        <w:gridCol w:w="1527"/>
        <w:gridCol w:w="1364"/>
      </w:tblGrid>
      <w:tr w:rsidR="0081475F" w14:paraId="3187BC47" w14:textId="77777777" w:rsidTr="000E2C8B">
        <w:trPr>
          <w:trHeight w:val="752"/>
          <w:jc w:val="center"/>
        </w:trPr>
        <w:tc>
          <w:tcPr>
            <w:tcW w:w="7059" w:type="dxa"/>
            <w:tcBorders>
              <w:top w:val="single" w:sz="8" w:space="0" w:color="808080"/>
              <w:left w:val="single" w:sz="8" w:space="0" w:color="808080"/>
              <w:bottom w:val="single" w:sz="8" w:space="0" w:color="808080"/>
              <w:right w:val="single" w:sz="8" w:space="0" w:color="808080"/>
            </w:tcBorders>
            <w:shd w:val="clear" w:color="auto" w:fill="DBE5F1"/>
            <w:tcMar>
              <w:top w:w="0" w:type="dxa"/>
              <w:left w:w="108" w:type="dxa"/>
              <w:bottom w:w="0" w:type="dxa"/>
              <w:right w:w="108" w:type="dxa"/>
            </w:tcMar>
            <w:vAlign w:val="center"/>
            <w:hideMark/>
          </w:tcPr>
          <w:p w14:paraId="4FD5B752" w14:textId="77777777" w:rsidR="0081475F" w:rsidRPr="0081475F" w:rsidRDefault="0081475F" w:rsidP="000E2C8B">
            <w:pPr>
              <w:spacing w:line="276" w:lineRule="auto"/>
              <w:ind w:left="-139" w:right="-140"/>
              <w:jc w:val="center"/>
              <w:rPr>
                <w:rFonts w:ascii="Tahoma" w:hAnsi="Tahoma" w:cs="Tahoma"/>
              </w:rPr>
            </w:pPr>
            <w:r w:rsidRPr="0081475F">
              <w:rPr>
                <w:rFonts w:ascii="Tahoma" w:hAnsi="Tahoma" w:cs="Tahoma"/>
                <w:b/>
                <w:bCs/>
                <w:sz w:val="18"/>
                <w:szCs w:val="18"/>
              </w:rPr>
              <w:t>Deliverables ▼</w:t>
            </w:r>
          </w:p>
        </w:tc>
        <w:tc>
          <w:tcPr>
            <w:tcW w:w="1321" w:type="dxa"/>
            <w:tcBorders>
              <w:top w:val="single" w:sz="8" w:space="0" w:color="808080"/>
              <w:left w:val="nil"/>
              <w:bottom w:val="single" w:sz="8" w:space="0" w:color="808080"/>
              <w:right w:val="single" w:sz="8" w:space="0" w:color="808080"/>
            </w:tcBorders>
            <w:shd w:val="clear" w:color="auto" w:fill="DBE5F1"/>
            <w:tcMar>
              <w:top w:w="0" w:type="dxa"/>
              <w:left w:w="108" w:type="dxa"/>
              <w:bottom w:w="0" w:type="dxa"/>
              <w:right w:w="108" w:type="dxa"/>
            </w:tcMar>
            <w:vAlign w:val="center"/>
            <w:hideMark/>
          </w:tcPr>
          <w:p w14:paraId="54E6A96B" w14:textId="77777777" w:rsidR="0081475F" w:rsidRPr="0081475F" w:rsidRDefault="0081475F" w:rsidP="000E2C8B">
            <w:pPr>
              <w:spacing w:line="276" w:lineRule="auto"/>
              <w:ind w:left="-139" w:right="-140"/>
              <w:jc w:val="center"/>
              <w:rPr>
                <w:rFonts w:ascii="Tahoma" w:hAnsi="Tahoma" w:cs="Tahoma"/>
              </w:rPr>
            </w:pPr>
            <w:r w:rsidRPr="0081475F">
              <w:rPr>
                <w:rFonts w:ascii="Tahoma" w:hAnsi="Tahoma" w:cs="Tahoma"/>
                <w:b/>
                <w:bCs/>
                <w:color w:val="000000"/>
                <w:sz w:val="18"/>
                <w:szCs w:val="18"/>
              </w:rPr>
              <w:t>Deadline for</w:t>
            </w:r>
          </w:p>
          <w:p w14:paraId="2FFE458A" w14:textId="77777777" w:rsidR="0081475F" w:rsidRPr="0081475F" w:rsidRDefault="0081475F" w:rsidP="000E2C8B">
            <w:pPr>
              <w:spacing w:line="276" w:lineRule="auto"/>
              <w:ind w:left="-139" w:right="-140"/>
              <w:jc w:val="center"/>
              <w:rPr>
                <w:rFonts w:ascii="Tahoma" w:hAnsi="Tahoma" w:cs="Tahoma"/>
              </w:rPr>
            </w:pPr>
            <w:r w:rsidRPr="0081475F">
              <w:rPr>
                <w:rFonts w:ascii="Tahoma" w:hAnsi="Tahoma" w:cs="Tahoma"/>
                <w:b/>
                <w:bCs/>
                <w:color w:val="000000"/>
                <w:sz w:val="18"/>
                <w:szCs w:val="18"/>
              </w:rPr>
              <w:t>delivery ▼</w:t>
            </w:r>
          </w:p>
        </w:tc>
        <w:tc>
          <w:tcPr>
            <w:tcW w:w="1399" w:type="dxa"/>
            <w:tcBorders>
              <w:top w:val="single" w:sz="8" w:space="0" w:color="808080"/>
              <w:left w:val="nil"/>
              <w:bottom w:val="single" w:sz="8" w:space="0" w:color="FF0000"/>
              <w:right w:val="single" w:sz="8" w:space="0" w:color="808080"/>
            </w:tcBorders>
            <w:shd w:val="clear" w:color="auto" w:fill="DBE5F1"/>
            <w:tcMar>
              <w:top w:w="0" w:type="dxa"/>
              <w:left w:w="108" w:type="dxa"/>
              <w:bottom w:w="0" w:type="dxa"/>
              <w:right w:w="108" w:type="dxa"/>
            </w:tcMar>
            <w:vAlign w:val="center"/>
            <w:hideMark/>
          </w:tcPr>
          <w:p w14:paraId="48BE868A" w14:textId="77777777" w:rsidR="0081475F" w:rsidRDefault="0081475F" w:rsidP="000E2C8B">
            <w:pPr>
              <w:spacing w:line="276" w:lineRule="auto"/>
              <w:ind w:left="-139" w:right="-140"/>
              <w:jc w:val="center"/>
            </w:pPr>
            <w:r>
              <w:rPr>
                <w:rFonts w:ascii="Arial Narrow" w:hAnsi="Arial Narrow"/>
                <w:b/>
                <w:bCs/>
                <w:color w:val="000000"/>
                <w:sz w:val="18"/>
                <w:szCs w:val="18"/>
              </w:rPr>
              <w:t>Fees</w:t>
            </w:r>
          </w:p>
          <w:p w14:paraId="503C39F1" w14:textId="77777777" w:rsidR="0081475F" w:rsidRDefault="0081475F" w:rsidP="000E2C8B">
            <w:pPr>
              <w:spacing w:line="276" w:lineRule="auto"/>
              <w:ind w:left="-139" w:right="-140"/>
              <w:jc w:val="center"/>
            </w:pPr>
            <w:r>
              <w:rPr>
                <w:rFonts w:ascii="Arial Narrow" w:hAnsi="Arial Narrow"/>
                <w:b/>
                <w:bCs/>
                <w:color w:val="000000"/>
                <w:sz w:val="18"/>
                <w:szCs w:val="18"/>
              </w:rPr>
              <w:t>▼</w:t>
            </w:r>
          </w:p>
        </w:tc>
      </w:tr>
      <w:tr w:rsidR="0081475F" w14:paraId="4226A291" w14:textId="77777777" w:rsidTr="000E2C8B">
        <w:trPr>
          <w:trHeight w:val="989"/>
          <w:jc w:val="center"/>
        </w:trPr>
        <w:tc>
          <w:tcPr>
            <w:tcW w:w="7059"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3F4EAE95" w14:textId="0DFA7905" w:rsidR="0081475F" w:rsidRPr="0081475F" w:rsidRDefault="0081475F" w:rsidP="000E2C8B">
            <w:pPr>
              <w:ind w:right="-140"/>
              <w:jc w:val="both"/>
              <w:rPr>
                <w:rFonts w:ascii="Tahoma" w:hAnsi="Tahoma" w:cs="Tahoma"/>
              </w:rPr>
            </w:pPr>
            <w:r w:rsidRPr="0081475F">
              <w:rPr>
                <w:rStyle w:val="style210"/>
                <w:rFonts w:ascii="Tahoma" w:hAnsi="Tahoma" w:cs="Tahoma"/>
                <w:sz w:val="20"/>
                <w:szCs w:val="20"/>
              </w:rPr>
              <w:t>Deliverable 1 – Prepare methodology/structure of the proposed Commentar</w:t>
            </w:r>
            <w:r w:rsidR="00564E88">
              <w:rPr>
                <w:rStyle w:val="style210"/>
                <w:rFonts w:ascii="Tahoma" w:hAnsi="Tahoma" w:cs="Tahoma"/>
                <w:sz w:val="20"/>
                <w:szCs w:val="20"/>
              </w:rPr>
              <w:t>y</w:t>
            </w:r>
            <w:r w:rsidRPr="0081475F">
              <w:rPr>
                <w:rStyle w:val="style210"/>
                <w:rFonts w:ascii="Tahoma" w:hAnsi="Tahoma" w:cs="Tahoma"/>
                <w:sz w:val="20"/>
                <w:szCs w:val="20"/>
              </w:rPr>
              <w:t xml:space="preserve"> </w:t>
            </w:r>
          </w:p>
        </w:tc>
        <w:tc>
          <w:tcPr>
            <w:tcW w:w="1321" w:type="dxa"/>
            <w:tcBorders>
              <w:top w:val="nil"/>
              <w:left w:val="nil"/>
              <w:bottom w:val="single" w:sz="8" w:space="0" w:color="808080"/>
              <w:right w:val="single" w:sz="8" w:space="0" w:color="FF0000"/>
            </w:tcBorders>
            <w:tcMar>
              <w:top w:w="0" w:type="dxa"/>
              <w:left w:w="108" w:type="dxa"/>
              <w:bottom w:w="0" w:type="dxa"/>
              <w:right w:w="108" w:type="dxa"/>
            </w:tcMar>
            <w:vAlign w:val="center"/>
            <w:hideMark/>
          </w:tcPr>
          <w:p w14:paraId="488C6C36" w14:textId="18FF82F3" w:rsidR="0081475F" w:rsidRPr="009A1043" w:rsidRDefault="0081475F" w:rsidP="000E2C8B">
            <w:pPr>
              <w:spacing w:before="100" w:beforeAutospacing="1" w:after="100" w:afterAutospacing="1" w:line="276" w:lineRule="auto"/>
              <w:jc w:val="both"/>
              <w:rPr>
                <w:rFonts w:ascii="Tahoma" w:hAnsi="Tahoma" w:cs="Tahoma"/>
                <w:sz w:val="20"/>
                <w:szCs w:val="20"/>
              </w:rPr>
            </w:pPr>
            <w:r w:rsidRPr="0081475F">
              <w:rPr>
                <w:rFonts w:ascii="Tahoma" w:hAnsi="Tahoma" w:cs="Tahoma"/>
                <w:sz w:val="20"/>
                <w:szCs w:val="20"/>
              </w:rPr>
              <w:t xml:space="preserve">      </w:t>
            </w:r>
            <w:r w:rsidR="00564E88" w:rsidRPr="009A1043">
              <w:rPr>
                <w:rFonts w:ascii="Tahoma" w:hAnsi="Tahoma" w:cs="Tahoma"/>
                <w:sz w:val="20"/>
                <w:szCs w:val="20"/>
              </w:rPr>
              <w:t>15</w:t>
            </w:r>
            <w:r w:rsidRPr="009A1043">
              <w:rPr>
                <w:rFonts w:ascii="Tahoma" w:hAnsi="Tahoma" w:cs="Tahoma"/>
                <w:sz w:val="20"/>
                <w:szCs w:val="20"/>
              </w:rPr>
              <w:t>/</w:t>
            </w:r>
            <w:r w:rsidR="00564E88" w:rsidRPr="009A1043">
              <w:rPr>
                <w:rFonts w:ascii="Tahoma" w:hAnsi="Tahoma" w:cs="Tahoma"/>
                <w:sz w:val="20"/>
                <w:szCs w:val="20"/>
              </w:rPr>
              <w:t>10</w:t>
            </w:r>
            <w:r w:rsidRPr="009A1043">
              <w:rPr>
                <w:rFonts w:ascii="Tahoma" w:hAnsi="Tahoma" w:cs="Tahoma"/>
                <w:sz w:val="20"/>
                <w:szCs w:val="20"/>
              </w:rPr>
              <w:t>/2021</w:t>
            </w:r>
          </w:p>
        </w:tc>
        <w:tc>
          <w:tcPr>
            <w:tcW w:w="1399"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4E20248A" w14:textId="77777777" w:rsidR="0081475F" w:rsidRPr="00FB0E32" w:rsidRDefault="0081475F" w:rsidP="000E2C8B">
            <w:pPr>
              <w:spacing w:before="100" w:beforeAutospacing="1" w:after="100" w:afterAutospacing="1" w:line="276" w:lineRule="auto"/>
              <w:ind w:left="284"/>
              <w:jc w:val="right"/>
              <w:rPr>
                <w:rFonts w:ascii="Arial Narrow" w:hAnsi="Arial Narrow"/>
                <w:sz w:val="20"/>
                <w:szCs w:val="20"/>
              </w:rPr>
            </w:pPr>
          </w:p>
        </w:tc>
      </w:tr>
      <w:tr w:rsidR="0081475F" w14:paraId="4584DC74" w14:textId="77777777" w:rsidTr="000E2C8B">
        <w:trPr>
          <w:trHeight w:val="739"/>
          <w:jc w:val="center"/>
        </w:trPr>
        <w:tc>
          <w:tcPr>
            <w:tcW w:w="7059"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5F3765BF" w14:textId="77777777" w:rsidR="0081475F" w:rsidRPr="0081475F" w:rsidRDefault="0081475F" w:rsidP="000E2C8B">
            <w:pPr>
              <w:ind w:right="-140"/>
              <w:jc w:val="both"/>
              <w:rPr>
                <w:rFonts w:ascii="Tahoma" w:hAnsi="Tahoma" w:cs="Tahoma"/>
              </w:rPr>
            </w:pPr>
            <w:r w:rsidRPr="0081475F">
              <w:rPr>
                <w:rStyle w:val="style210"/>
                <w:rFonts w:ascii="Tahoma" w:hAnsi="Tahoma" w:cs="Tahoma"/>
                <w:sz w:val="20"/>
                <w:szCs w:val="20"/>
              </w:rPr>
              <w:t xml:space="preserve">Deliverable 2 – Conduct desk review of relevant regulations, court practice, standards of European law, solutions in comparative law, doctrinal understandings, and appropriate literature </w:t>
            </w:r>
          </w:p>
        </w:tc>
        <w:tc>
          <w:tcPr>
            <w:tcW w:w="1321" w:type="dxa"/>
            <w:tcBorders>
              <w:top w:val="nil"/>
              <w:left w:val="nil"/>
              <w:bottom w:val="single" w:sz="8" w:space="0" w:color="808080"/>
              <w:right w:val="single" w:sz="8" w:space="0" w:color="FF0000"/>
            </w:tcBorders>
            <w:tcMar>
              <w:top w:w="0" w:type="dxa"/>
              <w:left w:w="108" w:type="dxa"/>
              <w:bottom w:w="0" w:type="dxa"/>
              <w:right w:w="108" w:type="dxa"/>
            </w:tcMar>
            <w:vAlign w:val="center"/>
            <w:hideMark/>
          </w:tcPr>
          <w:p w14:paraId="6B473EC1" w14:textId="07C6BA36" w:rsidR="0081475F" w:rsidRPr="0081475F" w:rsidRDefault="0081475F" w:rsidP="000E2C8B">
            <w:pPr>
              <w:spacing w:before="100" w:beforeAutospacing="1" w:after="100" w:afterAutospacing="1" w:line="276" w:lineRule="auto"/>
              <w:ind w:left="284"/>
              <w:jc w:val="both"/>
              <w:rPr>
                <w:rFonts w:ascii="Tahoma" w:hAnsi="Tahoma" w:cs="Tahoma"/>
              </w:rPr>
            </w:pPr>
            <w:r w:rsidRPr="0081475F">
              <w:rPr>
                <w:rFonts w:ascii="Tahoma" w:hAnsi="Tahoma" w:cs="Tahoma"/>
                <w:sz w:val="20"/>
                <w:szCs w:val="20"/>
              </w:rPr>
              <w:t>2</w:t>
            </w:r>
            <w:r w:rsidR="00564E88">
              <w:rPr>
                <w:rFonts w:ascii="Tahoma" w:hAnsi="Tahoma" w:cs="Tahoma"/>
                <w:sz w:val="20"/>
                <w:szCs w:val="20"/>
              </w:rPr>
              <w:t>0</w:t>
            </w:r>
            <w:r w:rsidRPr="0081475F">
              <w:rPr>
                <w:rFonts w:ascii="Tahoma" w:hAnsi="Tahoma" w:cs="Tahoma"/>
                <w:sz w:val="20"/>
                <w:szCs w:val="20"/>
              </w:rPr>
              <w:t>/1</w:t>
            </w:r>
            <w:r w:rsidR="00564E88">
              <w:rPr>
                <w:rFonts w:ascii="Tahoma" w:hAnsi="Tahoma" w:cs="Tahoma"/>
                <w:sz w:val="20"/>
                <w:szCs w:val="20"/>
              </w:rPr>
              <w:t>1</w:t>
            </w:r>
            <w:r w:rsidRPr="0081475F">
              <w:rPr>
                <w:rFonts w:ascii="Tahoma" w:hAnsi="Tahoma" w:cs="Tahoma"/>
                <w:sz w:val="20"/>
                <w:szCs w:val="20"/>
              </w:rPr>
              <w:t>/2021</w:t>
            </w:r>
          </w:p>
        </w:tc>
        <w:tc>
          <w:tcPr>
            <w:tcW w:w="1399"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273F614F" w14:textId="77777777" w:rsidR="0081475F" w:rsidRPr="00FB0E32" w:rsidRDefault="0081475F" w:rsidP="000E2C8B">
            <w:pPr>
              <w:spacing w:before="100" w:beforeAutospacing="1" w:after="100" w:afterAutospacing="1" w:line="276" w:lineRule="auto"/>
              <w:jc w:val="right"/>
              <w:rPr>
                <w:rFonts w:ascii="Arial Narrow" w:hAnsi="Arial Narrow"/>
                <w:sz w:val="20"/>
                <w:szCs w:val="20"/>
              </w:rPr>
            </w:pPr>
          </w:p>
        </w:tc>
      </w:tr>
      <w:tr w:rsidR="0081475F" w14:paraId="5C6CF23B" w14:textId="77777777" w:rsidTr="000E2C8B">
        <w:trPr>
          <w:trHeight w:val="642"/>
          <w:jc w:val="center"/>
        </w:trPr>
        <w:tc>
          <w:tcPr>
            <w:tcW w:w="7059"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150A364B" w14:textId="6DE2639C" w:rsidR="0081475F" w:rsidRPr="0081475F" w:rsidRDefault="0081475F" w:rsidP="000E2C8B">
            <w:pPr>
              <w:ind w:right="-140"/>
              <w:jc w:val="both"/>
              <w:rPr>
                <w:rFonts w:ascii="Tahoma" w:hAnsi="Tahoma" w:cs="Tahoma"/>
              </w:rPr>
            </w:pPr>
            <w:r w:rsidRPr="0081475F">
              <w:rPr>
                <w:rStyle w:val="style210"/>
                <w:rFonts w:ascii="Tahoma" w:hAnsi="Tahoma" w:cs="Tahoma"/>
                <w:sz w:val="20"/>
                <w:szCs w:val="20"/>
              </w:rPr>
              <w:t>Deliverable 3 – Prepare and submit for consultation a draft of the Commentar</w:t>
            </w:r>
            <w:r w:rsidR="00564E88">
              <w:rPr>
                <w:rStyle w:val="style210"/>
                <w:rFonts w:ascii="Tahoma" w:hAnsi="Tahoma" w:cs="Tahoma"/>
                <w:sz w:val="20"/>
                <w:szCs w:val="20"/>
              </w:rPr>
              <w:t>y</w:t>
            </w:r>
            <w:r w:rsidRPr="0081475F">
              <w:rPr>
                <w:rStyle w:val="style210"/>
                <w:rFonts w:ascii="Tahoma" w:hAnsi="Tahoma" w:cs="Tahoma"/>
                <w:sz w:val="20"/>
                <w:szCs w:val="20"/>
              </w:rPr>
              <w:t xml:space="preserve"> to the Law on National Councils of National Minorities</w:t>
            </w:r>
            <w:r w:rsidR="00564E88">
              <w:rPr>
                <w:rStyle w:val="style210"/>
                <w:rFonts w:ascii="Tahoma" w:hAnsi="Tahoma" w:cs="Tahoma"/>
                <w:sz w:val="20"/>
                <w:szCs w:val="20"/>
              </w:rPr>
              <w:t>,</w:t>
            </w:r>
            <w:r w:rsidR="00564E88">
              <w:rPr>
                <w:rStyle w:val="style210"/>
                <w:rFonts w:ascii="Tahoma" w:hAnsi="Tahoma" w:cs="Tahoma"/>
              </w:rPr>
              <w:t xml:space="preserve"> including </w:t>
            </w:r>
            <w:r w:rsidR="00564E88" w:rsidRPr="00564E88">
              <w:rPr>
                <w:rStyle w:val="style210"/>
                <w:rFonts w:ascii="Tahoma" w:hAnsi="Tahoma" w:cs="Tahoma"/>
              </w:rPr>
              <w:t>doctrinal understandings, court and administrative practices and comparative experience</w:t>
            </w:r>
          </w:p>
        </w:tc>
        <w:tc>
          <w:tcPr>
            <w:tcW w:w="1321" w:type="dxa"/>
            <w:tcBorders>
              <w:top w:val="nil"/>
              <w:left w:val="nil"/>
              <w:bottom w:val="single" w:sz="8" w:space="0" w:color="808080"/>
              <w:right w:val="single" w:sz="8" w:space="0" w:color="FF0000"/>
            </w:tcBorders>
            <w:tcMar>
              <w:top w:w="0" w:type="dxa"/>
              <w:left w:w="108" w:type="dxa"/>
              <w:bottom w:w="0" w:type="dxa"/>
              <w:right w:w="108" w:type="dxa"/>
            </w:tcMar>
            <w:vAlign w:val="center"/>
            <w:hideMark/>
          </w:tcPr>
          <w:p w14:paraId="43D1A127" w14:textId="22205948" w:rsidR="0081475F" w:rsidRPr="0081475F" w:rsidRDefault="00564E88" w:rsidP="000E2C8B">
            <w:pPr>
              <w:spacing w:before="100" w:beforeAutospacing="1" w:after="100" w:afterAutospacing="1" w:line="276" w:lineRule="auto"/>
              <w:ind w:left="284"/>
              <w:jc w:val="both"/>
              <w:rPr>
                <w:rFonts w:ascii="Tahoma" w:hAnsi="Tahoma" w:cs="Tahoma"/>
              </w:rPr>
            </w:pPr>
            <w:r>
              <w:rPr>
                <w:rFonts w:ascii="Tahoma" w:hAnsi="Tahoma" w:cs="Tahoma"/>
                <w:sz w:val="20"/>
                <w:szCs w:val="20"/>
              </w:rPr>
              <w:t>3</w:t>
            </w:r>
            <w:r w:rsidR="0081475F" w:rsidRPr="0081475F">
              <w:rPr>
                <w:rFonts w:ascii="Tahoma" w:hAnsi="Tahoma" w:cs="Tahoma"/>
                <w:sz w:val="20"/>
                <w:szCs w:val="20"/>
              </w:rPr>
              <w:t>0/1</w:t>
            </w:r>
            <w:r>
              <w:rPr>
                <w:rFonts w:ascii="Tahoma" w:hAnsi="Tahoma" w:cs="Tahoma"/>
                <w:sz w:val="20"/>
                <w:szCs w:val="20"/>
              </w:rPr>
              <w:t>2</w:t>
            </w:r>
            <w:r w:rsidR="0081475F" w:rsidRPr="0081475F">
              <w:rPr>
                <w:rFonts w:ascii="Tahoma" w:hAnsi="Tahoma" w:cs="Tahoma"/>
                <w:sz w:val="20"/>
                <w:szCs w:val="20"/>
              </w:rPr>
              <w:t>/2021</w:t>
            </w:r>
          </w:p>
        </w:tc>
        <w:tc>
          <w:tcPr>
            <w:tcW w:w="1399"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5C204110" w14:textId="77777777" w:rsidR="0081475F" w:rsidRPr="00FB0E32" w:rsidRDefault="0081475F" w:rsidP="000E2C8B">
            <w:pPr>
              <w:spacing w:before="100" w:beforeAutospacing="1" w:after="100" w:afterAutospacing="1" w:line="276" w:lineRule="auto"/>
              <w:jc w:val="right"/>
              <w:rPr>
                <w:rFonts w:ascii="Arial Narrow" w:hAnsi="Arial Narrow"/>
                <w:sz w:val="20"/>
                <w:szCs w:val="20"/>
              </w:rPr>
            </w:pPr>
          </w:p>
        </w:tc>
      </w:tr>
      <w:tr w:rsidR="0081475F" w14:paraId="674DEE4E" w14:textId="77777777" w:rsidTr="000E2C8B">
        <w:trPr>
          <w:trHeight w:val="642"/>
          <w:jc w:val="center"/>
        </w:trPr>
        <w:tc>
          <w:tcPr>
            <w:tcW w:w="7059"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tcPr>
          <w:p w14:paraId="5A959F18" w14:textId="4E0DEE94" w:rsidR="0081475F" w:rsidRPr="0081475F" w:rsidRDefault="0081475F" w:rsidP="000E2C8B">
            <w:pPr>
              <w:ind w:right="-140"/>
              <w:jc w:val="both"/>
              <w:rPr>
                <w:rStyle w:val="style210"/>
                <w:rFonts w:ascii="Tahoma" w:hAnsi="Tahoma" w:cs="Tahoma"/>
                <w:b/>
                <w:bCs/>
                <w:sz w:val="20"/>
                <w:szCs w:val="20"/>
              </w:rPr>
            </w:pPr>
            <w:r w:rsidRPr="0081475F">
              <w:rPr>
                <w:rStyle w:val="style210"/>
                <w:rFonts w:ascii="Tahoma" w:hAnsi="Tahoma" w:cs="Tahoma"/>
                <w:sz w:val="20"/>
                <w:szCs w:val="20"/>
              </w:rPr>
              <w:t>Deliverable 4 – Finalize the Commentar</w:t>
            </w:r>
            <w:r w:rsidR="00564E88">
              <w:rPr>
                <w:rStyle w:val="style210"/>
                <w:rFonts w:ascii="Tahoma" w:hAnsi="Tahoma" w:cs="Tahoma"/>
                <w:sz w:val="20"/>
                <w:szCs w:val="20"/>
              </w:rPr>
              <w:t>y</w:t>
            </w:r>
            <w:r w:rsidRPr="0081475F">
              <w:rPr>
                <w:rStyle w:val="style210"/>
                <w:rFonts w:ascii="Tahoma" w:hAnsi="Tahoma" w:cs="Tahoma"/>
                <w:sz w:val="20"/>
                <w:szCs w:val="20"/>
              </w:rPr>
              <w:t xml:space="preserve"> to the Law on National Councils of National Minorities, based on the received input from relevant stakeholders</w:t>
            </w:r>
          </w:p>
        </w:tc>
        <w:tc>
          <w:tcPr>
            <w:tcW w:w="1321" w:type="dxa"/>
            <w:tcBorders>
              <w:top w:val="nil"/>
              <w:left w:val="nil"/>
              <w:bottom w:val="single" w:sz="8" w:space="0" w:color="808080"/>
              <w:right w:val="single" w:sz="8" w:space="0" w:color="FF0000"/>
            </w:tcBorders>
            <w:tcMar>
              <w:top w:w="0" w:type="dxa"/>
              <w:left w:w="108" w:type="dxa"/>
              <w:bottom w:w="0" w:type="dxa"/>
              <w:right w:w="108" w:type="dxa"/>
            </w:tcMar>
            <w:vAlign w:val="center"/>
          </w:tcPr>
          <w:p w14:paraId="39053782" w14:textId="2AB7C466" w:rsidR="0081475F" w:rsidRPr="0081475F" w:rsidRDefault="00564E88" w:rsidP="000E2C8B">
            <w:pPr>
              <w:spacing w:before="100" w:beforeAutospacing="1" w:after="100" w:afterAutospacing="1" w:line="276" w:lineRule="auto"/>
              <w:ind w:left="284"/>
              <w:jc w:val="both"/>
              <w:rPr>
                <w:rFonts w:ascii="Tahoma" w:hAnsi="Tahoma" w:cs="Tahoma"/>
                <w:sz w:val="20"/>
                <w:szCs w:val="20"/>
              </w:rPr>
            </w:pPr>
            <w:r>
              <w:rPr>
                <w:rFonts w:ascii="Tahoma" w:hAnsi="Tahoma" w:cs="Tahoma"/>
                <w:sz w:val="20"/>
                <w:szCs w:val="20"/>
              </w:rPr>
              <w:t>2</w:t>
            </w:r>
            <w:r w:rsidR="0081475F" w:rsidRPr="0081475F">
              <w:rPr>
                <w:rFonts w:ascii="Tahoma" w:hAnsi="Tahoma" w:cs="Tahoma"/>
                <w:sz w:val="20"/>
                <w:szCs w:val="20"/>
              </w:rPr>
              <w:t>0/</w:t>
            </w:r>
            <w:r>
              <w:rPr>
                <w:rFonts w:ascii="Tahoma" w:hAnsi="Tahoma" w:cs="Tahoma"/>
                <w:sz w:val="20"/>
                <w:szCs w:val="20"/>
              </w:rPr>
              <w:t>0</w:t>
            </w:r>
            <w:r w:rsidR="0081475F" w:rsidRPr="0081475F">
              <w:rPr>
                <w:rFonts w:ascii="Tahoma" w:hAnsi="Tahoma" w:cs="Tahoma"/>
                <w:sz w:val="20"/>
                <w:szCs w:val="20"/>
              </w:rPr>
              <w:t>1/202</w:t>
            </w:r>
            <w:r>
              <w:rPr>
                <w:rFonts w:ascii="Tahoma" w:hAnsi="Tahoma" w:cs="Tahoma"/>
                <w:sz w:val="20"/>
                <w:szCs w:val="20"/>
              </w:rPr>
              <w:t>2</w:t>
            </w:r>
          </w:p>
        </w:tc>
        <w:tc>
          <w:tcPr>
            <w:tcW w:w="1399"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182F3D43" w14:textId="77777777" w:rsidR="0081475F" w:rsidRPr="00FB0E32" w:rsidRDefault="0081475F" w:rsidP="000E2C8B">
            <w:pPr>
              <w:spacing w:before="100" w:beforeAutospacing="1" w:after="100" w:afterAutospacing="1" w:line="276" w:lineRule="auto"/>
              <w:jc w:val="right"/>
              <w:rPr>
                <w:rFonts w:ascii="Arial Narrow" w:hAnsi="Arial Narrow"/>
                <w:sz w:val="20"/>
                <w:szCs w:val="20"/>
              </w:rPr>
            </w:pPr>
          </w:p>
        </w:tc>
      </w:tr>
      <w:tr w:rsidR="0081475F" w14:paraId="403FF73A" w14:textId="77777777" w:rsidTr="000E2C8B">
        <w:trPr>
          <w:trHeight w:val="824"/>
          <w:jc w:val="center"/>
        </w:trPr>
        <w:tc>
          <w:tcPr>
            <w:tcW w:w="7059"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33BC24AB" w14:textId="77777777" w:rsidR="0081475F" w:rsidRPr="0081475F" w:rsidRDefault="0081475F" w:rsidP="000E2C8B">
            <w:pPr>
              <w:ind w:right="-140"/>
              <w:jc w:val="both"/>
              <w:rPr>
                <w:rFonts w:ascii="Tahoma" w:hAnsi="Tahoma" w:cs="Tahoma"/>
              </w:rPr>
            </w:pPr>
            <w:r w:rsidRPr="0081475F">
              <w:rPr>
                <w:rStyle w:val="style210"/>
                <w:rFonts w:ascii="Tahoma" w:hAnsi="Tahoma" w:cs="Tahoma"/>
                <w:sz w:val="20"/>
                <w:szCs w:val="20"/>
              </w:rPr>
              <w:t>Deliverable 5 – Submit narrative report to the COE covering the period of engagement and delivering the final document</w:t>
            </w:r>
          </w:p>
        </w:tc>
        <w:tc>
          <w:tcPr>
            <w:tcW w:w="1321" w:type="dxa"/>
            <w:tcBorders>
              <w:top w:val="nil"/>
              <w:left w:val="nil"/>
              <w:bottom w:val="single" w:sz="8" w:space="0" w:color="808080"/>
              <w:right w:val="single" w:sz="8" w:space="0" w:color="FF0000"/>
            </w:tcBorders>
            <w:tcMar>
              <w:top w:w="0" w:type="dxa"/>
              <w:left w:w="108" w:type="dxa"/>
              <w:bottom w:w="0" w:type="dxa"/>
              <w:right w:w="108" w:type="dxa"/>
            </w:tcMar>
            <w:vAlign w:val="center"/>
            <w:hideMark/>
          </w:tcPr>
          <w:p w14:paraId="53D77109" w14:textId="0FF26916" w:rsidR="0081475F" w:rsidRPr="0081475F" w:rsidRDefault="0081475F" w:rsidP="000E2C8B">
            <w:pPr>
              <w:spacing w:before="100" w:beforeAutospacing="1" w:after="100" w:afterAutospacing="1" w:line="276" w:lineRule="auto"/>
              <w:ind w:left="284"/>
              <w:jc w:val="both"/>
              <w:rPr>
                <w:rFonts w:ascii="Tahoma" w:hAnsi="Tahoma" w:cs="Tahoma"/>
              </w:rPr>
            </w:pPr>
            <w:r w:rsidRPr="0081475F">
              <w:rPr>
                <w:rFonts w:ascii="Tahoma" w:hAnsi="Tahoma" w:cs="Tahoma"/>
                <w:sz w:val="20"/>
                <w:szCs w:val="20"/>
              </w:rPr>
              <w:t>05/</w:t>
            </w:r>
            <w:r w:rsidR="00564E88">
              <w:rPr>
                <w:rFonts w:ascii="Tahoma" w:hAnsi="Tahoma" w:cs="Tahoma"/>
                <w:sz w:val="20"/>
                <w:szCs w:val="20"/>
              </w:rPr>
              <w:t>0</w:t>
            </w:r>
            <w:r w:rsidRPr="0081475F">
              <w:rPr>
                <w:rFonts w:ascii="Tahoma" w:hAnsi="Tahoma" w:cs="Tahoma"/>
                <w:sz w:val="20"/>
                <w:szCs w:val="20"/>
              </w:rPr>
              <w:t>2/202</w:t>
            </w:r>
            <w:r w:rsidR="00564E88">
              <w:rPr>
                <w:rFonts w:ascii="Tahoma" w:hAnsi="Tahoma" w:cs="Tahoma"/>
                <w:sz w:val="20"/>
                <w:szCs w:val="20"/>
              </w:rPr>
              <w:t>2</w:t>
            </w:r>
          </w:p>
        </w:tc>
        <w:tc>
          <w:tcPr>
            <w:tcW w:w="1399"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0B1859F6" w14:textId="77777777" w:rsidR="0081475F" w:rsidRPr="00FB0E32" w:rsidRDefault="0081475F" w:rsidP="000E2C8B">
            <w:pPr>
              <w:spacing w:before="100" w:beforeAutospacing="1" w:after="100" w:afterAutospacing="1" w:line="276" w:lineRule="auto"/>
              <w:jc w:val="right"/>
              <w:rPr>
                <w:rFonts w:ascii="Arial Narrow" w:hAnsi="Arial Narrow"/>
                <w:sz w:val="20"/>
                <w:szCs w:val="20"/>
              </w:rPr>
            </w:pPr>
          </w:p>
        </w:tc>
      </w:tr>
      <w:tr w:rsidR="0081475F" w14:paraId="112E27F0" w14:textId="77777777" w:rsidTr="000E2C8B">
        <w:trPr>
          <w:trHeight w:val="472"/>
          <w:jc w:val="center"/>
        </w:trPr>
        <w:tc>
          <w:tcPr>
            <w:tcW w:w="8380" w:type="dxa"/>
            <w:gridSpan w:val="2"/>
            <w:tcBorders>
              <w:top w:val="nil"/>
              <w:left w:val="single" w:sz="8" w:space="0" w:color="808080"/>
              <w:bottom w:val="single" w:sz="8" w:space="0" w:color="808080"/>
              <w:right w:val="single" w:sz="8" w:space="0" w:color="FF0000"/>
            </w:tcBorders>
            <w:tcMar>
              <w:top w:w="0" w:type="dxa"/>
              <w:left w:w="108" w:type="dxa"/>
              <w:bottom w:w="0" w:type="dxa"/>
              <w:right w:w="108" w:type="dxa"/>
            </w:tcMar>
            <w:vAlign w:val="center"/>
            <w:hideMark/>
          </w:tcPr>
          <w:p w14:paraId="70FC4322" w14:textId="77777777" w:rsidR="0081475F" w:rsidRPr="0081475F" w:rsidRDefault="0081475F" w:rsidP="000E2C8B">
            <w:pPr>
              <w:spacing w:before="100" w:beforeAutospacing="1" w:after="100" w:afterAutospacing="1"/>
              <w:ind w:left="-142"/>
              <w:jc w:val="right"/>
              <w:rPr>
                <w:rFonts w:ascii="Tahoma" w:hAnsi="Tahoma" w:cs="Tahoma"/>
              </w:rPr>
            </w:pPr>
            <w:r w:rsidRPr="0081475F">
              <w:rPr>
                <w:rFonts w:ascii="Tahoma" w:hAnsi="Tahoma" w:cs="Tahoma"/>
                <w:sz w:val="18"/>
                <w:szCs w:val="18"/>
              </w:rPr>
              <w:t xml:space="preserve">TOTAL </w:t>
            </w:r>
            <w:r w:rsidRPr="0081475F">
              <w:rPr>
                <w:rFonts w:ascii="Tahoma" w:hAnsi="Tahoma" w:cs="Tahoma"/>
                <w:sz w:val="16"/>
                <w:szCs w:val="16"/>
              </w:rPr>
              <w:t>►</w:t>
            </w:r>
          </w:p>
        </w:tc>
        <w:tc>
          <w:tcPr>
            <w:tcW w:w="1399"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18A8721B" w14:textId="77777777" w:rsidR="0081475F" w:rsidRPr="00FB0E32" w:rsidRDefault="0081475F" w:rsidP="000E2C8B">
            <w:pPr>
              <w:spacing w:before="100" w:beforeAutospacing="1" w:after="100" w:afterAutospacing="1" w:line="276" w:lineRule="auto"/>
              <w:jc w:val="right"/>
              <w:rPr>
                <w:rFonts w:ascii="Arial Narrow" w:hAnsi="Arial Narrow"/>
                <w:sz w:val="20"/>
                <w:szCs w:val="20"/>
              </w:rPr>
            </w:pPr>
          </w:p>
        </w:tc>
      </w:tr>
    </w:tbl>
    <w:p w14:paraId="32BEE985" w14:textId="77777777" w:rsidR="0081475F" w:rsidRDefault="0081475F" w:rsidP="0081475F">
      <w:pPr>
        <w:spacing w:before="100" w:beforeAutospacing="1" w:after="100" w:afterAutospacing="1"/>
        <w:jc w:val="both"/>
        <w:rPr>
          <w:rFonts w:ascii="Arial Narrow" w:hAnsi="Arial Narrow"/>
          <w:sz w:val="20"/>
          <w:szCs w:val="20"/>
          <w:u w:val="single"/>
        </w:rPr>
      </w:pPr>
    </w:p>
    <w:p w14:paraId="4A5BF387" w14:textId="77777777" w:rsidR="00216C21" w:rsidRDefault="00216C21" w:rsidP="009A6460">
      <w:pPr>
        <w:pBdr>
          <w:bottom w:val="single" w:sz="2" w:space="1" w:color="808080"/>
        </w:pBdr>
        <w:tabs>
          <w:tab w:val="left" w:pos="284"/>
        </w:tabs>
        <w:spacing w:after="120"/>
        <w:ind w:left="-142"/>
        <w:rPr>
          <w:rFonts w:ascii="Tahoma" w:hAnsi="Tahoma" w:cs="Tahoma"/>
          <w:b/>
          <w:lang w:eastAsia="en-US"/>
        </w:rPr>
      </w:pPr>
    </w:p>
    <w:p w14:paraId="07D1D094" w14:textId="49CCA17C" w:rsidR="00F54EF8" w:rsidRPr="00EA2362" w:rsidRDefault="00F54EF8"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w:t>
      </w:r>
      <w:proofErr w:type="gramStart"/>
      <w:r w:rsidRPr="00263963">
        <w:rPr>
          <w:rFonts w:ascii="Tahoma" w:hAnsi="Tahoma" w:cs="Tahoma"/>
          <w:sz w:val="20"/>
          <w:szCs w:val="20"/>
        </w:rPr>
        <w:t>or</w:t>
      </w:r>
      <w:proofErr w:type="gramEnd"/>
      <w:r w:rsidRPr="00263963">
        <w:rPr>
          <w:rFonts w:ascii="Tahoma" w:hAnsi="Tahoma" w:cs="Tahoma"/>
          <w:sz w:val="20"/>
          <w:szCs w:val="20"/>
        </w:rPr>
        <w:t xml:space="preserve">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3" w:history="1">
        <w:r w:rsidR="009850D3" w:rsidRPr="00263963">
          <w:rPr>
            <w:rStyle w:val="Hyperlink"/>
            <w:rFonts w:ascii="Tahoma" w:hAnsi="Tahoma" w:cs="Tahoma"/>
            <w:sz w:val="20"/>
            <w:szCs w:val="20"/>
          </w:rPr>
          <w:t>www.sanctionsmap.eu</w:t>
        </w:r>
      </w:hyperlink>
      <w:proofErr w:type="gramStart"/>
      <w:r w:rsidR="009850D3" w:rsidRPr="00263963">
        <w:rPr>
          <w:rFonts w:ascii="Tahoma" w:hAnsi="Tahoma" w:cs="Tahoma"/>
          <w:sz w:val="20"/>
          <w:szCs w:val="20"/>
        </w:rPr>
        <w:t>);</w:t>
      </w:r>
      <w:proofErr w:type="gramEnd"/>
    </w:p>
    <w:p w14:paraId="3D8561AE" w14:textId="1C26E0E6"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1A8E93A6" w14:textId="6AC314B4" w:rsidR="00DE0800" w:rsidRDefault="00DE0800" w:rsidP="00DE0800">
      <w:pPr>
        <w:tabs>
          <w:tab w:val="left" w:pos="0"/>
        </w:tabs>
        <w:jc w:val="both"/>
        <w:rPr>
          <w:rFonts w:ascii="Tahoma" w:hAnsi="Tahoma" w:cs="Tahoma"/>
          <w:sz w:val="20"/>
          <w:szCs w:val="20"/>
        </w:rPr>
      </w:pPr>
    </w:p>
    <w:p w14:paraId="58FE2F95" w14:textId="2A743A13" w:rsidR="00DE0800" w:rsidRDefault="00DE0800" w:rsidP="00DE0800">
      <w:pPr>
        <w:tabs>
          <w:tab w:val="left" w:pos="0"/>
        </w:tabs>
        <w:jc w:val="both"/>
        <w:rPr>
          <w:rFonts w:ascii="Tahoma" w:hAnsi="Tahoma" w:cs="Tahoma"/>
          <w:sz w:val="20"/>
          <w:szCs w:val="20"/>
        </w:rPr>
      </w:pPr>
    </w:p>
    <w:p w14:paraId="47E4C7AA" w14:textId="2ECC99A7" w:rsidR="00DE0800" w:rsidRDefault="00DE0800" w:rsidP="00DE0800">
      <w:pPr>
        <w:tabs>
          <w:tab w:val="left" w:pos="0"/>
        </w:tabs>
        <w:jc w:val="both"/>
        <w:rPr>
          <w:rFonts w:ascii="Tahoma" w:hAnsi="Tahoma" w:cs="Tahoma"/>
          <w:sz w:val="20"/>
          <w:szCs w:val="20"/>
        </w:rPr>
      </w:pPr>
    </w:p>
    <w:p w14:paraId="7A2F6DC9" w14:textId="0893BB39" w:rsidR="00DE0800" w:rsidRDefault="00DE0800" w:rsidP="00DE0800">
      <w:pPr>
        <w:tabs>
          <w:tab w:val="left" w:pos="0"/>
        </w:tabs>
        <w:jc w:val="both"/>
        <w:rPr>
          <w:rFonts w:ascii="Tahoma" w:hAnsi="Tahoma" w:cs="Tahoma"/>
          <w:sz w:val="20"/>
          <w:szCs w:val="20"/>
        </w:rPr>
      </w:pPr>
    </w:p>
    <w:p w14:paraId="26822F48" w14:textId="6B5CB21F" w:rsidR="00DE0800" w:rsidRDefault="00DE0800" w:rsidP="00DE0800">
      <w:pPr>
        <w:tabs>
          <w:tab w:val="left" w:pos="0"/>
        </w:tabs>
        <w:jc w:val="both"/>
        <w:rPr>
          <w:rFonts w:ascii="Tahoma" w:hAnsi="Tahoma" w:cs="Tahoma"/>
          <w:sz w:val="20"/>
          <w:szCs w:val="20"/>
        </w:rPr>
      </w:pPr>
    </w:p>
    <w:p w14:paraId="5E2A4EB7" w14:textId="77777777" w:rsidR="00DE0800" w:rsidRPr="00EA2362" w:rsidRDefault="00DE0800" w:rsidP="00DE0800">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9146"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17BBD8D0"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 xml:space="preserve">Council of Europe, Avenue de </w:t>
            </w:r>
            <w:proofErr w:type="spellStart"/>
            <w:r w:rsidRPr="00EA2362">
              <w:rPr>
                <w:rFonts w:ascii="Tahoma" w:eastAsia="Calibri" w:hAnsi="Tahoma" w:cs="Tahoma"/>
                <w:b/>
                <w:bCs/>
                <w:sz w:val="17"/>
                <w:szCs w:val="17"/>
                <w:lang w:eastAsia="en-US"/>
              </w:rPr>
              <w:t>l</w:t>
            </w:r>
            <w:r w:rsidR="00A72D5E">
              <w:rPr>
                <w:rFonts w:ascii="Tahoma" w:eastAsia="Calibri" w:hAnsi="Tahoma" w:cs="Tahoma"/>
                <w:b/>
                <w:bCs/>
                <w:sz w:val="17"/>
                <w:szCs w:val="17"/>
                <w:lang w:eastAsia="en-US"/>
              </w:rPr>
              <w:t>’</w:t>
            </w:r>
            <w:r w:rsidRPr="00EA2362">
              <w:rPr>
                <w:rFonts w:ascii="Tahoma" w:eastAsia="Calibri" w:hAnsi="Tahoma" w:cs="Tahoma"/>
                <w:b/>
                <w:bCs/>
                <w:sz w:val="17"/>
                <w:szCs w:val="17"/>
                <w:lang w:eastAsia="en-US"/>
              </w:rPr>
              <w:t>Europe</w:t>
            </w:r>
            <w:proofErr w:type="spellEnd"/>
            <w:r w:rsidRPr="00EA2362">
              <w:rPr>
                <w:rFonts w:ascii="Tahoma" w:eastAsia="Calibri" w:hAnsi="Tahoma" w:cs="Tahoma"/>
                <w:b/>
                <w:bCs/>
                <w:sz w:val="17"/>
                <w:szCs w:val="17"/>
                <w:lang w:eastAsia="en-US"/>
              </w:rPr>
              <w:t>, F – 67075 Strasbourg Cedex</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6DAE782F" w:rsidR="006A1C42" w:rsidRPr="00DA56DD" w:rsidRDefault="0081475F" w:rsidP="006A1C42">
            <w:pPr>
              <w:jc w:val="center"/>
              <w:rPr>
                <w:rFonts w:ascii="Tahoma" w:eastAsia="Calibri" w:hAnsi="Tahoma" w:cs="Tahoma"/>
                <w:b/>
                <w:bCs/>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EA2362">
              <w:rPr>
                <w:rFonts w:ascii="Tahoma" w:eastAsia="Calibri" w:hAnsi="Tahoma" w:cs="Tahoma"/>
                <w:sz w:val="17"/>
                <w:szCs w:val="17"/>
                <w:lang w:eastAsia="en-US"/>
              </w:rPr>
              <w:t>in a position</w:t>
            </w:r>
            <w:proofErr w:type="gramEnd"/>
            <w:r w:rsidRPr="00EA2362">
              <w:rPr>
                <w:rFonts w:ascii="Tahoma" w:eastAsia="Calibri" w:hAnsi="Tahoma" w:cs="Tahoma"/>
                <w:sz w:val="17"/>
                <w:szCs w:val="17"/>
                <w:lang w:eastAsia="en-US"/>
              </w:rPr>
              <w:t xml:space="preserve">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2" w:name="_Toc179868652"/>
    </w:p>
    <w:p w14:paraId="16AC089E"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10.2,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3"/>
      <w:bookmarkStart w:id="4" w:name="_Toc179868654"/>
      <w:r w:rsidRPr="00D0286A">
        <w:rPr>
          <w:rFonts w:ascii="Tahoma" w:hAnsi="Tahoma" w:cs="Tahoma"/>
          <w:b/>
          <w:smallCaps/>
          <w:color w:val="365F91" w:themeColor="accent1" w:themeShade="BF"/>
          <w:sz w:val="18"/>
          <w:szCs w:val="18"/>
          <w:lang w:eastAsia="fr-FR"/>
        </w:rPr>
        <w:t>Article 6 - Modifications</w:t>
      </w:r>
      <w:bookmarkEnd w:id="3"/>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4"/>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8CFF8C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D888ED0" w14:textId="77777777" w:rsidR="005920E6"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7777777" w:rsidR="005920E6" w:rsidRPr="008C0AFB"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6AD8C996" w14:textId="5AEEE41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sentenced by final judgment on one or more of the following charges: participation in a criminal organisation, corruption, fraud, money </w:t>
      </w:r>
      <w:proofErr w:type="gramStart"/>
      <w:r w:rsidRPr="00D0286A">
        <w:rPr>
          <w:rFonts w:ascii="Tahoma" w:hAnsi="Tahoma" w:cs="Tahoma"/>
          <w:color w:val="000000"/>
          <w:sz w:val="18"/>
          <w:szCs w:val="18"/>
        </w:rPr>
        <w:t>laundering;</w:t>
      </w:r>
      <w:proofErr w:type="gramEnd"/>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19"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5"/>
      <w:r w:rsidRPr="00D0286A">
        <w:rPr>
          <w:rFonts w:ascii="Tahoma" w:hAnsi="Tahoma" w:cs="Tahoma"/>
          <w:b/>
          <w:smallCaps/>
          <w:color w:val="365F91" w:themeColor="accent1" w:themeShade="BF"/>
          <w:sz w:val="18"/>
          <w:szCs w:val="18"/>
          <w:lang w:eastAsia="fr-FR"/>
        </w:rPr>
        <w:t xml:space="preserve"> </w:t>
      </w:r>
    </w:p>
    <w:p w14:paraId="16DF53C4"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09D5076"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24729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Alternatively, the parties may submit the dispute for decision to a single arbitrator selected by them by common agreement or, failing such agreement, by the President of the Tribunal de Grande Instance of Strasbourg.</w:t>
      </w:r>
    </w:p>
    <w:p w14:paraId="574C0B4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B5889B8"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2EA807CD" w14:textId="77777777" w:rsidR="005920E6" w:rsidRPr="00F069C5"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7F400089"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6"/>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0C56A9C0" w14:textId="77777777" w:rsidR="005920E6" w:rsidRPr="00A95989" w:rsidRDefault="005920E6" w:rsidP="005920E6">
      <w:pPr>
        <w:pBdr>
          <w:bottom w:val="single" w:sz="2" w:space="1" w:color="808080"/>
        </w:pBdr>
        <w:tabs>
          <w:tab w:val="left" w:pos="284"/>
        </w:tabs>
        <w:spacing w:after="120"/>
        <w:rPr>
          <w:rFonts w:ascii="Tahoma" w:hAnsi="Tahoma" w:cs="Tahoma"/>
          <w:b/>
          <w:sz w:val="18"/>
          <w:szCs w:val="18"/>
          <w:lang w:val="fr-FR" w:eastAsia="en-US"/>
        </w:rPr>
      </w:pP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3BB99" w14:textId="77777777" w:rsidR="00B11F70" w:rsidRDefault="00B11F70" w:rsidP="00D50F13">
      <w:r>
        <w:separator/>
      </w:r>
    </w:p>
  </w:endnote>
  <w:endnote w:type="continuationSeparator" w:id="0">
    <w:p w14:paraId="2C2CC1AE" w14:textId="77777777" w:rsidR="00B11F70" w:rsidRDefault="00B11F70" w:rsidP="00D50F13">
      <w:r>
        <w:continuationSeparator/>
      </w:r>
    </w:p>
  </w:endnote>
  <w:endnote w:type="continuationNotice" w:id="1">
    <w:p w14:paraId="7657F988" w14:textId="77777777" w:rsidR="00B11F70" w:rsidRDefault="00B11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25B710E5" w:rsidR="00F96680" w:rsidRPr="00AE2D2B" w:rsidRDefault="00B201B1" w:rsidP="00FC7772">
          <w:pPr>
            <w:rPr>
              <w:rFonts w:ascii="Arial Narrow" w:hAnsi="Arial Narrow"/>
              <w:caps/>
              <w:color w:val="000000"/>
              <w:sz w:val="18"/>
              <w:szCs w:val="18"/>
              <w:highlight w:val="cyan"/>
            </w:rPr>
          </w:pPr>
          <w:r w:rsidRPr="003A1929">
            <w:rPr>
              <w:rFonts w:ascii="Tahoma" w:hAnsi="Tahoma" w:cs="Tahoma"/>
              <w:caps/>
              <w:color w:val="000000" w:themeColor="text1"/>
              <w:sz w:val="18"/>
              <w:szCs w:val="18"/>
            </w:rPr>
            <w:t>BH467</w:t>
          </w:r>
          <w:r w:rsidR="00DA093C">
            <w:rPr>
              <w:rFonts w:ascii="Tahoma" w:hAnsi="Tahoma" w:cs="Tahoma"/>
              <w:caps/>
              <w:color w:val="000000" w:themeColor="text1"/>
              <w:sz w:val="18"/>
              <w:szCs w:val="18"/>
            </w:rPr>
            <w:t>4</w:t>
          </w:r>
          <w:r w:rsidRPr="003A1929">
            <w:rPr>
              <w:rFonts w:ascii="Tahoma" w:hAnsi="Tahoma" w:cs="Tahoma"/>
              <w:caps/>
              <w:color w:val="000000" w:themeColor="text1"/>
              <w:sz w:val="18"/>
              <w:szCs w:val="18"/>
            </w:rPr>
            <w:t>/202</w:t>
          </w:r>
          <w:r>
            <w:rPr>
              <w:rFonts w:ascii="Tahoma" w:hAnsi="Tahoma" w:cs="Tahoma"/>
              <w:caps/>
              <w:color w:val="000000" w:themeColor="text1"/>
              <w:sz w:val="18"/>
              <w:szCs w:val="18"/>
            </w:rPr>
            <w:t>1</w:t>
          </w:r>
          <w:r w:rsidRPr="003A1929">
            <w:rPr>
              <w:rFonts w:ascii="Tahoma" w:hAnsi="Tahoma" w:cs="Tahoma"/>
              <w:caps/>
              <w:color w:val="000000" w:themeColor="text1"/>
              <w:sz w:val="18"/>
              <w:szCs w:val="18"/>
            </w:rPr>
            <w:t>/</w:t>
          </w:r>
          <w:r w:rsidR="00DA093C">
            <w:rPr>
              <w:rFonts w:ascii="Tahoma" w:hAnsi="Tahoma" w:cs="Tahoma"/>
              <w:caps/>
              <w:color w:val="000000" w:themeColor="text1"/>
              <w:sz w:val="18"/>
              <w:szCs w:val="18"/>
            </w:rPr>
            <w:t>3</w:t>
          </w:r>
          <w:r w:rsidR="0081475F">
            <w:rPr>
              <w:rFonts w:ascii="Tahoma" w:hAnsi="Tahoma" w:cs="Tahoma"/>
              <w:caps/>
              <w:color w:val="000000" w:themeColor="text1"/>
              <w:sz w:val="18"/>
              <w:szCs w:val="18"/>
            </w:rPr>
            <w:t>5</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FC4B8" w14:textId="77777777" w:rsidR="00B11F70" w:rsidRDefault="00B11F70" w:rsidP="00D50F13">
      <w:r>
        <w:separator/>
      </w:r>
    </w:p>
  </w:footnote>
  <w:footnote w:type="continuationSeparator" w:id="0">
    <w:p w14:paraId="5B0AC7B2" w14:textId="77777777" w:rsidR="00B11F70" w:rsidRDefault="00B11F70" w:rsidP="00D50F13">
      <w:r>
        <w:continuationSeparator/>
      </w:r>
    </w:p>
  </w:footnote>
  <w:footnote w:type="continuationNotice" w:id="1">
    <w:p w14:paraId="43532A69" w14:textId="77777777" w:rsidR="00B11F70" w:rsidRDefault="00B11F70"/>
  </w:footnote>
  <w:footnote w:id="2">
    <w:p w14:paraId="4CF465B4" w14:textId="08CA126E" w:rsidR="00F96680" w:rsidRPr="00A72D5E" w:rsidRDefault="00F96680" w:rsidP="00261462">
      <w:pPr>
        <w:pStyle w:val="FootnoteText"/>
        <w:rPr>
          <w:rFonts w:ascii="Tahoma" w:hAnsi="Tahoma" w:cs="Tahoma"/>
          <w:sz w:val="16"/>
          <w:szCs w:val="16"/>
          <w:lang w:val="en-US"/>
        </w:rPr>
      </w:pPr>
      <w:r w:rsidRPr="00A72D5E">
        <w:rPr>
          <w:rStyle w:val="FootnoteReference"/>
          <w:rFonts w:ascii="Tahoma" w:hAnsi="Tahoma" w:cs="Tahoma"/>
          <w:sz w:val="16"/>
          <w:szCs w:val="16"/>
        </w:rPr>
        <w:footnoteRef/>
      </w:r>
      <w:r w:rsidRPr="00A72D5E">
        <w:rPr>
          <w:rFonts w:ascii="Tahoma" w:hAnsi="Tahoma" w:cs="Tahoma"/>
          <w:sz w:val="16"/>
          <w:szCs w:val="16"/>
          <w:lang w:val="en-US"/>
        </w:rPr>
        <w:t xml:space="preserve"> </w:t>
      </w:r>
      <w:r w:rsidRPr="00A72D5E">
        <w:rPr>
          <w:rFonts w:ascii="Tahoma" w:hAnsi="Tahoma" w:cs="Tahoma"/>
          <w:sz w:val="16"/>
          <w:szCs w:val="16"/>
        </w:rPr>
        <w:t>Which</w:t>
      </w:r>
      <w:r w:rsidRPr="00A72D5E">
        <w:rPr>
          <w:rFonts w:ascii="Tahoma" w:hAnsi="Tahoma" w:cs="Tahoma"/>
          <w:sz w:val="16"/>
          <w:szCs w:val="16"/>
          <w:lang w:val="en-US"/>
        </w:rPr>
        <w:t xml:space="preserve"> has </w:t>
      </w:r>
      <w:r w:rsidRPr="00A72D5E">
        <w:rPr>
          <w:rFonts w:ascii="Tahoma" w:hAnsi="Tahoma" w:cs="Tahoma"/>
          <w:sz w:val="16"/>
          <w:szCs w:val="16"/>
        </w:rPr>
        <w:t>its</w:t>
      </w:r>
      <w:r w:rsidRPr="00A72D5E">
        <w:rPr>
          <w:rFonts w:ascii="Tahoma" w:hAnsi="Tahoma" w:cs="Tahoma"/>
          <w:sz w:val="16"/>
          <w:szCs w:val="16"/>
          <w:lang w:val="en-US"/>
        </w:rPr>
        <w:t xml:space="preserve"> </w:t>
      </w:r>
      <w:r w:rsidRPr="00A72D5E">
        <w:rPr>
          <w:rFonts w:ascii="Tahoma" w:hAnsi="Tahoma" w:cs="Tahoma"/>
          <w:sz w:val="16"/>
          <w:szCs w:val="16"/>
        </w:rPr>
        <w:t>seat</w:t>
      </w:r>
      <w:r w:rsidRPr="00A72D5E">
        <w:rPr>
          <w:rFonts w:ascii="Tahoma" w:hAnsi="Tahoma" w:cs="Tahoma"/>
          <w:sz w:val="16"/>
          <w:szCs w:val="16"/>
          <w:lang w:val="en-US"/>
        </w:rPr>
        <w:t xml:space="preserve"> A</w:t>
      </w:r>
      <w:r w:rsidR="00042C08" w:rsidRPr="00A72D5E">
        <w:rPr>
          <w:rFonts w:ascii="Tahoma" w:hAnsi="Tahoma" w:cs="Tahoma"/>
          <w:sz w:val="16"/>
          <w:szCs w:val="16"/>
          <w:lang w:val="en-US"/>
        </w:rPr>
        <w:t>venue</w:t>
      </w:r>
      <w:r w:rsidRPr="00A72D5E">
        <w:rPr>
          <w:rFonts w:ascii="Tahoma" w:hAnsi="Tahoma" w:cs="Tahoma"/>
          <w:sz w:val="16"/>
          <w:szCs w:val="16"/>
          <w:lang w:val="en-US"/>
        </w:rPr>
        <w:t xml:space="preserve"> de </w:t>
      </w:r>
      <w:proofErr w:type="spellStart"/>
      <w:r w:rsidRPr="00A72D5E">
        <w:rPr>
          <w:rFonts w:ascii="Tahoma" w:hAnsi="Tahoma" w:cs="Tahoma"/>
          <w:sz w:val="16"/>
          <w:szCs w:val="16"/>
          <w:lang w:val="en-US"/>
        </w:rPr>
        <w:t>l’Europe</w:t>
      </w:r>
      <w:proofErr w:type="spellEnd"/>
      <w:r w:rsidRPr="00A72D5E">
        <w:rPr>
          <w:rFonts w:ascii="Tahoma" w:hAnsi="Tahoma" w:cs="Tahoma"/>
          <w:sz w:val="16"/>
          <w:szCs w:val="16"/>
          <w:lang w:val="en-US"/>
        </w:rPr>
        <w:t>, 67075 Strasbourg Cedex, France</w:t>
      </w:r>
    </w:p>
  </w:footnote>
  <w:footnote w:id="3">
    <w:p w14:paraId="6144461E" w14:textId="77777777" w:rsidR="00DA093C" w:rsidRPr="00E00928" w:rsidRDefault="00DA093C" w:rsidP="00DA093C">
      <w:pPr>
        <w:pStyle w:val="FootnoteText"/>
        <w:rPr>
          <w:rFonts w:ascii="Tahoma" w:hAnsi="Tahoma" w:cs="Tahoma"/>
          <w:sz w:val="18"/>
          <w:szCs w:val="18"/>
        </w:rPr>
      </w:pPr>
      <w:r w:rsidRPr="00E00928">
        <w:rPr>
          <w:rStyle w:val="FootnoteReference"/>
          <w:rFonts w:ascii="Tahoma" w:hAnsi="Tahoma" w:cs="Tahoma"/>
          <w:sz w:val="18"/>
          <w:szCs w:val="18"/>
        </w:rPr>
        <w:footnoteRef/>
      </w:r>
      <w:r w:rsidRPr="00E00928">
        <w:rPr>
          <w:rFonts w:ascii="Tahoma" w:hAnsi="Tahoma" w:cs="Tahoma"/>
          <w:sz w:val="18"/>
          <w:szCs w:val="18"/>
        </w:rPr>
        <w:t xml:space="preserve"> The Council of Europe reserves the right to request documentary evidence.</w:t>
      </w:r>
    </w:p>
  </w:footnote>
  <w:footnote w:id="4">
    <w:p w14:paraId="73BAE27E" w14:textId="77777777" w:rsidR="005920E6" w:rsidRPr="00A72D5E" w:rsidRDefault="005920E6" w:rsidP="005920E6">
      <w:pPr>
        <w:pStyle w:val="FootnoteText"/>
        <w:rPr>
          <w:rFonts w:ascii="Tahoma" w:hAnsi="Tahoma" w:cs="Tahoma"/>
          <w:sz w:val="16"/>
          <w:szCs w:val="16"/>
          <w:lang w:val="fr-FR"/>
        </w:rPr>
      </w:pPr>
      <w:r w:rsidRPr="00A72D5E">
        <w:rPr>
          <w:rStyle w:val="FootnoteReference"/>
          <w:rFonts w:ascii="Tahoma" w:hAnsi="Tahoma" w:cs="Tahoma"/>
          <w:sz w:val="16"/>
          <w:szCs w:val="16"/>
        </w:rPr>
        <w:footnoteRef/>
      </w:r>
      <w:r w:rsidRPr="00A72D5E">
        <w:rPr>
          <w:rFonts w:ascii="Tahoma" w:hAnsi="Tahoma" w:cs="Tahoma"/>
          <w:sz w:val="16"/>
          <w:szCs w:val="16"/>
        </w:rPr>
        <w:t xml:space="preserve"> CM/Del/</w:t>
      </w:r>
      <w:proofErr w:type="gramStart"/>
      <w:r w:rsidRPr="00A72D5E">
        <w:rPr>
          <w:rFonts w:ascii="Tahoma" w:hAnsi="Tahoma" w:cs="Tahoma"/>
          <w:sz w:val="16"/>
          <w:szCs w:val="16"/>
        </w:rPr>
        <w:t>Dec(</w:t>
      </w:r>
      <w:proofErr w:type="gramEnd"/>
      <w:r w:rsidRPr="00A72D5E">
        <w:rPr>
          <w:rFonts w:ascii="Tahoma" w:hAnsi="Tahoma" w:cs="Tahoma"/>
          <w:sz w:val="16"/>
          <w:szCs w:val="16"/>
        </w:rPr>
        <w:t xml:space="preserve">2010)1089/11.3 appendix 9 </w:t>
      </w:r>
      <w:hyperlink r:id="rId1" w:history="1">
        <w:r w:rsidRPr="00A72D5E">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66F96168"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936DB">
          <w:rPr>
            <w:rFonts w:ascii="Arial Narrow" w:hAnsi="Arial Narrow"/>
            <w:bCs/>
            <w:noProof/>
          </w:rPr>
          <w:t>10</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936DB">
          <w:rPr>
            <w:rFonts w:ascii="Arial Narrow" w:hAnsi="Arial Narrow"/>
            <w:bCs/>
            <w:noProof/>
          </w:rPr>
          <w:t>10</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7721A"/>
    <w:multiLevelType w:val="hybridMultilevel"/>
    <w:tmpl w:val="8E7C9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32"/>
  </w:num>
  <w:num w:numId="3">
    <w:abstractNumId w:val="2"/>
  </w:num>
  <w:num w:numId="4">
    <w:abstractNumId w:val="21"/>
  </w:num>
  <w:num w:numId="5">
    <w:abstractNumId w:val="1"/>
  </w:num>
  <w:num w:numId="6">
    <w:abstractNumId w:val="34"/>
  </w:num>
  <w:num w:numId="7">
    <w:abstractNumId w:val="10"/>
  </w:num>
  <w:num w:numId="8">
    <w:abstractNumId w:val="23"/>
  </w:num>
  <w:num w:numId="9">
    <w:abstractNumId w:val="19"/>
  </w:num>
  <w:num w:numId="10">
    <w:abstractNumId w:val="28"/>
  </w:num>
  <w:num w:numId="11">
    <w:abstractNumId w:val="1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7"/>
  </w:num>
  <w:num w:numId="15">
    <w:abstractNumId w:val="25"/>
  </w:num>
  <w:num w:numId="16">
    <w:abstractNumId w:val="11"/>
  </w:num>
  <w:num w:numId="17">
    <w:abstractNumId w:val="26"/>
  </w:num>
  <w:num w:numId="18">
    <w:abstractNumId w:val="0"/>
  </w:num>
  <w:num w:numId="19">
    <w:abstractNumId w:val="14"/>
  </w:num>
  <w:num w:numId="20">
    <w:abstractNumId w:val="20"/>
  </w:num>
  <w:num w:numId="21">
    <w:abstractNumId w:val="30"/>
  </w:num>
  <w:num w:numId="22">
    <w:abstractNumId w:val="6"/>
  </w:num>
  <w:num w:numId="23">
    <w:abstractNumId w:val="29"/>
  </w:num>
  <w:num w:numId="24">
    <w:abstractNumId w:val="24"/>
  </w:num>
  <w:num w:numId="25">
    <w:abstractNumId w:val="18"/>
  </w:num>
  <w:num w:numId="26">
    <w:abstractNumId w:val="15"/>
  </w:num>
  <w:num w:numId="27">
    <w:abstractNumId w:val="3"/>
  </w:num>
  <w:num w:numId="28">
    <w:abstractNumId w:val="13"/>
  </w:num>
  <w:num w:numId="29">
    <w:abstractNumId w:val="7"/>
  </w:num>
  <w:num w:numId="30">
    <w:abstractNumId w:val="4"/>
  </w:num>
  <w:num w:numId="31">
    <w:abstractNumId w:val="27"/>
  </w:num>
  <w:num w:numId="32">
    <w:abstractNumId w:val="22"/>
  </w:num>
  <w:num w:numId="33">
    <w:abstractNumId w:val="8"/>
  </w:num>
  <w:num w:numId="34">
    <w:abstractNumId w:val="33"/>
  </w:num>
  <w:num w:numId="35">
    <w:abstractNumId w:val="9"/>
  </w:num>
  <w:num w:numId="3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81"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0B53"/>
    <w:rsid w:val="000039BE"/>
    <w:rsid w:val="00004D79"/>
    <w:rsid w:val="00007AEB"/>
    <w:rsid w:val="00007C19"/>
    <w:rsid w:val="0001537A"/>
    <w:rsid w:val="00022D03"/>
    <w:rsid w:val="00023C61"/>
    <w:rsid w:val="00023D4C"/>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97E21"/>
    <w:rsid w:val="001A207E"/>
    <w:rsid w:val="001A5371"/>
    <w:rsid w:val="001A77F3"/>
    <w:rsid w:val="001B0127"/>
    <w:rsid w:val="001B138A"/>
    <w:rsid w:val="001C48CD"/>
    <w:rsid w:val="001C4BA2"/>
    <w:rsid w:val="001C5064"/>
    <w:rsid w:val="001C6878"/>
    <w:rsid w:val="001D40AD"/>
    <w:rsid w:val="001D5926"/>
    <w:rsid w:val="001E5424"/>
    <w:rsid w:val="001F5A87"/>
    <w:rsid w:val="002019A5"/>
    <w:rsid w:val="00202926"/>
    <w:rsid w:val="00206F03"/>
    <w:rsid w:val="00212B69"/>
    <w:rsid w:val="00213B7C"/>
    <w:rsid w:val="00216C21"/>
    <w:rsid w:val="00225B0D"/>
    <w:rsid w:val="00226241"/>
    <w:rsid w:val="0023030E"/>
    <w:rsid w:val="002336A0"/>
    <w:rsid w:val="002370A9"/>
    <w:rsid w:val="0024057A"/>
    <w:rsid w:val="00251355"/>
    <w:rsid w:val="00253EED"/>
    <w:rsid w:val="00254F20"/>
    <w:rsid w:val="00255320"/>
    <w:rsid w:val="00261462"/>
    <w:rsid w:val="00263963"/>
    <w:rsid w:val="00270528"/>
    <w:rsid w:val="00273B5A"/>
    <w:rsid w:val="00274D7C"/>
    <w:rsid w:val="002805F8"/>
    <w:rsid w:val="0028198D"/>
    <w:rsid w:val="00290EAC"/>
    <w:rsid w:val="00293CBB"/>
    <w:rsid w:val="002948F1"/>
    <w:rsid w:val="002A2C42"/>
    <w:rsid w:val="002A56A1"/>
    <w:rsid w:val="002B4786"/>
    <w:rsid w:val="002C6F98"/>
    <w:rsid w:val="002D29CE"/>
    <w:rsid w:val="002D5425"/>
    <w:rsid w:val="002D5DC0"/>
    <w:rsid w:val="002E5606"/>
    <w:rsid w:val="002E5B9C"/>
    <w:rsid w:val="002E77FC"/>
    <w:rsid w:val="002F1EEA"/>
    <w:rsid w:val="00300098"/>
    <w:rsid w:val="00305CCD"/>
    <w:rsid w:val="003117F0"/>
    <w:rsid w:val="003171F7"/>
    <w:rsid w:val="00320711"/>
    <w:rsid w:val="0032149F"/>
    <w:rsid w:val="00332AF4"/>
    <w:rsid w:val="0034681E"/>
    <w:rsid w:val="00350F4E"/>
    <w:rsid w:val="0035108E"/>
    <w:rsid w:val="00355DF5"/>
    <w:rsid w:val="003603A8"/>
    <w:rsid w:val="003712F2"/>
    <w:rsid w:val="00373C8A"/>
    <w:rsid w:val="00376FF0"/>
    <w:rsid w:val="00386026"/>
    <w:rsid w:val="0039258A"/>
    <w:rsid w:val="00394B2C"/>
    <w:rsid w:val="003A1929"/>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80A62"/>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39C6"/>
    <w:rsid w:val="004E67E1"/>
    <w:rsid w:val="004E796F"/>
    <w:rsid w:val="004E7A45"/>
    <w:rsid w:val="004E7D01"/>
    <w:rsid w:val="004F71A4"/>
    <w:rsid w:val="00523268"/>
    <w:rsid w:val="005253A7"/>
    <w:rsid w:val="0053337A"/>
    <w:rsid w:val="00542FEE"/>
    <w:rsid w:val="00552817"/>
    <w:rsid w:val="00563846"/>
    <w:rsid w:val="0056498A"/>
    <w:rsid w:val="00564E88"/>
    <w:rsid w:val="00567F3E"/>
    <w:rsid w:val="00572264"/>
    <w:rsid w:val="005845C2"/>
    <w:rsid w:val="00586AAF"/>
    <w:rsid w:val="005920E6"/>
    <w:rsid w:val="00592F00"/>
    <w:rsid w:val="005A1721"/>
    <w:rsid w:val="005A22F8"/>
    <w:rsid w:val="005A6974"/>
    <w:rsid w:val="005A748D"/>
    <w:rsid w:val="005B0752"/>
    <w:rsid w:val="005B7F25"/>
    <w:rsid w:val="005C0BFC"/>
    <w:rsid w:val="005C2BE2"/>
    <w:rsid w:val="005D5924"/>
    <w:rsid w:val="005E2710"/>
    <w:rsid w:val="005E5D75"/>
    <w:rsid w:val="005F37BF"/>
    <w:rsid w:val="00603878"/>
    <w:rsid w:val="006127EB"/>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76169"/>
    <w:rsid w:val="00680325"/>
    <w:rsid w:val="00681751"/>
    <w:rsid w:val="00682F97"/>
    <w:rsid w:val="00687D63"/>
    <w:rsid w:val="006912CB"/>
    <w:rsid w:val="006A1C42"/>
    <w:rsid w:val="006A51F8"/>
    <w:rsid w:val="006A7F07"/>
    <w:rsid w:val="006B0045"/>
    <w:rsid w:val="006B25B7"/>
    <w:rsid w:val="006B2D7D"/>
    <w:rsid w:val="006B70B8"/>
    <w:rsid w:val="006B71A1"/>
    <w:rsid w:val="006C7D58"/>
    <w:rsid w:val="006D00AF"/>
    <w:rsid w:val="006D3613"/>
    <w:rsid w:val="006D78F7"/>
    <w:rsid w:val="006E09FC"/>
    <w:rsid w:val="006E7998"/>
    <w:rsid w:val="00704102"/>
    <w:rsid w:val="007051FD"/>
    <w:rsid w:val="00711683"/>
    <w:rsid w:val="00714D53"/>
    <w:rsid w:val="00724107"/>
    <w:rsid w:val="00740755"/>
    <w:rsid w:val="007434E5"/>
    <w:rsid w:val="00743F00"/>
    <w:rsid w:val="00747ADB"/>
    <w:rsid w:val="00751959"/>
    <w:rsid w:val="007556CC"/>
    <w:rsid w:val="00762290"/>
    <w:rsid w:val="007750AB"/>
    <w:rsid w:val="00775FB5"/>
    <w:rsid w:val="007867C0"/>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1475F"/>
    <w:rsid w:val="00823960"/>
    <w:rsid w:val="0082549E"/>
    <w:rsid w:val="00826BA5"/>
    <w:rsid w:val="00832677"/>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C0C"/>
    <w:rsid w:val="009A100B"/>
    <w:rsid w:val="009A1043"/>
    <w:rsid w:val="009A5B27"/>
    <w:rsid w:val="009A6460"/>
    <w:rsid w:val="009B76BE"/>
    <w:rsid w:val="009D175B"/>
    <w:rsid w:val="009D290D"/>
    <w:rsid w:val="009E2400"/>
    <w:rsid w:val="009E4346"/>
    <w:rsid w:val="009E55DF"/>
    <w:rsid w:val="009E7590"/>
    <w:rsid w:val="009F0B7C"/>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2D5E"/>
    <w:rsid w:val="00A8461F"/>
    <w:rsid w:val="00A85379"/>
    <w:rsid w:val="00A96A37"/>
    <w:rsid w:val="00AA1957"/>
    <w:rsid w:val="00AA7B01"/>
    <w:rsid w:val="00AB03AB"/>
    <w:rsid w:val="00AB13EF"/>
    <w:rsid w:val="00AC08D9"/>
    <w:rsid w:val="00AD296F"/>
    <w:rsid w:val="00AD33C7"/>
    <w:rsid w:val="00AD423A"/>
    <w:rsid w:val="00AD58AA"/>
    <w:rsid w:val="00AD5E4A"/>
    <w:rsid w:val="00AE2A99"/>
    <w:rsid w:val="00AE5507"/>
    <w:rsid w:val="00B018FC"/>
    <w:rsid w:val="00B11F35"/>
    <w:rsid w:val="00B11F70"/>
    <w:rsid w:val="00B14D5F"/>
    <w:rsid w:val="00B201B1"/>
    <w:rsid w:val="00B214E4"/>
    <w:rsid w:val="00B21BA4"/>
    <w:rsid w:val="00B22142"/>
    <w:rsid w:val="00B221A3"/>
    <w:rsid w:val="00B30098"/>
    <w:rsid w:val="00B40FBD"/>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B11AE"/>
    <w:rsid w:val="00BB66CF"/>
    <w:rsid w:val="00BC56E5"/>
    <w:rsid w:val="00BC7984"/>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91120"/>
    <w:rsid w:val="00C936DB"/>
    <w:rsid w:val="00CA4416"/>
    <w:rsid w:val="00CA6E6F"/>
    <w:rsid w:val="00CB5C26"/>
    <w:rsid w:val="00CC361D"/>
    <w:rsid w:val="00CD061B"/>
    <w:rsid w:val="00CD0677"/>
    <w:rsid w:val="00CD22FC"/>
    <w:rsid w:val="00CD7AE3"/>
    <w:rsid w:val="00CE0F61"/>
    <w:rsid w:val="00CE4E5E"/>
    <w:rsid w:val="00CE58F8"/>
    <w:rsid w:val="00CF6538"/>
    <w:rsid w:val="00D04381"/>
    <w:rsid w:val="00D10FC0"/>
    <w:rsid w:val="00D14044"/>
    <w:rsid w:val="00D225E4"/>
    <w:rsid w:val="00D322CA"/>
    <w:rsid w:val="00D34390"/>
    <w:rsid w:val="00D34C9B"/>
    <w:rsid w:val="00D417C2"/>
    <w:rsid w:val="00D47F70"/>
    <w:rsid w:val="00D50229"/>
    <w:rsid w:val="00D50F13"/>
    <w:rsid w:val="00D51502"/>
    <w:rsid w:val="00D52157"/>
    <w:rsid w:val="00D5513E"/>
    <w:rsid w:val="00D65C3C"/>
    <w:rsid w:val="00D73100"/>
    <w:rsid w:val="00D90F8E"/>
    <w:rsid w:val="00D949C9"/>
    <w:rsid w:val="00DA093C"/>
    <w:rsid w:val="00DA56DD"/>
    <w:rsid w:val="00DC11A1"/>
    <w:rsid w:val="00DD5282"/>
    <w:rsid w:val="00DE0239"/>
    <w:rsid w:val="00DE0800"/>
    <w:rsid w:val="00DF57FB"/>
    <w:rsid w:val="00DF58EE"/>
    <w:rsid w:val="00E00310"/>
    <w:rsid w:val="00E045AD"/>
    <w:rsid w:val="00E05457"/>
    <w:rsid w:val="00E05C41"/>
    <w:rsid w:val="00E06FD7"/>
    <w:rsid w:val="00E0771D"/>
    <w:rsid w:val="00E1029D"/>
    <w:rsid w:val="00E11E01"/>
    <w:rsid w:val="00E160F4"/>
    <w:rsid w:val="00E16762"/>
    <w:rsid w:val="00E16839"/>
    <w:rsid w:val="00E244F2"/>
    <w:rsid w:val="00E44537"/>
    <w:rsid w:val="00E5000C"/>
    <w:rsid w:val="00E55F69"/>
    <w:rsid w:val="00E56FDA"/>
    <w:rsid w:val="00E57189"/>
    <w:rsid w:val="00E636DC"/>
    <w:rsid w:val="00E70C56"/>
    <w:rsid w:val="00E90DC4"/>
    <w:rsid w:val="00E9309D"/>
    <w:rsid w:val="00EA2362"/>
    <w:rsid w:val="00EB2A19"/>
    <w:rsid w:val="00EB550D"/>
    <w:rsid w:val="00EB6C90"/>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34AE7"/>
    <w:rsid w:val="00F406EC"/>
    <w:rsid w:val="00F54EF8"/>
    <w:rsid w:val="00F56682"/>
    <w:rsid w:val="00F57BB6"/>
    <w:rsid w:val="00F62704"/>
    <w:rsid w:val="00F84B26"/>
    <w:rsid w:val="00F862E9"/>
    <w:rsid w:val="00F96680"/>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customStyle="1" w:styleId="UnresolvedMention1">
    <w:name w:val="Unresolved Mention1"/>
    <w:basedOn w:val="DefaultParagraphFont"/>
    <w:uiPriority w:val="99"/>
    <w:semiHidden/>
    <w:unhideWhenUsed/>
    <w:rsid w:val="00DF58EE"/>
    <w:rPr>
      <w:color w:val="605E5C"/>
      <w:shd w:val="clear" w:color="auto" w:fill="E1DFDD"/>
    </w:rPr>
  </w:style>
  <w:style w:type="character" w:customStyle="1" w:styleId="style210">
    <w:name w:val="style21"/>
    <w:basedOn w:val="DefaultParagraphFont"/>
    <w:rsid w:val="00814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54A60-73C9-4A4E-9AF7-4C919751C2F4}">
  <ds:schemaRefs>
    <ds:schemaRef ds:uri="http://schemas.openxmlformats.org/officeDocument/2006/bibliography"/>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5550</Words>
  <Characters>31638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37114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MIKIC LANDRATOSKE Maja</cp:lastModifiedBy>
  <cp:revision>16</cp:revision>
  <cp:lastPrinted>2017-10-09T11:49:00Z</cp:lastPrinted>
  <dcterms:created xsi:type="dcterms:W3CDTF">2021-02-02T08:19:00Z</dcterms:created>
  <dcterms:modified xsi:type="dcterms:W3CDTF">2021-09-02T06:47:00Z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