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7777777" w:rsidR="00BE43B2" w:rsidRPr="006E76B9" w:rsidRDefault="00BE43B2">
            <w:pPr>
              <w:rPr>
                <w:rFonts w:ascii="Tahoma" w:hAnsi="Tahoma" w:cs="Tahoma"/>
                <w:caps/>
                <w:color w:val="000000" w:themeColor="text1"/>
                <w:sz w:val="18"/>
                <w:szCs w:val="18"/>
              </w:rPr>
            </w:pPr>
            <w:r w:rsidRPr="006E76B9">
              <w:rPr>
                <w:rFonts w:ascii="Tahoma" w:hAnsi="Tahoma" w:cs="Tahoma"/>
                <w:caps/>
                <w:color w:val="000000" w:themeColor="text1"/>
                <w:sz w:val="18"/>
                <w:szCs w:val="18"/>
              </w:rPr>
              <w:t>XX</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2675630E" w:rsidR="00BE43B2" w:rsidRPr="006E76B9" w:rsidRDefault="009B2D12">
            <w:pPr>
              <w:rPr>
                <w:rFonts w:ascii="Tahoma" w:hAnsi="Tahoma" w:cs="Tahoma"/>
                <w:caps/>
                <w:color w:val="000000" w:themeColor="text1"/>
                <w:sz w:val="18"/>
                <w:szCs w:val="18"/>
              </w:rPr>
            </w:pPr>
            <w:r w:rsidRPr="006E76B9">
              <w:rPr>
                <w:rFonts w:ascii="Tahoma" w:hAnsi="Tahoma" w:cs="Tahoma"/>
                <w:caps/>
                <w:color w:val="000000" w:themeColor="text1"/>
                <w:sz w:val="18"/>
                <w:szCs w:val="18"/>
              </w:rPr>
              <w:t>2392</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B86C415" w14:textId="77777777" w:rsidR="00BE43B2" w:rsidRPr="006E76B9" w:rsidRDefault="00EB7D45">
            <w:pPr>
              <w:rPr>
                <w:rFonts w:ascii="Tahoma" w:hAnsi="Tahoma" w:cs="Tahoma"/>
                <w:color w:val="000000" w:themeColor="text1"/>
                <w:sz w:val="18"/>
                <w:szCs w:val="18"/>
              </w:rPr>
            </w:pPr>
            <w:r w:rsidRPr="006E76B9">
              <w:rPr>
                <w:rFonts w:ascii="Tahoma" w:hAnsi="Tahoma" w:cs="Tahoma"/>
                <w:color w:val="000000" w:themeColor="text1"/>
                <w:sz w:val="18"/>
                <w:szCs w:val="18"/>
              </w:rPr>
              <w:t xml:space="preserve">Ana </w:t>
            </w:r>
            <w:proofErr w:type="spellStart"/>
            <w:r w:rsidRPr="006E76B9">
              <w:rPr>
                <w:rFonts w:ascii="Tahoma" w:hAnsi="Tahoma" w:cs="Tahoma"/>
                <w:color w:val="000000" w:themeColor="text1"/>
                <w:sz w:val="18"/>
                <w:szCs w:val="18"/>
              </w:rPr>
              <w:t>Selic</w:t>
            </w:r>
            <w:proofErr w:type="spellEnd"/>
            <w:r w:rsidRPr="006E76B9">
              <w:rPr>
                <w:rFonts w:ascii="Tahoma" w:hAnsi="Tahoma" w:cs="Tahoma"/>
                <w:color w:val="000000" w:themeColor="text1"/>
                <w:sz w:val="18"/>
                <w:szCs w:val="18"/>
              </w:rPr>
              <w:t xml:space="preserve"> </w:t>
            </w:r>
          </w:p>
          <w:p w14:paraId="24C8B102" w14:textId="77777777" w:rsidR="00EB7D45" w:rsidRPr="006E76B9" w:rsidRDefault="00EB7D45">
            <w:pPr>
              <w:rPr>
                <w:rFonts w:ascii="Tahoma" w:hAnsi="Tahoma" w:cs="Tahoma"/>
                <w:color w:val="000000" w:themeColor="text1"/>
                <w:sz w:val="18"/>
                <w:szCs w:val="18"/>
              </w:rPr>
            </w:pPr>
            <w:r w:rsidRPr="006E76B9">
              <w:rPr>
                <w:rFonts w:ascii="Tahoma" w:hAnsi="Tahoma" w:cs="Tahoma"/>
                <w:caps/>
                <w:color w:val="000000" w:themeColor="text1"/>
                <w:sz w:val="18"/>
                <w:szCs w:val="18"/>
              </w:rPr>
              <w:t>s</w:t>
            </w:r>
            <w:r w:rsidRPr="006E76B9">
              <w:rPr>
                <w:rFonts w:ascii="Tahoma" w:hAnsi="Tahoma" w:cs="Tahoma"/>
                <w:color w:val="000000" w:themeColor="text1"/>
                <w:sz w:val="18"/>
                <w:szCs w:val="18"/>
              </w:rPr>
              <w:t>enior Project Officer</w:t>
            </w:r>
          </w:p>
          <w:p w14:paraId="7BE6CB41" w14:textId="5E0BE9CC" w:rsidR="00EB7D45" w:rsidRPr="006E76B9" w:rsidRDefault="00984F3D">
            <w:pPr>
              <w:rPr>
                <w:rFonts w:ascii="Tahoma" w:hAnsi="Tahoma" w:cs="Tahoma"/>
                <w:bCs/>
                <w:caps/>
                <w:color w:val="000000" w:themeColor="text1"/>
                <w:sz w:val="18"/>
                <w:szCs w:val="18"/>
              </w:rPr>
            </w:pPr>
            <w:hyperlink r:id="rId11" w:history="1">
              <w:r w:rsidR="00EB7D45" w:rsidRPr="006E76B9">
                <w:rPr>
                  <w:rStyle w:val="Hyperlink"/>
                  <w:rFonts w:ascii="Tahoma" w:hAnsi="Tahoma" w:cs="Tahoma"/>
                  <w:bCs/>
                  <w:sz w:val="18"/>
                  <w:szCs w:val="18"/>
                </w:rPr>
                <w:t>ana.selic@coe.int</w:t>
              </w:r>
            </w:hyperlink>
            <w:r w:rsidR="00EB7D45" w:rsidRPr="006E76B9">
              <w:rPr>
                <w:rFonts w:ascii="Tahoma" w:hAnsi="Tahoma" w:cs="Tahoma"/>
                <w:bCs/>
                <w:color w:val="000000" w:themeColor="text1"/>
                <w:sz w:val="18"/>
                <w:szCs w:val="18"/>
              </w:rPr>
              <w:t>; +38267211126</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51215E86"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080DA4" w:rsidRPr="00080DA4">
        <w:rPr>
          <w:rFonts w:ascii="Tahoma" w:hAnsi="Tahoma" w:cs="Tahoma"/>
          <w:b/>
        </w:rPr>
        <w:t>consultancy services on improving the financial reporting of political entities and strengthening the oversight of electoral campaigns by the Agency for Prevention of Corruption</w:t>
      </w:r>
      <w:r w:rsidR="00F1115E">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9A69A75" w14:textId="77777777" w:rsidR="00261462" w:rsidRDefault="00261462" w:rsidP="00FC7772">
            <w:pPr>
              <w:rPr>
                <w:rFonts w:ascii="Tahoma" w:hAnsi="Tahoma" w:cs="Tahoma"/>
                <w:sz w:val="20"/>
                <w:szCs w:val="20"/>
              </w:rPr>
            </w:pPr>
          </w:p>
          <w:p w14:paraId="40390CB9" w14:textId="55689EF2" w:rsidR="003F2836" w:rsidRPr="00EA2362" w:rsidRDefault="003F2836"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3"/>
          <w:pgSz w:w="11907" w:h="16840" w:code="9"/>
          <w:pgMar w:top="284" w:right="1134" w:bottom="851" w:left="1134" w:header="285" w:footer="284" w:gutter="0"/>
          <w:cols w:space="708"/>
          <w:docGrid w:linePitch="360"/>
        </w:sectPr>
      </w:pPr>
    </w:p>
    <w:p w14:paraId="7F5C7AB9" w14:textId="19DD0B0A" w:rsidR="00A72D5E" w:rsidRDefault="00A72D5E">
      <w:pPr>
        <w:rPr>
          <w:rFonts w:ascii="Tahoma" w:hAnsi="Tahoma" w:cs="Tahoma"/>
          <w:b/>
          <w:lang w:eastAsia="en-US"/>
        </w:rPr>
      </w:pPr>
      <w:r>
        <w:rPr>
          <w:rFonts w:ascii="Tahoma" w:hAnsi="Tahoma" w:cs="Tahoma"/>
          <w:b/>
          <w:lang w:eastAsia="en-US"/>
        </w:rPr>
        <w:br w:type="page"/>
      </w: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494626EA" w14:textId="22517DAE" w:rsidR="0092483C" w:rsidRDefault="009B341F" w:rsidP="009B341F">
      <w:pPr>
        <w:spacing w:line="276" w:lineRule="auto"/>
        <w:jc w:val="both"/>
        <w:rPr>
          <w:rFonts w:ascii="Tahoma" w:hAnsi="Tahoma" w:cs="Tahoma"/>
          <w:sz w:val="20"/>
          <w:szCs w:val="20"/>
        </w:rPr>
      </w:pPr>
      <w:r w:rsidRPr="009B341F">
        <w:rPr>
          <w:rFonts w:ascii="Tahoma" w:hAnsi="Tahoma" w:cs="Tahoma"/>
          <w:sz w:val="20"/>
          <w:szCs w:val="20"/>
        </w:rPr>
        <w:t>The Council of Europe (CoE) through the Economic Crime and Cooperation Division (ECCD), acting under a contract with the European Union under the Horizontal Facility in the Western Balkans and Turkey (HF Phase II), is currently implementing the Action against Economic Crime in Montenegro (AEC-MNE). The Action aims to enhance the rule of law and governance by strengthening economic crime prevention and enforcement tools.</w:t>
      </w:r>
    </w:p>
    <w:p w14:paraId="4678973A" w14:textId="612EBB7D" w:rsidR="0092483C" w:rsidRDefault="0092483C" w:rsidP="009B341F">
      <w:pPr>
        <w:spacing w:line="276" w:lineRule="auto"/>
        <w:jc w:val="both"/>
        <w:rPr>
          <w:rFonts w:ascii="Tahoma" w:hAnsi="Tahoma" w:cs="Tahoma"/>
          <w:sz w:val="20"/>
          <w:szCs w:val="20"/>
        </w:rPr>
      </w:pPr>
      <w:r>
        <w:rPr>
          <w:rFonts w:ascii="Tahoma" w:hAnsi="Tahoma" w:cs="Tahoma"/>
          <w:sz w:val="20"/>
          <w:szCs w:val="20"/>
        </w:rPr>
        <w:t xml:space="preserve">Financial reporting of political entities in Montenegro has significantly improved in the </w:t>
      </w:r>
      <w:r w:rsidR="008F3A39">
        <w:rPr>
          <w:rFonts w:ascii="Tahoma" w:hAnsi="Tahoma" w:cs="Tahoma"/>
          <w:sz w:val="20"/>
          <w:szCs w:val="20"/>
        </w:rPr>
        <w:t xml:space="preserve">recent years. The political entities </w:t>
      </w:r>
      <w:r w:rsidR="002D22CB">
        <w:rPr>
          <w:rFonts w:ascii="Tahoma" w:hAnsi="Tahoma" w:cs="Tahoma"/>
          <w:sz w:val="20"/>
          <w:szCs w:val="20"/>
        </w:rPr>
        <w:t>have</w:t>
      </w:r>
      <w:r w:rsidR="008F3A39">
        <w:rPr>
          <w:rFonts w:ascii="Tahoma" w:hAnsi="Tahoma" w:cs="Tahoma"/>
          <w:sz w:val="20"/>
          <w:szCs w:val="20"/>
        </w:rPr>
        <w:t xml:space="preserve"> enhanced their compliance with accounting requests stipulated in the Law on Financing of Political Entities and Electoral Campaigns, which is recognized in the reports of relevant supervision and audit institutions. However, few issues are still outstanding both in the reporting process and in the process of control of political entities</w:t>
      </w:r>
      <w:r w:rsidR="00C34642">
        <w:rPr>
          <w:rFonts w:ascii="Tahoma" w:hAnsi="Tahoma" w:cs="Tahoma"/>
          <w:sz w:val="20"/>
          <w:szCs w:val="20"/>
        </w:rPr>
        <w:t xml:space="preserve">. In particular, </w:t>
      </w:r>
      <w:r w:rsidR="008F3A39">
        <w:rPr>
          <w:rFonts w:ascii="Tahoma" w:hAnsi="Tahoma" w:cs="Tahoma"/>
          <w:sz w:val="20"/>
          <w:szCs w:val="20"/>
        </w:rPr>
        <w:t xml:space="preserve">political entities are still struggling with correct reporting of the in-kind contributions and calculation of their financial value, while on the other side </w:t>
      </w:r>
      <w:r w:rsidR="00C34642">
        <w:rPr>
          <w:rFonts w:ascii="Tahoma" w:hAnsi="Tahoma" w:cs="Tahoma"/>
          <w:sz w:val="20"/>
          <w:szCs w:val="20"/>
        </w:rPr>
        <w:t xml:space="preserve">the </w:t>
      </w:r>
      <w:r w:rsidR="008F3A39">
        <w:rPr>
          <w:rFonts w:ascii="Tahoma" w:hAnsi="Tahoma" w:cs="Tahoma"/>
          <w:sz w:val="20"/>
          <w:szCs w:val="20"/>
        </w:rPr>
        <w:t xml:space="preserve">Agency for Prevention of Corruption faces difficulties </w:t>
      </w:r>
      <w:r w:rsidR="00B330EE">
        <w:rPr>
          <w:rFonts w:ascii="Tahoma" w:hAnsi="Tahoma" w:cs="Tahoma"/>
          <w:sz w:val="20"/>
          <w:szCs w:val="20"/>
        </w:rPr>
        <w:t xml:space="preserve">in finding reliable sources of information that would be used for verification of these kinds of reports. Additionally, </w:t>
      </w:r>
      <w:r w:rsidR="00FC1332">
        <w:rPr>
          <w:rFonts w:ascii="Tahoma" w:hAnsi="Tahoma" w:cs="Tahoma"/>
          <w:sz w:val="20"/>
          <w:szCs w:val="20"/>
        </w:rPr>
        <w:t xml:space="preserve">the </w:t>
      </w:r>
      <w:r w:rsidR="00B330EE">
        <w:rPr>
          <w:rFonts w:ascii="Tahoma" w:hAnsi="Tahoma" w:cs="Tahoma"/>
          <w:sz w:val="20"/>
          <w:szCs w:val="20"/>
        </w:rPr>
        <w:t xml:space="preserve">Agency for Prevention of Corruption lacks practice in identification, </w:t>
      </w:r>
      <w:proofErr w:type="gramStart"/>
      <w:r w:rsidR="00B330EE">
        <w:rPr>
          <w:rFonts w:ascii="Tahoma" w:hAnsi="Tahoma" w:cs="Tahoma"/>
          <w:sz w:val="20"/>
          <w:szCs w:val="20"/>
        </w:rPr>
        <w:t>processing</w:t>
      </w:r>
      <w:proofErr w:type="gramEnd"/>
      <w:r w:rsidR="00B330EE">
        <w:rPr>
          <w:rFonts w:ascii="Tahoma" w:hAnsi="Tahoma" w:cs="Tahoma"/>
          <w:sz w:val="20"/>
          <w:szCs w:val="20"/>
        </w:rPr>
        <w:t xml:space="preserve"> and sanctioning of third-party campaigning, which is prohibited by the Law on Financing of Political Entities and Electoral Campaigns.</w:t>
      </w:r>
    </w:p>
    <w:p w14:paraId="152C3B08" w14:textId="3D84D7A0" w:rsidR="00080DA4" w:rsidRDefault="00080DA4" w:rsidP="009B341F">
      <w:pPr>
        <w:spacing w:line="276" w:lineRule="auto"/>
        <w:jc w:val="both"/>
        <w:rPr>
          <w:rFonts w:ascii="Tahoma" w:hAnsi="Tahoma" w:cs="Tahoma"/>
          <w:sz w:val="20"/>
          <w:szCs w:val="20"/>
        </w:rPr>
      </w:pPr>
    </w:p>
    <w:p w14:paraId="1841947A" w14:textId="516EAB6F" w:rsidR="003F2836" w:rsidRDefault="006B0045" w:rsidP="003E0A41">
      <w:pPr>
        <w:spacing w:line="276" w:lineRule="auto"/>
        <w:jc w:val="both"/>
        <w:rPr>
          <w:rFonts w:ascii="Tahoma" w:hAnsi="Tahoma" w:cs="Tahoma"/>
          <w:bCs/>
          <w:sz w:val="20"/>
          <w:szCs w:val="20"/>
        </w:rPr>
      </w:pPr>
      <w:r w:rsidRPr="00EA2362">
        <w:rPr>
          <w:rFonts w:ascii="Tahoma" w:hAnsi="Tahoma" w:cs="Tahoma"/>
          <w:sz w:val="20"/>
          <w:szCs w:val="20"/>
        </w:rPr>
        <w:t xml:space="preserve">In that context,  </w:t>
      </w:r>
      <w:r w:rsidR="008644CF">
        <w:rPr>
          <w:rFonts w:ascii="Tahoma" w:hAnsi="Tahoma" w:cs="Tahoma"/>
          <w:sz w:val="20"/>
          <w:szCs w:val="20"/>
        </w:rPr>
        <w:t xml:space="preserve">the </w:t>
      </w:r>
      <w:r w:rsidR="00523B15">
        <w:rPr>
          <w:rFonts w:ascii="Tahoma" w:hAnsi="Tahoma" w:cs="Tahoma"/>
          <w:sz w:val="20"/>
          <w:szCs w:val="20"/>
        </w:rPr>
        <w:t>Service</w:t>
      </w:r>
      <w:r w:rsidR="00E55F69" w:rsidRPr="00EA2362">
        <w:rPr>
          <w:rFonts w:ascii="Tahoma" w:hAnsi="Tahoma" w:cs="Tahoma"/>
          <w:sz w:val="20"/>
          <w:szCs w:val="20"/>
        </w:rPr>
        <w:t xml:space="preserve"> Provider </w:t>
      </w:r>
      <w:r w:rsidR="008644CF">
        <w:rPr>
          <w:rFonts w:ascii="Tahoma" w:hAnsi="Tahoma" w:cs="Tahoma"/>
          <w:sz w:val="20"/>
          <w:szCs w:val="20"/>
        </w:rPr>
        <w:t>will</w:t>
      </w:r>
      <w:r w:rsidR="00FC1332">
        <w:rPr>
          <w:rFonts w:ascii="Tahoma" w:hAnsi="Tahoma" w:cs="Tahoma"/>
          <w:sz w:val="20"/>
          <w:szCs w:val="20"/>
        </w:rPr>
        <w:t xml:space="preserve"> propose recommendations to</w:t>
      </w:r>
      <w:r w:rsidR="008644CF">
        <w:rPr>
          <w:rFonts w:ascii="Tahoma" w:hAnsi="Tahoma" w:cs="Tahoma"/>
          <w:sz w:val="20"/>
          <w:szCs w:val="20"/>
        </w:rPr>
        <w:t xml:space="preserve"> </w:t>
      </w:r>
      <w:r w:rsidR="00080DA4" w:rsidRPr="00080DA4">
        <w:rPr>
          <w:rFonts w:ascii="Tahoma" w:hAnsi="Tahoma" w:cs="Tahoma"/>
          <w:bCs/>
          <w:sz w:val="20"/>
          <w:szCs w:val="20"/>
        </w:rPr>
        <w:t>improve the financial reporting of political entities and strengthen the oversight of electoral campaigns by: creating Guidelines on in-kind contributions reporting for political entities, creating Guidelines on control</w:t>
      </w:r>
      <w:r w:rsidR="0092483C">
        <w:rPr>
          <w:rFonts w:ascii="Tahoma" w:hAnsi="Tahoma" w:cs="Tahoma"/>
          <w:bCs/>
          <w:sz w:val="20"/>
          <w:szCs w:val="20"/>
        </w:rPr>
        <w:t xml:space="preserve"> of in-kind donations</w:t>
      </w:r>
      <w:r w:rsidR="00080DA4" w:rsidRPr="00080DA4">
        <w:rPr>
          <w:rFonts w:ascii="Tahoma" w:hAnsi="Tahoma" w:cs="Tahoma"/>
          <w:bCs/>
          <w:sz w:val="20"/>
          <w:szCs w:val="20"/>
        </w:rPr>
        <w:t xml:space="preserve"> and prevention of third-party campaigning for the Agency for Prevention of Corruption and delivering 2 trainings for </w:t>
      </w:r>
      <w:r w:rsidR="00FC1332">
        <w:rPr>
          <w:rFonts w:ascii="Tahoma" w:hAnsi="Tahoma" w:cs="Tahoma"/>
          <w:bCs/>
          <w:sz w:val="20"/>
          <w:szCs w:val="20"/>
        </w:rPr>
        <w:t xml:space="preserve">the </w:t>
      </w:r>
      <w:r w:rsidR="00080DA4" w:rsidRPr="00080DA4">
        <w:rPr>
          <w:rFonts w:ascii="Tahoma" w:hAnsi="Tahoma" w:cs="Tahoma"/>
          <w:bCs/>
          <w:sz w:val="20"/>
          <w:szCs w:val="20"/>
        </w:rPr>
        <w:t>implementation of these guidelines.</w:t>
      </w:r>
    </w:p>
    <w:p w14:paraId="5AB3F0D0" w14:textId="77777777" w:rsidR="008644CF" w:rsidRPr="00EA2362" w:rsidRDefault="008644CF" w:rsidP="003E0A41">
      <w:pPr>
        <w:spacing w:line="276" w:lineRule="auto"/>
        <w:jc w:val="both"/>
        <w:rPr>
          <w:rFonts w:ascii="Tahoma" w:hAnsi="Tahoma" w:cs="Tahoma"/>
          <w:sz w:val="20"/>
          <w:szCs w:val="20"/>
        </w:rPr>
      </w:pPr>
    </w:p>
    <w:p w14:paraId="082F0B9E" w14:textId="01EB9AB3" w:rsidR="00261462" w:rsidRPr="00EA2362" w:rsidRDefault="00681751" w:rsidP="00261462">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FDD6952" w14:textId="58A75196" w:rsidR="00261462" w:rsidRPr="00EB7D45" w:rsidRDefault="00261462" w:rsidP="00261462">
      <w:pPr>
        <w:spacing w:line="276" w:lineRule="auto"/>
        <w:jc w:val="both"/>
        <w:rPr>
          <w:rFonts w:ascii="Tahoma" w:hAnsi="Tahoma" w:cs="Tahoma"/>
          <w:b/>
          <w:color w:val="000000"/>
          <w:sz w:val="20"/>
          <w:szCs w:val="20"/>
          <w:u w:val="single"/>
          <w:lang w:val="sr-Latn-ME" w:eastAsia="en-US"/>
        </w:rPr>
      </w:pPr>
      <w:r w:rsidRPr="00EA2362">
        <w:rPr>
          <w:rFonts w:ascii="Tahoma" w:hAnsi="Tahoma" w:cs="Tahoma"/>
          <w:color w:val="000000"/>
          <w:sz w:val="20"/>
          <w:szCs w:val="20"/>
          <w:lang w:eastAsia="en-US"/>
        </w:rPr>
        <w:t>Prices are indicate</w:t>
      </w:r>
      <w:r w:rsidRPr="0025562E">
        <w:rPr>
          <w:rFonts w:ascii="Tahoma" w:hAnsi="Tahoma" w:cs="Tahoma"/>
          <w:color w:val="000000"/>
          <w:sz w:val="20"/>
          <w:szCs w:val="20"/>
          <w:lang w:eastAsia="en-US"/>
        </w:rPr>
        <w:t xml:space="preserve">d in </w:t>
      </w:r>
      <w:r w:rsidR="0025562E" w:rsidRPr="0025562E">
        <w:rPr>
          <w:rFonts w:ascii="Tahoma" w:hAnsi="Tahoma" w:cs="Tahoma"/>
          <w:b/>
          <w:bCs/>
          <w:color w:val="000000"/>
          <w:sz w:val="20"/>
          <w:szCs w:val="20"/>
          <w:lang w:eastAsia="en-US"/>
        </w:rPr>
        <w:t>Euros</w:t>
      </w:r>
      <w:r w:rsidR="0025562E" w:rsidRPr="0025562E">
        <w:rPr>
          <w:rFonts w:ascii="Tahoma" w:hAnsi="Tahoma" w:cs="Tahoma"/>
          <w:color w:val="000000"/>
          <w:sz w:val="20"/>
          <w:szCs w:val="20"/>
          <w:lang w:eastAsia="en-US"/>
        </w:rPr>
        <w:t xml:space="preserve"> </w:t>
      </w:r>
      <w:r w:rsidR="0025562E">
        <w:rPr>
          <w:rFonts w:ascii="Tahoma" w:hAnsi="Tahoma" w:cs="Tahoma"/>
          <w:color w:val="000000"/>
          <w:sz w:val="20"/>
          <w:szCs w:val="20"/>
          <w:lang w:eastAsia="en-US"/>
        </w:rPr>
        <w:t>without</w:t>
      </w:r>
      <w:r w:rsidRPr="00EA2362">
        <w:rPr>
          <w:rFonts w:ascii="Tahoma" w:hAnsi="Tahoma" w:cs="Tahoma"/>
          <w:color w:val="000000"/>
          <w:sz w:val="20"/>
          <w:szCs w:val="20"/>
          <w:lang w:eastAsia="en-US"/>
        </w:rPr>
        <w:t xml:space="preserve"> VAT. For the VAT regime to be mentioned on the invoice(s), please refer to Article 4.2 of the Legal Conditions (See Section C. below). </w:t>
      </w:r>
      <w:r w:rsidR="008041EC" w:rsidRPr="008B3843">
        <w:rPr>
          <w:rFonts w:ascii="Tahoma" w:hAnsi="Tahoma" w:cs="Tahoma"/>
          <w:b/>
          <w:color w:val="000000"/>
          <w:sz w:val="20"/>
          <w:szCs w:val="20"/>
          <w:u w:val="single"/>
          <w:lang w:eastAsia="en-US"/>
        </w:rPr>
        <w:t>T</w:t>
      </w:r>
      <w:r w:rsidRPr="008B3843">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66911922">
                <wp:simplePos x="0" y="0"/>
                <wp:positionH relativeFrom="column">
                  <wp:posOffset>4625340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354B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4.2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" adj="3973" strokecolor="red">
                <o:lock v:ext="edit" aspectratio="t"/>
                <v:textbox style="layout-flow:vertical-ideographic"/>
                <w10:anchorlock/>
              </v:shape>
            </w:pict>
          </mc:Fallback>
        </mc:AlternateContent>
      </w:r>
    </w:p>
    <w:tbl>
      <w:tblPr>
        <w:tblW w:w="972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115" w:type="dxa"/>
          <w:right w:w="115" w:type="dxa"/>
        </w:tblCellMar>
        <w:tblLook w:val="04A0" w:firstRow="1" w:lastRow="0" w:firstColumn="1" w:lastColumn="0" w:noHBand="0" w:noVBand="1"/>
      </w:tblPr>
      <w:tblGrid>
        <w:gridCol w:w="5847"/>
        <w:gridCol w:w="1372"/>
        <w:gridCol w:w="9"/>
        <w:gridCol w:w="1124"/>
        <w:gridCol w:w="9"/>
        <w:gridCol w:w="1356"/>
        <w:gridCol w:w="9"/>
      </w:tblGrid>
      <w:tr w:rsidR="00261462" w:rsidRPr="006E76B9" w14:paraId="0166D4C8" w14:textId="77777777" w:rsidTr="006E76B9">
        <w:trPr>
          <w:gridAfter w:val="1"/>
          <w:wAfter w:w="9" w:type="dxa"/>
          <w:trHeight w:val="688"/>
          <w:jc w:val="center"/>
        </w:trPr>
        <w:tc>
          <w:tcPr>
            <w:tcW w:w="5847" w:type="dxa"/>
            <w:shd w:val="clear" w:color="auto" w:fill="auto"/>
            <w:vAlign w:val="center"/>
          </w:tcPr>
          <w:p w14:paraId="54CCB511" w14:textId="77777777" w:rsidR="00261462" w:rsidRPr="006E76B9" w:rsidRDefault="00261462" w:rsidP="00261462">
            <w:pPr>
              <w:tabs>
                <w:tab w:val="left" w:pos="-139"/>
              </w:tabs>
              <w:spacing w:line="276" w:lineRule="auto"/>
              <w:ind w:right="-140"/>
              <w:jc w:val="center"/>
              <w:rPr>
                <w:rFonts w:ascii="Tahoma" w:hAnsi="Tahoma" w:cs="Tahoma"/>
                <w:b/>
                <w:sz w:val="18"/>
                <w:szCs w:val="18"/>
                <w:lang w:eastAsia="en-US"/>
              </w:rPr>
            </w:pPr>
            <w:r w:rsidRPr="006E76B9">
              <w:rPr>
                <w:rFonts w:ascii="Tahoma" w:hAnsi="Tahoma" w:cs="Tahoma"/>
                <w:b/>
                <w:sz w:val="18"/>
                <w:szCs w:val="18"/>
                <w:lang w:eastAsia="en-US"/>
              </w:rPr>
              <w:t xml:space="preserve">Deliverables </w:t>
            </w:r>
            <w:r w:rsidRPr="006E76B9">
              <w:rPr>
                <w:b/>
                <w:sz w:val="18"/>
                <w:szCs w:val="18"/>
                <w:lang w:eastAsia="en-US"/>
              </w:rPr>
              <w:t>▼</w:t>
            </w:r>
          </w:p>
        </w:tc>
        <w:tc>
          <w:tcPr>
            <w:tcW w:w="1372" w:type="dxa"/>
            <w:shd w:val="clear" w:color="auto" w:fill="auto"/>
            <w:vAlign w:val="center"/>
          </w:tcPr>
          <w:p w14:paraId="4C4B2597" w14:textId="77777777" w:rsidR="00261462" w:rsidRPr="006E76B9" w:rsidRDefault="00261462" w:rsidP="00261462">
            <w:pPr>
              <w:tabs>
                <w:tab w:val="left" w:pos="-139"/>
              </w:tabs>
              <w:spacing w:line="276" w:lineRule="auto"/>
              <w:ind w:right="-140"/>
              <w:jc w:val="center"/>
              <w:rPr>
                <w:rFonts w:ascii="Tahoma" w:hAnsi="Tahoma" w:cs="Tahoma"/>
                <w:b/>
                <w:sz w:val="18"/>
                <w:szCs w:val="18"/>
                <w:lang w:eastAsia="en-US"/>
              </w:rPr>
            </w:pPr>
            <w:r w:rsidRPr="006E76B9">
              <w:rPr>
                <w:rFonts w:ascii="Tahoma" w:hAnsi="Tahoma" w:cs="Tahoma"/>
                <w:b/>
                <w:sz w:val="18"/>
                <w:szCs w:val="18"/>
                <w:lang w:eastAsia="en-US"/>
              </w:rPr>
              <w:t>Deadline for</w:t>
            </w:r>
          </w:p>
          <w:p w14:paraId="79EDF894" w14:textId="77777777" w:rsidR="00261462" w:rsidRPr="006E76B9" w:rsidRDefault="00261462" w:rsidP="00261462">
            <w:pPr>
              <w:tabs>
                <w:tab w:val="left" w:pos="-139"/>
              </w:tabs>
              <w:spacing w:line="276" w:lineRule="auto"/>
              <w:ind w:right="-140"/>
              <w:jc w:val="center"/>
              <w:rPr>
                <w:rFonts w:ascii="Tahoma" w:hAnsi="Tahoma" w:cs="Tahoma"/>
                <w:b/>
                <w:sz w:val="18"/>
                <w:szCs w:val="18"/>
                <w:lang w:eastAsia="en-US"/>
              </w:rPr>
            </w:pPr>
            <w:r w:rsidRPr="006E76B9">
              <w:rPr>
                <w:rFonts w:ascii="Tahoma" w:hAnsi="Tahoma" w:cs="Tahoma"/>
                <w:b/>
                <w:sz w:val="18"/>
                <w:szCs w:val="18"/>
                <w:lang w:eastAsia="en-US"/>
              </w:rPr>
              <w:t xml:space="preserve">delivery </w:t>
            </w:r>
            <w:r w:rsidRPr="006E76B9">
              <w:rPr>
                <w:b/>
                <w:sz w:val="18"/>
                <w:szCs w:val="18"/>
                <w:lang w:eastAsia="en-US"/>
              </w:rPr>
              <w:t>▼</w:t>
            </w:r>
          </w:p>
        </w:tc>
        <w:tc>
          <w:tcPr>
            <w:tcW w:w="1133" w:type="dxa"/>
            <w:gridSpan w:val="2"/>
            <w:tcBorders>
              <w:bottom w:val="single" w:sz="2" w:space="0" w:color="FF0000"/>
            </w:tcBorders>
            <w:shd w:val="clear" w:color="auto" w:fill="auto"/>
            <w:vAlign w:val="center"/>
          </w:tcPr>
          <w:p w14:paraId="39664718" w14:textId="77777777" w:rsidR="00261462" w:rsidRPr="006E76B9" w:rsidRDefault="00261462" w:rsidP="004845C7">
            <w:pPr>
              <w:tabs>
                <w:tab w:val="left" w:pos="-99"/>
              </w:tabs>
              <w:spacing w:line="276" w:lineRule="auto"/>
              <w:ind w:right="-140" w:hanging="99"/>
              <w:jc w:val="center"/>
              <w:rPr>
                <w:rFonts w:ascii="Tahoma" w:hAnsi="Tahoma" w:cs="Tahoma"/>
                <w:b/>
                <w:sz w:val="18"/>
                <w:szCs w:val="18"/>
                <w:lang w:eastAsia="en-US"/>
              </w:rPr>
            </w:pPr>
            <w:r w:rsidRPr="006E76B9">
              <w:rPr>
                <w:rFonts w:ascii="Tahoma" w:hAnsi="Tahoma" w:cs="Tahoma"/>
                <w:b/>
                <w:sz w:val="18"/>
                <w:szCs w:val="18"/>
                <w:lang w:eastAsia="en-US"/>
              </w:rPr>
              <w:t>Fees</w:t>
            </w:r>
          </w:p>
          <w:p w14:paraId="23C22AD4" w14:textId="77777777" w:rsidR="00261462" w:rsidRPr="006E76B9" w:rsidRDefault="00261462" w:rsidP="00261462">
            <w:pPr>
              <w:tabs>
                <w:tab w:val="left" w:pos="-139"/>
              </w:tabs>
              <w:spacing w:line="276" w:lineRule="auto"/>
              <w:ind w:right="-140"/>
              <w:jc w:val="center"/>
              <w:rPr>
                <w:rFonts w:ascii="Tahoma" w:hAnsi="Tahoma" w:cs="Tahoma"/>
                <w:b/>
                <w:sz w:val="18"/>
                <w:szCs w:val="18"/>
                <w:lang w:eastAsia="en-US"/>
              </w:rPr>
            </w:pPr>
            <w:r w:rsidRPr="006E76B9">
              <w:rPr>
                <w:b/>
                <w:sz w:val="18"/>
                <w:szCs w:val="18"/>
                <w:lang w:eastAsia="en-US"/>
              </w:rPr>
              <w:t>▼</w:t>
            </w:r>
          </w:p>
        </w:tc>
        <w:tc>
          <w:tcPr>
            <w:tcW w:w="1365" w:type="dxa"/>
            <w:gridSpan w:val="2"/>
            <w:shd w:val="clear" w:color="auto" w:fill="auto"/>
            <w:vAlign w:val="center"/>
          </w:tcPr>
          <w:p w14:paraId="6AF1C8F3" w14:textId="77777777" w:rsidR="00261462" w:rsidRPr="006E76B9"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6E76B9">
              <w:rPr>
                <w:rFonts w:ascii="Tahoma" w:hAnsi="Tahoma" w:cs="Tahoma"/>
                <w:b/>
                <w:sz w:val="18"/>
                <w:szCs w:val="18"/>
                <w:lang w:eastAsia="en-US"/>
              </w:rPr>
              <w:t>Exclusion level</w:t>
            </w:r>
          </w:p>
          <w:p w14:paraId="58B70C7C" w14:textId="77777777" w:rsidR="00261462" w:rsidRPr="006E76B9" w:rsidRDefault="00261462" w:rsidP="00261462">
            <w:pPr>
              <w:tabs>
                <w:tab w:val="left" w:pos="-139"/>
              </w:tabs>
              <w:spacing w:line="276" w:lineRule="auto"/>
              <w:ind w:right="-140"/>
              <w:jc w:val="center"/>
              <w:rPr>
                <w:rFonts w:ascii="Tahoma" w:hAnsi="Tahoma" w:cs="Tahoma"/>
                <w:b/>
                <w:sz w:val="18"/>
                <w:szCs w:val="18"/>
                <w:lang w:eastAsia="en-US"/>
              </w:rPr>
            </w:pPr>
            <w:r w:rsidRPr="006E76B9">
              <w:rPr>
                <w:b/>
                <w:sz w:val="18"/>
                <w:szCs w:val="18"/>
                <w:lang w:eastAsia="en-US"/>
              </w:rPr>
              <w:t>▼</w:t>
            </w:r>
          </w:p>
        </w:tc>
      </w:tr>
      <w:tr w:rsidR="00FB002F" w:rsidRPr="006E76B9" w14:paraId="6CA125F2" w14:textId="77777777" w:rsidTr="004E5F86">
        <w:trPr>
          <w:gridAfter w:val="1"/>
          <w:wAfter w:w="9" w:type="dxa"/>
          <w:trHeight w:val="432"/>
          <w:jc w:val="center"/>
        </w:trPr>
        <w:tc>
          <w:tcPr>
            <w:tcW w:w="5847" w:type="dxa"/>
            <w:shd w:val="clear" w:color="auto" w:fill="auto"/>
            <w:vAlign w:val="center"/>
          </w:tcPr>
          <w:p w14:paraId="60FDA710" w14:textId="427D223F" w:rsidR="00FB002F" w:rsidRPr="00B96D6C" w:rsidRDefault="00FB002F" w:rsidP="00FB002F">
            <w:pPr>
              <w:tabs>
                <w:tab w:val="left" w:pos="-139"/>
                <w:tab w:val="left" w:pos="525"/>
              </w:tabs>
              <w:spacing w:line="276" w:lineRule="auto"/>
              <w:jc w:val="both"/>
              <w:rPr>
                <w:rFonts w:ascii="Tahoma" w:hAnsi="Tahoma" w:cs="Tahoma"/>
                <w:sz w:val="18"/>
                <w:szCs w:val="18"/>
                <w:lang w:eastAsia="en-US"/>
              </w:rPr>
            </w:pPr>
            <w:r w:rsidRPr="00FB002F">
              <w:rPr>
                <w:rFonts w:ascii="Tahoma" w:hAnsi="Tahoma" w:cs="Tahoma"/>
                <w:sz w:val="18"/>
                <w:szCs w:val="18"/>
                <w:lang w:eastAsia="en-US"/>
              </w:rPr>
              <w:t xml:space="preserve">1. </w:t>
            </w:r>
            <w:r w:rsidR="00FD51FF">
              <w:rPr>
                <w:rFonts w:ascii="Tahoma" w:hAnsi="Tahoma" w:cs="Tahoma"/>
                <w:sz w:val="18"/>
                <w:szCs w:val="18"/>
                <w:lang w:eastAsia="en-US"/>
              </w:rPr>
              <w:t>Review the applicable legal framework and practice including by c</w:t>
            </w:r>
            <w:r w:rsidRPr="00FB002F">
              <w:rPr>
                <w:rFonts w:ascii="Tahoma" w:hAnsi="Tahoma" w:cs="Tahoma"/>
                <w:sz w:val="18"/>
                <w:szCs w:val="18"/>
                <w:lang w:eastAsia="en-US"/>
              </w:rPr>
              <w:t>onduct</w:t>
            </w:r>
            <w:r w:rsidR="00FD51FF">
              <w:rPr>
                <w:rFonts w:ascii="Tahoma" w:hAnsi="Tahoma" w:cs="Tahoma"/>
                <w:sz w:val="18"/>
                <w:szCs w:val="18"/>
                <w:lang w:eastAsia="en-US"/>
              </w:rPr>
              <w:t>ing</w:t>
            </w:r>
            <w:r w:rsidRPr="00FB002F">
              <w:rPr>
                <w:rFonts w:ascii="Tahoma" w:hAnsi="Tahoma" w:cs="Tahoma"/>
                <w:sz w:val="18"/>
                <w:szCs w:val="18"/>
                <w:lang w:eastAsia="en-US"/>
              </w:rPr>
              <w:t xml:space="preserve"> a video meeting with the representatives of the Agency for Prevention of Corruption and political entities in order to collect information on issues encountered in control and prevention of third-party campaigning (specific cases encountered, decision-making processes in specific cases, sanctioning) and on most common errors made by the political entities in reporting of in-kind contributions.  </w:t>
            </w:r>
          </w:p>
        </w:tc>
        <w:tc>
          <w:tcPr>
            <w:tcW w:w="1372" w:type="dxa"/>
            <w:tcBorders>
              <w:top w:val="nil"/>
              <w:left w:val="nil"/>
              <w:bottom w:val="single" w:sz="8" w:space="0" w:color="808080"/>
              <w:right w:val="single" w:sz="8" w:space="0" w:color="FF0000"/>
            </w:tcBorders>
            <w:vAlign w:val="center"/>
          </w:tcPr>
          <w:p w14:paraId="7DFF09AB" w14:textId="6DB0D8D9" w:rsidR="00FB002F" w:rsidRPr="006E76B9" w:rsidRDefault="00323F14" w:rsidP="00FB002F">
            <w:pPr>
              <w:tabs>
                <w:tab w:val="left" w:pos="0"/>
              </w:tabs>
              <w:spacing w:line="276" w:lineRule="auto"/>
              <w:ind w:right="-140"/>
              <w:jc w:val="center"/>
              <w:rPr>
                <w:rFonts w:ascii="Tahoma" w:hAnsi="Tahoma" w:cs="Tahoma"/>
                <w:sz w:val="18"/>
                <w:szCs w:val="18"/>
                <w:lang w:eastAsia="en-US"/>
              </w:rPr>
            </w:pPr>
            <w:r>
              <w:rPr>
                <w:rFonts w:ascii="Tahoma" w:hAnsi="Tahoma" w:cs="Tahoma"/>
                <w:sz w:val="18"/>
                <w:szCs w:val="18"/>
                <w:lang w:eastAsia="en-US"/>
              </w:rPr>
              <w:t>12</w:t>
            </w:r>
            <w:r w:rsidR="00FB002F">
              <w:rPr>
                <w:rFonts w:ascii="Tahoma" w:hAnsi="Tahoma" w:cs="Tahoma"/>
                <w:sz w:val="18"/>
                <w:szCs w:val="18"/>
                <w:lang w:eastAsia="en-US"/>
              </w:rPr>
              <w:t>/</w:t>
            </w:r>
            <w:r w:rsidR="002421D6">
              <w:rPr>
                <w:rFonts w:ascii="Tahoma" w:hAnsi="Tahoma" w:cs="Tahoma"/>
                <w:sz w:val="18"/>
                <w:szCs w:val="18"/>
                <w:lang w:eastAsia="en-US"/>
              </w:rPr>
              <w:t>04</w:t>
            </w:r>
            <w:r w:rsidR="00FB002F">
              <w:rPr>
                <w:rFonts w:ascii="Tahoma" w:hAnsi="Tahoma" w:cs="Tahoma"/>
                <w:sz w:val="18"/>
                <w:szCs w:val="18"/>
                <w:lang w:eastAsia="en-US"/>
              </w:rPr>
              <w:t>/2020 </w:t>
            </w:r>
          </w:p>
        </w:tc>
        <w:tc>
          <w:tcPr>
            <w:tcW w:w="1133"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3C22F043" w14:textId="77777777" w:rsidR="00FB002F" w:rsidRPr="006E76B9" w:rsidRDefault="00FB002F" w:rsidP="00FB002F">
            <w:pPr>
              <w:tabs>
                <w:tab w:val="left" w:pos="-139"/>
              </w:tabs>
              <w:spacing w:line="276" w:lineRule="auto"/>
              <w:ind w:right="-140"/>
              <w:jc w:val="center"/>
              <w:rPr>
                <w:rFonts w:ascii="Tahoma" w:hAnsi="Tahoma" w:cs="Tahoma"/>
                <w:sz w:val="18"/>
                <w:szCs w:val="18"/>
                <w:lang w:eastAsia="en-US"/>
              </w:rPr>
            </w:pPr>
          </w:p>
        </w:tc>
        <w:tc>
          <w:tcPr>
            <w:tcW w:w="1365" w:type="dxa"/>
            <w:gridSpan w:val="2"/>
            <w:tcBorders>
              <w:left w:val="single" w:sz="2" w:space="0" w:color="FF0000"/>
            </w:tcBorders>
            <w:shd w:val="clear" w:color="auto" w:fill="auto"/>
            <w:vAlign w:val="center"/>
          </w:tcPr>
          <w:p w14:paraId="23682005" w14:textId="6C358CED" w:rsidR="00FB002F" w:rsidRPr="006E76B9" w:rsidRDefault="000C2260" w:rsidP="00FB002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500</w:t>
            </w:r>
          </w:p>
        </w:tc>
      </w:tr>
      <w:tr w:rsidR="00FB002F" w:rsidRPr="006E76B9" w14:paraId="3DA9B33C" w14:textId="77777777" w:rsidTr="004E5F86">
        <w:trPr>
          <w:gridAfter w:val="1"/>
          <w:wAfter w:w="9" w:type="dxa"/>
          <w:trHeight w:val="432"/>
          <w:jc w:val="center"/>
        </w:trPr>
        <w:tc>
          <w:tcPr>
            <w:tcW w:w="5847" w:type="dxa"/>
            <w:shd w:val="clear" w:color="auto" w:fill="auto"/>
            <w:vAlign w:val="center"/>
          </w:tcPr>
          <w:p w14:paraId="4047C16E" w14:textId="107E9DD4" w:rsidR="00FB002F" w:rsidRPr="00FB002F" w:rsidRDefault="00FB002F" w:rsidP="00FB002F">
            <w:pPr>
              <w:tabs>
                <w:tab w:val="left" w:pos="-139"/>
                <w:tab w:val="left" w:pos="255"/>
              </w:tabs>
              <w:spacing w:line="276" w:lineRule="auto"/>
              <w:jc w:val="both"/>
              <w:rPr>
                <w:rFonts w:ascii="Tahoma" w:hAnsi="Tahoma" w:cs="Tahoma"/>
                <w:sz w:val="18"/>
                <w:szCs w:val="18"/>
                <w:lang w:eastAsia="en-US"/>
              </w:rPr>
            </w:pPr>
            <w:r w:rsidRPr="00FB002F">
              <w:rPr>
                <w:rFonts w:ascii="Tahoma" w:hAnsi="Tahoma" w:cs="Tahoma"/>
                <w:sz w:val="18"/>
                <w:szCs w:val="18"/>
                <w:lang w:eastAsia="en-US"/>
              </w:rPr>
              <w:t>2.  Based on the analysis</w:t>
            </w:r>
            <w:r w:rsidR="005B25C3">
              <w:rPr>
                <w:rFonts w:ascii="Tahoma" w:hAnsi="Tahoma" w:cs="Tahoma"/>
                <w:sz w:val="18"/>
                <w:szCs w:val="18"/>
                <w:lang w:eastAsia="en-US"/>
              </w:rPr>
              <w:t xml:space="preserve"> of the applicable legislation</w:t>
            </w:r>
            <w:r w:rsidRPr="00FB002F">
              <w:rPr>
                <w:rFonts w:ascii="Tahoma" w:hAnsi="Tahoma" w:cs="Tahoma"/>
                <w:sz w:val="18"/>
                <w:szCs w:val="18"/>
                <w:lang w:eastAsia="en-US"/>
              </w:rPr>
              <w:t>, information collected from the Agency for Prevention of Corruption</w:t>
            </w:r>
            <w:r w:rsidR="0092483C">
              <w:rPr>
                <w:rFonts w:ascii="Tahoma" w:hAnsi="Tahoma" w:cs="Tahoma"/>
                <w:sz w:val="18"/>
                <w:szCs w:val="18"/>
                <w:lang w:eastAsia="en-US"/>
              </w:rPr>
              <w:t xml:space="preserve"> (APC)</w:t>
            </w:r>
            <w:r w:rsidRPr="00FB002F">
              <w:rPr>
                <w:rFonts w:ascii="Tahoma" w:hAnsi="Tahoma" w:cs="Tahoma"/>
                <w:sz w:val="18"/>
                <w:szCs w:val="18"/>
                <w:lang w:eastAsia="en-US"/>
              </w:rPr>
              <w:t xml:space="preserve"> and international best practices</w:t>
            </w:r>
            <w:r w:rsidR="00FC1332">
              <w:rPr>
                <w:rFonts w:ascii="Tahoma" w:hAnsi="Tahoma" w:cs="Tahoma"/>
                <w:sz w:val="18"/>
                <w:szCs w:val="18"/>
                <w:lang w:eastAsia="en-US"/>
              </w:rPr>
              <w:t>,</w:t>
            </w:r>
            <w:r w:rsidRPr="00FB002F">
              <w:rPr>
                <w:rFonts w:ascii="Tahoma" w:hAnsi="Tahoma" w:cs="Tahoma"/>
                <w:sz w:val="18"/>
                <w:szCs w:val="18"/>
                <w:lang w:eastAsia="en-US"/>
              </w:rPr>
              <w:t xml:space="preserve"> draft </w:t>
            </w:r>
            <w:r w:rsidR="00FC1332">
              <w:rPr>
                <w:rFonts w:ascii="Tahoma" w:hAnsi="Tahoma" w:cs="Tahoma"/>
                <w:sz w:val="18"/>
                <w:szCs w:val="18"/>
                <w:lang w:eastAsia="en-US"/>
              </w:rPr>
              <w:t>a</w:t>
            </w:r>
            <w:r w:rsidRPr="00FB002F">
              <w:rPr>
                <w:rFonts w:ascii="Tahoma" w:hAnsi="Tahoma" w:cs="Tahoma"/>
                <w:sz w:val="18"/>
                <w:szCs w:val="18"/>
                <w:lang w:eastAsia="en-US"/>
              </w:rPr>
              <w:t xml:space="preserve"> Technical Paper “Guideli</w:t>
            </w:r>
            <w:r w:rsidR="00FC1332" w:rsidRPr="00FB002F">
              <w:rPr>
                <w:rFonts w:ascii="Tahoma" w:hAnsi="Tahoma" w:cs="Tahoma"/>
                <w:sz w:val="18"/>
                <w:szCs w:val="18"/>
                <w:lang w:eastAsia="en-US"/>
              </w:rPr>
              <w:t>nes on control</w:t>
            </w:r>
            <w:r w:rsidR="00FC1332">
              <w:rPr>
                <w:rFonts w:ascii="Tahoma" w:hAnsi="Tahoma" w:cs="Tahoma"/>
                <w:sz w:val="18"/>
                <w:szCs w:val="18"/>
                <w:lang w:eastAsia="en-US"/>
              </w:rPr>
              <w:t xml:space="preserve"> of in-kind donations </w:t>
            </w:r>
            <w:r w:rsidR="00FC1332" w:rsidRPr="00FB002F">
              <w:rPr>
                <w:rFonts w:ascii="Tahoma" w:hAnsi="Tahoma" w:cs="Tahoma"/>
                <w:sz w:val="18"/>
                <w:szCs w:val="18"/>
                <w:lang w:eastAsia="en-US"/>
              </w:rPr>
              <w:t>and prevention of third-party campaigning</w:t>
            </w:r>
            <w:r w:rsidRPr="00FB002F">
              <w:rPr>
                <w:rFonts w:ascii="Tahoma" w:hAnsi="Tahoma" w:cs="Tahoma"/>
                <w:sz w:val="18"/>
                <w:szCs w:val="18"/>
                <w:lang w:eastAsia="en-US"/>
              </w:rPr>
              <w:t xml:space="preserve">”, containing: </w:t>
            </w:r>
          </w:p>
          <w:p w14:paraId="1BD482B0" w14:textId="0688A41E" w:rsidR="00FB002F" w:rsidRPr="00FB002F" w:rsidRDefault="00FB002F" w:rsidP="00FB002F">
            <w:pPr>
              <w:tabs>
                <w:tab w:val="left" w:pos="-139"/>
                <w:tab w:val="left" w:pos="255"/>
              </w:tabs>
              <w:spacing w:line="276" w:lineRule="auto"/>
              <w:jc w:val="both"/>
              <w:rPr>
                <w:rFonts w:ascii="Tahoma" w:hAnsi="Tahoma" w:cs="Tahoma"/>
                <w:sz w:val="18"/>
                <w:szCs w:val="18"/>
                <w:lang w:eastAsia="en-US"/>
              </w:rPr>
            </w:pPr>
            <w:r w:rsidRPr="00FB002F">
              <w:rPr>
                <w:rFonts w:ascii="Tahoma" w:hAnsi="Tahoma" w:cs="Tahoma"/>
                <w:sz w:val="18"/>
                <w:szCs w:val="18"/>
                <w:lang w:eastAsia="en-US"/>
              </w:rPr>
              <w:t xml:space="preserve">- </w:t>
            </w:r>
            <w:r w:rsidR="00D758D7">
              <w:rPr>
                <w:rFonts w:ascii="Tahoma" w:hAnsi="Tahoma" w:cs="Tahoma"/>
                <w:sz w:val="18"/>
                <w:szCs w:val="18"/>
                <w:lang w:eastAsia="en-US"/>
              </w:rPr>
              <w:t xml:space="preserve">an analysis </w:t>
            </w:r>
            <w:r w:rsidRPr="00FB002F">
              <w:rPr>
                <w:rFonts w:ascii="Tahoma" w:hAnsi="Tahoma" w:cs="Tahoma"/>
                <w:sz w:val="18"/>
                <w:szCs w:val="18"/>
                <w:lang w:eastAsia="en-US"/>
              </w:rPr>
              <w:t>identif</w:t>
            </w:r>
            <w:r w:rsidR="00D758D7">
              <w:rPr>
                <w:rFonts w:ascii="Tahoma" w:hAnsi="Tahoma" w:cs="Tahoma"/>
                <w:sz w:val="18"/>
                <w:szCs w:val="18"/>
                <w:lang w:eastAsia="en-US"/>
              </w:rPr>
              <w:t>ying the key</w:t>
            </w:r>
            <w:r w:rsidRPr="00FB002F">
              <w:rPr>
                <w:rFonts w:ascii="Tahoma" w:hAnsi="Tahoma" w:cs="Tahoma"/>
                <w:sz w:val="18"/>
                <w:szCs w:val="18"/>
                <w:lang w:eastAsia="en-US"/>
              </w:rPr>
              <w:t xml:space="preserve"> </w:t>
            </w:r>
            <w:r w:rsidR="0092483C">
              <w:rPr>
                <w:rFonts w:ascii="Tahoma" w:hAnsi="Tahoma" w:cs="Tahoma"/>
                <w:sz w:val="18"/>
                <w:szCs w:val="18"/>
                <w:lang w:eastAsia="en-US"/>
              </w:rPr>
              <w:t>issues the APC is facing in control of in-kind reporting and prevention of third-party campaigning</w:t>
            </w:r>
            <w:r w:rsidR="005B25C3">
              <w:rPr>
                <w:rFonts w:ascii="Tahoma" w:hAnsi="Tahoma" w:cs="Tahoma"/>
                <w:sz w:val="18"/>
                <w:szCs w:val="18"/>
                <w:lang w:eastAsia="en-US"/>
              </w:rPr>
              <w:t xml:space="preserve"> and other related risks </w:t>
            </w:r>
            <w:proofErr w:type="gramStart"/>
            <w:r w:rsidR="005B25C3">
              <w:rPr>
                <w:rFonts w:ascii="Tahoma" w:hAnsi="Tahoma" w:cs="Tahoma"/>
                <w:sz w:val="18"/>
                <w:szCs w:val="18"/>
                <w:lang w:eastAsia="en-US"/>
              </w:rPr>
              <w:t>observed</w:t>
            </w:r>
            <w:r w:rsidR="00B330EE">
              <w:rPr>
                <w:rFonts w:ascii="Tahoma" w:hAnsi="Tahoma" w:cs="Tahoma"/>
                <w:sz w:val="18"/>
                <w:szCs w:val="18"/>
                <w:lang w:eastAsia="en-US"/>
              </w:rPr>
              <w:t>;</w:t>
            </w:r>
            <w:proofErr w:type="gramEnd"/>
          </w:p>
          <w:p w14:paraId="42A658BA" w14:textId="7818DEC6" w:rsidR="00FB002F" w:rsidRDefault="00FB002F" w:rsidP="00FB002F">
            <w:pPr>
              <w:tabs>
                <w:tab w:val="left" w:pos="-139"/>
                <w:tab w:val="left" w:pos="255"/>
              </w:tabs>
              <w:spacing w:line="276" w:lineRule="auto"/>
              <w:jc w:val="both"/>
              <w:rPr>
                <w:rFonts w:ascii="Tahoma" w:hAnsi="Tahoma" w:cs="Tahoma"/>
                <w:sz w:val="18"/>
                <w:szCs w:val="18"/>
                <w:lang w:eastAsia="en-US"/>
              </w:rPr>
            </w:pPr>
            <w:r w:rsidRPr="00FB002F">
              <w:rPr>
                <w:rFonts w:ascii="Tahoma" w:hAnsi="Tahoma" w:cs="Tahoma"/>
                <w:sz w:val="18"/>
                <w:szCs w:val="18"/>
                <w:lang w:eastAsia="en-US"/>
              </w:rPr>
              <w:t xml:space="preserve">- proposed solutions for </w:t>
            </w:r>
            <w:r w:rsidR="0092483C">
              <w:rPr>
                <w:rFonts w:ascii="Tahoma" w:hAnsi="Tahoma" w:cs="Tahoma"/>
                <w:sz w:val="18"/>
                <w:szCs w:val="18"/>
                <w:lang w:eastAsia="en-US"/>
              </w:rPr>
              <w:t xml:space="preserve">identified </w:t>
            </w:r>
            <w:proofErr w:type="gramStart"/>
            <w:r w:rsidR="0092483C">
              <w:rPr>
                <w:rFonts w:ascii="Tahoma" w:hAnsi="Tahoma" w:cs="Tahoma"/>
                <w:sz w:val="18"/>
                <w:szCs w:val="18"/>
                <w:lang w:eastAsia="en-US"/>
              </w:rPr>
              <w:t>issues</w:t>
            </w:r>
            <w:r w:rsidR="00B330EE">
              <w:rPr>
                <w:rFonts w:ascii="Tahoma" w:hAnsi="Tahoma" w:cs="Tahoma"/>
                <w:sz w:val="18"/>
                <w:szCs w:val="18"/>
                <w:lang w:eastAsia="en-US"/>
              </w:rPr>
              <w:t>;</w:t>
            </w:r>
            <w:proofErr w:type="gramEnd"/>
          </w:p>
          <w:p w14:paraId="375472CF" w14:textId="6E67E130" w:rsidR="0092483C" w:rsidRPr="00FB002F" w:rsidRDefault="0092483C" w:rsidP="00FB002F">
            <w:pPr>
              <w:tabs>
                <w:tab w:val="left" w:pos="-139"/>
                <w:tab w:val="left" w:pos="255"/>
              </w:tabs>
              <w:spacing w:line="276" w:lineRule="auto"/>
              <w:jc w:val="both"/>
              <w:rPr>
                <w:rFonts w:ascii="Tahoma" w:hAnsi="Tahoma" w:cs="Tahoma"/>
                <w:sz w:val="18"/>
                <w:szCs w:val="18"/>
                <w:lang w:eastAsia="en-US"/>
              </w:rPr>
            </w:pPr>
            <w:r>
              <w:rPr>
                <w:rFonts w:ascii="Tahoma" w:hAnsi="Tahoma" w:cs="Tahoma"/>
                <w:sz w:val="18"/>
                <w:szCs w:val="18"/>
                <w:lang w:eastAsia="en-US"/>
              </w:rPr>
              <w:t xml:space="preserve">- </w:t>
            </w:r>
            <w:r w:rsidR="00B330EE">
              <w:rPr>
                <w:rFonts w:ascii="Tahoma" w:hAnsi="Tahoma" w:cs="Tahoma"/>
                <w:sz w:val="18"/>
                <w:szCs w:val="18"/>
                <w:lang w:eastAsia="en-US"/>
              </w:rPr>
              <w:t>p</w:t>
            </w:r>
            <w:r>
              <w:rPr>
                <w:rFonts w:ascii="Tahoma" w:hAnsi="Tahoma" w:cs="Tahoma"/>
                <w:sz w:val="18"/>
                <w:szCs w:val="18"/>
                <w:lang w:eastAsia="en-US"/>
              </w:rPr>
              <w:t xml:space="preserve">roposed sources </w:t>
            </w:r>
            <w:r w:rsidR="00D758D7">
              <w:rPr>
                <w:rFonts w:ascii="Tahoma" w:hAnsi="Tahoma" w:cs="Tahoma"/>
                <w:sz w:val="18"/>
                <w:szCs w:val="18"/>
                <w:lang w:eastAsia="en-US"/>
              </w:rPr>
              <w:t xml:space="preserve">or mechanisms </w:t>
            </w:r>
            <w:r>
              <w:rPr>
                <w:rFonts w:ascii="Tahoma" w:hAnsi="Tahoma" w:cs="Tahoma"/>
                <w:sz w:val="18"/>
                <w:szCs w:val="18"/>
                <w:lang w:eastAsia="en-US"/>
              </w:rPr>
              <w:t xml:space="preserve">for verification of the in-kind contribution </w:t>
            </w:r>
            <w:proofErr w:type="gramStart"/>
            <w:r>
              <w:rPr>
                <w:rFonts w:ascii="Tahoma" w:hAnsi="Tahoma" w:cs="Tahoma"/>
                <w:sz w:val="18"/>
                <w:szCs w:val="18"/>
                <w:lang w:eastAsia="en-US"/>
              </w:rPr>
              <w:t>reports</w:t>
            </w:r>
            <w:r w:rsidR="00B330EE">
              <w:rPr>
                <w:rFonts w:ascii="Tahoma" w:hAnsi="Tahoma" w:cs="Tahoma"/>
                <w:sz w:val="18"/>
                <w:szCs w:val="18"/>
                <w:lang w:eastAsia="en-US"/>
              </w:rPr>
              <w:t>;</w:t>
            </w:r>
            <w:proofErr w:type="gramEnd"/>
          </w:p>
          <w:p w14:paraId="172799E0" w14:textId="430CC34D" w:rsidR="00B330EE" w:rsidRPr="00FB002F" w:rsidRDefault="00FB002F" w:rsidP="00FB002F">
            <w:pPr>
              <w:tabs>
                <w:tab w:val="left" w:pos="-139"/>
                <w:tab w:val="left" w:pos="255"/>
              </w:tabs>
              <w:spacing w:line="276" w:lineRule="auto"/>
              <w:jc w:val="both"/>
              <w:rPr>
                <w:rFonts w:ascii="Tahoma" w:hAnsi="Tahoma" w:cs="Tahoma"/>
                <w:sz w:val="18"/>
                <w:szCs w:val="18"/>
                <w:lang w:eastAsia="en-US"/>
              </w:rPr>
            </w:pPr>
            <w:r w:rsidRPr="00FB002F">
              <w:rPr>
                <w:rFonts w:ascii="Tahoma" w:hAnsi="Tahoma" w:cs="Tahoma"/>
                <w:sz w:val="18"/>
                <w:szCs w:val="18"/>
                <w:lang w:eastAsia="en-US"/>
              </w:rPr>
              <w:lastRenderedPageBreak/>
              <w:t xml:space="preserve">- examples of international best practices </w:t>
            </w:r>
            <w:r w:rsidR="0092483C">
              <w:rPr>
                <w:rFonts w:ascii="Tahoma" w:hAnsi="Tahoma" w:cs="Tahoma"/>
                <w:sz w:val="18"/>
                <w:szCs w:val="18"/>
                <w:lang w:eastAsia="en-US"/>
              </w:rPr>
              <w:t>on</w:t>
            </w:r>
            <w:r w:rsidRPr="00FB002F">
              <w:rPr>
                <w:rFonts w:ascii="Tahoma" w:hAnsi="Tahoma" w:cs="Tahoma"/>
                <w:sz w:val="18"/>
                <w:szCs w:val="18"/>
                <w:lang w:eastAsia="en-US"/>
              </w:rPr>
              <w:t xml:space="preserve"> prevention of third-party campaigning</w:t>
            </w:r>
            <w:r w:rsidR="00B330EE">
              <w:rPr>
                <w:rFonts w:ascii="Tahoma" w:hAnsi="Tahoma" w:cs="Tahoma"/>
                <w:sz w:val="18"/>
                <w:szCs w:val="18"/>
                <w:lang w:eastAsia="en-US"/>
              </w:rPr>
              <w:t xml:space="preserve">; </w:t>
            </w:r>
            <w:r w:rsidR="00FC1332">
              <w:rPr>
                <w:rFonts w:ascii="Tahoma" w:hAnsi="Tahoma" w:cs="Tahoma"/>
                <w:sz w:val="18"/>
                <w:szCs w:val="18"/>
                <w:lang w:eastAsia="en-US"/>
              </w:rPr>
              <w:t>and</w:t>
            </w:r>
          </w:p>
          <w:p w14:paraId="578A75D1" w14:textId="63ADD18C" w:rsidR="00FB002F" w:rsidRDefault="00FB002F" w:rsidP="00FB002F">
            <w:pPr>
              <w:tabs>
                <w:tab w:val="left" w:pos="-139"/>
                <w:tab w:val="left" w:pos="255"/>
              </w:tabs>
              <w:spacing w:line="276" w:lineRule="auto"/>
              <w:jc w:val="both"/>
              <w:rPr>
                <w:rFonts w:ascii="Tahoma" w:hAnsi="Tahoma" w:cs="Tahoma"/>
                <w:sz w:val="18"/>
                <w:szCs w:val="18"/>
                <w:lang w:eastAsia="en-US"/>
              </w:rPr>
            </w:pPr>
            <w:r w:rsidRPr="00C03218">
              <w:rPr>
                <w:rFonts w:ascii="Tahoma" w:hAnsi="Tahoma" w:cs="Tahoma"/>
                <w:sz w:val="18"/>
                <w:szCs w:val="18"/>
                <w:lang w:eastAsia="en-US"/>
              </w:rPr>
              <w:t>-</w:t>
            </w:r>
            <w:r w:rsidR="00C03218" w:rsidRPr="00C03218">
              <w:rPr>
                <w:rFonts w:ascii="Tahoma" w:hAnsi="Tahoma" w:cs="Tahoma"/>
                <w:sz w:val="18"/>
                <w:szCs w:val="18"/>
                <w:lang w:eastAsia="en-US"/>
              </w:rPr>
              <w:t xml:space="preserve"> </w:t>
            </w:r>
            <w:r w:rsidRPr="00C03218">
              <w:rPr>
                <w:rFonts w:ascii="Tahoma" w:hAnsi="Tahoma" w:cs="Tahoma"/>
                <w:sz w:val="18"/>
                <w:szCs w:val="18"/>
                <w:lang w:eastAsia="en-US"/>
              </w:rPr>
              <w:t xml:space="preserve">case studies </w:t>
            </w:r>
            <w:r w:rsidR="00C03218" w:rsidRPr="00C03218">
              <w:rPr>
                <w:rFonts w:ascii="Tahoma" w:hAnsi="Tahoma" w:cs="Tahoma"/>
                <w:sz w:val="18"/>
                <w:szCs w:val="18"/>
                <w:lang w:eastAsia="en-US"/>
              </w:rPr>
              <w:t>and exercises practical exercises relating to</w:t>
            </w:r>
            <w:r w:rsidRPr="00C03218">
              <w:rPr>
                <w:rFonts w:ascii="Tahoma" w:hAnsi="Tahoma" w:cs="Tahoma"/>
                <w:sz w:val="18"/>
                <w:szCs w:val="18"/>
                <w:lang w:eastAsia="en-US"/>
              </w:rPr>
              <w:t xml:space="preserve"> third-party campaigning</w:t>
            </w:r>
            <w:r w:rsidR="0092483C" w:rsidRPr="00C03218">
              <w:rPr>
                <w:rFonts w:ascii="Tahoma" w:hAnsi="Tahoma" w:cs="Tahoma"/>
                <w:sz w:val="18"/>
                <w:szCs w:val="18"/>
                <w:lang w:eastAsia="en-US"/>
              </w:rPr>
              <w:t xml:space="preserve"> and in-kind reports</w:t>
            </w:r>
            <w:r w:rsidR="00FC1332" w:rsidRPr="00C03218">
              <w:rPr>
                <w:rFonts w:ascii="Tahoma" w:hAnsi="Tahoma" w:cs="Tahoma"/>
                <w:sz w:val="18"/>
                <w:szCs w:val="18"/>
                <w:lang w:eastAsia="en-US"/>
              </w:rPr>
              <w:t>.</w:t>
            </w:r>
          </w:p>
          <w:p w14:paraId="7D39B5B6" w14:textId="35D20F27" w:rsidR="000C2260" w:rsidRPr="000C2260" w:rsidRDefault="000C2260" w:rsidP="00FB002F">
            <w:pPr>
              <w:tabs>
                <w:tab w:val="left" w:pos="-139"/>
                <w:tab w:val="left" w:pos="255"/>
              </w:tabs>
              <w:spacing w:line="276" w:lineRule="auto"/>
              <w:jc w:val="both"/>
              <w:rPr>
                <w:rFonts w:ascii="Tahoma" w:hAnsi="Tahoma" w:cs="Tahoma"/>
                <w:sz w:val="18"/>
                <w:szCs w:val="18"/>
                <w:lang w:val="en-US" w:eastAsia="en-US"/>
              </w:rPr>
            </w:pPr>
            <w:r>
              <w:rPr>
                <w:rFonts w:ascii="Tahoma" w:hAnsi="Tahoma" w:cs="Tahoma"/>
                <w:sz w:val="18"/>
                <w:szCs w:val="18"/>
                <w:lang w:eastAsia="en-US"/>
              </w:rPr>
              <w:t>Development of the technical paper includes finalizing the paper based on the comments of beneficiaries</w:t>
            </w:r>
            <w:r w:rsidR="00D758D7">
              <w:rPr>
                <w:rFonts w:ascii="Tahoma" w:hAnsi="Tahoma" w:cs="Tahoma"/>
                <w:sz w:val="18"/>
                <w:szCs w:val="18"/>
                <w:lang w:eastAsia="en-US"/>
              </w:rPr>
              <w:t xml:space="preserve"> and the CoE secretariat</w:t>
            </w:r>
            <w:r w:rsidR="005B25C3">
              <w:rPr>
                <w:rFonts w:ascii="Tahoma" w:hAnsi="Tahoma" w:cs="Tahoma"/>
                <w:sz w:val="18"/>
                <w:szCs w:val="18"/>
                <w:lang w:eastAsia="en-US"/>
              </w:rPr>
              <w:t xml:space="preserve">. </w:t>
            </w:r>
          </w:p>
        </w:tc>
        <w:tc>
          <w:tcPr>
            <w:tcW w:w="1372" w:type="dxa"/>
            <w:tcBorders>
              <w:top w:val="nil"/>
              <w:left w:val="nil"/>
              <w:bottom w:val="single" w:sz="8" w:space="0" w:color="808080"/>
              <w:right w:val="single" w:sz="8" w:space="0" w:color="FF0000"/>
            </w:tcBorders>
            <w:vAlign w:val="center"/>
          </w:tcPr>
          <w:p w14:paraId="29FD109D" w14:textId="378A36EC" w:rsidR="00FB002F" w:rsidRPr="006E76B9" w:rsidRDefault="00323F14" w:rsidP="00FB002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lastRenderedPageBreak/>
              <w:t>22</w:t>
            </w:r>
            <w:r w:rsidR="00FB002F">
              <w:rPr>
                <w:rFonts w:ascii="Tahoma" w:hAnsi="Tahoma" w:cs="Tahoma"/>
                <w:sz w:val="18"/>
                <w:szCs w:val="18"/>
                <w:lang w:eastAsia="en-US"/>
              </w:rPr>
              <w:t>/0</w:t>
            </w:r>
            <w:r w:rsidR="002421D6">
              <w:rPr>
                <w:rFonts w:ascii="Tahoma" w:hAnsi="Tahoma" w:cs="Tahoma"/>
                <w:sz w:val="18"/>
                <w:szCs w:val="18"/>
                <w:lang w:eastAsia="en-US"/>
              </w:rPr>
              <w:t>4</w:t>
            </w:r>
            <w:r w:rsidR="00FB002F">
              <w:rPr>
                <w:rFonts w:ascii="Tahoma" w:hAnsi="Tahoma" w:cs="Tahoma"/>
                <w:sz w:val="18"/>
                <w:szCs w:val="18"/>
                <w:lang w:eastAsia="en-US"/>
              </w:rPr>
              <w:t>/2021 </w:t>
            </w:r>
          </w:p>
        </w:tc>
        <w:tc>
          <w:tcPr>
            <w:tcW w:w="1133"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C73167F" w14:textId="77777777" w:rsidR="00FB002F" w:rsidRPr="006E76B9" w:rsidRDefault="00FB002F" w:rsidP="00FB002F">
            <w:pPr>
              <w:tabs>
                <w:tab w:val="left" w:pos="-139"/>
              </w:tabs>
              <w:spacing w:line="276" w:lineRule="auto"/>
              <w:ind w:right="-140"/>
              <w:jc w:val="center"/>
              <w:rPr>
                <w:rFonts w:ascii="Tahoma" w:hAnsi="Tahoma" w:cs="Tahoma"/>
                <w:sz w:val="18"/>
                <w:szCs w:val="18"/>
                <w:lang w:eastAsia="en-US"/>
              </w:rPr>
            </w:pPr>
          </w:p>
        </w:tc>
        <w:tc>
          <w:tcPr>
            <w:tcW w:w="1365" w:type="dxa"/>
            <w:gridSpan w:val="2"/>
            <w:tcBorders>
              <w:left w:val="single" w:sz="2" w:space="0" w:color="FF0000"/>
            </w:tcBorders>
            <w:shd w:val="clear" w:color="auto" w:fill="auto"/>
            <w:vAlign w:val="center"/>
          </w:tcPr>
          <w:p w14:paraId="16330093" w14:textId="578C1489" w:rsidR="00FB002F" w:rsidRPr="006E76B9" w:rsidRDefault="000C2260" w:rsidP="00FB002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1500</w:t>
            </w:r>
          </w:p>
        </w:tc>
      </w:tr>
      <w:tr w:rsidR="00FB002F" w:rsidRPr="006E76B9" w14:paraId="65EA8AD9" w14:textId="77777777" w:rsidTr="004E5F86">
        <w:trPr>
          <w:gridAfter w:val="1"/>
          <w:wAfter w:w="9" w:type="dxa"/>
          <w:trHeight w:val="432"/>
          <w:jc w:val="center"/>
        </w:trPr>
        <w:tc>
          <w:tcPr>
            <w:tcW w:w="5847" w:type="dxa"/>
            <w:shd w:val="clear" w:color="auto" w:fill="auto"/>
            <w:vAlign w:val="center"/>
          </w:tcPr>
          <w:p w14:paraId="07C6C9D3" w14:textId="2983A54E" w:rsidR="00FB002F" w:rsidRPr="00FB002F" w:rsidRDefault="00FB002F" w:rsidP="00FB002F">
            <w:pPr>
              <w:tabs>
                <w:tab w:val="left" w:pos="-139"/>
                <w:tab w:val="left" w:pos="255"/>
              </w:tabs>
              <w:spacing w:line="276" w:lineRule="auto"/>
              <w:jc w:val="both"/>
              <w:rPr>
                <w:rFonts w:ascii="Tahoma" w:hAnsi="Tahoma" w:cs="Tahoma"/>
                <w:sz w:val="18"/>
                <w:szCs w:val="18"/>
                <w:lang w:val="en-US" w:eastAsia="en-US"/>
              </w:rPr>
            </w:pPr>
            <w:r w:rsidRPr="00FB002F">
              <w:rPr>
                <w:rFonts w:ascii="Tahoma" w:hAnsi="Tahoma" w:cs="Tahoma"/>
                <w:sz w:val="18"/>
                <w:szCs w:val="18"/>
                <w:lang w:eastAsia="en-US"/>
              </w:rPr>
              <w:t xml:space="preserve">3.  Based on the legal analysis of the relevant Articles of the Law on Financing of Political Entities and Electoral Campaign, </w:t>
            </w:r>
            <w:r w:rsidR="00FC1332">
              <w:rPr>
                <w:rFonts w:ascii="Tahoma" w:hAnsi="Tahoma" w:cs="Tahoma"/>
                <w:sz w:val="18"/>
                <w:szCs w:val="18"/>
                <w:lang w:eastAsia="en-US"/>
              </w:rPr>
              <w:t xml:space="preserve">the </w:t>
            </w:r>
            <w:r w:rsidRPr="00FB002F">
              <w:rPr>
                <w:rFonts w:ascii="Tahoma" w:hAnsi="Tahoma" w:cs="Tahoma"/>
                <w:sz w:val="18"/>
                <w:szCs w:val="18"/>
                <w:lang w:eastAsia="en-US"/>
              </w:rPr>
              <w:t>information collected by the Agency for Prevention of Corruption</w:t>
            </w:r>
            <w:r w:rsidR="00FC1332">
              <w:rPr>
                <w:rFonts w:ascii="Tahoma" w:hAnsi="Tahoma" w:cs="Tahoma"/>
                <w:sz w:val="18"/>
                <w:szCs w:val="18"/>
                <w:lang w:eastAsia="en-US"/>
              </w:rPr>
              <w:t>,</w:t>
            </w:r>
            <w:r w:rsidRPr="00FB002F">
              <w:rPr>
                <w:rFonts w:ascii="Tahoma" w:hAnsi="Tahoma" w:cs="Tahoma"/>
                <w:sz w:val="18"/>
                <w:szCs w:val="18"/>
                <w:lang w:eastAsia="en-US"/>
              </w:rPr>
              <w:t xml:space="preserve"> draft</w:t>
            </w:r>
            <w:r w:rsidR="00FC1332">
              <w:rPr>
                <w:rFonts w:ascii="Tahoma" w:hAnsi="Tahoma" w:cs="Tahoma"/>
                <w:sz w:val="18"/>
                <w:szCs w:val="18"/>
                <w:lang w:eastAsia="en-US"/>
              </w:rPr>
              <w:t xml:space="preserve"> a</w:t>
            </w:r>
            <w:r w:rsidRPr="00FB002F">
              <w:rPr>
                <w:rFonts w:ascii="Tahoma" w:hAnsi="Tahoma" w:cs="Tahoma"/>
                <w:sz w:val="18"/>
                <w:szCs w:val="18"/>
                <w:lang w:eastAsia="en-US"/>
              </w:rPr>
              <w:t xml:space="preserve"> Technical Paper “Guidelines for </w:t>
            </w:r>
            <w:r w:rsidR="00FC1332" w:rsidRPr="00FB002F">
              <w:rPr>
                <w:rFonts w:ascii="Tahoma" w:hAnsi="Tahoma" w:cs="Tahoma"/>
                <w:sz w:val="18"/>
                <w:szCs w:val="18"/>
                <w:lang w:eastAsia="en-US"/>
              </w:rPr>
              <w:t xml:space="preserve">political parties </w:t>
            </w:r>
            <w:r w:rsidRPr="00FB002F">
              <w:rPr>
                <w:rFonts w:ascii="Tahoma" w:hAnsi="Tahoma" w:cs="Tahoma"/>
                <w:sz w:val="18"/>
                <w:szCs w:val="18"/>
                <w:lang w:eastAsia="en-US"/>
              </w:rPr>
              <w:t>on reporting of in-kind donations”, containing: </w:t>
            </w:r>
          </w:p>
          <w:p w14:paraId="703951E1" w14:textId="05E84298" w:rsidR="00FB002F" w:rsidRPr="00FB002F" w:rsidRDefault="00FB002F" w:rsidP="00FB002F">
            <w:pPr>
              <w:tabs>
                <w:tab w:val="left" w:pos="-139"/>
                <w:tab w:val="left" w:pos="255"/>
              </w:tabs>
              <w:spacing w:line="276" w:lineRule="auto"/>
              <w:jc w:val="both"/>
              <w:rPr>
                <w:rFonts w:ascii="Tahoma" w:hAnsi="Tahoma" w:cs="Tahoma"/>
                <w:sz w:val="18"/>
                <w:szCs w:val="18"/>
                <w:lang w:val="en-US" w:eastAsia="en-US"/>
              </w:rPr>
            </w:pPr>
            <w:r w:rsidRPr="00FB002F">
              <w:rPr>
                <w:rFonts w:ascii="Tahoma" w:hAnsi="Tahoma" w:cs="Tahoma"/>
                <w:sz w:val="18"/>
                <w:szCs w:val="18"/>
                <w:lang w:eastAsia="en-US"/>
              </w:rPr>
              <w:t xml:space="preserve">- </w:t>
            </w:r>
            <w:r w:rsidR="005B25C3">
              <w:rPr>
                <w:rFonts w:ascii="Tahoma" w:hAnsi="Tahoma" w:cs="Tahoma"/>
                <w:sz w:val="18"/>
                <w:szCs w:val="18"/>
                <w:lang w:eastAsia="en-US"/>
              </w:rPr>
              <w:t xml:space="preserve">Guidance on the </w:t>
            </w:r>
            <w:r w:rsidRPr="00FB002F">
              <w:rPr>
                <w:rFonts w:ascii="Tahoma" w:hAnsi="Tahoma" w:cs="Tahoma"/>
                <w:sz w:val="18"/>
                <w:szCs w:val="18"/>
                <w:lang w:eastAsia="en-US"/>
              </w:rPr>
              <w:t xml:space="preserve">legal obligations on in-kind donation </w:t>
            </w:r>
            <w:proofErr w:type="gramStart"/>
            <w:r w:rsidRPr="00FB002F">
              <w:rPr>
                <w:rFonts w:ascii="Tahoma" w:hAnsi="Tahoma" w:cs="Tahoma"/>
                <w:sz w:val="18"/>
                <w:szCs w:val="18"/>
                <w:lang w:eastAsia="en-US"/>
              </w:rPr>
              <w:t>reporting</w:t>
            </w:r>
            <w:r w:rsidR="00B330EE">
              <w:rPr>
                <w:rFonts w:ascii="Tahoma" w:hAnsi="Tahoma" w:cs="Tahoma"/>
                <w:sz w:val="18"/>
                <w:szCs w:val="18"/>
                <w:lang w:eastAsia="en-US"/>
              </w:rPr>
              <w:t>;</w:t>
            </w:r>
            <w:proofErr w:type="gramEnd"/>
          </w:p>
          <w:p w14:paraId="620727B6" w14:textId="3346AB70" w:rsidR="00FB002F" w:rsidRPr="00FB002F" w:rsidRDefault="00FB002F" w:rsidP="00FB002F">
            <w:pPr>
              <w:tabs>
                <w:tab w:val="left" w:pos="-139"/>
                <w:tab w:val="left" w:pos="255"/>
              </w:tabs>
              <w:spacing w:line="276" w:lineRule="auto"/>
              <w:jc w:val="both"/>
              <w:rPr>
                <w:rFonts w:ascii="Tahoma" w:hAnsi="Tahoma" w:cs="Tahoma"/>
                <w:sz w:val="18"/>
                <w:szCs w:val="18"/>
                <w:lang w:val="en-US" w:eastAsia="en-US"/>
              </w:rPr>
            </w:pPr>
            <w:r w:rsidRPr="00FB002F">
              <w:rPr>
                <w:rFonts w:ascii="Tahoma" w:hAnsi="Tahoma" w:cs="Tahoma"/>
                <w:sz w:val="18"/>
                <w:szCs w:val="18"/>
                <w:lang w:eastAsia="en-US"/>
              </w:rPr>
              <w:t xml:space="preserve">- Identification of most common ambiguities faced by parties in reporting of in-kind </w:t>
            </w:r>
            <w:proofErr w:type="gramStart"/>
            <w:r w:rsidRPr="00FB002F">
              <w:rPr>
                <w:rFonts w:ascii="Tahoma" w:hAnsi="Tahoma" w:cs="Tahoma"/>
                <w:sz w:val="18"/>
                <w:szCs w:val="18"/>
                <w:lang w:eastAsia="en-US"/>
              </w:rPr>
              <w:t>donations</w:t>
            </w:r>
            <w:r w:rsidR="00B330EE">
              <w:rPr>
                <w:rFonts w:ascii="Tahoma" w:hAnsi="Tahoma" w:cs="Tahoma"/>
                <w:sz w:val="18"/>
                <w:szCs w:val="18"/>
                <w:lang w:eastAsia="en-US"/>
              </w:rPr>
              <w:t>;</w:t>
            </w:r>
            <w:proofErr w:type="gramEnd"/>
          </w:p>
          <w:p w14:paraId="478B5E70" w14:textId="5117BB46" w:rsidR="00FB002F" w:rsidRPr="00FB002F" w:rsidRDefault="00FB002F" w:rsidP="00FB002F">
            <w:pPr>
              <w:tabs>
                <w:tab w:val="left" w:pos="-139"/>
                <w:tab w:val="left" w:pos="255"/>
              </w:tabs>
              <w:spacing w:line="276" w:lineRule="auto"/>
              <w:jc w:val="both"/>
              <w:rPr>
                <w:rFonts w:ascii="Tahoma" w:hAnsi="Tahoma" w:cs="Tahoma"/>
                <w:sz w:val="18"/>
                <w:szCs w:val="18"/>
                <w:lang w:val="en-US" w:eastAsia="en-US"/>
              </w:rPr>
            </w:pPr>
            <w:r w:rsidRPr="00FB002F">
              <w:rPr>
                <w:rFonts w:ascii="Tahoma" w:hAnsi="Tahoma" w:cs="Tahoma"/>
                <w:sz w:val="18"/>
                <w:szCs w:val="18"/>
                <w:lang w:eastAsia="en-US"/>
              </w:rPr>
              <w:t xml:space="preserve">- </w:t>
            </w:r>
            <w:r w:rsidR="005B25C3">
              <w:rPr>
                <w:rFonts w:ascii="Tahoma" w:hAnsi="Tahoma" w:cs="Tahoma"/>
                <w:sz w:val="18"/>
                <w:szCs w:val="18"/>
                <w:lang w:eastAsia="en-US"/>
              </w:rPr>
              <w:t>B</w:t>
            </w:r>
            <w:r w:rsidRPr="00FB002F">
              <w:rPr>
                <w:rFonts w:ascii="Tahoma" w:hAnsi="Tahoma" w:cs="Tahoma"/>
                <w:sz w:val="18"/>
                <w:szCs w:val="18"/>
                <w:lang w:eastAsia="en-US"/>
              </w:rPr>
              <w:t>est international practices</w:t>
            </w:r>
            <w:r w:rsidR="005B25C3">
              <w:rPr>
                <w:rFonts w:ascii="Tahoma" w:hAnsi="Tahoma" w:cs="Tahoma"/>
                <w:sz w:val="18"/>
                <w:szCs w:val="18"/>
                <w:lang w:eastAsia="en-US"/>
              </w:rPr>
              <w:t xml:space="preserve"> for resolving such ambiguities</w:t>
            </w:r>
            <w:r w:rsidR="00FC1332">
              <w:rPr>
                <w:rFonts w:ascii="Tahoma" w:hAnsi="Tahoma" w:cs="Tahoma"/>
                <w:sz w:val="18"/>
                <w:szCs w:val="18"/>
                <w:lang w:eastAsia="en-US"/>
              </w:rPr>
              <w:t>; and</w:t>
            </w:r>
          </w:p>
          <w:p w14:paraId="48B2C90D" w14:textId="51074D0B" w:rsidR="00FB002F" w:rsidRDefault="00FB002F" w:rsidP="00FB002F">
            <w:pPr>
              <w:tabs>
                <w:tab w:val="left" w:pos="-139"/>
                <w:tab w:val="left" w:pos="255"/>
              </w:tabs>
              <w:spacing w:line="276" w:lineRule="auto"/>
              <w:jc w:val="both"/>
              <w:rPr>
                <w:rFonts w:ascii="Tahoma" w:hAnsi="Tahoma" w:cs="Tahoma"/>
                <w:sz w:val="18"/>
                <w:szCs w:val="18"/>
                <w:lang w:eastAsia="en-US"/>
              </w:rPr>
            </w:pPr>
            <w:r w:rsidRPr="00FB002F">
              <w:rPr>
                <w:rFonts w:ascii="Tahoma" w:hAnsi="Tahoma" w:cs="Tahoma"/>
                <w:sz w:val="18"/>
                <w:szCs w:val="18"/>
                <w:lang w:eastAsia="en-US"/>
              </w:rPr>
              <w:t xml:space="preserve">- Practical examples </w:t>
            </w:r>
            <w:r w:rsidR="005B25C3">
              <w:rPr>
                <w:rFonts w:ascii="Tahoma" w:hAnsi="Tahoma" w:cs="Tahoma"/>
                <w:sz w:val="18"/>
                <w:szCs w:val="18"/>
                <w:lang w:eastAsia="en-US"/>
              </w:rPr>
              <w:t>for</w:t>
            </w:r>
            <w:r w:rsidRPr="00FB002F">
              <w:rPr>
                <w:rFonts w:ascii="Tahoma" w:hAnsi="Tahoma" w:cs="Tahoma"/>
                <w:sz w:val="18"/>
                <w:szCs w:val="18"/>
                <w:lang w:eastAsia="en-US"/>
              </w:rPr>
              <w:t xml:space="preserve"> </w:t>
            </w:r>
            <w:r w:rsidR="00B330EE" w:rsidRPr="00FB002F">
              <w:rPr>
                <w:rFonts w:ascii="Tahoma" w:hAnsi="Tahoma" w:cs="Tahoma"/>
                <w:sz w:val="18"/>
                <w:szCs w:val="18"/>
                <w:lang w:eastAsia="en-US"/>
              </w:rPr>
              <w:t>in-kind</w:t>
            </w:r>
            <w:r w:rsidRPr="00FB002F">
              <w:rPr>
                <w:rFonts w:ascii="Tahoma" w:hAnsi="Tahoma" w:cs="Tahoma"/>
                <w:sz w:val="18"/>
                <w:szCs w:val="18"/>
                <w:lang w:eastAsia="en-US"/>
              </w:rPr>
              <w:t xml:space="preserve"> donations</w:t>
            </w:r>
            <w:r w:rsidR="005B25C3">
              <w:rPr>
                <w:rFonts w:ascii="Tahoma" w:hAnsi="Tahoma" w:cs="Tahoma"/>
                <w:sz w:val="18"/>
                <w:szCs w:val="18"/>
                <w:lang w:eastAsia="en-US"/>
              </w:rPr>
              <w:t xml:space="preserve"> and reporting thereof</w:t>
            </w:r>
            <w:r w:rsidR="00FC1332">
              <w:rPr>
                <w:rFonts w:ascii="Tahoma" w:hAnsi="Tahoma" w:cs="Tahoma"/>
                <w:sz w:val="18"/>
                <w:szCs w:val="18"/>
                <w:lang w:eastAsia="en-US"/>
              </w:rPr>
              <w:t>.</w:t>
            </w:r>
          </w:p>
          <w:p w14:paraId="76742FC0" w14:textId="2023808E" w:rsidR="000C2260" w:rsidRPr="00FB002F" w:rsidRDefault="000C2260" w:rsidP="00FB002F">
            <w:pPr>
              <w:tabs>
                <w:tab w:val="left" w:pos="-139"/>
                <w:tab w:val="left" w:pos="255"/>
              </w:tabs>
              <w:spacing w:line="276" w:lineRule="auto"/>
              <w:jc w:val="both"/>
              <w:rPr>
                <w:rFonts w:ascii="Tahoma" w:hAnsi="Tahoma" w:cs="Tahoma"/>
                <w:sz w:val="18"/>
                <w:szCs w:val="18"/>
                <w:lang w:val="en-US" w:eastAsia="en-US"/>
              </w:rPr>
            </w:pPr>
            <w:r>
              <w:rPr>
                <w:rFonts w:ascii="Tahoma" w:hAnsi="Tahoma" w:cs="Tahoma"/>
                <w:sz w:val="18"/>
                <w:szCs w:val="18"/>
                <w:lang w:eastAsia="en-US"/>
              </w:rPr>
              <w:t>Development of the technical paper includes finalizing the paper based on the comments of beneficiaries</w:t>
            </w:r>
            <w:r w:rsidR="005B25C3">
              <w:rPr>
                <w:rFonts w:ascii="Tahoma" w:hAnsi="Tahoma" w:cs="Tahoma"/>
                <w:sz w:val="18"/>
                <w:szCs w:val="18"/>
                <w:lang w:eastAsia="en-US"/>
              </w:rPr>
              <w:t>.</w:t>
            </w:r>
          </w:p>
          <w:p w14:paraId="324DE89A" w14:textId="3A1D0E9F" w:rsidR="00FB002F" w:rsidRPr="00FB002F" w:rsidRDefault="00FB002F" w:rsidP="00FB002F">
            <w:pPr>
              <w:tabs>
                <w:tab w:val="left" w:pos="-139"/>
                <w:tab w:val="left" w:pos="255"/>
              </w:tabs>
              <w:spacing w:line="276" w:lineRule="auto"/>
              <w:jc w:val="both"/>
              <w:rPr>
                <w:rFonts w:ascii="Tahoma" w:hAnsi="Tahoma" w:cs="Tahoma"/>
                <w:sz w:val="18"/>
                <w:szCs w:val="18"/>
                <w:lang w:val="en-US" w:eastAsia="en-US"/>
              </w:rPr>
            </w:pPr>
          </w:p>
        </w:tc>
        <w:tc>
          <w:tcPr>
            <w:tcW w:w="1372" w:type="dxa"/>
            <w:tcBorders>
              <w:top w:val="nil"/>
              <w:left w:val="nil"/>
              <w:bottom w:val="single" w:sz="8" w:space="0" w:color="808080"/>
              <w:right w:val="single" w:sz="8" w:space="0" w:color="FF0000"/>
            </w:tcBorders>
            <w:vAlign w:val="center"/>
          </w:tcPr>
          <w:p w14:paraId="71E133AF" w14:textId="11E8A8F3" w:rsidR="00FB002F" w:rsidRPr="006E76B9" w:rsidRDefault="00FB002F" w:rsidP="00FB002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w:t>
            </w:r>
            <w:r w:rsidR="00323F14">
              <w:rPr>
                <w:rFonts w:ascii="Tahoma" w:hAnsi="Tahoma" w:cs="Tahoma"/>
                <w:sz w:val="18"/>
                <w:szCs w:val="18"/>
                <w:lang w:eastAsia="en-US"/>
              </w:rPr>
              <w:t>9</w:t>
            </w:r>
            <w:r>
              <w:rPr>
                <w:rFonts w:ascii="Tahoma" w:hAnsi="Tahoma" w:cs="Tahoma"/>
                <w:sz w:val="18"/>
                <w:szCs w:val="18"/>
                <w:lang w:eastAsia="en-US"/>
              </w:rPr>
              <w:t>/0</w:t>
            </w:r>
            <w:r w:rsidR="002421D6">
              <w:rPr>
                <w:rFonts w:ascii="Tahoma" w:hAnsi="Tahoma" w:cs="Tahoma"/>
                <w:sz w:val="18"/>
                <w:szCs w:val="18"/>
                <w:lang w:eastAsia="en-US"/>
              </w:rPr>
              <w:t>4</w:t>
            </w:r>
            <w:r>
              <w:rPr>
                <w:rFonts w:ascii="Tahoma" w:hAnsi="Tahoma" w:cs="Tahoma"/>
                <w:sz w:val="18"/>
                <w:szCs w:val="18"/>
                <w:lang w:eastAsia="en-US"/>
              </w:rPr>
              <w:t>/2021 </w:t>
            </w:r>
          </w:p>
        </w:tc>
        <w:tc>
          <w:tcPr>
            <w:tcW w:w="1133"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88B54F" w14:textId="77777777" w:rsidR="00FB002F" w:rsidRPr="006E76B9" w:rsidRDefault="00FB002F" w:rsidP="00FB002F">
            <w:pPr>
              <w:tabs>
                <w:tab w:val="left" w:pos="-139"/>
              </w:tabs>
              <w:spacing w:line="276" w:lineRule="auto"/>
              <w:ind w:right="-140"/>
              <w:jc w:val="center"/>
              <w:rPr>
                <w:rFonts w:ascii="Tahoma" w:hAnsi="Tahoma" w:cs="Tahoma"/>
                <w:sz w:val="18"/>
                <w:szCs w:val="18"/>
                <w:lang w:eastAsia="en-US"/>
              </w:rPr>
            </w:pPr>
          </w:p>
        </w:tc>
        <w:tc>
          <w:tcPr>
            <w:tcW w:w="1365" w:type="dxa"/>
            <w:gridSpan w:val="2"/>
            <w:tcBorders>
              <w:left w:val="single" w:sz="2" w:space="0" w:color="FF0000"/>
            </w:tcBorders>
            <w:shd w:val="clear" w:color="auto" w:fill="auto"/>
            <w:vAlign w:val="center"/>
          </w:tcPr>
          <w:p w14:paraId="02A097C1" w14:textId="231B2D01" w:rsidR="00FB002F" w:rsidRPr="006E76B9" w:rsidRDefault="000C2260" w:rsidP="00FB002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1500</w:t>
            </w:r>
          </w:p>
        </w:tc>
      </w:tr>
      <w:tr w:rsidR="00FB002F" w:rsidRPr="006E76B9" w14:paraId="5491A5A2" w14:textId="77777777" w:rsidTr="004E5F86">
        <w:trPr>
          <w:gridAfter w:val="1"/>
          <w:wAfter w:w="9" w:type="dxa"/>
          <w:trHeight w:val="432"/>
          <w:jc w:val="center"/>
        </w:trPr>
        <w:tc>
          <w:tcPr>
            <w:tcW w:w="5847" w:type="dxa"/>
            <w:shd w:val="clear" w:color="auto" w:fill="auto"/>
            <w:vAlign w:val="center"/>
          </w:tcPr>
          <w:p w14:paraId="1E9F1172" w14:textId="18270556" w:rsidR="00FB002F" w:rsidRPr="00FB002F" w:rsidRDefault="00FB002F" w:rsidP="00FB002F">
            <w:pPr>
              <w:tabs>
                <w:tab w:val="left" w:pos="-139"/>
              </w:tabs>
              <w:spacing w:line="276" w:lineRule="auto"/>
              <w:jc w:val="both"/>
              <w:rPr>
                <w:rFonts w:ascii="Tahoma" w:hAnsi="Tahoma" w:cs="Tahoma"/>
                <w:bCs/>
                <w:sz w:val="18"/>
                <w:szCs w:val="18"/>
                <w:lang w:val="en-US" w:eastAsia="en-US"/>
              </w:rPr>
            </w:pPr>
            <w:r w:rsidRPr="00FB002F">
              <w:rPr>
                <w:rFonts w:ascii="Tahoma" w:hAnsi="Tahoma" w:cs="Tahoma"/>
                <w:bCs/>
                <w:sz w:val="18"/>
                <w:szCs w:val="18"/>
                <w:lang w:eastAsia="en-US"/>
              </w:rPr>
              <w:t xml:space="preserve">4. Travel to Montenegro on </w:t>
            </w:r>
            <w:r w:rsidR="002421D6">
              <w:rPr>
                <w:rFonts w:ascii="Tahoma" w:hAnsi="Tahoma" w:cs="Tahoma"/>
                <w:bCs/>
                <w:sz w:val="18"/>
                <w:szCs w:val="18"/>
                <w:lang w:eastAsia="en-US"/>
              </w:rPr>
              <w:t>1-2</w:t>
            </w:r>
            <w:r w:rsidRPr="00FB002F">
              <w:rPr>
                <w:rFonts w:ascii="Tahoma" w:hAnsi="Tahoma" w:cs="Tahoma"/>
                <w:bCs/>
                <w:sz w:val="18"/>
                <w:szCs w:val="18"/>
                <w:lang w:eastAsia="en-US"/>
              </w:rPr>
              <w:t xml:space="preserve"> </w:t>
            </w:r>
            <w:r w:rsidR="002421D6">
              <w:rPr>
                <w:rFonts w:ascii="Tahoma" w:hAnsi="Tahoma" w:cs="Tahoma"/>
                <w:bCs/>
                <w:sz w:val="18"/>
                <w:szCs w:val="18"/>
                <w:lang w:eastAsia="en-US"/>
              </w:rPr>
              <w:t>June</w:t>
            </w:r>
            <w:r w:rsidR="002421D6" w:rsidRPr="00FB002F">
              <w:rPr>
                <w:rFonts w:ascii="Tahoma" w:hAnsi="Tahoma" w:cs="Tahoma"/>
                <w:bCs/>
                <w:sz w:val="18"/>
                <w:szCs w:val="18"/>
                <w:lang w:eastAsia="en-US"/>
              </w:rPr>
              <w:t xml:space="preserve"> </w:t>
            </w:r>
            <w:r w:rsidRPr="00FB002F">
              <w:rPr>
                <w:rFonts w:ascii="Tahoma" w:hAnsi="Tahoma" w:cs="Tahoma"/>
                <w:bCs/>
                <w:sz w:val="18"/>
                <w:szCs w:val="18"/>
                <w:lang w:eastAsia="en-US"/>
              </w:rPr>
              <w:t xml:space="preserve">2020 and deliver the </w:t>
            </w:r>
            <w:r w:rsidR="00FC1332" w:rsidRPr="00FB002F">
              <w:rPr>
                <w:rFonts w:ascii="Tahoma" w:hAnsi="Tahoma" w:cs="Tahoma"/>
                <w:bCs/>
                <w:sz w:val="18"/>
                <w:szCs w:val="18"/>
                <w:lang w:eastAsia="en-US"/>
              </w:rPr>
              <w:t>one-day</w:t>
            </w:r>
            <w:r w:rsidRPr="00FB002F">
              <w:rPr>
                <w:rFonts w:ascii="Tahoma" w:hAnsi="Tahoma" w:cs="Tahoma"/>
                <w:bCs/>
                <w:sz w:val="18"/>
                <w:szCs w:val="18"/>
                <w:lang w:eastAsia="en-US"/>
              </w:rPr>
              <w:t xml:space="preserve"> training for the Agency for Prevention of Corruption on control and prevention of third-party campaigning, by: </w:t>
            </w:r>
          </w:p>
          <w:p w14:paraId="576D0E17" w14:textId="108DA8D0" w:rsidR="00FB002F" w:rsidRPr="00FB002F" w:rsidRDefault="00FB002F" w:rsidP="00FB002F">
            <w:pPr>
              <w:tabs>
                <w:tab w:val="left" w:pos="-139"/>
              </w:tabs>
              <w:spacing w:line="276" w:lineRule="auto"/>
              <w:jc w:val="both"/>
              <w:rPr>
                <w:rFonts w:ascii="Tahoma" w:hAnsi="Tahoma" w:cs="Tahoma"/>
                <w:bCs/>
                <w:sz w:val="18"/>
                <w:szCs w:val="18"/>
                <w:lang w:val="en-US" w:eastAsia="en-US"/>
              </w:rPr>
            </w:pPr>
            <w:r w:rsidRPr="00FB002F">
              <w:rPr>
                <w:rFonts w:ascii="Tahoma" w:hAnsi="Tahoma" w:cs="Tahoma"/>
                <w:bCs/>
                <w:sz w:val="18"/>
                <w:szCs w:val="18"/>
                <w:lang w:eastAsia="en-US"/>
              </w:rPr>
              <w:t xml:space="preserve">- delivering </w:t>
            </w:r>
            <w:proofErr w:type="gramStart"/>
            <w:r w:rsidRPr="00FB002F">
              <w:rPr>
                <w:rFonts w:ascii="Tahoma" w:hAnsi="Tahoma" w:cs="Tahoma"/>
                <w:bCs/>
                <w:sz w:val="18"/>
                <w:szCs w:val="18"/>
                <w:lang w:eastAsia="en-US"/>
              </w:rPr>
              <w:t>presentations</w:t>
            </w:r>
            <w:r w:rsidR="00FC1332">
              <w:rPr>
                <w:rFonts w:ascii="Tahoma" w:hAnsi="Tahoma" w:cs="Tahoma"/>
                <w:bCs/>
                <w:sz w:val="18"/>
                <w:szCs w:val="18"/>
                <w:lang w:eastAsia="en-US"/>
              </w:rPr>
              <w:t>;</w:t>
            </w:r>
            <w:proofErr w:type="gramEnd"/>
          </w:p>
          <w:p w14:paraId="0DC273BB" w14:textId="2591FE91" w:rsidR="00FB002F" w:rsidRPr="00FB002F" w:rsidRDefault="00FB002F" w:rsidP="00FB002F">
            <w:pPr>
              <w:tabs>
                <w:tab w:val="left" w:pos="-139"/>
              </w:tabs>
              <w:spacing w:line="276" w:lineRule="auto"/>
              <w:jc w:val="both"/>
              <w:rPr>
                <w:rFonts w:ascii="Tahoma" w:hAnsi="Tahoma" w:cs="Tahoma"/>
                <w:bCs/>
                <w:sz w:val="18"/>
                <w:szCs w:val="18"/>
                <w:lang w:val="en-US" w:eastAsia="en-US"/>
              </w:rPr>
            </w:pPr>
            <w:r w:rsidRPr="00FB002F">
              <w:rPr>
                <w:rFonts w:ascii="Tahoma" w:hAnsi="Tahoma" w:cs="Tahoma"/>
                <w:bCs/>
                <w:sz w:val="18"/>
                <w:szCs w:val="18"/>
                <w:lang w:eastAsia="en-US"/>
              </w:rPr>
              <w:t>- moderating discussions</w:t>
            </w:r>
            <w:r w:rsidR="00FC1332">
              <w:rPr>
                <w:rFonts w:ascii="Tahoma" w:hAnsi="Tahoma" w:cs="Tahoma"/>
                <w:bCs/>
                <w:sz w:val="18"/>
                <w:szCs w:val="18"/>
                <w:lang w:eastAsia="en-US"/>
              </w:rPr>
              <w:t>; and</w:t>
            </w:r>
          </w:p>
          <w:p w14:paraId="71DD8877" w14:textId="6CDFD3B2" w:rsidR="00FB002F" w:rsidRPr="006E76B9" w:rsidRDefault="00FB002F" w:rsidP="00FB002F">
            <w:pPr>
              <w:tabs>
                <w:tab w:val="left" w:pos="-139"/>
              </w:tabs>
              <w:spacing w:line="276" w:lineRule="auto"/>
              <w:jc w:val="both"/>
              <w:rPr>
                <w:rFonts w:ascii="Tahoma" w:hAnsi="Tahoma" w:cs="Tahoma"/>
                <w:sz w:val="18"/>
                <w:szCs w:val="18"/>
                <w:lang w:eastAsia="en-US"/>
              </w:rPr>
            </w:pPr>
            <w:r w:rsidRPr="00FB002F">
              <w:rPr>
                <w:rFonts w:ascii="Tahoma" w:hAnsi="Tahoma" w:cs="Tahoma"/>
                <w:bCs/>
                <w:sz w:val="18"/>
                <w:szCs w:val="18"/>
                <w:lang w:eastAsia="en-US"/>
              </w:rPr>
              <w:t>-  organising work in groups on case studies</w:t>
            </w:r>
            <w:r w:rsidR="00FC1332">
              <w:rPr>
                <w:rFonts w:ascii="Tahoma" w:hAnsi="Tahoma" w:cs="Tahoma"/>
                <w:bCs/>
                <w:sz w:val="18"/>
                <w:szCs w:val="18"/>
                <w:lang w:eastAsia="en-US"/>
              </w:rPr>
              <w:t>.</w:t>
            </w:r>
          </w:p>
        </w:tc>
        <w:tc>
          <w:tcPr>
            <w:tcW w:w="1372" w:type="dxa"/>
            <w:tcBorders>
              <w:top w:val="nil"/>
              <w:left w:val="nil"/>
              <w:bottom w:val="single" w:sz="8" w:space="0" w:color="808080"/>
              <w:right w:val="single" w:sz="8" w:space="0" w:color="FF0000"/>
            </w:tcBorders>
            <w:vAlign w:val="center"/>
          </w:tcPr>
          <w:p w14:paraId="5AC921B5" w14:textId="087EEA94" w:rsidR="00FB002F" w:rsidRPr="006E76B9" w:rsidRDefault="002421D6" w:rsidP="00FB002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w:t>
            </w:r>
            <w:r w:rsidR="00FB002F">
              <w:rPr>
                <w:rFonts w:ascii="Tahoma" w:hAnsi="Tahoma" w:cs="Tahoma"/>
                <w:sz w:val="18"/>
                <w:szCs w:val="18"/>
                <w:lang w:eastAsia="en-US"/>
              </w:rPr>
              <w:t>/0</w:t>
            </w:r>
            <w:r>
              <w:rPr>
                <w:rFonts w:ascii="Tahoma" w:hAnsi="Tahoma" w:cs="Tahoma"/>
                <w:sz w:val="18"/>
                <w:szCs w:val="18"/>
                <w:lang w:eastAsia="en-US"/>
              </w:rPr>
              <w:t>6</w:t>
            </w:r>
            <w:r w:rsidR="00FB002F">
              <w:rPr>
                <w:rFonts w:ascii="Tahoma" w:hAnsi="Tahoma" w:cs="Tahoma"/>
                <w:sz w:val="18"/>
                <w:szCs w:val="18"/>
                <w:lang w:eastAsia="en-US"/>
              </w:rPr>
              <w:t>/2021 </w:t>
            </w:r>
          </w:p>
        </w:tc>
        <w:tc>
          <w:tcPr>
            <w:tcW w:w="1133"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11F0CEB" w14:textId="77777777" w:rsidR="00FB002F" w:rsidRPr="006E76B9" w:rsidRDefault="00FB002F" w:rsidP="00FB002F">
            <w:pPr>
              <w:tabs>
                <w:tab w:val="left" w:pos="-139"/>
              </w:tabs>
              <w:spacing w:line="276" w:lineRule="auto"/>
              <w:ind w:right="-140"/>
              <w:jc w:val="center"/>
              <w:rPr>
                <w:rFonts w:ascii="Tahoma" w:hAnsi="Tahoma" w:cs="Tahoma"/>
                <w:sz w:val="18"/>
                <w:szCs w:val="18"/>
                <w:lang w:eastAsia="en-US"/>
              </w:rPr>
            </w:pPr>
          </w:p>
        </w:tc>
        <w:tc>
          <w:tcPr>
            <w:tcW w:w="1365" w:type="dxa"/>
            <w:gridSpan w:val="2"/>
            <w:tcBorders>
              <w:left w:val="single" w:sz="2" w:space="0" w:color="FF0000"/>
              <w:bottom w:val="single" w:sz="2" w:space="0" w:color="808080"/>
            </w:tcBorders>
            <w:shd w:val="clear" w:color="auto" w:fill="auto"/>
            <w:vAlign w:val="center"/>
          </w:tcPr>
          <w:p w14:paraId="4F3F905A" w14:textId="4E2CF1F4" w:rsidR="00FB002F" w:rsidRPr="006E76B9" w:rsidRDefault="00FB002F" w:rsidP="00FB002F">
            <w:pPr>
              <w:tabs>
                <w:tab w:val="left" w:pos="-139"/>
              </w:tabs>
              <w:spacing w:line="276" w:lineRule="auto"/>
              <w:ind w:right="-140"/>
              <w:jc w:val="center"/>
              <w:rPr>
                <w:rFonts w:ascii="Tahoma" w:hAnsi="Tahoma" w:cs="Tahoma"/>
                <w:sz w:val="18"/>
                <w:szCs w:val="18"/>
                <w:lang w:eastAsia="en-US"/>
              </w:rPr>
            </w:pPr>
            <w:r w:rsidRPr="006E76B9">
              <w:rPr>
                <w:rFonts w:ascii="Tahoma" w:hAnsi="Tahoma" w:cs="Tahoma"/>
                <w:sz w:val="18"/>
                <w:szCs w:val="18"/>
                <w:lang w:eastAsia="en-US"/>
              </w:rPr>
              <w:t>500</w:t>
            </w:r>
          </w:p>
        </w:tc>
      </w:tr>
      <w:tr w:rsidR="00FB002F" w:rsidRPr="006E76B9" w14:paraId="45CF00EA" w14:textId="77777777" w:rsidTr="004E5F86">
        <w:trPr>
          <w:gridAfter w:val="1"/>
          <w:wAfter w:w="9" w:type="dxa"/>
          <w:trHeight w:val="432"/>
          <w:jc w:val="center"/>
        </w:trPr>
        <w:tc>
          <w:tcPr>
            <w:tcW w:w="5847" w:type="dxa"/>
            <w:shd w:val="clear" w:color="auto" w:fill="auto"/>
            <w:vAlign w:val="center"/>
          </w:tcPr>
          <w:p w14:paraId="1F3DFCB4" w14:textId="0209B62A" w:rsidR="00FB002F" w:rsidRPr="00FB002F" w:rsidRDefault="00FB002F" w:rsidP="00FB002F">
            <w:pPr>
              <w:tabs>
                <w:tab w:val="left" w:pos="-139"/>
              </w:tabs>
              <w:spacing w:line="276" w:lineRule="auto"/>
              <w:jc w:val="both"/>
              <w:rPr>
                <w:rFonts w:ascii="Tahoma" w:hAnsi="Tahoma" w:cs="Tahoma"/>
                <w:bCs/>
                <w:sz w:val="18"/>
                <w:szCs w:val="18"/>
                <w:lang w:val="en-US" w:eastAsia="en-US"/>
              </w:rPr>
            </w:pPr>
            <w:r w:rsidRPr="00FB002F">
              <w:rPr>
                <w:rFonts w:ascii="Tahoma" w:hAnsi="Tahoma" w:cs="Tahoma"/>
                <w:bCs/>
                <w:sz w:val="18"/>
                <w:szCs w:val="18"/>
                <w:lang w:eastAsia="en-US"/>
              </w:rPr>
              <w:t xml:space="preserve">5. Travel to Montenegro on </w:t>
            </w:r>
            <w:r w:rsidR="002421D6">
              <w:rPr>
                <w:rFonts w:ascii="Tahoma" w:hAnsi="Tahoma" w:cs="Tahoma"/>
                <w:bCs/>
                <w:sz w:val="18"/>
                <w:szCs w:val="18"/>
                <w:lang w:eastAsia="en-US"/>
              </w:rPr>
              <w:t>1-2</w:t>
            </w:r>
            <w:r w:rsidR="002421D6" w:rsidRPr="002421D6">
              <w:rPr>
                <w:rFonts w:ascii="Tahoma" w:hAnsi="Tahoma" w:cs="Tahoma"/>
                <w:bCs/>
                <w:sz w:val="18"/>
                <w:szCs w:val="18"/>
                <w:lang w:eastAsia="en-US"/>
              </w:rPr>
              <w:t xml:space="preserve"> </w:t>
            </w:r>
            <w:r w:rsidR="002421D6">
              <w:rPr>
                <w:rFonts w:ascii="Tahoma" w:hAnsi="Tahoma" w:cs="Tahoma"/>
                <w:bCs/>
                <w:sz w:val="18"/>
                <w:szCs w:val="18"/>
                <w:lang w:eastAsia="en-US"/>
              </w:rPr>
              <w:t>June</w:t>
            </w:r>
            <w:r w:rsidR="002421D6" w:rsidRPr="002421D6">
              <w:rPr>
                <w:rFonts w:ascii="Tahoma" w:hAnsi="Tahoma" w:cs="Tahoma"/>
                <w:bCs/>
                <w:sz w:val="18"/>
                <w:szCs w:val="18"/>
                <w:lang w:eastAsia="en-US"/>
              </w:rPr>
              <w:t xml:space="preserve"> 2020 </w:t>
            </w:r>
            <w:r w:rsidR="00FC1332" w:rsidRPr="00FB002F">
              <w:rPr>
                <w:rFonts w:ascii="Tahoma" w:hAnsi="Tahoma" w:cs="Tahoma"/>
                <w:bCs/>
                <w:sz w:val="18"/>
                <w:szCs w:val="18"/>
                <w:lang w:eastAsia="en-US"/>
              </w:rPr>
              <w:t>and deliver</w:t>
            </w:r>
            <w:r w:rsidRPr="00FB002F">
              <w:rPr>
                <w:rFonts w:ascii="Tahoma" w:hAnsi="Tahoma" w:cs="Tahoma"/>
                <w:bCs/>
                <w:sz w:val="18"/>
                <w:szCs w:val="18"/>
                <w:lang w:eastAsia="en-US"/>
              </w:rPr>
              <w:t xml:space="preserve"> the </w:t>
            </w:r>
            <w:proofErr w:type="gramStart"/>
            <w:r w:rsidRPr="00FB002F">
              <w:rPr>
                <w:rFonts w:ascii="Tahoma" w:hAnsi="Tahoma" w:cs="Tahoma"/>
                <w:bCs/>
                <w:sz w:val="18"/>
                <w:szCs w:val="18"/>
                <w:lang w:eastAsia="en-US"/>
              </w:rPr>
              <w:t>one day</w:t>
            </w:r>
            <w:proofErr w:type="gramEnd"/>
            <w:r w:rsidRPr="00FB002F">
              <w:rPr>
                <w:rFonts w:ascii="Tahoma" w:hAnsi="Tahoma" w:cs="Tahoma"/>
                <w:bCs/>
                <w:sz w:val="18"/>
                <w:szCs w:val="18"/>
                <w:lang w:eastAsia="en-US"/>
              </w:rPr>
              <w:t xml:space="preserve"> training for political entities on reporting of in-kind contributions, by: </w:t>
            </w:r>
          </w:p>
          <w:p w14:paraId="28143FC3" w14:textId="7F5EEE89" w:rsidR="00FB002F" w:rsidRPr="00FB002F" w:rsidRDefault="00FB002F" w:rsidP="00FB002F">
            <w:pPr>
              <w:tabs>
                <w:tab w:val="left" w:pos="-139"/>
              </w:tabs>
              <w:spacing w:line="276" w:lineRule="auto"/>
              <w:jc w:val="both"/>
              <w:rPr>
                <w:rFonts w:ascii="Tahoma" w:hAnsi="Tahoma" w:cs="Tahoma"/>
                <w:bCs/>
                <w:sz w:val="18"/>
                <w:szCs w:val="18"/>
                <w:lang w:val="en-US" w:eastAsia="en-US"/>
              </w:rPr>
            </w:pPr>
            <w:r w:rsidRPr="00FB002F">
              <w:rPr>
                <w:rFonts w:ascii="Tahoma" w:hAnsi="Tahoma" w:cs="Tahoma"/>
                <w:bCs/>
                <w:sz w:val="18"/>
                <w:szCs w:val="18"/>
                <w:lang w:eastAsia="en-US"/>
              </w:rPr>
              <w:t xml:space="preserve">- delivering </w:t>
            </w:r>
            <w:proofErr w:type="gramStart"/>
            <w:r w:rsidRPr="00FB002F">
              <w:rPr>
                <w:rFonts w:ascii="Tahoma" w:hAnsi="Tahoma" w:cs="Tahoma"/>
                <w:bCs/>
                <w:sz w:val="18"/>
                <w:szCs w:val="18"/>
                <w:lang w:eastAsia="en-US"/>
              </w:rPr>
              <w:t>presentations</w:t>
            </w:r>
            <w:r w:rsidR="00FC1332">
              <w:rPr>
                <w:rFonts w:ascii="Tahoma" w:hAnsi="Tahoma" w:cs="Tahoma"/>
                <w:bCs/>
                <w:sz w:val="18"/>
                <w:szCs w:val="18"/>
                <w:lang w:eastAsia="en-US"/>
              </w:rPr>
              <w:t>;</w:t>
            </w:r>
            <w:proofErr w:type="gramEnd"/>
          </w:p>
          <w:p w14:paraId="2BDEEDED" w14:textId="77F1FD98" w:rsidR="00FB002F" w:rsidRPr="00FB002F" w:rsidRDefault="00FB002F" w:rsidP="00FB002F">
            <w:pPr>
              <w:tabs>
                <w:tab w:val="left" w:pos="-139"/>
              </w:tabs>
              <w:spacing w:line="276" w:lineRule="auto"/>
              <w:jc w:val="both"/>
              <w:rPr>
                <w:rFonts w:ascii="Tahoma" w:hAnsi="Tahoma" w:cs="Tahoma"/>
                <w:bCs/>
                <w:sz w:val="18"/>
                <w:szCs w:val="18"/>
                <w:lang w:val="en-US" w:eastAsia="en-US"/>
              </w:rPr>
            </w:pPr>
            <w:r w:rsidRPr="00FB002F">
              <w:rPr>
                <w:rFonts w:ascii="Tahoma" w:hAnsi="Tahoma" w:cs="Tahoma"/>
                <w:bCs/>
                <w:sz w:val="18"/>
                <w:szCs w:val="18"/>
                <w:lang w:eastAsia="en-US"/>
              </w:rPr>
              <w:t>- moderating discussions</w:t>
            </w:r>
            <w:r w:rsidR="00FC1332">
              <w:rPr>
                <w:rFonts w:ascii="Tahoma" w:hAnsi="Tahoma" w:cs="Tahoma"/>
                <w:bCs/>
                <w:sz w:val="18"/>
                <w:szCs w:val="18"/>
                <w:lang w:eastAsia="en-US"/>
              </w:rPr>
              <w:t>; and</w:t>
            </w:r>
          </w:p>
          <w:p w14:paraId="4684DCA9" w14:textId="199AABEE" w:rsidR="00FB002F" w:rsidRPr="006E76B9" w:rsidRDefault="00FB002F" w:rsidP="00FB002F">
            <w:pPr>
              <w:tabs>
                <w:tab w:val="left" w:pos="-139"/>
              </w:tabs>
              <w:spacing w:line="276" w:lineRule="auto"/>
              <w:jc w:val="both"/>
              <w:rPr>
                <w:rFonts w:ascii="Tahoma" w:hAnsi="Tahoma" w:cs="Tahoma"/>
                <w:bCs/>
                <w:sz w:val="18"/>
                <w:szCs w:val="18"/>
                <w:lang w:eastAsia="en-US"/>
              </w:rPr>
            </w:pPr>
            <w:r w:rsidRPr="00FB002F">
              <w:rPr>
                <w:rFonts w:ascii="Tahoma" w:hAnsi="Tahoma" w:cs="Tahoma"/>
                <w:bCs/>
                <w:sz w:val="18"/>
                <w:szCs w:val="18"/>
                <w:lang w:eastAsia="en-US"/>
              </w:rPr>
              <w:t>-  organising work in groups on practical examples</w:t>
            </w:r>
            <w:r w:rsidR="00FC1332">
              <w:rPr>
                <w:rFonts w:ascii="Tahoma" w:hAnsi="Tahoma" w:cs="Tahoma"/>
                <w:bCs/>
                <w:sz w:val="18"/>
                <w:szCs w:val="18"/>
                <w:lang w:eastAsia="en-US"/>
              </w:rPr>
              <w:t>.</w:t>
            </w:r>
          </w:p>
        </w:tc>
        <w:tc>
          <w:tcPr>
            <w:tcW w:w="1372" w:type="dxa"/>
            <w:tcBorders>
              <w:top w:val="nil"/>
              <w:left w:val="nil"/>
              <w:bottom w:val="single" w:sz="8" w:space="0" w:color="808080"/>
              <w:right w:val="single" w:sz="8" w:space="0" w:color="FF0000"/>
            </w:tcBorders>
            <w:vAlign w:val="center"/>
          </w:tcPr>
          <w:p w14:paraId="72122333" w14:textId="5302BC36" w:rsidR="00FB002F" w:rsidRPr="006E76B9" w:rsidRDefault="002421D6" w:rsidP="00FB002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w:t>
            </w:r>
            <w:r w:rsidR="00FB002F">
              <w:rPr>
                <w:rFonts w:ascii="Tahoma" w:hAnsi="Tahoma" w:cs="Tahoma"/>
                <w:sz w:val="18"/>
                <w:szCs w:val="18"/>
                <w:lang w:eastAsia="en-US"/>
              </w:rPr>
              <w:t>/0</w:t>
            </w:r>
            <w:r>
              <w:rPr>
                <w:rFonts w:ascii="Tahoma" w:hAnsi="Tahoma" w:cs="Tahoma"/>
                <w:sz w:val="18"/>
                <w:szCs w:val="18"/>
                <w:lang w:eastAsia="en-US"/>
              </w:rPr>
              <w:t>6</w:t>
            </w:r>
            <w:r w:rsidR="00FB002F">
              <w:rPr>
                <w:rFonts w:ascii="Tahoma" w:hAnsi="Tahoma" w:cs="Tahoma"/>
                <w:sz w:val="18"/>
                <w:szCs w:val="18"/>
                <w:lang w:eastAsia="en-US"/>
              </w:rPr>
              <w:t>/2021 </w:t>
            </w:r>
          </w:p>
        </w:tc>
        <w:tc>
          <w:tcPr>
            <w:tcW w:w="1133"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3CDD4A46" w14:textId="77777777" w:rsidR="00FB002F" w:rsidRPr="006E76B9" w:rsidRDefault="00FB002F" w:rsidP="00FB002F">
            <w:pPr>
              <w:tabs>
                <w:tab w:val="left" w:pos="-139"/>
              </w:tabs>
              <w:spacing w:line="276" w:lineRule="auto"/>
              <w:ind w:right="-140"/>
              <w:jc w:val="center"/>
              <w:rPr>
                <w:rFonts w:ascii="Tahoma" w:hAnsi="Tahoma" w:cs="Tahoma"/>
                <w:sz w:val="18"/>
                <w:szCs w:val="18"/>
                <w:lang w:eastAsia="en-US"/>
              </w:rPr>
            </w:pPr>
          </w:p>
        </w:tc>
        <w:tc>
          <w:tcPr>
            <w:tcW w:w="1365" w:type="dxa"/>
            <w:gridSpan w:val="2"/>
            <w:tcBorders>
              <w:left w:val="single" w:sz="2" w:space="0" w:color="FF0000"/>
              <w:bottom w:val="single" w:sz="2" w:space="0" w:color="808080"/>
            </w:tcBorders>
            <w:shd w:val="clear" w:color="auto" w:fill="auto"/>
            <w:vAlign w:val="center"/>
          </w:tcPr>
          <w:p w14:paraId="107724E4" w14:textId="27103DFE" w:rsidR="00FB002F" w:rsidRPr="006E76B9" w:rsidRDefault="000C2260" w:rsidP="00FB002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500</w:t>
            </w:r>
          </w:p>
        </w:tc>
      </w:tr>
      <w:tr w:rsidR="00E16839" w:rsidRPr="006E76B9" w14:paraId="1564909A" w14:textId="77777777" w:rsidTr="006E76B9">
        <w:trPr>
          <w:trHeight w:val="432"/>
          <w:jc w:val="center"/>
        </w:trPr>
        <w:tc>
          <w:tcPr>
            <w:tcW w:w="7228" w:type="dxa"/>
            <w:gridSpan w:val="3"/>
            <w:tcBorders>
              <w:right w:val="single" w:sz="2" w:space="0" w:color="FF0000"/>
            </w:tcBorders>
            <w:shd w:val="clear" w:color="auto" w:fill="auto"/>
            <w:vAlign w:val="center"/>
          </w:tcPr>
          <w:p w14:paraId="6F353B92" w14:textId="70B453C1" w:rsidR="00E16839" w:rsidRPr="006E76B9" w:rsidRDefault="00E16839" w:rsidP="00E16839">
            <w:pPr>
              <w:tabs>
                <w:tab w:val="left" w:pos="-139"/>
              </w:tabs>
              <w:spacing w:line="276" w:lineRule="auto"/>
              <w:jc w:val="right"/>
              <w:rPr>
                <w:rFonts w:ascii="Tahoma" w:hAnsi="Tahoma" w:cs="Tahoma"/>
                <w:sz w:val="18"/>
                <w:szCs w:val="18"/>
                <w:lang w:eastAsia="en-US"/>
              </w:rPr>
            </w:pPr>
            <w:r w:rsidRPr="006E76B9">
              <w:rPr>
                <w:rFonts w:ascii="Tahoma" w:hAnsi="Tahoma" w:cs="Tahoma"/>
                <w:sz w:val="18"/>
                <w:szCs w:val="18"/>
                <w:lang w:eastAsia="en-US"/>
              </w:rPr>
              <w:t xml:space="preserve">TOTAL </w:t>
            </w:r>
            <w:r w:rsidRPr="006E76B9">
              <w:rPr>
                <w:sz w:val="16"/>
                <w:szCs w:val="16"/>
              </w:rPr>
              <w:t>►</w:t>
            </w:r>
          </w:p>
        </w:tc>
        <w:tc>
          <w:tcPr>
            <w:tcW w:w="1133"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83B36C3" w14:textId="77777777" w:rsidR="00E16839" w:rsidRPr="006E76B9" w:rsidRDefault="00E16839" w:rsidP="00261462">
            <w:pPr>
              <w:tabs>
                <w:tab w:val="left" w:pos="-139"/>
              </w:tabs>
              <w:spacing w:line="276" w:lineRule="auto"/>
              <w:ind w:right="-140"/>
              <w:jc w:val="center"/>
              <w:rPr>
                <w:rFonts w:ascii="Tahoma" w:hAnsi="Tahoma" w:cs="Tahoma"/>
                <w:sz w:val="18"/>
                <w:szCs w:val="18"/>
                <w:lang w:eastAsia="en-US"/>
              </w:rPr>
            </w:pPr>
          </w:p>
        </w:tc>
        <w:tc>
          <w:tcPr>
            <w:tcW w:w="1365" w:type="dxa"/>
            <w:gridSpan w:val="2"/>
            <w:tcBorders>
              <w:left w:val="single" w:sz="2" w:space="0" w:color="FF0000"/>
            </w:tcBorders>
            <w:shd w:val="clear" w:color="auto" w:fill="auto"/>
            <w:vAlign w:val="center"/>
          </w:tcPr>
          <w:p w14:paraId="42B0D83E" w14:textId="5D6C4925" w:rsidR="00E16839" w:rsidRPr="006E76B9" w:rsidRDefault="008B3843" w:rsidP="00261462">
            <w:pPr>
              <w:tabs>
                <w:tab w:val="left" w:pos="-139"/>
              </w:tabs>
              <w:spacing w:line="276" w:lineRule="auto"/>
              <w:ind w:right="-140"/>
              <w:jc w:val="center"/>
              <w:rPr>
                <w:rFonts w:ascii="Tahoma" w:hAnsi="Tahoma" w:cs="Tahoma"/>
                <w:sz w:val="18"/>
                <w:szCs w:val="18"/>
                <w:lang w:eastAsia="en-US"/>
              </w:rPr>
            </w:pPr>
            <w:r w:rsidRPr="006E76B9">
              <w:rPr>
                <w:rFonts w:ascii="Tahoma" w:hAnsi="Tahoma" w:cs="Tahoma"/>
                <w:sz w:val="18"/>
                <w:szCs w:val="18"/>
                <w:lang w:eastAsia="en-US"/>
              </w:rPr>
              <w:t>4</w:t>
            </w:r>
            <w:r w:rsidR="000C2260">
              <w:rPr>
                <w:rFonts w:ascii="Tahoma" w:hAnsi="Tahoma" w:cs="Tahoma"/>
                <w:sz w:val="18"/>
                <w:szCs w:val="18"/>
                <w:lang w:eastAsia="en-US"/>
              </w:rPr>
              <w:t>5</w:t>
            </w:r>
            <w:r w:rsidRPr="006E76B9">
              <w:rPr>
                <w:rFonts w:ascii="Tahoma" w:hAnsi="Tahoma" w:cs="Tahoma"/>
                <w:sz w:val="18"/>
                <w:szCs w:val="18"/>
                <w:lang w:eastAsia="en-US"/>
              </w:rPr>
              <w:t>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469A7834" w:rsidR="00F54EF8" w:rsidRPr="00EA2362" w:rsidRDefault="00F54EF8" w:rsidP="009B2D12">
      <w:pPr>
        <w:pBdr>
          <w:bottom w:val="single" w:sz="2" w:space="1" w:color="808080"/>
        </w:pBdr>
        <w:tabs>
          <w:tab w:val="left" w:pos="284"/>
        </w:tabs>
        <w:spacing w:after="120"/>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w:lastRenderedPageBreak/>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3A71D"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sentenced by final judgment on one or more of the following charges: participation in a criminal organisation, corruption, fraud, money </w:t>
      </w:r>
      <w:proofErr w:type="gramStart"/>
      <w:r w:rsidRPr="00D0286A">
        <w:rPr>
          <w:rFonts w:ascii="Tahoma" w:hAnsi="Tahoma" w:cs="Tahoma"/>
          <w:color w:val="000000"/>
          <w:sz w:val="18"/>
          <w:szCs w:val="18"/>
        </w:rPr>
        <w:t>laundering;</w:t>
      </w:r>
      <w:proofErr w:type="gramEnd"/>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5"/>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6"/>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9FDCD" w14:textId="77777777" w:rsidR="00E40B15" w:rsidRDefault="00E40B15" w:rsidP="00D50F13">
      <w:r>
        <w:separator/>
      </w:r>
    </w:p>
  </w:endnote>
  <w:endnote w:type="continuationSeparator" w:id="0">
    <w:p w14:paraId="5A277143" w14:textId="77777777" w:rsidR="00E40B15" w:rsidRDefault="00E40B15" w:rsidP="00D50F13">
      <w:r>
        <w:continuationSeparator/>
      </w:r>
    </w:p>
  </w:endnote>
  <w:endnote w:type="continuationNotice" w:id="1">
    <w:p w14:paraId="0FD4D58C" w14:textId="77777777" w:rsidR="00E40B15" w:rsidRDefault="00E40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F96680" w:rsidRPr="00AE2D2B" w:rsidRDefault="00F96680" w:rsidP="00FC7772">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98DE0" w14:textId="77777777" w:rsidR="00E40B15" w:rsidRDefault="00E40B15" w:rsidP="00D50F13">
      <w:r>
        <w:separator/>
      </w:r>
    </w:p>
  </w:footnote>
  <w:footnote w:type="continuationSeparator" w:id="0">
    <w:p w14:paraId="113ED57C" w14:textId="77777777" w:rsidR="00E40B15" w:rsidRDefault="00E40B15" w:rsidP="00D50F13">
      <w:r>
        <w:continuationSeparator/>
      </w:r>
    </w:p>
  </w:footnote>
  <w:footnote w:type="continuationNotice" w:id="1">
    <w:p w14:paraId="767320EE" w14:textId="77777777" w:rsidR="00E40B15" w:rsidRDefault="00E40B15"/>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w:t>
      </w:r>
      <w:proofErr w:type="spellStart"/>
      <w:r w:rsidRPr="00A72D5E">
        <w:rPr>
          <w:rFonts w:ascii="Tahoma" w:hAnsi="Tahoma" w:cs="Tahoma"/>
          <w:sz w:val="16"/>
          <w:szCs w:val="16"/>
          <w:lang w:val="en-US"/>
        </w:rPr>
        <w:t>l’Europe</w:t>
      </w:r>
      <w:proofErr w:type="spellEnd"/>
      <w:r w:rsidRPr="00A72D5E">
        <w:rPr>
          <w:rFonts w:ascii="Tahoma" w:hAnsi="Tahoma" w:cs="Tahoma"/>
          <w:sz w:val="16"/>
          <w:szCs w:val="16"/>
          <w:lang w:val="en-US"/>
        </w:rPr>
        <w:t>, 67075 Strasbourg Cedex, France</w:t>
      </w:r>
    </w:p>
  </w:footnote>
  <w:footnote w:id="3">
    <w:p w14:paraId="73BAE27E" w14:textId="77777777" w:rsidR="005920E6" w:rsidRPr="006A5B4D" w:rsidRDefault="005920E6" w:rsidP="005920E6">
      <w:pPr>
        <w:pStyle w:val="FootnoteText"/>
        <w:rPr>
          <w:rFonts w:ascii="Tahoma" w:hAnsi="Tahoma" w:cs="Tahoma"/>
          <w:sz w:val="16"/>
          <w:szCs w:val="16"/>
        </w:rPr>
      </w:pPr>
      <w:r w:rsidRPr="00A72D5E">
        <w:rPr>
          <w:rStyle w:val="FootnoteReference"/>
          <w:rFonts w:ascii="Tahoma" w:hAnsi="Tahoma" w:cs="Tahoma"/>
          <w:sz w:val="16"/>
          <w:szCs w:val="16"/>
        </w:rPr>
        <w:footnoteRef/>
      </w:r>
      <w:r w:rsidRPr="00A72D5E">
        <w:rPr>
          <w:rFonts w:ascii="Tahoma" w:hAnsi="Tahoma" w:cs="Tahoma"/>
          <w:sz w:val="16"/>
          <w:szCs w:val="16"/>
        </w:rPr>
        <w:t xml:space="preserve"> CM/Del/Dec(2010)1089/11.3 appendix 9 </w:t>
      </w:r>
      <w:hyperlink r:id="rId1" w:history="1">
        <w:r w:rsidRPr="00A72D5E">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8B5"/>
    <w:multiLevelType w:val="hybridMultilevel"/>
    <w:tmpl w:val="66CAB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E1DCF"/>
    <w:multiLevelType w:val="hybridMultilevel"/>
    <w:tmpl w:val="6A92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36F6C93"/>
    <w:multiLevelType w:val="hybridMultilevel"/>
    <w:tmpl w:val="C798C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E3B09"/>
    <w:multiLevelType w:val="hybridMultilevel"/>
    <w:tmpl w:val="22102FAE"/>
    <w:lvl w:ilvl="0" w:tplc="040C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C30545"/>
    <w:multiLevelType w:val="hybridMultilevel"/>
    <w:tmpl w:val="6C36DD42"/>
    <w:lvl w:ilvl="0" w:tplc="41A02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3"/>
  </w:num>
  <w:num w:numId="4">
    <w:abstractNumId w:val="24"/>
  </w:num>
  <w:num w:numId="5">
    <w:abstractNumId w:val="2"/>
  </w:num>
  <w:num w:numId="6">
    <w:abstractNumId w:val="38"/>
  </w:num>
  <w:num w:numId="7">
    <w:abstractNumId w:val="11"/>
  </w:num>
  <w:num w:numId="8">
    <w:abstractNumId w:val="26"/>
  </w:num>
  <w:num w:numId="9">
    <w:abstractNumId w:val="21"/>
  </w:num>
  <w:num w:numId="10">
    <w:abstractNumId w:val="32"/>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29"/>
  </w:num>
  <w:num w:numId="16">
    <w:abstractNumId w:val="12"/>
  </w:num>
  <w:num w:numId="17">
    <w:abstractNumId w:val="30"/>
  </w:num>
  <w:num w:numId="18">
    <w:abstractNumId w:val="1"/>
  </w:num>
  <w:num w:numId="19">
    <w:abstractNumId w:val="15"/>
  </w:num>
  <w:num w:numId="20">
    <w:abstractNumId w:val="22"/>
  </w:num>
  <w:num w:numId="21">
    <w:abstractNumId w:val="34"/>
  </w:num>
  <w:num w:numId="22">
    <w:abstractNumId w:val="7"/>
  </w:num>
  <w:num w:numId="23">
    <w:abstractNumId w:val="33"/>
  </w:num>
  <w:num w:numId="24">
    <w:abstractNumId w:val="28"/>
  </w:num>
  <w:num w:numId="25">
    <w:abstractNumId w:val="20"/>
  </w:num>
  <w:num w:numId="26">
    <w:abstractNumId w:val="16"/>
  </w:num>
  <w:num w:numId="27">
    <w:abstractNumId w:val="4"/>
  </w:num>
  <w:num w:numId="28">
    <w:abstractNumId w:val="14"/>
  </w:num>
  <w:num w:numId="29">
    <w:abstractNumId w:val="8"/>
  </w:num>
  <w:num w:numId="30">
    <w:abstractNumId w:val="5"/>
  </w:num>
  <w:num w:numId="31">
    <w:abstractNumId w:val="31"/>
  </w:num>
  <w:num w:numId="32">
    <w:abstractNumId w:val="25"/>
  </w:num>
  <w:num w:numId="33">
    <w:abstractNumId w:val="9"/>
  </w:num>
  <w:num w:numId="34">
    <w:abstractNumId w:val="37"/>
  </w:num>
  <w:num w:numId="35">
    <w:abstractNumId w:val="10"/>
  </w:num>
  <w:num w:numId="36">
    <w:abstractNumId w:val="0"/>
  </w:num>
  <w:num w:numId="37">
    <w:abstractNumId w:val="27"/>
  </w:num>
  <w:num w:numId="38">
    <w:abstractNumId w:val="18"/>
  </w:num>
  <w:num w:numId="39">
    <w:abstractNumId w:val="23"/>
  </w:num>
  <w:num w:numId="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0DA4"/>
    <w:rsid w:val="0008377A"/>
    <w:rsid w:val="000837E6"/>
    <w:rsid w:val="00083FB5"/>
    <w:rsid w:val="000841B9"/>
    <w:rsid w:val="00084509"/>
    <w:rsid w:val="000852FE"/>
    <w:rsid w:val="00093155"/>
    <w:rsid w:val="00097820"/>
    <w:rsid w:val="000B4274"/>
    <w:rsid w:val="000C17F7"/>
    <w:rsid w:val="000C2260"/>
    <w:rsid w:val="000C3AE6"/>
    <w:rsid w:val="000C6FA6"/>
    <w:rsid w:val="000E0285"/>
    <w:rsid w:val="000E0562"/>
    <w:rsid w:val="000E08EF"/>
    <w:rsid w:val="000E2871"/>
    <w:rsid w:val="000E59DC"/>
    <w:rsid w:val="000E5DF5"/>
    <w:rsid w:val="000E5E9D"/>
    <w:rsid w:val="000F08A5"/>
    <w:rsid w:val="000F1520"/>
    <w:rsid w:val="000F18A2"/>
    <w:rsid w:val="000F3067"/>
    <w:rsid w:val="000F3487"/>
    <w:rsid w:val="000F3CB2"/>
    <w:rsid w:val="001013C9"/>
    <w:rsid w:val="00101C21"/>
    <w:rsid w:val="00106B5B"/>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421D6"/>
    <w:rsid w:val="00251355"/>
    <w:rsid w:val="00254F20"/>
    <w:rsid w:val="00255320"/>
    <w:rsid w:val="0025562E"/>
    <w:rsid w:val="00261462"/>
    <w:rsid w:val="00263963"/>
    <w:rsid w:val="00273B5A"/>
    <w:rsid w:val="00274D7C"/>
    <w:rsid w:val="002805F8"/>
    <w:rsid w:val="00280717"/>
    <w:rsid w:val="00290EAC"/>
    <w:rsid w:val="00293CBB"/>
    <w:rsid w:val="002948F1"/>
    <w:rsid w:val="002A2C42"/>
    <w:rsid w:val="002A56A1"/>
    <w:rsid w:val="002B4786"/>
    <w:rsid w:val="002C6F98"/>
    <w:rsid w:val="002D22CB"/>
    <w:rsid w:val="002D29CE"/>
    <w:rsid w:val="002D5425"/>
    <w:rsid w:val="002D5DC0"/>
    <w:rsid w:val="002E5606"/>
    <w:rsid w:val="002E5B9C"/>
    <w:rsid w:val="00300098"/>
    <w:rsid w:val="00305CCD"/>
    <w:rsid w:val="003117F0"/>
    <w:rsid w:val="003171F7"/>
    <w:rsid w:val="00320711"/>
    <w:rsid w:val="0032149F"/>
    <w:rsid w:val="00323F14"/>
    <w:rsid w:val="00327EBA"/>
    <w:rsid w:val="00332AF4"/>
    <w:rsid w:val="0034681E"/>
    <w:rsid w:val="00350F4E"/>
    <w:rsid w:val="0035108E"/>
    <w:rsid w:val="00355DF5"/>
    <w:rsid w:val="003603A8"/>
    <w:rsid w:val="003712F2"/>
    <w:rsid w:val="00373C8A"/>
    <w:rsid w:val="00376FF0"/>
    <w:rsid w:val="00377DB5"/>
    <w:rsid w:val="00386026"/>
    <w:rsid w:val="0039258A"/>
    <w:rsid w:val="00394B2C"/>
    <w:rsid w:val="003A2018"/>
    <w:rsid w:val="003A3501"/>
    <w:rsid w:val="003A4524"/>
    <w:rsid w:val="003A5AA7"/>
    <w:rsid w:val="003A5E16"/>
    <w:rsid w:val="003A7529"/>
    <w:rsid w:val="003B1C2E"/>
    <w:rsid w:val="003B2E7E"/>
    <w:rsid w:val="003B4F53"/>
    <w:rsid w:val="003B61AF"/>
    <w:rsid w:val="003C17E4"/>
    <w:rsid w:val="003C1D13"/>
    <w:rsid w:val="003E0A41"/>
    <w:rsid w:val="003E2D84"/>
    <w:rsid w:val="003E6D30"/>
    <w:rsid w:val="003E7010"/>
    <w:rsid w:val="003F2594"/>
    <w:rsid w:val="003F2836"/>
    <w:rsid w:val="003F572D"/>
    <w:rsid w:val="003F5956"/>
    <w:rsid w:val="003F7D5B"/>
    <w:rsid w:val="00411D3E"/>
    <w:rsid w:val="004121E2"/>
    <w:rsid w:val="004122A5"/>
    <w:rsid w:val="0041668A"/>
    <w:rsid w:val="00420CCA"/>
    <w:rsid w:val="00420E9A"/>
    <w:rsid w:val="004368FF"/>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54BC"/>
    <w:rsid w:val="004A7AE3"/>
    <w:rsid w:val="004B0F2D"/>
    <w:rsid w:val="004B2022"/>
    <w:rsid w:val="004B3F9D"/>
    <w:rsid w:val="004B7FE1"/>
    <w:rsid w:val="004C25EC"/>
    <w:rsid w:val="004C3551"/>
    <w:rsid w:val="004D084E"/>
    <w:rsid w:val="004E1F03"/>
    <w:rsid w:val="004E67E1"/>
    <w:rsid w:val="004E796F"/>
    <w:rsid w:val="004E7A45"/>
    <w:rsid w:val="004E7D01"/>
    <w:rsid w:val="004F6354"/>
    <w:rsid w:val="004F71A4"/>
    <w:rsid w:val="00523268"/>
    <w:rsid w:val="00523B15"/>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25C3"/>
    <w:rsid w:val="005B7F25"/>
    <w:rsid w:val="005C0BFC"/>
    <w:rsid w:val="005D5924"/>
    <w:rsid w:val="005E2710"/>
    <w:rsid w:val="005E5D75"/>
    <w:rsid w:val="005F37BF"/>
    <w:rsid w:val="00603878"/>
    <w:rsid w:val="00613313"/>
    <w:rsid w:val="006141DE"/>
    <w:rsid w:val="006232B4"/>
    <w:rsid w:val="006426F7"/>
    <w:rsid w:val="006436A1"/>
    <w:rsid w:val="00647C28"/>
    <w:rsid w:val="00647D98"/>
    <w:rsid w:val="00653BB6"/>
    <w:rsid w:val="00653FA7"/>
    <w:rsid w:val="00654D22"/>
    <w:rsid w:val="006550CA"/>
    <w:rsid w:val="006558F9"/>
    <w:rsid w:val="00660256"/>
    <w:rsid w:val="00660AB4"/>
    <w:rsid w:val="00662182"/>
    <w:rsid w:val="006717A7"/>
    <w:rsid w:val="0067529C"/>
    <w:rsid w:val="00680325"/>
    <w:rsid w:val="00681751"/>
    <w:rsid w:val="00682F97"/>
    <w:rsid w:val="00687D63"/>
    <w:rsid w:val="006912CB"/>
    <w:rsid w:val="00692DC9"/>
    <w:rsid w:val="006A1C42"/>
    <w:rsid w:val="006A456C"/>
    <w:rsid w:val="006A51F8"/>
    <w:rsid w:val="006A5B4D"/>
    <w:rsid w:val="006A7F07"/>
    <w:rsid w:val="006B0045"/>
    <w:rsid w:val="006B2D7D"/>
    <w:rsid w:val="006B71A1"/>
    <w:rsid w:val="006C7D58"/>
    <w:rsid w:val="006D00AF"/>
    <w:rsid w:val="006D3613"/>
    <w:rsid w:val="006D78F7"/>
    <w:rsid w:val="006E09FC"/>
    <w:rsid w:val="006E76B9"/>
    <w:rsid w:val="006F30F8"/>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B3E7F"/>
    <w:rsid w:val="007C267B"/>
    <w:rsid w:val="007C4BED"/>
    <w:rsid w:val="007D0BC9"/>
    <w:rsid w:val="007D3BA6"/>
    <w:rsid w:val="007D46B2"/>
    <w:rsid w:val="007E26A2"/>
    <w:rsid w:val="007F0B88"/>
    <w:rsid w:val="007F0EF3"/>
    <w:rsid w:val="007F4EF5"/>
    <w:rsid w:val="007F79F8"/>
    <w:rsid w:val="008041EC"/>
    <w:rsid w:val="00806CD2"/>
    <w:rsid w:val="00810AE5"/>
    <w:rsid w:val="00810AF2"/>
    <w:rsid w:val="00810D55"/>
    <w:rsid w:val="00812FBB"/>
    <w:rsid w:val="00823960"/>
    <w:rsid w:val="0082549E"/>
    <w:rsid w:val="00826BA5"/>
    <w:rsid w:val="0082718E"/>
    <w:rsid w:val="00832677"/>
    <w:rsid w:val="0083377F"/>
    <w:rsid w:val="00840C1E"/>
    <w:rsid w:val="008435DD"/>
    <w:rsid w:val="00844DD8"/>
    <w:rsid w:val="00845F72"/>
    <w:rsid w:val="00860FEB"/>
    <w:rsid w:val="008628C7"/>
    <w:rsid w:val="008644CF"/>
    <w:rsid w:val="008679F0"/>
    <w:rsid w:val="00873212"/>
    <w:rsid w:val="00883C2D"/>
    <w:rsid w:val="00887B2A"/>
    <w:rsid w:val="00891CAA"/>
    <w:rsid w:val="00892D73"/>
    <w:rsid w:val="00896DA8"/>
    <w:rsid w:val="008A486B"/>
    <w:rsid w:val="008B03FE"/>
    <w:rsid w:val="008B2DB7"/>
    <w:rsid w:val="008B3843"/>
    <w:rsid w:val="008B3EEE"/>
    <w:rsid w:val="008B4982"/>
    <w:rsid w:val="008B6444"/>
    <w:rsid w:val="008B6FDD"/>
    <w:rsid w:val="008D113B"/>
    <w:rsid w:val="008D11EA"/>
    <w:rsid w:val="008D3220"/>
    <w:rsid w:val="008D519F"/>
    <w:rsid w:val="008D76BA"/>
    <w:rsid w:val="008E4275"/>
    <w:rsid w:val="008E55CB"/>
    <w:rsid w:val="008F2DBD"/>
    <w:rsid w:val="008F3844"/>
    <w:rsid w:val="008F3A39"/>
    <w:rsid w:val="008F3D21"/>
    <w:rsid w:val="008F3EA2"/>
    <w:rsid w:val="00904B93"/>
    <w:rsid w:val="009058FD"/>
    <w:rsid w:val="00905C45"/>
    <w:rsid w:val="00914C3E"/>
    <w:rsid w:val="009214B5"/>
    <w:rsid w:val="009245DB"/>
    <w:rsid w:val="0092483C"/>
    <w:rsid w:val="00932425"/>
    <w:rsid w:val="009365EB"/>
    <w:rsid w:val="009461D5"/>
    <w:rsid w:val="0095095F"/>
    <w:rsid w:val="00951BB3"/>
    <w:rsid w:val="00956F45"/>
    <w:rsid w:val="00972222"/>
    <w:rsid w:val="00973EF1"/>
    <w:rsid w:val="00984F3D"/>
    <w:rsid w:val="009850D3"/>
    <w:rsid w:val="00990987"/>
    <w:rsid w:val="00992761"/>
    <w:rsid w:val="00995C0C"/>
    <w:rsid w:val="009A100B"/>
    <w:rsid w:val="009A5B27"/>
    <w:rsid w:val="009A6460"/>
    <w:rsid w:val="009B2D12"/>
    <w:rsid w:val="009B341F"/>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22F71"/>
    <w:rsid w:val="00B30098"/>
    <w:rsid w:val="00B330EE"/>
    <w:rsid w:val="00B41058"/>
    <w:rsid w:val="00B43A63"/>
    <w:rsid w:val="00B50164"/>
    <w:rsid w:val="00B50EFC"/>
    <w:rsid w:val="00B5712C"/>
    <w:rsid w:val="00B57EEC"/>
    <w:rsid w:val="00B60F30"/>
    <w:rsid w:val="00B64E3F"/>
    <w:rsid w:val="00B653B9"/>
    <w:rsid w:val="00B72357"/>
    <w:rsid w:val="00B74B45"/>
    <w:rsid w:val="00B74DC5"/>
    <w:rsid w:val="00B81636"/>
    <w:rsid w:val="00B87B96"/>
    <w:rsid w:val="00B96D6C"/>
    <w:rsid w:val="00BA0D1F"/>
    <w:rsid w:val="00BA1F2A"/>
    <w:rsid w:val="00BA355F"/>
    <w:rsid w:val="00BA535D"/>
    <w:rsid w:val="00BB11AE"/>
    <w:rsid w:val="00BB66CF"/>
    <w:rsid w:val="00BC56E5"/>
    <w:rsid w:val="00BC7984"/>
    <w:rsid w:val="00BE33D8"/>
    <w:rsid w:val="00BE43B2"/>
    <w:rsid w:val="00BE494C"/>
    <w:rsid w:val="00BE4FE4"/>
    <w:rsid w:val="00C02AAB"/>
    <w:rsid w:val="00C03218"/>
    <w:rsid w:val="00C04A32"/>
    <w:rsid w:val="00C05618"/>
    <w:rsid w:val="00C07F6F"/>
    <w:rsid w:val="00C10701"/>
    <w:rsid w:val="00C11F6F"/>
    <w:rsid w:val="00C14AF9"/>
    <w:rsid w:val="00C16967"/>
    <w:rsid w:val="00C20349"/>
    <w:rsid w:val="00C34642"/>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B698B"/>
    <w:rsid w:val="00CD061B"/>
    <w:rsid w:val="00CD0677"/>
    <w:rsid w:val="00CD22FC"/>
    <w:rsid w:val="00CD7AE3"/>
    <w:rsid w:val="00CE0F61"/>
    <w:rsid w:val="00CE4E5E"/>
    <w:rsid w:val="00CE58F8"/>
    <w:rsid w:val="00CF6538"/>
    <w:rsid w:val="00D04381"/>
    <w:rsid w:val="00D10FC0"/>
    <w:rsid w:val="00D14044"/>
    <w:rsid w:val="00D225E4"/>
    <w:rsid w:val="00D23B49"/>
    <w:rsid w:val="00D322CA"/>
    <w:rsid w:val="00D34C9B"/>
    <w:rsid w:val="00D417C2"/>
    <w:rsid w:val="00D47F70"/>
    <w:rsid w:val="00D50229"/>
    <w:rsid w:val="00D50F13"/>
    <w:rsid w:val="00D51502"/>
    <w:rsid w:val="00D52157"/>
    <w:rsid w:val="00D5513E"/>
    <w:rsid w:val="00D65C3C"/>
    <w:rsid w:val="00D73100"/>
    <w:rsid w:val="00D758D7"/>
    <w:rsid w:val="00D90F8E"/>
    <w:rsid w:val="00D949C9"/>
    <w:rsid w:val="00DC11A1"/>
    <w:rsid w:val="00DC385B"/>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0B15"/>
    <w:rsid w:val="00E44537"/>
    <w:rsid w:val="00E5000C"/>
    <w:rsid w:val="00E55F69"/>
    <w:rsid w:val="00E56FDA"/>
    <w:rsid w:val="00E57189"/>
    <w:rsid w:val="00E636DC"/>
    <w:rsid w:val="00E6686A"/>
    <w:rsid w:val="00E70C56"/>
    <w:rsid w:val="00E90DC4"/>
    <w:rsid w:val="00E9309D"/>
    <w:rsid w:val="00EA2362"/>
    <w:rsid w:val="00EB2A19"/>
    <w:rsid w:val="00EB550D"/>
    <w:rsid w:val="00EB6C90"/>
    <w:rsid w:val="00EB7D45"/>
    <w:rsid w:val="00EC3254"/>
    <w:rsid w:val="00EC72F7"/>
    <w:rsid w:val="00ED72CA"/>
    <w:rsid w:val="00EE1A66"/>
    <w:rsid w:val="00EE1D09"/>
    <w:rsid w:val="00EE7240"/>
    <w:rsid w:val="00EF66B8"/>
    <w:rsid w:val="00F03EB4"/>
    <w:rsid w:val="00F06E93"/>
    <w:rsid w:val="00F1115E"/>
    <w:rsid w:val="00F130D7"/>
    <w:rsid w:val="00F17C76"/>
    <w:rsid w:val="00F21315"/>
    <w:rsid w:val="00F25459"/>
    <w:rsid w:val="00F26952"/>
    <w:rsid w:val="00F270C4"/>
    <w:rsid w:val="00F30E47"/>
    <w:rsid w:val="00F360C4"/>
    <w:rsid w:val="00F406EC"/>
    <w:rsid w:val="00F54EF8"/>
    <w:rsid w:val="00F56682"/>
    <w:rsid w:val="00F57BB6"/>
    <w:rsid w:val="00F62704"/>
    <w:rsid w:val="00F84B26"/>
    <w:rsid w:val="00F862E9"/>
    <w:rsid w:val="00F96680"/>
    <w:rsid w:val="00F96C47"/>
    <w:rsid w:val="00FA3B2F"/>
    <w:rsid w:val="00FA6C39"/>
    <w:rsid w:val="00FA7021"/>
    <w:rsid w:val="00FA70E6"/>
    <w:rsid w:val="00FB002F"/>
    <w:rsid w:val="00FB03B1"/>
    <w:rsid w:val="00FB168A"/>
    <w:rsid w:val="00FC1332"/>
    <w:rsid w:val="00FC7772"/>
    <w:rsid w:val="00FC7A03"/>
    <w:rsid w:val="00FC7E0E"/>
    <w:rsid w:val="00FD4486"/>
    <w:rsid w:val="00FD51FF"/>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42661">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340932485">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696542299">
      <w:bodyDiv w:val="1"/>
      <w:marLeft w:val="0"/>
      <w:marRight w:val="0"/>
      <w:marTop w:val="0"/>
      <w:marBottom w:val="0"/>
      <w:divBdr>
        <w:top w:val="none" w:sz="0" w:space="0" w:color="auto"/>
        <w:left w:val="none" w:sz="0" w:space="0" w:color="auto"/>
        <w:bottom w:val="none" w:sz="0" w:space="0" w:color="auto"/>
        <w:right w:val="none" w:sz="0" w:space="0" w:color="auto"/>
      </w:divBdr>
    </w:div>
    <w:div w:id="809595233">
      <w:bodyDiv w:val="1"/>
      <w:marLeft w:val="0"/>
      <w:marRight w:val="0"/>
      <w:marTop w:val="0"/>
      <w:marBottom w:val="0"/>
      <w:divBdr>
        <w:top w:val="none" w:sz="0" w:space="0" w:color="auto"/>
        <w:left w:val="none" w:sz="0" w:space="0" w:color="auto"/>
        <w:bottom w:val="none" w:sz="0" w:space="0" w:color="auto"/>
        <w:right w:val="none" w:sz="0" w:space="0" w:color="auto"/>
      </w:divBdr>
    </w:div>
    <w:div w:id="901644882">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42121708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elic@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44DB27-7B55-4824-94CE-171C7CEA4099}">
  <ds:schemaRefs>
    <ds:schemaRef ds:uri="http://schemas.openxmlformats.org/officeDocument/2006/bibliography"/>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5694</Words>
  <Characters>32462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SELIC Ana</cp:lastModifiedBy>
  <cp:revision>4</cp:revision>
  <cp:lastPrinted>2021-03-25T15:16:00Z</cp:lastPrinted>
  <dcterms:created xsi:type="dcterms:W3CDTF">2021-03-22T14:55:00Z</dcterms:created>
  <dcterms:modified xsi:type="dcterms:W3CDTF">2021-03-25T15:39:00Z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