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197A" w14:textId="77777777" w:rsidR="00E136EF" w:rsidRPr="00553707" w:rsidRDefault="00C328DB" w:rsidP="00760AEE">
      <w:pPr>
        <w:pStyle w:val="TKMAINTITLE"/>
        <w:rPr>
          <w:lang w:val="es-ES_tradnl"/>
        </w:rPr>
      </w:pPr>
      <w:r w:rsidRPr="00553707">
        <w:rPr>
          <w:lang w:val="es-ES_tradnl"/>
        </w:rPr>
        <w:t>30</w:t>
      </w:r>
      <w:r w:rsidR="00A20520" w:rsidRPr="00553707">
        <w:rPr>
          <w:lang w:val="es-ES_tradnl"/>
        </w:rPr>
        <w:t xml:space="preserve"> </w:t>
      </w:r>
      <w:r w:rsidR="004F05CB" w:rsidRPr="00553707">
        <w:rPr>
          <w:lang w:val="es-ES_tradnl"/>
        </w:rPr>
        <w:t>-</w:t>
      </w:r>
      <w:r w:rsidR="00A20520" w:rsidRPr="00553707">
        <w:rPr>
          <w:lang w:val="es-ES_tradnl"/>
        </w:rPr>
        <w:t xml:space="preserve"> </w:t>
      </w:r>
      <w:r w:rsidR="004F05CB" w:rsidRPr="00553707">
        <w:rPr>
          <w:lang w:val="es-ES_tradnl"/>
        </w:rPr>
        <w:t xml:space="preserve">Observar las situaciones en las que los refugiados necesitan utilizar el idioma de destino </w:t>
      </w:r>
    </w:p>
    <w:p w14:paraId="36461C69" w14:textId="77777777" w:rsidR="00E136EF" w:rsidRPr="00922D3A" w:rsidRDefault="00553707" w:rsidP="00922D3A">
      <w:pPr>
        <w:pStyle w:val="TKAIM"/>
        <w:tabs>
          <w:tab w:val="clear" w:pos="709"/>
        </w:tabs>
        <w:ind w:left="1276" w:hanging="1276"/>
        <w:jc w:val="both"/>
        <w:rPr>
          <w:lang w:val="es-ES_tradnl"/>
        </w:rPr>
      </w:pPr>
      <w:r>
        <w:rPr>
          <w:lang w:val="es-ES_tradnl"/>
        </w:rPr>
        <w:t>Finalidad</w:t>
      </w:r>
      <w:r w:rsidR="00E136EF" w:rsidRPr="00553707">
        <w:rPr>
          <w:lang w:val="es-ES_tradnl"/>
        </w:rPr>
        <w:t xml:space="preserve">: </w:t>
      </w:r>
      <w:r>
        <w:rPr>
          <w:lang w:val="es-ES_tradnl"/>
        </w:rPr>
        <w:t xml:space="preserve">Ayudar a los voluntarios a </w:t>
      </w:r>
      <w:r w:rsidRPr="00922D3A">
        <w:rPr>
          <w:lang w:val="es-ES_tradnl"/>
        </w:rPr>
        <w:t xml:space="preserve">decidir </w:t>
      </w:r>
      <w:r w:rsidR="00922D3A">
        <w:rPr>
          <w:lang w:val="es-ES_tradnl"/>
        </w:rPr>
        <w:t xml:space="preserve">qué resulta más útil enseñar, identificando las situaciones en las que los refugiados utilizan, en la práctica, el idioma que están aprendiendo. </w:t>
      </w:r>
    </w:p>
    <w:p w14:paraId="3ABCBFBD" w14:textId="7BDDBF99" w:rsidR="00CB1399" w:rsidRPr="00CB1399" w:rsidRDefault="00922D3A" w:rsidP="00F32912">
      <w:pPr>
        <w:jc w:val="both"/>
        <w:rPr>
          <w:rStyle w:val="Lienhypertexte"/>
          <w:rFonts w:cs="Calibri"/>
          <w:i/>
          <w:szCs w:val="24"/>
          <w:u w:val="none"/>
        </w:rPr>
      </w:pPr>
      <w:r>
        <w:t xml:space="preserve">Si tenemos ocasión de observar las situaciones en las que los refugiados utilizan la lengua de destino, la siguiente lista nos ayudará a </w:t>
      </w:r>
      <w:r w:rsidR="00CB1399">
        <w:t xml:space="preserve">tomar </w:t>
      </w:r>
      <w:r w:rsidR="005B4BE8">
        <w:t xml:space="preserve">las correspondientes </w:t>
      </w:r>
      <w:r w:rsidR="00CB1399">
        <w:t>notas</w:t>
      </w:r>
      <w:r>
        <w:t>. Si tenemos tiempo y podemos</w:t>
      </w:r>
      <w:r w:rsidRPr="00922D3A">
        <w:t xml:space="preserve"> trabajar en equipo con otras personas, </w:t>
      </w:r>
      <w:r w:rsidR="005B4BE8">
        <w:t xml:space="preserve">cabe </w:t>
      </w:r>
      <w:r>
        <w:t xml:space="preserve">realizar una </w:t>
      </w:r>
      <w:r w:rsidRPr="00922D3A">
        <w:t xml:space="preserve">observación sistemática. También </w:t>
      </w:r>
      <w:r w:rsidR="00CB1399">
        <w:t xml:space="preserve">podemos obtener </w:t>
      </w:r>
      <w:r w:rsidR="00760AEE">
        <w:t xml:space="preserve">este tipo de información </w:t>
      </w:r>
      <w:r w:rsidR="00CB1399">
        <w:t xml:space="preserve">de manera progresiva, basándonos en nuestra </w:t>
      </w:r>
      <w:r w:rsidRPr="00922D3A">
        <w:t>experiencia y en observaciones parciales.</w:t>
      </w:r>
      <w:r w:rsidR="00CB1399">
        <w:t xml:space="preserve"> Otra </w:t>
      </w:r>
      <w:r w:rsidR="00760AEE">
        <w:t xml:space="preserve">posibilidad </w:t>
      </w:r>
      <w:r w:rsidR="00CB1399">
        <w:t xml:space="preserve">es utilizar las listas facilitadas en las herramientas </w:t>
      </w:r>
      <w:r w:rsidR="00C328DB" w:rsidRPr="00553707">
        <w:t>31</w:t>
      </w:r>
      <w:r w:rsidR="00E136EF" w:rsidRPr="00553707">
        <w:t xml:space="preserve"> </w:t>
      </w:r>
      <w:r w:rsidR="00CB1399">
        <w:t xml:space="preserve">- </w:t>
      </w:r>
      <w:hyperlink r:id="rId8" w:history="1">
        <w:r w:rsidR="00CB1399" w:rsidRPr="00F32912">
          <w:rPr>
            <w:rStyle w:val="Lienhypertexte"/>
            <w:i/>
            <w:iCs/>
            <w:u w:val="none"/>
          </w:rPr>
          <w:t>Selección de situaciones en las que centrarse en las actividades de apoyo lingüístico - lista de verificación</w:t>
        </w:r>
      </w:hyperlink>
      <w:r w:rsidR="00E136EF" w:rsidRPr="00553707">
        <w:t xml:space="preserve"> </w:t>
      </w:r>
      <w:r w:rsidR="00CB1399">
        <w:t>y</w:t>
      </w:r>
      <w:r w:rsidR="00E136EF" w:rsidRPr="00553707">
        <w:t xml:space="preserve"> </w:t>
      </w:r>
      <w:r w:rsidR="00C328DB" w:rsidRPr="00553707">
        <w:t>32</w:t>
      </w:r>
      <w:r w:rsidR="00E136EF" w:rsidRPr="00553707">
        <w:t xml:space="preserve"> </w:t>
      </w:r>
      <w:r w:rsidR="00CB1399">
        <w:t xml:space="preserve">- </w:t>
      </w:r>
      <w:hyperlink r:id="rId9" w:history="1">
        <w:r w:rsidR="00CB1399" w:rsidRPr="0070789F">
          <w:rPr>
            <w:rStyle w:val="Lienhypertexte"/>
            <w:rFonts w:cs="Calibri"/>
            <w:i/>
            <w:u w:val="none"/>
          </w:rPr>
          <w:t>Selección de funciones comunicativas útiles para los principiantes - lista de verificación</w:t>
        </w:r>
      </w:hyperlink>
      <w:r w:rsidR="00CB1399">
        <w:t xml:space="preserve">. Independientemente de cómo se recabe la información, esta servirá </w:t>
      </w:r>
      <w:r w:rsidR="00760AEE">
        <w:t>para complementar</w:t>
      </w:r>
      <w:r w:rsidR="00CB1399">
        <w:t xml:space="preserve"> la </w:t>
      </w:r>
      <w:r w:rsidR="005B4BE8">
        <w:t xml:space="preserve">que </w:t>
      </w:r>
      <w:r w:rsidR="00CB1399">
        <w:t>obten</w:t>
      </w:r>
      <w:r w:rsidR="005B4BE8">
        <w:t>gamos</w:t>
      </w:r>
      <w:r w:rsidR="00CB1399">
        <w:t xml:space="preserve"> de los propios refugiados </w:t>
      </w:r>
      <w:r w:rsidR="00760AEE">
        <w:t>mediante</w:t>
      </w:r>
      <w:r w:rsidR="005B4BE8">
        <w:t xml:space="preserve"> </w:t>
      </w:r>
      <w:r w:rsidR="00CB1399">
        <w:t xml:space="preserve">herramientas </w:t>
      </w:r>
      <w:r w:rsidR="005B4BE8">
        <w:t xml:space="preserve">como la </w:t>
      </w:r>
      <w:r w:rsidR="00E136EF" w:rsidRPr="00553707">
        <w:t>2</w:t>
      </w:r>
      <w:r w:rsidR="005D2044" w:rsidRPr="00553707">
        <w:t xml:space="preserve">8 </w:t>
      </w:r>
      <w:r w:rsidR="00CB1399">
        <w:t xml:space="preserve">- </w:t>
      </w:r>
      <w:hyperlink r:id="rId10" w:history="1">
        <w:r w:rsidR="00CB1399" w:rsidRPr="0070789F">
          <w:rPr>
            <w:rStyle w:val="Lienhypertexte"/>
            <w:rFonts w:cs="Calibri"/>
            <w:i/>
            <w:u w:val="none"/>
          </w:rPr>
          <w:t xml:space="preserve">Averiguar más cosas sobre las capacidades y los recursos lingüísticos </w:t>
        </w:r>
        <w:r w:rsidR="00760AEE" w:rsidRPr="0070789F">
          <w:rPr>
            <w:rStyle w:val="Lienhypertexte"/>
            <w:rFonts w:cs="Calibri"/>
            <w:i/>
            <w:u w:val="none"/>
          </w:rPr>
          <w:t>de que ya disponen</w:t>
        </w:r>
        <w:r w:rsidR="00CB1399" w:rsidRPr="0070789F">
          <w:rPr>
            <w:rStyle w:val="Lienhypertexte"/>
            <w:rFonts w:cs="Calibri"/>
            <w:i/>
            <w:u w:val="none"/>
          </w:rPr>
          <w:t xml:space="preserve"> los refugiados</w:t>
        </w:r>
      </w:hyperlink>
      <w:r w:rsidR="00CB1399" w:rsidRPr="00553707">
        <w:t xml:space="preserve"> </w:t>
      </w:r>
      <w:r w:rsidR="00CB1399">
        <w:t>y</w:t>
      </w:r>
      <w:r w:rsidR="00E136EF" w:rsidRPr="00553707">
        <w:t xml:space="preserve"> </w:t>
      </w:r>
      <w:r w:rsidR="005B4BE8">
        <w:t xml:space="preserve">la </w:t>
      </w:r>
      <w:r w:rsidR="00E136EF" w:rsidRPr="00553707">
        <w:t>2</w:t>
      </w:r>
      <w:r w:rsidR="00C328DB" w:rsidRPr="00553707">
        <w:t>9</w:t>
      </w:r>
      <w:r w:rsidR="005D2044" w:rsidRPr="00553707">
        <w:t xml:space="preserve"> </w:t>
      </w:r>
      <w:r w:rsidR="00CB1399">
        <w:t xml:space="preserve">- </w:t>
      </w:r>
      <w:hyperlink r:id="rId11" w:history="1">
        <w:r w:rsidR="00CB1399" w:rsidRPr="0070789F">
          <w:rPr>
            <w:rStyle w:val="Lienhypertexte"/>
            <w:rFonts w:cs="Calibri"/>
            <w:i/>
            <w:szCs w:val="24"/>
            <w:u w:val="none"/>
          </w:rPr>
          <w:t>¿Qué es más importante aprender? El punto de vista de los refugiados</w:t>
        </w:r>
      </w:hyperlink>
      <w:r w:rsidR="00CB1399">
        <w:rPr>
          <w:rStyle w:val="Lienhypertexte"/>
          <w:rFonts w:cs="Calibri"/>
          <w:i/>
          <w:szCs w:val="24"/>
          <w:u w:val="none"/>
        </w:rPr>
        <w:t>.</w:t>
      </w:r>
    </w:p>
    <w:p w14:paraId="76147618" w14:textId="77777777" w:rsidR="00E136EF" w:rsidRPr="00553707" w:rsidRDefault="00553707" w:rsidP="001B79E6">
      <w:pPr>
        <w:pStyle w:val="TKTITRE1"/>
        <w:rPr>
          <w:lang w:val="es-ES_tradnl"/>
        </w:rPr>
      </w:pPr>
      <w:r>
        <w:rPr>
          <w:lang w:val="es-ES_tradnl"/>
        </w:rPr>
        <w:t>¿Con quién hablan los refugiados?</w:t>
      </w:r>
    </w:p>
    <w:p w14:paraId="0A037F04" w14:textId="77777777" w:rsidR="00E136EF" w:rsidRPr="00553707" w:rsidRDefault="00553707" w:rsidP="001B79E6">
      <w:pPr>
        <w:pStyle w:val="TKBulletLevel1"/>
        <w:rPr>
          <w:lang w:val="es-ES_tradnl"/>
        </w:rPr>
      </w:pPr>
      <w:r>
        <w:rPr>
          <w:lang w:val="es-ES_tradnl"/>
        </w:rPr>
        <w:t xml:space="preserve">Con otros refugiados que hablan el mismo idioma. </w:t>
      </w:r>
    </w:p>
    <w:p w14:paraId="432C7F84" w14:textId="77777777" w:rsidR="00E136EF" w:rsidRPr="00553707" w:rsidRDefault="00553707" w:rsidP="001B79E6">
      <w:pPr>
        <w:pStyle w:val="TKBulletLevel1"/>
        <w:rPr>
          <w:lang w:val="es-ES_tradnl"/>
        </w:rPr>
      </w:pPr>
      <w:r>
        <w:rPr>
          <w:lang w:val="es-ES_tradnl"/>
        </w:rPr>
        <w:t>Con refugiados que hablan otros idiomas</w:t>
      </w:r>
      <w:r w:rsidR="001B79E6" w:rsidRPr="00553707">
        <w:rPr>
          <w:lang w:val="es-ES_tradnl"/>
        </w:rPr>
        <w:t>.</w:t>
      </w:r>
    </w:p>
    <w:p w14:paraId="1D24B43C" w14:textId="77777777" w:rsidR="00E136EF" w:rsidRPr="00553707" w:rsidRDefault="00553707" w:rsidP="001B79E6">
      <w:pPr>
        <w:pStyle w:val="TKBulletLevel1"/>
        <w:rPr>
          <w:lang w:val="es-ES_tradnl"/>
        </w:rPr>
      </w:pPr>
      <w:r>
        <w:rPr>
          <w:lang w:val="es-ES_tradnl"/>
        </w:rPr>
        <w:t>Con los voluntarios</w:t>
      </w:r>
      <w:r w:rsidR="001B79E6" w:rsidRPr="00553707">
        <w:rPr>
          <w:lang w:val="es-ES_tradnl"/>
        </w:rPr>
        <w:t>.</w:t>
      </w:r>
    </w:p>
    <w:p w14:paraId="24232E00" w14:textId="77777777" w:rsidR="00E136EF" w:rsidRPr="00553707" w:rsidRDefault="00553707" w:rsidP="001B79E6">
      <w:pPr>
        <w:pStyle w:val="TKBulletLevel1"/>
        <w:rPr>
          <w:lang w:val="es-ES_tradnl"/>
        </w:rPr>
      </w:pPr>
      <w:r>
        <w:rPr>
          <w:lang w:val="es-ES_tradnl"/>
        </w:rPr>
        <w:t>Con el personal sanitario.</w:t>
      </w:r>
    </w:p>
    <w:p w14:paraId="74A8856C" w14:textId="77777777" w:rsidR="00553707" w:rsidRDefault="00553707" w:rsidP="001B79E6">
      <w:pPr>
        <w:pStyle w:val="TKBulletLevel1"/>
        <w:rPr>
          <w:lang w:val="es-ES_tradnl"/>
        </w:rPr>
      </w:pPr>
      <w:r>
        <w:rPr>
          <w:lang w:val="es-ES_tradnl"/>
        </w:rPr>
        <w:t>Con asesores jurídicos.</w:t>
      </w:r>
    </w:p>
    <w:p w14:paraId="00136EC2" w14:textId="77777777" w:rsidR="00E136EF" w:rsidRPr="00553707" w:rsidRDefault="00553707" w:rsidP="00760AEE">
      <w:pPr>
        <w:pStyle w:val="TKBulletLevel1"/>
        <w:jc w:val="both"/>
        <w:rPr>
          <w:lang w:val="es-ES_tradnl"/>
        </w:rPr>
      </w:pPr>
      <w:r>
        <w:rPr>
          <w:lang w:val="es-ES_tradnl"/>
        </w:rPr>
        <w:t>Con las autoridades administrativas (agentes de control fronterizo, policía, personal de seguridad, etc.)</w:t>
      </w:r>
      <w:r w:rsidR="001B79E6" w:rsidRPr="00553707">
        <w:rPr>
          <w:lang w:val="es-ES_tradnl"/>
        </w:rPr>
        <w:t>.</w:t>
      </w:r>
    </w:p>
    <w:p w14:paraId="048CB8F6" w14:textId="77777777" w:rsidR="00E136EF" w:rsidRPr="00553707" w:rsidRDefault="00760AEE" w:rsidP="00760AEE">
      <w:pPr>
        <w:pStyle w:val="TKBulletLevel1"/>
        <w:jc w:val="both"/>
        <w:rPr>
          <w:lang w:val="es-ES_tradnl"/>
        </w:rPr>
      </w:pPr>
      <w:r>
        <w:rPr>
          <w:lang w:val="es-ES_tradnl"/>
        </w:rPr>
        <w:t>Con f</w:t>
      </w:r>
      <w:r w:rsidR="00553707">
        <w:rPr>
          <w:lang w:val="es-ES_tradnl"/>
        </w:rPr>
        <w:t>uncionarios públicos</w:t>
      </w:r>
      <w:r w:rsidR="00E136EF" w:rsidRPr="00553707">
        <w:rPr>
          <w:lang w:val="es-ES_tradnl"/>
        </w:rPr>
        <w:t xml:space="preserve"> (</w:t>
      </w:r>
      <w:r w:rsidR="00553707">
        <w:rPr>
          <w:lang w:val="es-ES_tradnl"/>
        </w:rPr>
        <w:t>servicios sociales, asistencia en materia de vivienda, otras administraciones, …).</w:t>
      </w:r>
    </w:p>
    <w:p w14:paraId="25A0567D" w14:textId="77777777" w:rsidR="00E136EF" w:rsidRPr="00553707" w:rsidRDefault="00553707" w:rsidP="001B79E6">
      <w:pPr>
        <w:pStyle w:val="TKBulletLevel1"/>
        <w:rPr>
          <w:lang w:val="es-ES_tradnl"/>
        </w:rPr>
      </w:pPr>
      <w:r>
        <w:rPr>
          <w:lang w:val="es-ES_tradnl"/>
        </w:rPr>
        <w:t>Con profesores</w:t>
      </w:r>
      <w:r w:rsidR="001B79E6" w:rsidRPr="00553707">
        <w:rPr>
          <w:lang w:val="es-ES_tradnl"/>
        </w:rPr>
        <w:t>.</w:t>
      </w:r>
    </w:p>
    <w:p w14:paraId="1322C57C" w14:textId="77777777" w:rsidR="00E136EF" w:rsidRPr="00553707" w:rsidRDefault="00760AEE" w:rsidP="001B79E6">
      <w:pPr>
        <w:pStyle w:val="TKBulletLevel1"/>
        <w:rPr>
          <w:lang w:val="es-ES_tradnl"/>
        </w:rPr>
      </w:pPr>
      <w:r>
        <w:rPr>
          <w:lang w:val="es-ES_tradnl"/>
        </w:rPr>
        <w:t>Con clérigos.</w:t>
      </w:r>
    </w:p>
    <w:p w14:paraId="37FEDFAB" w14:textId="77777777" w:rsidR="00E136EF" w:rsidRPr="00553707" w:rsidRDefault="00553707" w:rsidP="001B79E6">
      <w:pPr>
        <w:pStyle w:val="TKBulletLevel1"/>
        <w:rPr>
          <w:lang w:val="es-ES_tradnl"/>
        </w:rPr>
      </w:pPr>
      <w:r>
        <w:rPr>
          <w:lang w:val="es-ES_tradnl"/>
        </w:rPr>
        <w:t xml:space="preserve">Con la población local (en general). </w:t>
      </w:r>
    </w:p>
    <w:p w14:paraId="47D770BF" w14:textId="77777777" w:rsidR="00E136EF" w:rsidRPr="00553707" w:rsidRDefault="00760AEE" w:rsidP="001B79E6">
      <w:pPr>
        <w:pStyle w:val="TKBulletLevel1"/>
        <w:rPr>
          <w:lang w:val="es-ES_tradnl"/>
        </w:rPr>
      </w:pPr>
      <w:r>
        <w:rPr>
          <w:lang w:val="es-ES_tradnl"/>
        </w:rPr>
        <w:t xml:space="preserve">Con </w:t>
      </w:r>
      <w:r w:rsidR="00553707">
        <w:rPr>
          <w:lang w:val="es-ES_tradnl"/>
        </w:rPr>
        <w:t>vecinos</w:t>
      </w:r>
      <w:r w:rsidR="001B79E6" w:rsidRPr="00553707">
        <w:rPr>
          <w:lang w:val="es-ES_tradnl"/>
        </w:rPr>
        <w:t>.</w:t>
      </w:r>
    </w:p>
    <w:p w14:paraId="2F0D301F" w14:textId="77777777" w:rsidR="00E136EF" w:rsidRPr="00553707" w:rsidRDefault="00553707" w:rsidP="001B79E6">
      <w:pPr>
        <w:pStyle w:val="TKBulletLevel1"/>
        <w:rPr>
          <w:lang w:val="es-ES_tradnl"/>
        </w:rPr>
      </w:pPr>
      <w:r>
        <w:rPr>
          <w:lang w:val="es-ES_tradnl"/>
        </w:rPr>
        <w:t>Con comerciantes.</w:t>
      </w:r>
    </w:p>
    <w:p w14:paraId="27FBDBD9" w14:textId="77777777" w:rsidR="00E136EF" w:rsidRPr="00553707" w:rsidRDefault="00E136EF" w:rsidP="001B79E6">
      <w:pPr>
        <w:pStyle w:val="TKBulletLevel1"/>
        <w:rPr>
          <w:lang w:val="es-ES_tradnl"/>
        </w:rPr>
      </w:pPr>
      <w:r w:rsidRPr="00553707">
        <w:rPr>
          <w:lang w:val="es-ES_tradnl"/>
        </w:rPr>
        <w:t>[…]</w:t>
      </w:r>
    </w:p>
    <w:p w14:paraId="042DCB5C" w14:textId="77777777" w:rsidR="00E136EF" w:rsidRPr="00553707" w:rsidRDefault="00553707" w:rsidP="00AE2FB9">
      <w:pPr>
        <w:pStyle w:val="TKTITRE1"/>
        <w:rPr>
          <w:lang w:val="es-ES_tradnl"/>
        </w:rPr>
      </w:pPr>
      <w:r>
        <w:rPr>
          <w:lang w:val="es-ES_tradnl"/>
        </w:rPr>
        <w:t>Tratemos de determinar:</w:t>
      </w:r>
    </w:p>
    <w:p w14:paraId="6BDF2C63" w14:textId="77777777" w:rsidR="00E136EF" w:rsidRPr="00553707" w:rsidRDefault="00553707" w:rsidP="00AE2FB9">
      <w:pPr>
        <w:pStyle w:val="TKBulletLevel1"/>
        <w:rPr>
          <w:lang w:val="es-ES_tradnl"/>
        </w:rPr>
      </w:pPr>
      <w:r>
        <w:rPr>
          <w:lang w:val="es-ES_tradnl"/>
        </w:rPr>
        <w:t xml:space="preserve">Qué situaciones se producen con </w:t>
      </w:r>
      <w:r w:rsidR="005B4BE8">
        <w:rPr>
          <w:lang w:val="es-ES_tradnl"/>
        </w:rPr>
        <w:t xml:space="preserve">más </w:t>
      </w:r>
      <w:r>
        <w:rPr>
          <w:lang w:val="es-ES_tradnl"/>
        </w:rPr>
        <w:t>frecuencia.</w:t>
      </w:r>
    </w:p>
    <w:p w14:paraId="6BB6B2FF" w14:textId="77777777" w:rsidR="00E136EF" w:rsidRPr="00553707" w:rsidRDefault="00553707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Qué conversaciones </w:t>
      </w:r>
      <w:r w:rsidR="005B4BE8">
        <w:rPr>
          <w:lang w:val="es-ES_tradnl"/>
        </w:rPr>
        <w:t xml:space="preserve">tienen </w:t>
      </w:r>
      <w:r>
        <w:rPr>
          <w:lang w:val="es-ES_tradnl"/>
        </w:rPr>
        <w:t>lugar normalmente con ayuda de un intérprete o de alguien que conozca un idioma que los refugiados también entiendan.</w:t>
      </w:r>
    </w:p>
    <w:p w14:paraId="5AFDC32B" w14:textId="77777777" w:rsidR="00553707" w:rsidRDefault="00553707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lastRenderedPageBreak/>
        <w:t xml:space="preserve">Qué conversaciones consideran los refugiados </w:t>
      </w:r>
      <w:r w:rsidR="00BF6AB6">
        <w:rPr>
          <w:lang w:val="es-ES_tradnl"/>
        </w:rPr>
        <w:t xml:space="preserve">que son </w:t>
      </w:r>
      <w:r w:rsidRPr="00553707">
        <w:rPr>
          <w:lang w:val="es-ES_tradnl"/>
        </w:rPr>
        <w:t xml:space="preserve">entre </w:t>
      </w:r>
      <w:r>
        <w:rPr>
          <w:lang w:val="es-ES_tradnl"/>
        </w:rPr>
        <w:t xml:space="preserve">iguales, y cuáles no </w:t>
      </w:r>
      <w:r w:rsidRPr="00553707">
        <w:rPr>
          <w:lang w:val="es-ES_tradnl"/>
        </w:rPr>
        <w:t>(por ejemplo, entre un funcionario y un refugiado, o entre un adulto y un niño).</w:t>
      </w:r>
    </w:p>
    <w:p w14:paraId="54351D10" w14:textId="77777777" w:rsidR="00E136EF" w:rsidRPr="00553707" w:rsidRDefault="00553707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Qué conversaciones </w:t>
      </w:r>
      <w:r w:rsidR="00760AEE">
        <w:rPr>
          <w:lang w:val="es-ES_tradnl"/>
        </w:rPr>
        <w:t>les generan inquietud.</w:t>
      </w:r>
    </w:p>
    <w:p w14:paraId="14A8E3DA" w14:textId="77777777" w:rsidR="00922D3A" w:rsidRDefault="00760AEE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Cuáles son importantes para su </w:t>
      </w:r>
      <w:r w:rsidR="00922D3A" w:rsidRPr="00922D3A">
        <w:rPr>
          <w:lang w:val="es-ES_tradnl"/>
        </w:rPr>
        <w:t xml:space="preserve">futuro, y cuáles son conversaciones corrientes. </w:t>
      </w:r>
    </w:p>
    <w:p w14:paraId="2E39F165" w14:textId="77777777" w:rsidR="00E136EF" w:rsidRPr="00922D3A" w:rsidRDefault="00922D3A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t>Cuáles son ineludibles u obli</w:t>
      </w:r>
      <w:r w:rsidR="00760AEE">
        <w:rPr>
          <w:lang w:val="es-ES_tradnl"/>
        </w:rPr>
        <w:t xml:space="preserve">gatorias, cuáles desean iniciar ellos mismos </w:t>
      </w:r>
      <w:r>
        <w:rPr>
          <w:lang w:val="es-ES_tradnl"/>
        </w:rPr>
        <w:t xml:space="preserve">y cuáles </w:t>
      </w:r>
      <w:r w:rsidR="00760AEE">
        <w:rPr>
          <w:lang w:val="es-ES_tradnl"/>
        </w:rPr>
        <w:t>se desarrollan</w:t>
      </w:r>
      <w:r>
        <w:rPr>
          <w:lang w:val="es-ES_tradnl"/>
        </w:rPr>
        <w:t xml:space="preserve"> por casualidad. </w:t>
      </w:r>
    </w:p>
    <w:p w14:paraId="7FEE894D" w14:textId="77777777" w:rsidR="00E136EF" w:rsidRPr="00553707" w:rsidRDefault="00922D3A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Qué conversaciones pueden preparar de antemano los refugiados. </w:t>
      </w:r>
    </w:p>
    <w:p w14:paraId="7D165876" w14:textId="77777777" w:rsidR="00E136EF" w:rsidRPr="00553707" w:rsidRDefault="00922D3A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Qué conversaciones se desarrollan en emplazamientos concretos </w:t>
      </w:r>
      <w:r w:rsidR="00E136EF" w:rsidRPr="00553707">
        <w:rPr>
          <w:lang w:val="es-ES_tradnl"/>
        </w:rPr>
        <w:t>(</w:t>
      </w:r>
      <w:r w:rsidR="00760AEE">
        <w:rPr>
          <w:lang w:val="es-ES_tradnl"/>
        </w:rPr>
        <w:t xml:space="preserve">en </w:t>
      </w:r>
      <w:r>
        <w:rPr>
          <w:lang w:val="es-ES_tradnl"/>
        </w:rPr>
        <w:t xml:space="preserve">oficinas, </w:t>
      </w:r>
      <w:r w:rsidR="00760AEE">
        <w:rPr>
          <w:lang w:val="es-ES_tradnl"/>
        </w:rPr>
        <w:t xml:space="preserve">en </w:t>
      </w:r>
      <w:r>
        <w:rPr>
          <w:lang w:val="es-ES_tradnl"/>
        </w:rPr>
        <w:t xml:space="preserve">tiendas, en la calle, etc.), y cuáles no. </w:t>
      </w:r>
    </w:p>
    <w:p w14:paraId="5D4CB30E" w14:textId="77777777" w:rsidR="00E136EF" w:rsidRPr="00553707" w:rsidRDefault="00922D3A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Qué situaciones implican algo más que un intercambio oral </w:t>
      </w:r>
      <w:r w:rsidR="00E136EF" w:rsidRPr="00553707">
        <w:rPr>
          <w:lang w:val="es-ES_tradnl"/>
        </w:rPr>
        <w:t>(</w:t>
      </w:r>
      <w:r>
        <w:rPr>
          <w:lang w:val="es-ES_tradnl"/>
        </w:rPr>
        <w:t>un cuestionario escrito, lectura de información impresa, etc.).</w:t>
      </w:r>
    </w:p>
    <w:p w14:paraId="627E1A98" w14:textId="77777777" w:rsidR="00E136EF" w:rsidRPr="00553707" w:rsidRDefault="00922D3A" w:rsidP="00922D3A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En qué situaciones puede preverse el tema de la conversación, y en cuáles no. </w:t>
      </w:r>
    </w:p>
    <w:p w14:paraId="1ACF1263" w14:textId="77777777" w:rsidR="00AD36D4" w:rsidRPr="00553707" w:rsidRDefault="00922D3A" w:rsidP="00E136EF">
      <w:pPr>
        <w:pStyle w:val="TKBulletLevel1"/>
        <w:rPr>
          <w:lang w:val="es-ES_tradnl"/>
        </w:rPr>
      </w:pPr>
      <w:r>
        <w:rPr>
          <w:lang w:val="es-ES_tradnl"/>
        </w:rPr>
        <w:t>E</w:t>
      </w:r>
      <w:r w:rsidR="00E136EF" w:rsidRPr="00553707">
        <w:rPr>
          <w:lang w:val="es-ES_tradnl"/>
        </w:rPr>
        <w:t>tc.</w:t>
      </w:r>
    </w:p>
    <w:sectPr w:rsidR="00AD36D4" w:rsidRPr="00553707" w:rsidSect="007F5F10">
      <w:headerReference w:type="default" r:id="rId12"/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7786" w14:textId="77777777" w:rsidR="00165165" w:rsidRDefault="00165165" w:rsidP="00C523EA">
      <w:r>
        <w:separator/>
      </w:r>
    </w:p>
  </w:endnote>
  <w:endnote w:type="continuationSeparator" w:id="0">
    <w:p w14:paraId="04688D07" w14:textId="77777777" w:rsidR="00165165" w:rsidRDefault="00165165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14:paraId="16F87783" w14:textId="77777777" w:rsidTr="004F05CB">
      <w:trPr>
        <w:cantSplit/>
        <w:trHeight w:val="132"/>
      </w:trPr>
      <w:tc>
        <w:tcPr>
          <w:tcW w:w="1667" w:type="pct"/>
        </w:tcPr>
        <w:p w14:paraId="7CF6A14D" w14:textId="77777777" w:rsidR="004F05CB" w:rsidRDefault="004F05CB" w:rsidP="004F05C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Programa de política lingüística</w:t>
          </w:r>
        </w:p>
        <w:p w14:paraId="1C9706BA" w14:textId="77777777" w:rsidR="004F05CB" w:rsidRDefault="004F05CB" w:rsidP="004F05C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Estrasburgo</w:t>
          </w:r>
        </w:p>
        <w:p w14:paraId="68E9DBDE" w14:textId="77777777" w:rsidR="004F05CB" w:rsidRDefault="004F05CB" w:rsidP="004F05C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 xml:space="preserve"> </w:t>
          </w:r>
        </w:p>
        <w:p w14:paraId="6EA4CCBB" w14:textId="77777777" w:rsidR="004F05CB" w:rsidRDefault="004F05CB" w:rsidP="004F05C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b/>
              <w:sz w:val="18"/>
              <w:szCs w:val="18"/>
            </w:rPr>
            <w:t>Herramienta 30</w:t>
          </w:r>
        </w:p>
        <w:p w14:paraId="434F1027" w14:textId="77777777" w:rsidR="00186952" w:rsidRPr="009F3AE1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</w:p>
      </w:tc>
      <w:tc>
        <w:tcPr>
          <w:tcW w:w="1667" w:type="pct"/>
          <w:vAlign w:val="bottom"/>
        </w:tcPr>
        <w:p w14:paraId="4B2B8980" w14:textId="77777777" w:rsidR="00186952" w:rsidRDefault="004F05CB" w:rsidP="00553707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Página</w:t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r w:rsidR="00B011D1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B011D1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CB2512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B011D1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B011D1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B011D1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CB2512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B011D1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14:paraId="6046CB77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5F14FB77" wp14:editId="42FFDF32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0DA9EA" w14:textId="77777777"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2A65" w14:textId="77777777" w:rsidR="00165165" w:rsidRDefault="00165165" w:rsidP="00C523EA">
      <w:r>
        <w:separator/>
      </w:r>
    </w:p>
  </w:footnote>
  <w:footnote w:type="continuationSeparator" w:id="0">
    <w:p w14:paraId="74C0CCCA" w14:textId="77777777" w:rsidR="00165165" w:rsidRDefault="00165165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4F05CB" w:rsidRPr="00C9792C" w14:paraId="4D358136" w14:textId="77777777" w:rsidTr="004F05CB">
      <w:trPr>
        <w:trHeight w:val="1304"/>
      </w:trPr>
      <w:tc>
        <w:tcPr>
          <w:tcW w:w="2228" w:type="dxa"/>
        </w:tcPr>
        <w:p w14:paraId="438B1EDB" w14:textId="77777777" w:rsidR="004F05CB" w:rsidRPr="00CB5C65" w:rsidRDefault="004F05CB" w:rsidP="00186952">
          <w:r w:rsidRPr="00CB5C65">
            <w:rPr>
              <w:noProof/>
              <w:lang w:val="es-ES" w:eastAsia="es-ES"/>
            </w:rPr>
            <w:drawing>
              <wp:inline distT="0" distB="0" distL="0" distR="0" wp14:anchorId="13D969E4" wp14:editId="16C001E2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4B2B8FF9" w14:textId="77777777" w:rsidR="004F05CB" w:rsidRDefault="004F05CB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613F2A2F" w14:textId="77777777" w:rsidR="004F05CB" w:rsidRDefault="004F05CB">
          <w:pPr>
            <w:spacing w:line="252" w:lineRule="auto"/>
            <w:jc w:val="center"/>
            <w:rPr>
              <w:rFonts w:eastAsiaTheme="minorHAnsi"/>
              <w:b/>
              <w:i/>
              <w:lang w:val="es-ES"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4F422809" w14:textId="77777777" w:rsidR="004F05CB" w:rsidRDefault="00000000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4F05CB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3806CEBE" w14:textId="77777777" w:rsidR="004F05CB" w:rsidRDefault="004F05CB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783610F5" w14:textId="77777777" w:rsidR="004F05CB" w:rsidRDefault="00000000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4F05CB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18AAD859" w14:textId="77777777" w:rsidR="00186952" w:rsidRPr="009F3AE1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65823699">
    <w:abstractNumId w:val="1"/>
  </w:num>
  <w:num w:numId="2" w16cid:durableId="1076363411">
    <w:abstractNumId w:val="3"/>
  </w:num>
  <w:num w:numId="3" w16cid:durableId="2045205558">
    <w:abstractNumId w:val="7"/>
  </w:num>
  <w:num w:numId="4" w16cid:durableId="2121413400">
    <w:abstractNumId w:val="0"/>
  </w:num>
  <w:num w:numId="5" w16cid:durableId="1256399980">
    <w:abstractNumId w:val="6"/>
  </w:num>
  <w:num w:numId="6" w16cid:durableId="794715164">
    <w:abstractNumId w:val="5"/>
  </w:num>
  <w:num w:numId="7" w16cid:durableId="909383987">
    <w:abstractNumId w:val="3"/>
  </w:num>
  <w:num w:numId="8" w16cid:durableId="1118797676">
    <w:abstractNumId w:val="2"/>
  </w:num>
  <w:num w:numId="9" w16cid:durableId="838273377">
    <w:abstractNumId w:val="4"/>
  </w:num>
  <w:num w:numId="10" w16cid:durableId="537206338">
    <w:abstractNumId w:val="8"/>
  </w:num>
  <w:num w:numId="11" w16cid:durableId="18801241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13516"/>
    <w:rsid w:val="000338F0"/>
    <w:rsid w:val="00037B0E"/>
    <w:rsid w:val="000618A7"/>
    <w:rsid w:val="000937FA"/>
    <w:rsid w:val="000A080D"/>
    <w:rsid w:val="000C5F40"/>
    <w:rsid w:val="000E706C"/>
    <w:rsid w:val="000E7AFD"/>
    <w:rsid w:val="000F42D6"/>
    <w:rsid w:val="00110B4B"/>
    <w:rsid w:val="00113442"/>
    <w:rsid w:val="00121C7F"/>
    <w:rsid w:val="00126A5E"/>
    <w:rsid w:val="001347DC"/>
    <w:rsid w:val="00140B7E"/>
    <w:rsid w:val="00153907"/>
    <w:rsid w:val="00154B1F"/>
    <w:rsid w:val="00165165"/>
    <w:rsid w:val="00172C07"/>
    <w:rsid w:val="001741D1"/>
    <w:rsid w:val="0017676C"/>
    <w:rsid w:val="00186952"/>
    <w:rsid w:val="001965B4"/>
    <w:rsid w:val="001A1B4C"/>
    <w:rsid w:val="001B0010"/>
    <w:rsid w:val="001B0D25"/>
    <w:rsid w:val="001B602D"/>
    <w:rsid w:val="001B71AD"/>
    <w:rsid w:val="001B79E6"/>
    <w:rsid w:val="001C7918"/>
    <w:rsid w:val="00201D74"/>
    <w:rsid w:val="0020300A"/>
    <w:rsid w:val="00214CD0"/>
    <w:rsid w:val="00233192"/>
    <w:rsid w:val="00246E8E"/>
    <w:rsid w:val="00254DC5"/>
    <w:rsid w:val="0026293F"/>
    <w:rsid w:val="002860CD"/>
    <w:rsid w:val="002A0CEF"/>
    <w:rsid w:val="002A3476"/>
    <w:rsid w:val="002A3F57"/>
    <w:rsid w:val="002E4C2F"/>
    <w:rsid w:val="002F089F"/>
    <w:rsid w:val="002F2562"/>
    <w:rsid w:val="0030060E"/>
    <w:rsid w:val="00303A5A"/>
    <w:rsid w:val="003128C2"/>
    <w:rsid w:val="00327BBC"/>
    <w:rsid w:val="0033137E"/>
    <w:rsid w:val="003428B9"/>
    <w:rsid w:val="003532F8"/>
    <w:rsid w:val="0035492A"/>
    <w:rsid w:val="003575BD"/>
    <w:rsid w:val="00373B9F"/>
    <w:rsid w:val="0037570C"/>
    <w:rsid w:val="00380E40"/>
    <w:rsid w:val="0038409C"/>
    <w:rsid w:val="003847AD"/>
    <w:rsid w:val="003B337F"/>
    <w:rsid w:val="003C0495"/>
    <w:rsid w:val="003C050D"/>
    <w:rsid w:val="003C32F5"/>
    <w:rsid w:val="003E358D"/>
    <w:rsid w:val="003F121D"/>
    <w:rsid w:val="00450203"/>
    <w:rsid w:val="00457DD9"/>
    <w:rsid w:val="00460BCC"/>
    <w:rsid w:val="00470AA9"/>
    <w:rsid w:val="0049006B"/>
    <w:rsid w:val="00490099"/>
    <w:rsid w:val="004A486D"/>
    <w:rsid w:val="004B5DD8"/>
    <w:rsid w:val="004C1652"/>
    <w:rsid w:val="004E32A8"/>
    <w:rsid w:val="004F05CB"/>
    <w:rsid w:val="004F2E30"/>
    <w:rsid w:val="00503E91"/>
    <w:rsid w:val="00507A07"/>
    <w:rsid w:val="00526886"/>
    <w:rsid w:val="00553707"/>
    <w:rsid w:val="00555D25"/>
    <w:rsid w:val="005713EB"/>
    <w:rsid w:val="00592F6C"/>
    <w:rsid w:val="005B4291"/>
    <w:rsid w:val="005B4BE8"/>
    <w:rsid w:val="005C2E50"/>
    <w:rsid w:val="005D1103"/>
    <w:rsid w:val="005D2044"/>
    <w:rsid w:val="005E4CA5"/>
    <w:rsid w:val="005F3597"/>
    <w:rsid w:val="00617D74"/>
    <w:rsid w:val="00634900"/>
    <w:rsid w:val="0064154F"/>
    <w:rsid w:val="006455D0"/>
    <w:rsid w:val="0065035B"/>
    <w:rsid w:val="00651E90"/>
    <w:rsid w:val="00655B1E"/>
    <w:rsid w:val="00655CCE"/>
    <w:rsid w:val="006627B2"/>
    <w:rsid w:val="00666FB8"/>
    <w:rsid w:val="006A1A21"/>
    <w:rsid w:val="006C0689"/>
    <w:rsid w:val="006C08C3"/>
    <w:rsid w:val="006C7764"/>
    <w:rsid w:val="006D234F"/>
    <w:rsid w:val="006F56BB"/>
    <w:rsid w:val="00705BF1"/>
    <w:rsid w:val="0070789F"/>
    <w:rsid w:val="007331AC"/>
    <w:rsid w:val="00734E55"/>
    <w:rsid w:val="0074542C"/>
    <w:rsid w:val="007458E1"/>
    <w:rsid w:val="00760AEE"/>
    <w:rsid w:val="00773ACD"/>
    <w:rsid w:val="00786599"/>
    <w:rsid w:val="007B4D14"/>
    <w:rsid w:val="007F3A8F"/>
    <w:rsid w:val="007F5F10"/>
    <w:rsid w:val="0080462C"/>
    <w:rsid w:val="00805257"/>
    <w:rsid w:val="008067EC"/>
    <w:rsid w:val="0083366C"/>
    <w:rsid w:val="00844534"/>
    <w:rsid w:val="008469DE"/>
    <w:rsid w:val="008506D5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22D3A"/>
    <w:rsid w:val="0093428B"/>
    <w:rsid w:val="0094551C"/>
    <w:rsid w:val="00953DC1"/>
    <w:rsid w:val="00970C63"/>
    <w:rsid w:val="0097497F"/>
    <w:rsid w:val="00990990"/>
    <w:rsid w:val="009A4759"/>
    <w:rsid w:val="009A5131"/>
    <w:rsid w:val="009B7F95"/>
    <w:rsid w:val="009C0600"/>
    <w:rsid w:val="009F3AE1"/>
    <w:rsid w:val="00A03292"/>
    <w:rsid w:val="00A1258A"/>
    <w:rsid w:val="00A20520"/>
    <w:rsid w:val="00A36998"/>
    <w:rsid w:val="00A37741"/>
    <w:rsid w:val="00A5196F"/>
    <w:rsid w:val="00A6623D"/>
    <w:rsid w:val="00A67362"/>
    <w:rsid w:val="00A7554F"/>
    <w:rsid w:val="00A802F2"/>
    <w:rsid w:val="00A81C9B"/>
    <w:rsid w:val="00A85728"/>
    <w:rsid w:val="00AB255A"/>
    <w:rsid w:val="00AD36D4"/>
    <w:rsid w:val="00AE2FB9"/>
    <w:rsid w:val="00AE657E"/>
    <w:rsid w:val="00AF4A1E"/>
    <w:rsid w:val="00AF56A8"/>
    <w:rsid w:val="00B011D1"/>
    <w:rsid w:val="00B14386"/>
    <w:rsid w:val="00B25C82"/>
    <w:rsid w:val="00B33421"/>
    <w:rsid w:val="00B35EFB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E6428"/>
    <w:rsid w:val="00BF2B09"/>
    <w:rsid w:val="00BF693D"/>
    <w:rsid w:val="00BF6AB6"/>
    <w:rsid w:val="00C24B3F"/>
    <w:rsid w:val="00C26429"/>
    <w:rsid w:val="00C328DB"/>
    <w:rsid w:val="00C35A15"/>
    <w:rsid w:val="00C36B49"/>
    <w:rsid w:val="00C478A6"/>
    <w:rsid w:val="00C516B8"/>
    <w:rsid w:val="00C523EA"/>
    <w:rsid w:val="00C622D7"/>
    <w:rsid w:val="00C7477C"/>
    <w:rsid w:val="00C8086F"/>
    <w:rsid w:val="00C94196"/>
    <w:rsid w:val="00C9792C"/>
    <w:rsid w:val="00CB1399"/>
    <w:rsid w:val="00CB2512"/>
    <w:rsid w:val="00CC0991"/>
    <w:rsid w:val="00CD42D1"/>
    <w:rsid w:val="00CF0B90"/>
    <w:rsid w:val="00CF36D3"/>
    <w:rsid w:val="00D00DA4"/>
    <w:rsid w:val="00D07616"/>
    <w:rsid w:val="00D2211A"/>
    <w:rsid w:val="00D33856"/>
    <w:rsid w:val="00D56AAE"/>
    <w:rsid w:val="00D57D70"/>
    <w:rsid w:val="00D61794"/>
    <w:rsid w:val="00D81172"/>
    <w:rsid w:val="00D8328F"/>
    <w:rsid w:val="00D83A78"/>
    <w:rsid w:val="00DA5A92"/>
    <w:rsid w:val="00DB5719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136EF"/>
    <w:rsid w:val="00E21B21"/>
    <w:rsid w:val="00E4217B"/>
    <w:rsid w:val="00E53152"/>
    <w:rsid w:val="00E826A8"/>
    <w:rsid w:val="00E90A39"/>
    <w:rsid w:val="00E94B23"/>
    <w:rsid w:val="00EA00CA"/>
    <w:rsid w:val="00EB3411"/>
    <w:rsid w:val="00EC3339"/>
    <w:rsid w:val="00ED4CB7"/>
    <w:rsid w:val="00F260E9"/>
    <w:rsid w:val="00F32912"/>
    <w:rsid w:val="00F5126A"/>
    <w:rsid w:val="00F87471"/>
    <w:rsid w:val="00F934F1"/>
    <w:rsid w:val="00FB0515"/>
    <w:rsid w:val="00FB1DA7"/>
    <w:rsid w:val="00FB70A6"/>
    <w:rsid w:val="00FC4F80"/>
    <w:rsid w:val="00FD180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675E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  <w:lang w:val="es-ES_tradnl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arquedecommentaire">
    <w:name w:val="annotation reference"/>
    <w:uiPriority w:val="99"/>
    <w:semiHidden/>
    <w:rsid w:val="00CB1399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CB1399"/>
    <w:rPr>
      <w:rFonts w:eastAsia="Calibri"/>
      <w:szCs w:val="24"/>
      <w:lang w:val="es-E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399"/>
    <w:rPr>
      <w:rFonts w:ascii="Calibri" w:eastAsia="Calibri" w:hAnsi="Calibri" w:cs="Times New Roman"/>
      <w:sz w:val="24"/>
      <w:szCs w:val="24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399"/>
    <w:rPr>
      <w:rFonts w:eastAsia="Times New Roman"/>
      <w:b/>
      <w:bCs/>
      <w:sz w:val="20"/>
      <w:szCs w:val="20"/>
      <w:lang w:val="es-ES_tradn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399"/>
    <w:rPr>
      <w:rFonts w:ascii="Calibri" w:eastAsia="Times New Roman" w:hAnsi="Calibri" w:cs="Times New Roman"/>
      <w:b/>
      <w:bCs/>
      <w:sz w:val="20"/>
      <w:szCs w:val="20"/>
      <w:lang w:val="es-ES_tradnl"/>
    </w:rPr>
  </w:style>
  <w:style w:type="paragraph" w:styleId="Rvision">
    <w:name w:val="Revision"/>
    <w:hidden/>
    <w:uiPriority w:val="99"/>
    <w:semiHidden/>
    <w:rsid w:val="0070789F"/>
    <w:pPr>
      <w:spacing w:after="0" w:line="240" w:lineRule="auto"/>
    </w:pPr>
    <w:rPr>
      <w:rFonts w:ascii="Calibri" w:eastAsia="Times New Roman" w:hAnsi="Calibri" w:cs="Times New Roman"/>
      <w:sz w:val="24"/>
      <w:lang w:val="es-ES_tradnl"/>
    </w:rPr>
  </w:style>
  <w:style w:type="character" w:styleId="Mentionnonrsolue">
    <w:name w:val="Unresolved Mention"/>
    <w:basedOn w:val="Policepardfaut"/>
    <w:uiPriority w:val="99"/>
    <w:semiHidden/>
    <w:unhideWhenUsed/>
    <w:rsid w:val="00707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31-seleccion-de-situaciones-en-las-que-centrarse-en-las-ac/1680a966a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.coe.int/herramienta-29-que-es-mas-importante-aprender-el-punto-de-vista-de-los/1680a966a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m.coe.int/herramienta-28-averiguar-mas-cosas-sobre-las-capacidades-y-los-recurso/1680a966a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.coe.int/herramienta-32-seleccion-de-funciones-comunicativas-utiles-para-los-pr/1680a966a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7784-BB8A-4ABD-93BC-1D9E6FE4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16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9</cp:revision>
  <cp:lastPrinted>2020-12-02T14:04:00Z</cp:lastPrinted>
  <dcterms:created xsi:type="dcterms:W3CDTF">2020-12-09T12:04:00Z</dcterms:created>
  <dcterms:modified xsi:type="dcterms:W3CDTF">2022-12-15T17:48:00Z</dcterms:modified>
</cp:coreProperties>
</file>