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71C" w:rsidRPr="00103CB2" w:rsidRDefault="0005071C" w:rsidP="0005071C">
      <w:pPr>
        <w:pStyle w:val="TKMAINTITLE"/>
        <w:rPr>
          <w:lang w:val="es-ES"/>
        </w:rPr>
      </w:pPr>
      <w:r w:rsidRPr="00103CB2">
        <w:rPr>
          <w:lang w:val="es-ES"/>
        </w:rPr>
        <w:t xml:space="preserve">15 </w:t>
      </w:r>
      <w:r>
        <w:rPr>
          <w:lang w:val="es-ES"/>
        </w:rPr>
        <w:t>-</w:t>
      </w:r>
      <w:r w:rsidRPr="00103CB2">
        <w:rPr>
          <w:lang w:val="es-ES"/>
        </w:rPr>
        <w:t xml:space="preserve"> Apoyo a refugiados con escaso nivel de alfabetización</w:t>
      </w:r>
    </w:p>
    <w:p w:rsidR="0005071C" w:rsidRPr="00103CB2" w:rsidRDefault="0005071C" w:rsidP="0005071C">
      <w:pPr>
        <w:pStyle w:val="TKAIM"/>
        <w:tabs>
          <w:tab w:val="clear" w:pos="709"/>
        </w:tabs>
        <w:ind w:left="1276" w:hanging="1276"/>
        <w:rPr>
          <w:lang w:val="es-ES"/>
        </w:rPr>
      </w:pPr>
      <w:r w:rsidRPr="00103CB2">
        <w:rPr>
          <w:lang w:val="es-ES"/>
        </w:rPr>
        <w:t>Finalidad:</w:t>
      </w:r>
      <w:r w:rsidRPr="00103CB2">
        <w:rPr>
          <w:lang w:val="es-ES"/>
        </w:rPr>
        <w:tab/>
        <w:t>Concienciar a los voluntarios sobre los distintos niveles de alfabetización que suelen mostrar los refugiados.</w:t>
      </w:r>
    </w:p>
    <w:p w:rsidR="0005071C" w:rsidRPr="00103CB2" w:rsidRDefault="0005071C" w:rsidP="0005071C">
      <w:pPr>
        <w:pStyle w:val="TKTITRE1"/>
        <w:rPr>
          <w:lang w:val="es-ES"/>
        </w:rPr>
      </w:pPr>
      <w:r w:rsidRPr="00103CB2">
        <w:rPr>
          <w:lang w:val="es-ES"/>
        </w:rPr>
        <w:t>Introducción</w:t>
      </w:r>
    </w:p>
    <w:p w:rsidR="0005071C" w:rsidRPr="00103CB2" w:rsidRDefault="0005071C" w:rsidP="0005071C">
      <w:pPr>
        <w:pStyle w:val="TKTEXTE"/>
        <w:jc w:val="both"/>
        <w:rPr>
          <w:lang w:val="es-ES"/>
        </w:rPr>
      </w:pPr>
      <w:r w:rsidRPr="00103CB2">
        <w:rPr>
          <w:lang w:val="es-ES"/>
        </w:rPr>
        <w:t>Algunos adultos pueden leer y escribir en varios alfabetos</w:t>
      </w:r>
      <w:r>
        <w:rPr>
          <w:lang w:val="es-ES"/>
        </w:rPr>
        <w:t>,</w:t>
      </w:r>
      <w:r w:rsidRPr="00103CB2">
        <w:rPr>
          <w:lang w:val="es-ES"/>
        </w:rPr>
        <w:t xml:space="preserve"> y otros tal vez solo puedan hacerlo en el alfabeto de su lengua materna. Algunos tal vez no sean capaces de leer o escribir en ningún idioma, aunque puedan recurrir a distintas formas de comunicación. Por ejemplo, algunos adultos no son c</w:t>
      </w:r>
      <w:r>
        <w:rPr>
          <w:lang w:val="es-ES"/>
        </w:rPr>
        <w:t xml:space="preserve">apaces de escribir palabras con </w:t>
      </w:r>
      <w:r w:rsidRPr="00103CB2">
        <w:rPr>
          <w:lang w:val="es-ES"/>
        </w:rPr>
        <w:t xml:space="preserve">lápiz o bolígrafo, pero sí </w:t>
      </w:r>
      <w:r>
        <w:rPr>
          <w:lang w:val="es-ES"/>
        </w:rPr>
        <w:t xml:space="preserve">componer </w:t>
      </w:r>
      <w:r w:rsidRPr="00103CB2">
        <w:rPr>
          <w:lang w:val="es-ES"/>
        </w:rPr>
        <w:t xml:space="preserve">un mensaje de texto con bastante soltura, mientras que otros tal vez entiendan símbolos acompañados de texto, como los carteles de “Prohibido fumar”. </w:t>
      </w:r>
    </w:p>
    <w:p w:rsidR="0005071C" w:rsidRPr="00103CB2" w:rsidRDefault="0005071C" w:rsidP="0005071C">
      <w:pPr>
        <w:pStyle w:val="TKTEXTE"/>
        <w:jc w:val="both"/>
        <w:rPr>
          <w:lang w:val="es-ES"/>
        </w:rPr>
      </w:pPr>
      <w:r w:rsidRPr="00103CB2">
        <w:rPr>
          <w:lang w:val="es-ES"/>
        </w:rPr>
        <w:t xml:space="preserve">Cuando hablamos de alfabetización nos referimos a la capacidad de utilizar el lenguaje escrito, tanto en textos impresos como digitales, para llevar a cabo las labores del día a día, acceder a recursos y servicios (incluidas la educación formal y no formal) e interactuar a nivel social. La alfabetización </w:t>
      </w:r>
      <w:r>
        <w:rPr>
          <w:lang w:val="es-ES"/>
        </w:rPr>
        <w:t>supone</w:t>
      </w:r>
      <w:r w:rsidRPr="00103CB2">
        <w:rPr>
          <w:lang w:val="es-ES"/>
        </w:rPr>
        <w:t xml:space="preserve"> una</w:t>
      </w:r>
      <w:r>
        <w:rPr>
          <w:lang w:val="es-ES"/>
        </w:rPr>
        <w:t>s</w:t>
      </w:r>
      <w:r w:rsidRPr="00103CB2">
        <w:rPr>
          <w:lang w:val="es-ES"/>
        </w:rPr>
        <w:t xml:space="preserve"> competencias</w:t>
      </w:r>
      <w:r>
        <w:rPr>
          <w:lang w:val="es-ES"/>
        </w:rPr>
        <w:t xml:space="preserve"> progresivas</w:t>
      </w:r>
      <w:r w:rsidRPr="00103CB2">
        <w:rPr>
          <w:lang w:val="es-ES"/>
        </w:rPr>
        <w:t>, desde la capacidad de leer y comprender palabras sencillas hasta la capacidad de utilizar textos para la reflexión crítica y de comunicarse eficazmente por escrito.</w:t>
      </w:r>
    </w:p>
    <w:p w:rsidR="0005071C" w:rsidRPr="00103CB2" w:rsidRDefault="0005071C" w:rsidP="0005071C">
      <w:pPr>
        <w:pStyle w:val="TKTEXTE"/>
        <w:jc w:val="both"/>
        <w:rPr>
          <w:lang w:val="es-ES"/>
        </w:rPr>
      </w:pPr>
      <w:r w:rsidRPr="00103CB2">
        <w:rPr>
          <w:lang w:val="es-ES"/>
        </w:rPr>
        <w:t xml:space="preserve">Un escaso nivel de alfabetización </w:t>
      </w:r>
      <w:r>
        <w:rPr>
          <w:lang w:val="es-ES"/>
        </w:rPr>
        <w:t xml:space="preserve">significa </w:t>
      </w:r>
      <w:r w:rsidRPr="00103CB2">
        <w:rPr>
          <w:lang w:val="es-ES"/>
        </w:rPr>
        <w:t>que una o varias de es</w:t>
      </w:r>
      <w:r>
        <w:rPr>
          <w:lang w:val="es-ES"/>
        </w:rPr>
        <w:t>t</w:t>
      </w:r>
      <w:r w:rsidRPr="00103CB2">
        <w:rPr>
          <w:lang w:val="es-ES"/>
        </w:rPr>
        <w:t>as competencias</w:t>
      </w:r>
      <w:r>
        <w:rPr>
          <w:lang w:val="es-ES"/>
        </w:rPr>
        <w:t xml:space="preserve"> están ausentes</w:t>
      </w:r>
      <w:r w:rsidRPr="00103CB2">
        <w:rPr>
          <w:lang w:val="es-ES"/>
        </w:rPr>
        <w:t xml:space="preserve">, </w:t>
      </w:r>
      <w:r>
        <w:rPr>
          <w:lang w:val="es-ES"/>
        </w:rPr>
        <w:t xml:space="preserve">y ello implica la </w:t>
      </w:r>
      <w:r w:rsidRPr="00103CB2">
        <w:rPr>
          <w:lang w:val="es-ES"/>
        </w:rPr>
        <w:t>existen</w:t>
      </w:r>
      <w:r>
        <w:rPr>
          <w:lang w:val="es-ES"/>
        </w:rPr>
        <w:t>cia</w:t>
      </w:r>
      <w:r w:rsidRPr="00103CB2">
        <w:rPr>
          <w:lang w:val="es-ES"/>
        </w:rPr>
        <w:t xml:space="preserve"> distintos grados de analfabetismo entre los adultos.</w:t>
      </w:r>
    </w:p>
    <w:p w:rsidR="0005071C" w:rsidRPr="00103CB2" w:rsidRDefault="0005071C" w:rsidP="0005071C">
      <w:pPr>
        <w:pStyle w:val="TKTITRE2"/>
        <w:rPr>
          <w:lang w:val="es-ES"/>
        </w:rPr>
      </w:pPr>
      <w:r w:rsidRPr="00103CB2">
        <w:rPr>
          <w:lang w:val="es-ES"/>
        </w:rPr>
        <w:t xml:space="preserve">Cuatro perfiles de alfabetización (A, B, C, D) </w:t>
      </w:r>
    </w:p>
    <w:p w:rsidR="0005071C" w:rsidRPr="00103CB2" w:rsidRDefault="0005071C" w:rsidP="0005071C">
      <w:pPr>
        <w:pStyle w:val="TKTEXTE"/>
        <w:jc w:val="both"/>
        <w:rPr>
          <w:lang w:val="es-ES"/>
        </w:rPr>
      </w:pPr>
      <w:r w:rsidRPr="00103CB2">
        <w:rPr>
          <w:lang w:val="es-ES"/>
        </w:rPr>
        <w:t xml:space="preserve">Los cuatro tipos de perfiles de alfabetización de adultos que se incluyen a continuación pueden ayudarnos a entender qué pueden necesitar los refugiados y cómo abordar esta cuestión (véase </w:t>
      </w:r>
      <w:hyperlink r:id="rId8" w:history="1">
        <w:r>
          <w:rPr>
            <w:rStyle w:val="Lienhypertexte"/>
            <w:lang w:val="es-ES"/>
          </w:rPr>
          <w:t>http://www.coe.int/en/web/lang-migrants/literacy-profiles</w:t>
        </w:r>
      </w:hyperlink>
      <w:r w:rsidRPr="00103CB2">
        <w:rPr>
          <w:lang w:val="es-ES"/>
        </w:rPr>
        <w:t xml:space="preserve">). Los perfiles describen contextos educativos, competencias y experiencias típicos que pueden afectar al aprendizaje. Es importante tener presente que probablemente habrá alumnos cuyo perfil difiera ligeramente de los cuatro perfiles </w:t>
      </w:r>
      <w:r>
        <w:rPr>
          <w:lang w:val="es-ES"/>
        </w:rPr>
        <w:t>expuestos</w:t>
      </w:r>
      <w:r w:rsidRPr="00103CB2">
        <w:rPr>
          <w:lang w:val="es-ES"/>
        </w:rPr>
        <w:t xml:space="preserve">, y que puedan </w:t>
      </w:r>
      <w:r>
        <w:rPr>
          <w:lang w:val="es-ES"/>
        </w:rPr>
        <w:t xml:space="preserve">combinar </w:t>
      </w:r>
      <w:r w:rsidRPr="00103CB2">
        <w:rPr>
          <w:lang w:val="es-ES"/>
        </w:rPr>
        <w:t>características de los cuatro perfiles.</w:t>
      </w:r>
    </w:p>
    <w:p w:rsidR="0005071C" w:rsidRPr="00103CB2" w:rsidRDefault="0005071C" w:rsidP="0005071C">
      <w:pPr>
        <w:pStyle w:val="TKTEXTE"/>
        <w:jc w:val="both"/>
        <w:rPr>
          <w:lang w:val="es-ES"/>
        </w:rPr>
      </w:pPr>
      <w:r w:rsidRPr="00103CB2">
        <w:rPr>
          <w:lang w:val="es-ES"/>
        </w:rPr>
        <w:t xml:space="preserve">Los refugiados de los grupos A y B, y del grupo C en cierta medida, están aprendiendo a leer y escribir por primera vez al mismo tiempo que aprenden el nuevo idioma. Esto supone un gran desafío que exige un gran esfuerzo. </w:t>
      </w:r>
    </w:p>
    <w:p w:rsidR="0005071C" w:rsidRPr="00103CB2" w:rsidRDefault="0005071C" w:rsidP="0005071C">
      <w:pPr>
        <w:pStyle w:val="TKTEXTE"/>
        <w:jc w:val="both"/>
        <w:rPr>
          <w:lang w:val="es-ES"/>
        </w:rPr>
      </w:pPr>
      <w:r w:rsidRPr="00103CB2">
        <w:rPr>
          <w:lang w:val="es-ES"/>
        </w:rPr>
        <w:t xml:space="preserve">Los refugiados que son capaces de leer y escribir en un alfabeto distinto al utilizado en el idioma de destino no son analfabetos. Sencillamente tienen que aprender un nuevo sistema de escritura (véase también la herramienta 17 </w:t>
      </w:r>
      <w:r>
        <w:rPr>
          <w:lang w:val="es-ES"/>
        </w:rPr>
        <w:t>-</w:t>
      </w:r>
      <w:r w:rsidRPr="00103CB2">
        <w:rPr>
          <w:lang w:val="es-ES"/>
        </w:rPr>
        <w:t xml:space="preserve"> </w:t>
      </w:r>
      <w:hyperlink r:id="rId9" w:history="1">
        <w:r w:rsidRPr="0005071C">
          <w:rPr>
            <w:rStyle w:val="Lienhypertexte"/>
            <w:rFonts w:cs="Calibri"/>
            <w:i/>
            <w:u w:val="none"/>
            <w:lang w:val="es-ES"/>
          </w:rPr>
          <w:t>Dificultades experimentadas al aprender a leer y escribir en un nuevo idioma</w:t>
        </w:r>
      </w:hyperlink>
      <w:r w:rsidRPr="00103CB2">
        <w:rPr>
          <w:lang w:val="es-ES"/>
        </w:rPr>
        <w:t>), pero sus conocimientos previos de otro(s) alfabeto(s) pueden ayudarlos en este proceso.</w:t>
      </w:r>
    </w:p>
    <w:p w:rsidR="0005071C" w:rsidRPr="00103CB2" w:rsidRDefault="0005071C" w:rsidP="0005071C">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6089"/>
      </w:tblGrid>
      <w:tr w:rsidR="0005071C" w:rsidRPr="00103CB2" w:rsidTr="004A00B2">
        <w:trPr>
          <w:trHeight w:val="485"/>
        </w:trPr>
        <w:tc>
          <w:tcPr>
            <w:tcW w:w="2150" w:type="pct"/>
            <w:vAlign w:val="center"/>
          </w:tcPr>
          <w:p w:rsidR="0005071C" w:rsidRPr="00103CB2" w:rsidRDefault="0005071C" w:rsidP="004A00B2">
            <w:pPr>
              <w:pStyle w:val="TKTextetableau"/>
              <w:rPr>
                <w:b/>
                <w:bCs/>
                <w:lang w:val="es-ES"/>
              </w:rPr>
            </w:pPr>
            <w:r w:rsidRPr="00103CB2">
              <w:rPr>
                <w:lang w:val="es-ES"/>
              </w:rPr>
              <w:br w:type="page"/>
            </w:r>
            <w:r w:rsidRPr="00103CB2">
              <w:rPr>
                <w:b/>
                <w:bCs/>
                <w:lang w:val="es-ES"/>
              </w:rPr>
              <w:t>Perfil</w:t>
            </w:r>
          </w:p>
        </w:tc>
        <w:tc>
          <w:tcPr>
            <w:tcW w:w="2850" w:type="pct"/>
            <w:vAlign w:val="center"/>
          </w:tcPr>
          <w:p w:rsidR="0005071C" w:rsidRPr="00103CB2" w:rsidRDefault="0005071C" w:rsidP="004A00B2">
            <w:pPr>
              <w:pStyle w:val="TKTextetableau"/>
              <w:rPr>
                <w:b/>
                <w:bCs/>
                <w:lang w:val="es-ES"/>
              </w:rPr>
            </w:pPr>
            <w:r w:rsidRPr="00103CB2">
              <w:rPr>
                <w:b/>
                <w:bCs/>
                <w:lang w:val="es-ES"/>
              </w:rPr>
              <w:t>Descripción</w:t>
            </w:r>
          </w:p>
        </w:tc>
      </w:tr>
      <w:tr w:rsidR="0005071C" w:rsidRPr="00103CB2" w:rsidTr="004A00B2">
        <w:tc>
          <w:tcPr>
            <w:tcW w:w="2150" w:type="pct"/>
            <w:shd w:val="clear" w:color="auto" w:fill="D9D9D9"/>
          </w:tcPr>
          <w:p w:rsidR="0005071C" w:rsidRPr="00103CB2" w:rsidRDefault="0005071C" w:rsidP="004A00B2">
            <w:pPr>
              <w:pStyle w:val="TKTextetableau"/>
              <w:rPr>
                <w:lang w:val="es-ES"/>
              </w:rPr>
            </w:pPr>
            <w:r w:rsidRPr="00103CB2">
              <w:rPr>
                <w:lang w:val="es-ES"/>
              </w:rPr>
              <w:t xml:space="preserve">Abdi es un hombre </w:t>
            </w:r>
            <w:r>
              <w:rPr>
                <w:lang w:val="es-ES"/>
              </w:rPr>
              <w:t xml:space="preserve">bantú </w:t>
            </w:r>
            <w:r w:rsidRPr="00103CB2">
              <w:rPr>
                <w:lang w:val="es-ES"/>
              </w:rPr>
              <w:t xml:space="preserve">de 45 años procedente de Somalia. Su lengua materna es </w:t>
            </w:r>
            <w:r>
              <w:rPr>
                <w:lang w:val="es-ES"/>
              </w:rPr>
              <w:t xml:space="preserve">una lengua cusita </w:t>
            </w:r>
            <w:r w:rsidRPr="00103CB2">
              <w:rPr>
                <w:lang w:val="es-ES"/>
              </w:rPr>
              <w:t xml:space="preserve">que solo tiene vertiente oral. Su nivel de </w:t>
            </w:r>
            <w:r w:rsidRPr="00103CB2">
              <w:rPr>
                <w:lang w:val="es-ES"/>
              </w:rPr>
              <w:lastRenderedPageBreak/>
              <w:t xml:space="preserve">competencia oral en la lengua de destino es de principiante. No mantiene contacto alguno con la comunidad de acogida, salvo a través de </w:t>
            </w:r>
            <w:r>
              <w:rPr>
                <w:lang w:val="es-ES"/>
              </w:rPr>
              <w:t xml:space="preserve">los </w:t>
            </w:r>
            <w:r w:rsidRPr="00103CB2">
              <w:rPr>
                <w:lang w:val="es-ES"/>
              </w:rPr>
              <w:t>mediadores.</w:t>
            </w:r>
          </w:p>
        </w:tc>
        <w:tc>
          <w:tcPr>
            <w:tcW w:w="2850" w:type="pct"/>
            <w:shd w:val="clear" w:color="auto" w:fill="D9D9D9"/>
          </w:tcPr>
          <w:p w:rsidR="0005071C" w:rsidRPr="00103CB2" w:rsidRDefault="0005071C" w:rsidP="004A00B2">
            <w:pPr>
              <w:pStyle w:val="TKTextetableau"/>
              <w:rPr>
                <w:b/>
                <w:bCs/>
                <w:lang w:val="es-ES"/>
              </w:rPr>
            </w:pPr>
            <w:r>
              <w:rPr>
                <w:b/>
                <w:bCs/>
                <w:lang w:val="es-ES"/>
              </w:rPr>
              <w:lastRenderedPageBreak/>
              <w:t>Grupo</w:t>
            </w:r>
            <w:r w:rsidRPr="00103CB2">
              <w:rPr>
                <w:b/>
                <w:bCs/>
                <w:lang w:val="es-ES"/>
              </w:rPr>
              <w:t xml:space="preserve"> A:</w:t>
            </w:r>
          </w:p>
          <w:p w:rsidR="0005071C" w:rsidRPr="00103CB2" w:rsidRDefault="0005071C" w:rsidP="004A00B2">
            <w:pPr>
              <w:pStyle w:val="TKTextetableau"/>
              <w:rPr>
                <w:lang w:val="es-ES"/>
              </w:rPr>
            </w:pPr>
            <w:r>
              <w:rPr>
                <w:lang w:val="es-ES"/>
              </w:rPr>
              <w:t>Los adultos como</w:t>
            </w:r>
            <w:r w:rsidRPr="00103CB2">
              <w:rPr>
                <w:lang w:val="es-ES"/>
              </w:rPr>
              <w:t xml:space="preserve"> Abdi </w:t>
            </w:r>
            <w:r>
              <w:rPr>
                <w:lang w:val="es-ES"/>
              </w:rPr>
              <w:t xml:space="preserve">no tienen acceso a educación formal en su país de origen, y su lengua materna no se escribe o no se utiliza </w:t>
            </w:r>
            <w:r>
              <w:rPr>
                <w:lang w:val="es-ES"/>
              </w:rPr>
              <w:lastRenderedPageBreak/>
              <w:t xml:space="preserve">en la enseñanza. </w:t>
            </w:r>
          </w:p>
          <w:p w:rsidR="0005071C" w:rsidRPr="00103CB2" w:rsidRDefault="0005071C" w:rsidP="004A00B2">
            <w:pPr>
              <w:pStyle w:val="TKTextetableau"/>
              <w:jc w:val="both"/>
              <w:rPr>
                <w:lang w:val="es-ES"/>
              </w:rPr>
            </w:pPr>
            <w:r>
              <w:rPr>
                <w:lang w:val="es-ES"/>
              </w:rPr>
              <w:t xml:space="preserve">En ocasiones, estas personas tienen dificultades para entender la forma en que una palabra o un texto escritos transmiten significado. </w:t>
            </w:r>
          </w:p>
          <w:p w:rsidR="0005071C" w:rsidRPr="00103CB2" w:rsidRDefault="0005071C" w:rsidP="004A00B2">
            <w:pPr>
              <w:pStyle w:val="TKTextetableau"/>
              <w:jc w:val="both"/>
              <w:rPr>
                <w:lang w:val="es-ES"/>
              </w:rPr>
            </w:pPr>
            <w:r>
              <w:rPr>
                <w:lang w:val="es-ES"/>
              </w:rPr>
              <w:t>Podemos orientar a estos</w:t>
            </w:r>
            <w:r w:rsidRPr="00517B61">
              <w:rPr>
                <w:lang w:val="es-ES"/>
              </w:rPr>
              <w:t xml:space="preserve"> adultos en el descubrimiento del lenguaje escrito: </w:t>
            </w:r>
            <w:r>
              <w:rPr>
                <w:lang w:val="es-ES"/>
              </w:rPr>
              <w:t>empecemos señalando</w:t>
            </w:r>
            <w:r w:rsidRPr="00517B61">
              <w:rPr>
                <w:lang w:val="es-ES"/>
              </w:rPr>
              <w:t xml:space="preserve"> los significados y funciones de </w:t>
            </w:r>
            <w:r w:rsidRPr="00B83BAB">
              <w:rPr>
                <w:lang w:val="es-ES"/>
              </w:rPr>
              <w:t>las palabras en su entorno cotidiano (tiendas, letreros y señales de tráfico, avisos, etc.)</w:t>
            </w:r>
          </w:p>
        </w:tc>
      </w:tr>
      <w:tr w:rsidR="0005071C" w:rsidRPr="00103CB2" w:rsidTr="004A00B2">
        <w:tc>
          <w:tcPr>
            <w:tcW w:w="2150" w:type="pct"/>
          </w:tcPr>
          <w:p w:rsidR="0005071C" w:rsidRPr="00103CB2" w:rsidRDefault="0005071C" w:rsidP="004A00B2">
            <w:pPr>
              <w:pStyle w:val="TKTextetableau"/>
              <w:rPr>
                <w:lang w:val="es-ES"/>
              </w:rPr>
            </w:pPr>
            <w:r w:rsidRPr="00103CB2">
              <w:rPr>
                <w:lang w:val="es-ES"/>
              </w:rPr>
              <w:lastRenderedPageBreak/>
              <w:t>Natalie es una mujer de 37 años de Costa de Marfil que habla</w:t>
            </w:r>
            <w:r>
              <w:rPr>
                <w:lang w:val="es-ES"/>
              </w:rPr>
              <w:t xml:space="preserve"> </w:t>
            </w:r>
            <w:proofErr w:type="spellStart"/>
            <w:r>
              <w:rPr>
                <w:lang w:val="es-ES"/>
              </w:rPr>
              <w:t>beté</w:t>
            </w:r>
            <w:proofErr w:type="spellEnd"/>
            <w:r w:rsidRPr="00103CB2">
              <w:rPr>
                <w:lang w:val="es-ES"/>
              </w:rPr>
              <w:t xml:space="preserve"> y francés. Nunca ha </w:t>
            </w:r>
            <w:r>
              <w:rPr>
                <w:lang w:val="es-ES"/>
              </w:rPr>
              <w:t xml:space="preserve">ido </w:t>
            </w:r>
            <w:r w:rsidRPr="00103CB2">
              <w:rPr>
                <w:lang w:val="es-ES"/>
              </w:rPr>
              <w:t xml:space="preserve">a la escuela y no sabe ni leer ni escribir, a pesar de lo cual en el pasado fue </w:t>
            </w:r>
            <w:r w:rsidRPr="00517B61">
              <w:rPr>
                <w:lang w:val="es-ES"/>
              </w:rPr>
              <w:t xml:space="preserve">líder comunitaria </w:t>
            </w:r>
            <w:r w:rsidRPr="00103CB2">
              <w:rPr>
                <w:lang w:val="es-ES"/>
              </w:rPr>
              <w:t xml:space="preserve">en su país y activista </w:t>
            </w:r>
            <w:r>
              <w:rPr>
                <w:lang w:val="es-ES"/>
              </w:rPr>
              <w:t>en</w:t>
            </w:r>
            <w:r w:rsidRPr="00103CB2">
              <w:rPr>
                <w:lang w:val="es-ES"/>
              </w:rPr>
              <w:t xml:space="preserve"> favor de los derechos de las mujeres. Aprendió rápidamente a hablar italiano gracias a sus</w:t>
            </w:r>
            <w:r>
              <w:rPr>
                <w:lang w:val="es-ES"/>
              </w:rPr>
              <w:t xml:space="preserve"> competencias de comunicación oral</w:t>
            </w:r>
            <w:r w:rsidRPr="00103CB2">
              <w:rPr>
                <w:lang w:val="es-ES"/>
              </w:rPr>
              <w:t xml:space="preserve"> tanto en su lengua materna como en francés. </w:t>
            </w:r>
          </w:p>
        </w:tc>
        <w:tc>
          <w:tcPr>
            <w:tcW w:w="2850" w:type="pct"/>
          </w:tcPr>
          <w:p w:rsidR="0005071C" w:rsidRPr="00103CB2" w:rsidRDefault="0005071C" w:rsidP="004A00B2">
            <w:pPr>
              <w:pStyle w:val="TKTextetableau"/>
              <w:rPr>
                <w:b/>
                <w:bCs/>
                <w:lang w:val="es-ES"/>
              </w:rPr>
            </w:pPr>
            <w:r w:rsidRPr="00103CB2">
              <w:rPr>
                <w:b/>
                <w:bCs/>
                <w:lang w:val="es-ES"/>
              </w:rPr>
              <w:t>G</w:t>
            </w:r>
            <w:r>
              <w:rPr>
                <w:b/>
                <w:bCs/>
                <w:lang w:val="es-ES"/>
              </w:rPr>
              <w:t>rupo</w:t>
            </w:r>
            <w:r w:rsidRPr="00103CB2">
              <w:rPr>
                <w:b/>
                <w:bCs/>
                <w:lang w:val="es-ES"/>
              </w:rPr>
              <w:t xml:space="preserve"> B:</w:t>
            </w:r>
          </w:p>
          <w:p w:rsidR="0005071C" w:rsidRPr="00103CB2" w:rsidRDefault="0005071C" w:rsidP="004A00B2">
            <w:pPr>
              <w:pStyle w:val="TKTextetableau"/>
              <w:rPr>
                <w:lang w:val="es-ES"/>
              </w:rPr>
            </w:pPr>
            <w:r>
              <w:rPr>
                <w:lang w:val="es-ES"/>
              </w:rPr>
              <w:t>Los adultos como Natalie nunca han aprendido a leer y escribir en su lengua materna, en su mayoría por no haber sido escolarizados formalmente.</w:t>
            </w:r>
          </w:p>
          <w:p w:rsidR="0005071C" w:rsidRPr="00103CB2" w:rsidRDefault="0005071C" w:rsidP="004A00B2">
            <w:pPr>
              <w:pStyle w:val="TKTextetableau"/>
              <w:rPr>
                <w:lang w:val="es-ES"/>
              </w:rPr>
            </w:pPr>
            <w:r>
              <w:rPr>
                <w:lang w:val="es-ES"/>
              </w:rPr>
              <w:t>Necesitan adquirir competencias básicas (cómo asociar letras a sonidos, combinar letras para formar palabras e identificar</w:t>
            </w:r>
            <w:r w:rsidRPr="001C3A59">
              <w:rPr>
                <w:lang w:val="es-ES"/>
              </w:rPr>
              <w:t xml:space="preserve"> una palabra escrita como palabra hablada y reconocer su significado</w:t>
            </w:r>
            <w:r>
              <w:rPr>
                <w:lang w:val="es-ES"/>
              </w:rPr>
              <w:t>)</w:t>
            </w:r>
            <w:r w:rsidRPr="00103CB2">
              <w:rPr>
                <w:lang w:val="es-ES"/>
              </w:rPr>
              <w:t>.</w:t>
            </w:r>
          </w:p>
          <w:p w:rsidR="0005071C" w:rsidRPr="00103CB2" w:rsidRDefault="0005071C" w:rsidP="004A00B2">
            <w:pPr>
              <w:pStyle w:val="TKTextetableau"/>
              <w:rPr>
                <w:lang w:val="es-ES"/>
              </w:rPr>
            </w:pPr>
            <w:r>
              <w:rPr>
                <w:lang w:val="es-ES"/>
              </w:rPr>
              <w:t xml:space="preserve">Podemos ayudarlos a entender cómo utilizar el lenguaje escrito en su día a día (rellenar un formulario sencillo con sus datos personales, o reconocer el nombre de un producto en una tienda, por ejemplo). </w:t>
            </w:r>
          </w:p>
        </w:tc>
      </w:tr>
      <w:tr w:rsidR="0005071C" w:rsidRPr="00103CB2" w:rsidTr="004A00B2">
        <w:tc>
          <w:tcPr>
            <w:tcW w:w="2150" w:type="pct"/>
            <w:shd w:val="clear" w:color="auto" w:fill="D9D9D9"/>
          </w:tcPr>
          <w:p w:rsidR="0005071C" w:rsidRPr="00103CB2" w:rsidRDefault="0005071C" w:rsidP="004A00B2">
            <w:pPr>
              <w:pStyle w:val="TKTextetableau"/>
              <w:rPr>
                <w:lang w:val="es-ES"/>
              </w:rPr>
            </w:pPr>
            <w:r w:rsidRPr="00103CB2">
              <w:rPr>
                <w:lang w:val="es-ES"/>
              </w:rPr>
              <w:t xml:space="preserve">Abbas es un </w:t>
            </w:r>
            <w:r>
              <w:rPr>
                <w:lang w:val="es-ES"/>
              </w:rPr>
              <w:t>muchacho</w:t>
            </w:r>
            <w:r w:rsidRPr="00103CB2">
              <w:rPr>
                <w:lang w:val="es-ES"/>
              </w:rPr>
              <w:t xml:space="preserve"> de 17 años con escasa formación </w:t>
            </w:r>
            <w:r>
              <w:rPr>
                <w:lang w:val="es-ES"/>
              </w:rPr>
              <w:t>(cinco</w:t>
            </w:r>
            <w:r w:rsidRPr="00103CB2">
              <w:rPr>
                <w:lang w:val="es-ES"/>
              </w:rPr>
              <w:t xml:space="preserve"> años) en su país de origen (Pakistán). El sistema de escritura de su lengua materna (urdu) es alfabético. Lleva viviendo en el país de acogida cinco años, como menor extranjero no acompañado. Actualmente cursa formación profesional, pero le cuesta mucho seguir las clases. Se maneja </w:t>
            </w:r>
            <w:r>
              <w:rPr>
                <w:lang w:val="es-ES"/>
              </w:rPr>
              <w:t xml:space="preserve">en </w:t>
            </w:r>
            <w:r w:rsidRPr="00103CB2">
              <w:rPr>
                <w:lang w:val="es-ES"/>
              </w:rPr>
              <w:t>conversaciones sencillas sobre temas conocidos</w:t>
            </w:r>
            <w:r>
              <w:rPr>
                <w:lang w:val="es-ES"/>
              </w:rPr>
              <w:t>,</w:t>
            </w:r>
            <w:r w:rsidRPr="00103CB2">
              <w:rPr>
                <w:lang w:val="es-ES"/>
              </w:rPr>
              <w:t xml:space="preserve"> y es capaz de reconocer palabras que se repiten con frecuencia en el día a día y en el </w:t>
            </w:r>
            <w:r>
              <w:rPr>
                <w:lang w:val="es-ES"/>
              </w:rPr>
              <w:t>ámbito</w:t>
            </w:r>
            <w:r w:rsidRPr="00103CB2">
              <w:rPr>
                <w:lang w:val="es-ES"/>
              </w:rPr>
              <w:t xml:space="preserve"> educativo. Mantiene un contacto regular con la sociedad del país de acogida. </w:t>
            </w:r>
          </w:p>
        </w:tc>
        <w:tc>
          <w:tcPr>
            <w:tcW w:w="2850" w:type="pct"/>
            <w:shd w:val="clear" w:color="auto" w:fill="D9D9D9"/>
          </w:tcPr>
          <w:p w:rsidR="0005071C" w:rsidRPr="00103CB2" w:rsidRDefault="0005071C" w:rsidP="004A00B2">
            <w:pPr>
              <w:pStyle w:val="TKTextetableau"/>
              <w:rPr>
                <w:b/>
                <w:bCs/>
                <w:lang w:val="es-ES"/>
              </w:rPr>
            </w:pPr>
            <w:r w:rsidRPr="00103CB2">
              <w:rPr>
                <w:b/>
                <w:bCs/>
                <w:lang w:val="es-ES"/>
              </w:rPr>
              <w:t>Gr</w:t>
            </w:r>
            <w:r>
              <w:rPr>
                <w:b/>
                <w:bCs/>
                <w:lang w:val="es-ES"/>
              </w:rPr>
              <w:t>upo</w:t>
            </w:r>
            <w:r w:rsidRPr="00103CB2">
              <w:rPr>
                <w:b/>
                <w:bCs/>
                <w:lang w:val="es-ES"/>
              </w:rPr>
              <w:t xml:space="preserve"> C:</w:t>
            </w:r>
          </w:p>
          <w:p w:rsidR="0005071C" w:rsidRPr="00103CB2" w:rsidRDefault="0005071C" w:rsidP="004A00B2">
            <w:pPr>
              <w:pStyle w:val="TKTextetableau"/>
              <w:rPr>
                <w:lang w:val="es-ES"/>
              </w:rPr>
            </w:pPr>
            <w:r>
              <w:rPr>
                <w:lang w:val="es-ES"/>
              </w:rPr>
              <w:t xml:space="preserve">En este grupo, los adultos no son capaces de leer o escribir para la mayoría de las situaciones cotidianas, pero sí son capaces de leer y escribir algunas cosas. </w:t>
            </w:r>
          </w:p>
          <w:p w:rsidR="0005071C" w:rsidRDefault="0005071C" w:rsidP="004A00B2">
            <w:pPr>
              <w:pStyle w:val="TKTextetableau"/>
              <w:rPr>
                <w:lang w:val="es-ES"/>
              </w:rPr>
            </w:pPr>
            <w:r>
              <w:rPr>
                <w:lang w:val="es-ES"/>
              </w:rPr>
              <w:t>La mayoría de ellos solo han acudido a la escuela durante un breve período de tiempo (por lo general, menos de cinco años), en su lengua materna</w:t>
            </w:r>
            <w:r w:rsidRPr="00103CB2">
              <w:rPr>
                <w:lang w:val="es-ES"/>
              </w:rPr>
              <w:t xml:space="preserve">, </w:t>
            </w:r>
            <w:r>
              <w:rPr>
                <w:lang w:val="es-ES"/>
              </w:rPr>
              <w:t xml:space="preserve">o tal vez han perdido en parte su capacidad de </w:t>
            </w:r>
            <w:r w:rsidRPr="00592AE8">
              <w:rPr>
                <w:lang w:val="es-ES"/>
              </w:rPr>
              <w:t>leer y escribir por falta de uso o de formación adicional.</w:t>
            </w:r>
          </w:p>
          <w:p w:rsidR="0005071C" w:rsidRPr="00103CB2" w:rsidRDefault="0005071C" w:rsidP="004A00B2">
            <w:pPr>
              <w:pStyle w:val="TKTextetableau"/>
              <w:rPr>
                <w:lang w:val="es-ES"/>
              </w:rPr>
            </w:pPr>
            <w:r>
              <w:rPr>
                <w:lang w:val="es-ES"/>
              </w:rPr>
              <w:t xml:space="preserve">Podemos ayudar a los refugiados de este grupo a reforzar las competencias de lectoescritura de que ya disponen, y a aprender a leer y escribir una variedad de textos. De esta </w:t>
            </w:r>
            <w:r>
              <w:rPr>
                <w:lang w:val="es-ES"/>
              </w:rPr>
              <w:t>forma serán</w:t>
            </w:r>
            <w:r>
              <w:rPr>
                <w:lang w:val="es-ES"/>
              </w:rPr>
              <w:t xml:space="preserve"> más capaces de hacer frente a las situaciones cotidianas en las que la comunidad de acogida emplea el lenguaje escrito, como los servicios públicos, el mundo laboral, los viajes, el entretenimiento, etc. </w:t>
            </w:r>
          </w:p>
        </w:tc>
      </w:tr>
      <w:tr w:rsidR="0005071C" w:rsidRPr="00103CB2" w:rsidTr="004A00B2">
        <w:tc>
          <w:tcPr>
            <w:tcW w:w="2150" w:type="pct"/>
          </w:tcPr>
          <w:p w:rsidR="0005071C" w:rsidRPr="00103CB2" w:rsidRDefault="0005071C" w:rsidP="004A00B2">
            <w:pPr>
              <w:pStyle w:val="TKTextetableau"/>
              <w:rPr>
                <w:lang w:val="es-ES"/>
              </w:rPr>
            </w:pPr>
            <w:proofErr w:type="spellStart"/>
            <w:r w:rsidRPr="00103CB2">
              <w:rPr>
                <w:rStyle w:val="apple-converted-space"/>
                <w:lang w:val="es-ES"/>
              </w:rPr>
              <w:t>Beauty</w:t>
            </w:r>
            <w:proofErr w:type="spellEnd"/>
            <w:r w:rsidRPr="00103CB2">
              <w:rPr>
                <w:rStyle w:val="apple-converted-space"/>
                <w:lang w:val="es-ES"/>
              </w:rPr>
              <w:t xml:space="preserve"> tiene 27 años y </w:t>
            </w:r>
            <w:r>
              <w:rPr>
                <w:rStyle w:val="apple-converted-space"/>
                <w:lang w:val="es-ES"/>
              </w:rPr>
              <w:t xml:space="preserve">cursó educación secundaria </w:t>
            </w:r>
            <w:r w:rsidRPr="00103CB2">
              <w:rPr>
                <w:rStyle w:val="apple-converted-space"/>
                <w:lang w:val="es-ES"/>
              </w:rPr>
              <w:t>en Ghana, donde trabajaba como contable. Habla</w:t>
            </w:r>
            <w:r>
              <w:rPr>
                <w:rStyle w:val="apple-converted-space"/>
                <w:lang w:val="es-ES"/>
              </w:rPr>
              <w:t xml:space="preserve"> </w:t>
            </w:r>
            <w:proofErr w:type="spellStart"/>
            <w:r>
              <w:rPr>
                <w:rStyle w:val="apple-converted-space"/>
                <w:lang w:val="es-ES"/>
              </w:rPr>
              <w:t>ewé</w:t>
            </w:r>
            <w:proofErr w:type="spellEnd"/>
            <w:r w:rsidRPr="00103CB2">
              <w:rPr>
                <w:rStyle w:val="apple-converted-space"/>
                <w:lang w:val="es-ES"/>
              </w:rPr>
              <w:t xml:space="preserve"> e inglés. Asistió, junto con su hija de siete meses, a clases de italiano (la lengua de destino) </w:t>
            </w:r>
            <w:r w:rsidRPr="00103CB2">
              <w:rPr>
                <w:lang w:val="es-ES"/>
              </w:rPr>
              <w:t xml:space="preserve">impartidas por voluntarios. Al principio le costaba leer, escribir y aprender como consecuencia del trauma vivido. </w:t>
            </w:r>
            <w:r>
              <w:rPr>
                <w:lang w:val="es-ES"/>
              </w:rPr>
              <w:t xml:space="preserve">Tras acudir a terapia </w:t>
            </w:r>
            <w:r>
              <w:rPr>
                <w:rStyle w:val="apple-converted-space"/>
                <w:lang w:val="es-ES"/>
              </w:rPr>
              <w:t>con un especialista, fue capaz de hacer uso de todos sus recursos personales para aprender el idioma de destino.</w:t>
            </w:r>
          </w:p>
        </w:tc>
        <w:tc>
          <w:tcPr>
            <w:tcW w:w="2850" w:type="pct"/>
          </w:tcPr>
          <w:p w:rsidR="0005071C" w:rsidRPr="00103CB2" w:rsidRDefault="0005071C" w:rsidP="004A00B2">
            <w:pPr>
              <w:pStyle w:val="TKTextetableau"/>
              <w:rPr>
                <w:b/>
                <w:lang w:val="es-ES"/>
              </w:rPr>
            </w:pPr>
            <w:r w:rsidRPr="00103CB2">
              <w:rPr>
                <w:b/>
                <w:lang w:val="es-ES"/>
              </w:rPr>
              <w:t>Gr</w:t>
            </w:r>
            <w:r>
              <w:rPr>
                <w:b/>
                <w:lang w:val="es-ES"/>
              </w:rPr>
              <w:t>upo</w:t>
            </w:r>
            <w:r w:rsidRPr="00103CB2">
              <w:rPr>
                <w:b/>
                <w:lang w:val="es-ES"/>
              </w:rPr>
              <w:t xml:space="preserve"> D:</w:t>
            </w:r>
          </w:p>
          <w:p w:rsidR="0005071C" w:rsidRPr="00103CB2" w:rsidRDefault="0005071C" w:rsidP="004A00B2">
            <w:pPr>
              <w:pStyle w:val="TKTextetableau"/>
              <w:rPr>
                <w:lang w:val="es-ES"/>
              </w:rPr>
            </w:pPr>
            <w:r>
              <w:rPr>
                <w:lang w:val="es-ES"/>
              </w:rPr>
              <w:t>Los adultos como</w:t>
            </w:r>
            <w:r w:rsidRPr="00103CB2">
              <w:rPr>
                <w:lang w:val="es-ES"/>
              </w:rPr>
              <w:t xml:space="preserve"> </w:t>
            </w:r>
            <w:proofErr w:type="spellStart"/>
            <w:r w:rsidRPr="00103CB2">
              <w:rPr>
                <w:lang w:val="es-ES"/>
              </w:rPr>
              <w:t>Beauty</w:t>
            </w:r>
            <w:proofErr w:type="spellEnd"/>
            <w:r w:rsidRPr="00103CB2">
              <w:rPr>
                <w:lang w:val="es-ES"/>
              </w:rPr>
              <w:t xml:space="preserve"> </w:t>
            </w:r>
            <w:r>
              <w:rPr>
                <w:lang w:val="es-ES"/>
              </w:rPr>
              <w:t xml:space="preserve">ya están alfabetizados en su lengua materna. </w:t>
            </w:r>
          </w:p>
          <w:p w:rsidR="0005071C" w:rsidRPr="00103CB2" w:rsidRDefault="0005071C" w:rsidP="004A00B2">
            <w:pPr>
              <w:pStyle w:val="TKTextetableau"/>
              <w:rPr>
                <w:lang w:val="es-ES"/>
              </w:rPr>
            </w:pPr>
            <w:r>
              <w:rPr>
                <w:lang w:val="es-ES"/>
              </w:rPr>
              <w:t>Aunque su nivel educativo, su lengua materna o sus edades pueden diferir, los refugiados alfabetizados pueden centrarse en aprender la lengua de destino y apoyarse en textos escritos para su aprendizaje.</w:t>
            </w:r>
          </w:p>
        </w:tc>
      </w:tr>
    </w:tbl>
    <w:p w:rsidR="005D6CB1" w:rsidRPr="0005071C" w:rsidRDefault="0005071C" w:rsidP="0005071C">
      <w:pPr>
        <w:pStyle w:val="TKnotes"/>
        <w:jc w:val="both"/>
      </w:pPr>
      <w:r>
        <w:rPr>
          <w:lang w:val="es-ES"/>
        </w:rPr>
        <w:t>Nota</w:t>
      </w:r>
      <w:r w:rsidRPr="00103CB2">
        <w:rPr>
          <w:lang w:val="es-ES"/>
        </w:rPr>
        <w:t xml:space="preserve">: </w:t>
      </w:r>
      <w:r>
        <w:rPr>
          <w:lang w:val="es-ES"/>
        </w:rPr>
        <w:t>El presente kit incluye herramientas para ayudar a prestar apoyo a los refugiados de la forma más eficaz posible, como actividades especialmente adaptadas a adultos analfabetos o que están empezando a leer y escribir, y que pueden encuadrarse en los diversos “supuestos”</w:t>
      </w:r>
      <w:r w:rsidRPr="00103CB2">
        <w:rPr>
          <w:lang w:val="es-ES"/>
        </w:rPr>
        <w:t>.</w:t>
      </w:r>
    </w:p>
    <w:sectPr w:rsidR="005D6CB1" w:rsidRPr="0005071C"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512" w:rsidRDefault="00C44512" w:rsidP="00C523EA">
      <w:r>
        <w:separator/>
      </w:r>
    </w:p>
  </w:endnote>
  <w:endnote w:type="continuationSeparator" w:id="0">
    <w:p w:rsidR="00C44512" w:rsidRDefault="00C4451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BB46A2">
      <w:trPr>
        <w:cantSplit/>
        <w:trHeight w:val="132"/>
      </w:trPr>
      <w:tc>
        <w:tcPr>
          <w:tcW w:w="1667" w:type="pct"/>
        </w:tcPr>
        <w:p w:rsidR="00BB46A2" w:rsidRPr="00353351" w:rsidRDefault="00BB46A2" w:rsidP="00BB46A2">
          <w:pPr>
            <w:tabs>
              <w:tab w:val="center" w:pos="4820"/>
            </w:tabs>
            <w:spacing w:before="60"/>
            <w:rPr>
              <w:rFonts w:eastAsia="Calibri" w:cs="Cambria"/>
              <w:sz w:val="18"/>
              <w:szCs w:val="18"/>
              <w:lang w:val="es-ES"/>
            </w:rPr>
          </w:pPr>
          <w:r w:rsidRPr="00353351">
            <w:rPr>
              <w:rFonts w:eastAsia="Calibri" w:cs="Cambria"/>
              <w:sz w:val="18"/>
              <w:szCs w:val="18"/>
              <w:lang w:val="es-ES"/>
            </w:rPr>
            <w:t>Programa de política lingüística</w:t>
          </w:r>
        </w:p>
        <w:p w:rsidR="00BB46A2" w:rsidRPr="00353351" w:rsidRDefault="00BB46A2" w:rsidP="00BB46A2">
          <w:pPr>
            <w:tabs>
              <w:tab w:val="center" w:pos="4820"/>
            </w:tabs>
            <w:spacing w:before="60"/>
            <w:rPr>
              <w:rFonts w:eastAsia="Calibri" w:cs="Cambria"/>
              <w:sz w:val="18"/>
              <w:szCs w:val="18"/>
              <w:lang w:val="es-ES"/>
            </w:rPr>
          </w:pPr>
          <w:r w:rsidRPr="00353351">
            <w:rPr>
              <w:rFonts w:eastAsia="Calibri" w:cs="Cambria"/>
              <w:sz w:val="18"/>
              <w:szCs w:val="18"/>
              <w:lang w:val="es-ES"/>
            </w:rPr>
            <w:t>Estrasburgo</w:t>
          </w:r>
        </w:p>
        <w:p w:rsidR="00BB46A2" w:rsidRPr="00353351" w:rsidRDefault="00BB46A2" w:rsidP="00BB46A2">
          <w:pPr>
            <w:tabs>
              <w:tab w:val="center" w:pos="4820"/>
            </w:tabs>
            <w:spacing w:before="60"/>
            <w:rPr>
              <w:rFonts w:eastAsia="Calibri" w:cs="Cambria"/>
              <w:sz w:val="18"/>
              <w:szCs w:val="18"/>
              <w:lang w:val="es-ES"/>
            </w:rPr>
          </w:pPr>
          <w:r w:rsidRPr="00353351">
            <w:rPr>
              <w:rFonts w:eastAsia="Calibri" w:cs="Cambria"/>
              <w:sz w:val="18"/>
              <w:szCs w:val="18"/>
              <w:lang w:val="es-ES"/>
            </w:rPr>
            <w:t xml:space="preserve"> </w:t>
          </w:r>
        </w:p>
        <w:p w:rsidR="00BB46A2" w:rsidRPr="00353351" w:rsidRDefault="00BB46A2" w:rsidP="00BB46A2">
          <w:pPr>
            <w:tabs>
              <w:tab w:val="center" w:pos="4820"/>
            </w:tabs>
            <w:spacing w:before="60"/>
            <w:rPr>
              <w:rFonts w:eastAsia="Calibri" w:cs="Cambria"/>
              <w:sz w:val="18"/>
              <w:szCs w:val="18"/>
              <w:lang w:val="es-ES"/>
            </w:rPr>
          </w:pPr>
          <w:r w:rsidRPr="00353351">
            <w:rPr>
              <w:rFonts w:eastAsia="Calibri" w:cs="Cambria"/>
              <w:b/>
              <w:sz w:val="18"/>
              <w:szCs w:val="18"/>
              <w:lang w:val="es-ES"/>
            </w:rPr>
            <w:t>Herramienta 15</w:t>
          </w:r>
        </w:p>
        <w:p w:rsidR="00186952" w:rsidRPr="00353351" w:rsidRDefault="00186952" w:rsidP="00D93DCB">
          <w:pPr>
            <w:tabs>
              <w:tab w:val="center" w:pos="4820"/>
            </w:tabs>
            <w:spacing w:before="60"/>
            <w:rPr>
              <w:rFonts w:eastAsia="Calibri" w:cs="Cambria"/>
              <w:sz w:val="18"/>
              <w:szCs w:val="18"/>
              <w:lang w:val="es-ES" w:eastAsia="fr-FR"/>
            </w:rPr>
          </w:pPr>
        </w:p>
      </w:tc>
      <w:tc>
        <w:tcPr>
          <w:tcW w:w="1667" w:type="pct"/>
          <w:vAlign w:val="bottom"/>
        </w:tcPr>
        <w:p w:rsidR="00186952" w:rsidRPr="00D93DCB" w:rsidRDefault="00BB46A2" w:rsidP="00BB46A2">
          <w:pPr>
            <w:tabs>
              <w:tab w:val="center" w:pos="4820"/>
            </w:tabs>
            <w:spacing w:before="60"/>
            <w:jc w:val="center"/>
            <w:rPr>
              <w:rFonts w:eastAsia="Calibri" w:cs="Cambria"/>
              <w:sz w:val="18"/>
              <w:szCs w:val="18"/>
              <w:lang w:val="en-US" w:eastAsia="fr-FR"/>
            </w:rPr>
          </w:pPr>
          <w:r>
            <w:rPr>
              <w:rFonts w:eastAsia="Calibri" w:cs="Cambria"/>
              <w:sz w:val="18"/>
              <w:szCs w:val="18"/>
              <w:lang w:val="en-US" w:eastAsia="fr-FR"/>
            </w:rPr>
            <w:t>Página</w:t>
          </w:r>
          <w:r w:rsidR="00186952" w:rsidRPr="00D93DCB">
            <w:rPr>
              <w:rFonts w:eastAsia="Calibri" w:cs="Cambria"/>
              <w:sz w:val="18"/>
              <w:szCs w:val="18"/>
              <w:lang w:val="en-US" w:eastAsia="fr-FR"/>
            </w:rPr>
            <w:t xml:space="preserve"> </w:t>
          </w:r>
          <w:r w:rsidR="00983355" w:rsidRPr="00D93DCB">
            <w:rPr>
              <w:rFonts w:eastAsia="Calibri" w:cs="Cambria"/>
              <w:sz w:val="18"/>
              <w:szCs w:val="18"/>
              <w:lang w:val="en-US" w:eastAsia="fr-FR"/>
            </w:rPr>
            <w:fldChar w:fldCharType="begin"/>
          </w:r>
          <w:r w:rsidR="00186952" w:rsidRPr="00D93DCB">
            <w:rPr>
              <w:rFonts w:eastAsia="Calibri" w:cs="Cambria"/>
              <w:sz w:val="18"/>
              <w:szCs w:val="18"/>
              <w:lang w:val="en-US" w:eastAsia="fr-FR"/>
            </w:rPr>
            <w:instrText>PAGE</w:instrText>
          </w:r>
          <w:r w:rsidR="00983355" w:rsidRPr="00D93DCB">
            <w:rPr>
              <w:rFonts w:eastAsia="Calibri" w:cs="Cambria"/>
              <w:sz w:val="18"/>
              <w:szCs w:val="18"/>
              <w:lang w:val="en-US" w:eastAsia="fr-FR"/>
            </w:rPr>
            <w:fldChar w:fldCharType="separate"/>
          </w:r>
          <w:r w:rsidR="009135BC">
            <w:rPr>
              <w:rFonts w:eastAsia="Calibri" w:cs="Cambria"/>
              <w:noProof/>
              <w:sz w:val="18"/>
              <w:szCs w:val="18"/>
              <w:lang w:val="en-US" w:eastAsia="fr-FR"/>
            </w:rPr>
            <w:t>1</w:t>
          </w:r>
          <w:r w:rsidR="00983355" w:rsidRPr="00D93DCB">
            <w:rPr>
              <w:rFonts w:eastAsia="Calibri" w:cs="Cambria"/>
              <w:sz w:val="18"/>
              <w:szCs w:val="18"/>
              <w:lang w:val="en-US" w:eastAsia="fr-FR"/>
            </w:rPr>
            <w:fldChar w:fldCharType="end"/>
          </w:r>
          <w:r w:rsidR="00186952" w:rsidRPr="00D93DCB">
            <w:rPr>
              <w:rFonts w:eastAsia="Calibri" w:cs="Cambria"/>
              <w:sz w:val="18"/>
              <w:szCs w:val="18"/>
              <w:lang w:val="en-US" w:eastAsia="fr-FR"/>
            </w:rPr>
            <w:t>/</w:t>
          </w:r>
          <w:r w:rsidR="00983355" w:rsidRPr="00D93DCB">
            <w:rPr>
              <w:rFonts w:eastAsia="Calibri" w:cs="Cambria"/>
              <w:sz w:val="18"/>
              <w:szCs w:val="18"/>
              <w:lang w:val="en-US" w:eastAsia="fr-FR"/>
            </w:rPr>
            <w:fldChar w:fldCharType="begin"/>
          </w:r>
          <w:r w:rsidR="00186952" w:rsidRPr="00D93DCB">
            <w:rPr>
              <w:rFonts w:eastAsia="Calibri" w:cs="Cambria"/>
              <w:sz w:val="18"/>
              <w:szCs w:val="18"/>
              <w:lang w:val="en-US" w:eastAsia="fr-FR"/>
            </w:rPr>
            <w:instrText>NUMPAGES</w:instrText>
          </w:r>
          <w:r w:rsidR="00983355" w:rsidRPr="00D93DCB">
            <w:rPr>
              <w:rFonts w:eastAsia="Calibri" w:cs="Cambria"/>
              <w:sz w:val="18"/>
              <w:szCs w:val="18"/>
              <w:lang w:val="en-US" w:eastAsia="fr-FR"/>
            </w:rPr>
            <w:fldChar w:fldCharType="separate"/>
          </w:r>
          <w:r w:rsidR="009135BC">
            <w:rPr>
              <w:rFonts w:eastAsia="Calibri" w:cs="Cambria"/>
              <w:noProof/>
              <w:sz w:val="18"/>
              <w:szCs w:val="18"/>
              <w:lang w:val="en-US" w:eastAsia="fr-FR"/>
            </w:rPr>
            <w:t>2</w:t>
          </w:r>
          <w:r w:rsidR="00983355" w:rsidRPr="00D93DCB">
            <w:rPr>
              <w:rFonts w:eastAsia="Calibri" w:cs="Cambria"/>
              <w:sz w:val="18"/>
              <w:szCs w:val="18"/>
              <w:lang w:val="en-US" w:eastAsia="fr-FR"/>
            </w:rPr>
            <w:fldChar w:fldCharType="end"/>
          </w:r>
        </w:p>
      </w:tc>
      <w:tc>
        <w:tcPr>
          <w:tcW w:w="1667" w:type="pct"/>
        </w:tcPr>
        <w:p w:rsidR="00186952" w:rsidRPr="00D93DCB" w:rsidRDefault="002E6F3D" w:rsidP="00D93DCB">
          <w:pPr>
            <w:tabs>
              <w:tab w:val="center" w:pos="4820"/>
            </w:tabs>
            <w:spacing w:before="60"/>
            <w:jc w:val="right"/>
            <w:rPr>
              <w:rFonts w:eastAsia="Calibri" w:cs="Cambria"/>
              <w:sz w:val="18"/>
              <w:szCs w:val="18"/>
              <w:lang w:val="en-US" w:eastAsia="fr-FR"/>
            </w:rPr>
          </w:pPr>
          <w:r>
            <w:rPr>
              <w:rFonts w:eastAsia="Calibri" w:cs="Cambria"/>
              <w:noProof/>
              <w:sz w:val="18"/>
              <w:szCs w:val="18"/>
              <w:lang w:val="es-ES" w:eastAsia="es-ES"/>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512" w:rsidRDefault="00C44512" w:rsidP="00C523EA">
      <w:r>
        <w:separator/>
      </w:r>
    </w:p>
  </w:footnote>
  <w:footnote w:type="continuationSeparator" w:id="0">
    <w:p w:rsidR="00C44512" w:rsidRDefault="00C44512"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BB46A2" w:rsidRPr="00216464" w:rsidTr="00BB46A2">
      <w:trPr>
        <w:trHeight w:val="1304"/>
      </w:trPr>
      <w:tc>
        <w:tcPr>
          <w:tcW w:w="2228" w:type="dxa"/>
        </w:tcPr>
        <w:p w:rsidR="00BB46A2" w:rsidRPr="00CB5C65" w:rsidRDefault="00BB46A2" w:rsidP="00186952">
          <w:r>
            <w:rPr>
              <w:noProof/>
              <w:lang w:val="es-ES" w:eastAsia="es-ES"/>
            </w:rPr>
            <w:drawing>
              <wp:inline distT="0" distB="0" distL="0" distR="0">
                <wp:extent cx="981075" cy="7143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722" w:type="dxa"/>
        </w:tcPr>
        <w:p w:rsidR="00BB46A2" w:rsidRDefault="00BB46A2" w:rsidP="00536F05">
          <w:pPr>
            <w:spacing w:line="252" w:lineRule="auto"/>
            <w:jc w:val="center"/>
            <w:rPr>
              <w:rFonts w:eastAsiaTheme="minorHAnsi"/>
              <w:b/>
            </w:rPr>
          </w:pPr>
          <w:r>
            <w:rPr>
              <w:rFonts w:eastAsiaTheme="minorHAnsi"/>
              <w:b/>
            </w:rPr>
            <w:t xml:space="preserve">Apoyo lingüístico a refugiados adultos </w:t>
          </w:r>
        </w:p>
        <w:p w:rsidR="00BB46A2" w:rsidRDefault="00BB46A2" w:rsidP="00536F05">
          <w:pPr>
            <w:spacing w:line="252" w:lineRule="auto"/>
            <w:jc w:val="center"/>
            <w:rPr>
              <w:rFonts w:eastAsiaTheme="minorHAnsi"/>
              <w:b/>
              <w:i/>
            </w:rPr>
          </w:pPr>
          <w:r>
            <w:rPr>
              <w:rFonts w:eastAsiaTheme="minorHAnsi"/>
              <w:b/>
              <w:i/>
            </w:rPr>
            <w:t>Kit de herramientas del Consejo de Europa</w:t>
          </w:r>
        </w:p>
        <w:p w:rsidR="00BB46A2" w:rsidRDefault="00000000" w:rsidP="00536F05">
          <w:pPr>
            <w:spacing w:line="252" w:lineRule="auto"/>
            <w:jc w:val="center"/>
            <w:rPr>
              <w:rFonts w:eastAsiaTheme="minorHAnsi"/>
              <w:color w:val="0000FF"/>
              <w:u w:val="single"/>
            </w:rPr>
          </w:pPr>
          <w:hyperlink r:id="rId2" w:history="1">
            <w:r w:rsidR="00BB46A2">
              <w:rPr>
                <w:rStyle w:val="Lienhypertexte"/>
                <w:rFonts w:eastAsiaTheme="minorHAnsi"/>
              </w:rPr>
              <w:t>www.coe.int/lang-refugees</w:t>
            </w:r>
          </w:hyperlink>
        </w:p>
      </w:tc>
      <w:tc>
        <w:tcPr>
          <w:tcW w:w="2732" w:type="dxa"/>
        </w:tcPr>
        <w:p w:rsidR="00BB46A2" w:rsidRDefault="00BB46A2" w:rsidP="00536F05">
          <w:pPr>
            <w:tabs>
              <w:tab w:val="center" w:pos="4607"/>
              <w:tab w:val="right" w:pos="9214"/>
            </w:tabs>
            <w:spacing w:line="252" w:lineRule="auto"/>
            <w:jc w:val="right"/>
            <w:rPr>
              <w:rFonts w:asciiTheme="minorHAnsi" w:eastAsiaTheme="minorHAnsi" w:hAnsiTheme="minorHAnsi" w:cstheme="minorHAnsi"/>
              <w:sz w:val="20"/>
              <w:szCs w:val="20"/>
            </w:rPr>
          </w:pPr>
          <w:r>
            <w:rPr>
              <w:rFonts w:asciiTheme="minorHAnsi" w:eastAsiaTheme="minorHAnsi" w:hAnsiTheme="minorHAnsi" w:cstheme="minorHAnsi"/>
              <w:sz w:val="20"/>
              <w:szCs w:val="20"/>
            </w:rPr>
            <w:t>Integración lingüística de los migrantes adultos (LIAM)</w:t>
          </w:r>
        </w:p>
        <w:p w:rsidR="00BB46A2" w:rsidRDefault="00000000" w:rsidP="00536F05">
          <w:pPr>
            <w:tabs>
              <w:tab w:val="center" w:pos="4607"/>
              <w:tab w:val="right" w:pos="9214"/>
            </w:tabs>
            <w:spacing w:line="252" w:lineRule="auto"/>
            <w:jc w:val="right"/>
            <w:rPr>
              <w:rFonts w:asciiTheme="majorHAnsi" w:eastAsiaTheme="minorHAnsi" w:hAnsiTheme="majorHAnsi" w:cstheme="majorHAnsi"/>
              <w:color w:val="0000FF"/>
              <w:u w:val="single"/>
            </w:rPr>
          </w:pPr>
          <w:hyperlink r:id="rId3" w:history="1">
            <w:r w:rsidR="00BB46A2">
              <w:rPr>
                <w:rStyle w:val="Lienhypertexte"/>
                <w:rFonts w:asciiTheme="minorHAnsi" w:eastAsiaTheme="minorHAnsi" w:hAnsiTheme="minorHAnsi" w:cstheme="minorHAnsi"/>
                <w:sz w:val="20"/>
                <w:szCs w:val="20"/>
              </w:rPr>
              <w:t>www.coe.int/lang-migrants</w:t>
            </w:r>
          </w:hyperlink>
        </w:p>
      </w:tc>
    </w:tr>
  </w:tbl>
  <w:p w:rsidR="00186952" w:rsidRPr="00353351"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673999649">
    <w:abstractNumId w:val="1"/>
  </w:num>
  <w:num w:numId="2" w16cid:durableId="1567259781">
    <w:abstractNumId w:val="3"/>
  </w:num>
  <w:num w:numId="3" w16cid:durableId="896670263">
    <w:abstractNumId w:val="7"/>
  </w:num>
  <w:num w:numId="4" w16cid:durableId="853492425">
    <w:abstractNumId w:val="0"/>
  </w:num>
  <w:num w:numId="5" w16cid:durableId="1603994215">
    <w:abstractNumId w:val="6"/>
  </w:num>
  <w:num w:numId="6" w16cid:durableId="948044847">
    <w:abstractNumId w:val="5"/>
  </w:num>
  <w:num w:numId="7" w16cid:durableId="1007706348">
    <w:abstractNumId w:val="3"/>
  </w:num>
  <w:num w:numId="8" w16cid:durableId="43062468">
    <w:abstractNumId w:val="2"/>
  </w:num>
  <w:num w:numId="9" w16cid:durableId="597374160">
    <w:abstractNumId w:val="4"/>
  </w:num>
  <w:num w:numId="10" w16cid:durableId="270089087">
    <w:abstractNumId w:val="8"/>
  </w:num>
  <w:num w:numId="11" w16cid:durableId="37855856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C03"/>
    <w:rsid w:val="00004C66"/>
    <w:rsid w:val="00013516"/>
    <w:rsid w:val="000338F0"/>
    <w:rsid w:val="00037B0E"/>
    <w:rsid w:val="0005071C"/>
    <w:rsid w:val="00060CFB"/>
    <w:rsid w:val="000618A7"/>
    <w:rsid w:val="000752C9"/>
    <w:rsid w:val="0008315B"/>
    <w:rsid w:val="000937FA"/>
    <w:rsid w:val="00095CC7"/>
    <w:rsid w:val="000A080D"/>
    <w:rsid w:val="000C5F40"/>
    <w:rsid w:val="000D67C3"/>
    <w:rsid w:val="000E706C"/>
    <w:rsid w:val="000F42D6"/>
    <w:rsid w:val="00103CB2"/>
    <w:rsid w:val="00107DA5"/>
    <w:rsid w:val="00110B4B"/>
    <w:rsid w:val="00113442"/>
    <w:rsid w:val="00126A5E"/>
    <w:rsid w:val="00137AFA"/>
    <w:rsid w:val="00140B7E"/>
    <w:rsid w:val="00154B1F"/>
    <w:rsid w:val="00166485"/>
    <w:rsid w:val="00172C07"/>
    <w:rsid w:val="001741D1"/>
    <w:rsid w:val="0017676C"/>
    <w:rsid w:val="00186952"/>
    <w:rsid w:val="001965B4"/>
    <w:rsid w:val="001A1B4C"/>
    <w:rsid w:val="001B0010"/>
    <w:rsid w:val="001B035B"/>
    <w:rsid w:val="001B602D"/>
    <w:rsid w:val="001B71AD"/>
    <w:rsid w:val="001C3A59"/>
    <w:rsid w:val="001C7918"/>
    <w:rsid w:val="0020300A"/>
    <w:rsid w:val="00214CD0"/>
    <w:rsid w:val="00216464"/>
    <w:rsid w:val="00233192"/>
    <w:rsid w:val="00246E8E"/>
    <w:rsid w:val="00254DC5"/>
    <w:rsid w:val="0026293F"/>
    <w:rsid w:val="002859F5"/>
    <w:rsid w:val="002860CD"/>
    <w:rsid w:val="002A0CEF"/>
    <w:rsid w:val="002A3476"/>
    <w:rsid w:val="002E6F3D"/>
    <w:rsid w:val="002F2562"/>
    <w:rsid w:val="00303A5A"/>
    <w:rsid w:val="00311B05"/>
    <w:rsid w:val="00327BBC"/>
    <w:rsid w:val="0033137E"/>
    <w:rsid w:val="00341CC3"/>
    <w:rsid w:val="00353351"/>
    <w:rsid w:val="0035492A"/>
    <w:rsid w:val="003575BD"/>
    <w:rsid w:val="00373B9F"/>
    <w:rsid w:val="0037570C"/>
    <w:rsid w:val="0038409C"/>
    <w:rsid w:val="003847AD"/>
    <w:rsid w:val="003C050D"/>
    <w:rsid w:val="003C32F5"/>
    <w:rsid w:val="003E358D"/>
    <w:rsid w:val="003F121D"/>
    <w:rsid w:val="003F69E6"/>
    <w:rsid w:val="00460BCC"/>
    <w:rsid w:val="00470AA9"/>
    <w:rsid w:val="004747C8"/>
    <w:rsid w:val="0049006B"/>
    <w:rsid w:val="004B00A1"/>
    <w:rsid w:val="004B4123"/>
    <w:rsid w:val="004B5DD8"/>
    <w:rsid w:val="004C1652"/>
    <w:rsid w:val="004E32A8"/>
    <w:rsid w:val="004F2E30"/>
    <w:rsid w:val="00503E91"/>
    <w:rsid w:val="00517B61"/>
    <w:rsid w:val="00521BEB"/>
    <w:rsid w:val="00526886"/>
    <w:rsid w:val="00535303"/>
    <w:rsid w:val="005369A6"/>
    <w:rsid w:val="00553E63"/>
    <w:rsid w:val="0055589E"/>
    <w:rsid w:val="00555D25"/>
    <w:rsid w:val="005713EB"/>
    <w:rsid w:val="00592AE8"/>
    <w:rsid w:val="0059386A"/>
    <w:rsid w:val="005B5FC9"/>
    <w:rsid w:val="005C2E50"/>
    <w:rsid w:val="005C7720"/>
    <w:rsid w:val="005D6CB1"/>
    <w:rsid w:val="005E37A0"/>
    <w:rsid w:val="005E4CA5"/>
    <w:rsid w:val="005F5179"/>
    <w:rsid w:val="006123AB"/>
    <w:rsid w:val="00617D74"/>
    <w:rsid w:val="00623D54"/>
    <w:rsid w:val="00634900"/>
    <w:rsid w:val="0064154F"/>
    <w:rsid w:val="006455D0"/>
    <w:rsid w:val="00651E90"/>
    <w:rsid w:val="00655B1E"/>
    <w:rsid w:val="00655CCE"/>
    <w:rsid w:val="00682598"/>
    <w:rsid w:val="006A1A21"/>
    <w:rsid w:val="006C0689"/>
    <w:rsid w:val="006C08C3"/>
    <w:rsid w:val="006C7764"/>
    <w:rsid w:val="006D234F"/>
    <w:rsid w:val="006D7936"/>
    <w:rsid w:val="00705BF1"/>
    <w:rsid w:val="00734E55"/>
    <w:rsid w:val="0074542C"/>
    <w:rsid w:val="007458E1"/>
    <w:rsid w:val="00773ACD"/>
    <w:rsid w:val="00776A1D"/>
    <w:rsid w:val="007B4D14"/>
    <w:rsid w:val="007D2750"/>
    <w:rsid w:val="007D5AAE"/>
    <w:rsid w:val="007F5F10"/>
    <w:rsid w:val="0080462C"/>
    <w:rsid w:val="00805257"/>
    <w:rsid w:val="008067EC"/>
    <w:rsid w:val="00815219"/>
    <w:rsid w:val="0083366C"/>
    <w:rsid w:val="00844534"/>
    <w:rsid w:val="008469DE"/>
    <w:rsid w:val="008506D5"/>
    <w:rsid w:val="0085151E"/>
    <w:rsid w:val="00892B00"/>
    <w:rsid w:val="008B45A3"/>
    <w:rsid w:val="008C53DF"/>
    <w:rsid w:val="008E6FB9"/>
    <w:rsid w:val="008F0189"/>
    <w:rsid w:val="008F1473"/>
    <w:rsid w:val="008F24DC"/>
    <w:rsid w:val="009025F0"/>
    <w:rsid w:val="009135BC"/>
    <w:rsid w:val="0093428B"/>
    <w:rsid w:val="00944B01"/>
    <w:rsid w:val="0094551C"/>
    <w:rsid w:val="00953DC1"/>
    <w:rsid w:val="00963E0D"/>
    <w:rsid w:val="00970C63"/>
    <w:rsid w:val="0097497F"/>
    <w:rsid w:val="00983355"/>
    <w:rsid w:val="00987DE9"/>
    <w:rsid w:val="009A4759"/>
    <w:rsid w:val="009A5131"/>
    <w:rsid w:val="009B7F95"/>
    <w:rsid w:val="00A03292"/>
    <w:rsid w:val="00A1258A"/>
    <w:rsid w:val="00A36998"/>
    <w:rsid w:val="00A5196F"/>
    <w:rsid w:val="00A56015"/>
    <w:rsid w:val="00A633A4"/>
    <w:rsid w:val="00A6623D"/>
    <w:rsid w:val="00A67362"/>
    <w:rsid w:val="00A7554F"/>
    <w:rsid w:val="00A802F2"/>
    <w:rsid w:val="00A81C9B"/>
    <w:rsid w:val="00AB255A"/>
    <w:rsid w:val="00AC6B2A"/>
    <w:rsid w:val="00AE657E"/>
    <w:rsid w:val="00AF4A1E"/>
    <w:rsid w:val="00AF56A8"/>
    <w:rsid w:val="00B33421"/>
    <w:rsid w:val="00B35EFB"/>
    <w:rsid w:val="00B5246A"/>
    <w:rsid w:val="00B73A35"/>
    <w:rsid w:val="00B83BAB"/>
    <w:rsid w:val="00B85B33"/>
    <w:rsid w:val="00B87D33"/>
    <w:rsid w:val="00B94E15"/>
    <w:rsid w:val="00BA25B4"/>
    <w:rsid w:val="00BA3C32"/>
    <w:rsid w:val="00BB182D"/>
    <w:rsid w:val="00BB46A2"/>
    <w:rsid w:val="00BD2F15"/>
    <w:rsid w:val="00BD3C03"/>
    <w:rsid w:val="00BD68E9"/>
    <w:rsid w:val="00BE6428"/>
    <w:rsid w:val="00BF2B09"/>
    <w:rsid w:val="00BF601E"/>
    <w:rsid w:val="00BF693D"/>
    <w:rsid w:val="00C24B3F"/>
    <w:rsid w:val="00C44512"/>
    <w:rsid w:val="00C473D0"/>
    <w:rsid w:val="00C523EA"/>
    <w:rsid w:val="00C622D7"/>
    <w:rsid w:val="00C7477C"/>
    <w:rsid w:val="00C8086F"/>
    <w:rsid w:val="00CC0991"/>
    <w:rsid w:val="00CF0AC7"/>
    <w:rsid w:val="00CF0B90"/>
    <w:rsid w:val="00CF36D3"/>
    <w:rsid w:val="00D00DA4"/>
    <w:rsid w:val="00D07616"/>
    <w:rsid w:val="00D2211A"/>
    <w:rsid w:val="00D342A5"/>
    <w:rsid w:val="00D57D70"/>
    <w:rsid w:val="00D61794"/>
    <w:rsid w:val="00D81172"/>
    <w:rsid w:val="00D8328F"/>
    <w:rsid w:val="00D93DCB"/>
    <w:rsid w:val="00DA5A92"/>
    <w:rsid w:val="00DC312E"/>
    <w:rsid w:val="00DC4FCA"/>
    <w:rsid w:val="00DD0635"/>
    <w:rsid w:val="00DD35DF"/>
    <w:rsid w:val="00DD53DC"/>
    <w:rsid w:val="00DD750B"/>
    <w:rsid w:val="00DE5B7D"/>
    <w:rsid w:val="00DF5B76"/>
    <w:rsid w:val="00DF60EB"/>
    <w:rsid w:val="00E076C3"/>
    <w:rsid w:val="00E43403"/>
    <w:rsid w:val="00E53152"/>
    <w:rsid w:val="00E7701C"/>
    <w:rsid w:val="00E826A8"/>
    <w:rsid w:val="00E90A39"/>
    <w:rsid w:val="00ED08BD"/>
    <w:rsid w:val="00ED4CB7"/>
    <w:rsid w:val="00EE0FF4"/>
    <w:rsid w:val="00EE4935"/>
    <w:rsid w:val="00F260E9"/>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4E8652-DAC7-4529-AFAB-39E7B09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rPr>
      <w:rFonts w:eastAsia="Times New Roman" w:cs="Times New Roman"/>
      <w:sz w:val="24"/>
      <w:szCs w:val="22"/>
      <w:lang w:val="es-ES_tradnl"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Sansinterligne1">
    <w:name w:val="Sans interligne1"/>
    <w:aliases w:val="Tesi"/>
    <w:uiPriority w:val="99"/>
    <w:qFormat/>
    <w:rsid w:val="00BD3C03"/>
    <w:pPr>
      <w:spacing w:line="312" w:lineRule="auto"/>
      <w:ind w:firstLine="709"/>
      <w:contextualSpacing/>
    </w:pPr>
    <w:rPr>
      <w:rFonts w:ascii="Arial" w:hAnsi="Arial" w:cs="Times New Roman"/>
      <w:sz w:val="24"/>
      <w:szCs w:val="22"/>
      <w:lang w:val="en-GB" w:eastAsia="en-US"/>
    </w:rPr>
  </w:style>
  <w:style w:type="character" w:customStyle="1" w:styleId="apple-converted-space">
    <w:name w:val="apple-converted-space"/>
    <w:uiPriority w:val="99"/>
    <w:rsid w:val="000D67C3"/>
  </w:style>
  <w:style w:type="character" w:styleId="Marquedecommentaire">
    <w:name w:val="annotation reference"/>
    <w:basedOn w:val="Policepardfaut"/>
    <w:uiPriority w:val="99"/>
    <w:semiHidden/>
    <w:unhideWhenUsed/>
    <w:rsid w:val="005C7720"/>
    <w:rPr>
      <w:sz w:val="16"/>
      <w:szCs w:val="16"/>
    </w:rPr>
  </w:style>
  <w:style w:type="paragraph" w:styleId="Commentaire">
    <w:name w:val="annotation text"/>
    <w:basedOn w:val="Normal"/>
    <w:link w:val="CommentaireCar"/>
    <w:uiPriority w:val="99"/>
    <w:semiHidden/>
    <w:unhideWhenUsed/>
    <w:rsid w:val="005C7720"/>
    <w:rPr>
      <w:sz w:val="20"/>
      <w:szCs w:val="20"/>
    </w:rPr>
  </w:style>
  <w:style w:type="character" w:customStyle="1" w:styleId="CommentaireCar">
    <w:name w:val="Commentaire Car"/>
    <w:basedOn w:val="Policepardfaut"/>
    <w:link w:val="Commentaire"/>
    <w:uiPriority w:val="99"/>
    <w:semiHidden/>
    <w:rsid w:val="005C7720"/>
    <w:rPr>
      <w:rFonts w:eastAsia="Times New Roman" w:cs="Times New Roman"/>
      <w:lang w:val="es-ES_tradnl" w:eastAsia="en-US"/>
    </w:rPr>
  </w:style>
  <w:style w:type="paragraph" w:styleId="Objetducommentaire">
    <w:name w:val="annotation subject"/>
    <w:basedOn w:val="Commentaire"/>
    <w:next w:val="Commentaire"/>
    <w:link w:val="ObjetducommentaireCar"/>
    <w:uiPriority w:val="99"/>
    <w:semiHidden/>
    <w:unhideWhenUsed/>
    <w:rsid w:val="005C7720"/>
    <w:rPr>
      <w:b/>
      <w:bCs/>
    </w:rPr>
  </w:style>
  <w:style w:type="character" w:customStyle="1" w:styleId="ObjetducommentaireCar">
    <w:name w:val="Objet du commentaire Car"/>
    <w:basedOn w:val="CommentaireCar"/>
    <w:link w:val="Objetducommentaire"/>
    <w:uiPriority w:val="99"/>
    <w:semiHidden/>
    <w:rsid w:val="005C7720"/>
    <w:rPr>
      <w:rFonts w:eastAsia="Times New Roman" w:cs="Times New Roman"/>
      <w:b/>
      <w:bCs/>
      <w:lang w:val="es-ES_tradnl" w:eastAsia="en-US"/>
    </w:rPr>
  </w:style>
  <w:style w:type="character" w:styleId="Mentionnonrsolue">
    <w:name w:val="Unresolved Mention"/>
    <w:basedOn w:val="Policepardfaut"/>
    <w:uiPriority w:val="99"/>
    <w:semiHidden/>
    <w:unhideWhenUsed/>
    <w:rsid w:val="0005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literacy-prof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m.coe.int/herramienta-17-dificultades-experimentadas-al-aprender-a-leer-y-escrib/1680a966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7DAF-BF6C-47BD-9EB9-0BFFD658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33</TotalTime>
  <Pages>2</Pages>
  <Words>1072</Words>
  <Characters>5899</Characters>
  <Application>Microsoft Office Word</Application>
  <DocSecurity>0</DocSecurity>
  <Lines>49</Lines>
  <Paragraphs>13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6958</CharactersWithSpaces>
  <SharedDoc>false</SharedDoc>
  <HLinks>
    <vt:vector size="18" baseType="variant">
      <vt:variant>
        <vt:i4>852036</vt:i4>
      </vt:variant>
      <vt:variant>
        <vt:i4>0</vt:i4>
      </vt:variant>
      <vt:variant>
        <vt:i4>0</vt:i4>
      </vt:variant>
      <vt:variant>
        <vt:i4>5</vt:i4>
      </vt:variant>
      <vt:variant>
        <vt:lpwstr>http://www.coe.int/it/web/lang-migrants/literacy-profiles</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Carole</cp:lastModifiedBy>
  <cp:revision>10</cp:revision>
  <cp:lastPrinted>2020-11-23T09:18:00Z</cp:lastPrinted>
  <dcterms:created xsi:type="dcterms:W3CDTF">2020-12-01T11:44:00Z</dcterms:created>
  <dcterms:modified xsi:type="dcterms:W3CDTF">2022-12-15T13:47:00Z</dcterms:modified>
</cp:coreProperties>
</file>