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103D" w14:textId="77777777" w:rsidR="00737F14" w:rsidRPr="006D4802" w:rsidRDefault="00C012EE" w:rsidP="00C012EE">
      <w:pPr>
        <w:pStyle w:val="TKMAINTITLE"/>
        <w:rPr>
          <w:lang w:val="es-ES"/>
        </w:rPr>
      </w:pPr>
      <w:r w:rsidRPr="006D4802">
        <w:rPr>
          <w:lang w:val="es-ES"/>
        </w:rPr>
        <w:t>1</w:t>
      </w:r>
      <w:r w:rsidR="00C7087A" w:rsidRPr="006D4802">
        <w:rPr>
          <w:lang w:val="es-ES"/>
        </w:rPr>
        <w:t>4</w:t>
      </w:r>
      <w:r w:rsidRPr="006D4802">
        <w:rPr>
          <w:lang w:val="es-ES"/>
        </w:rPr>
        <w:t xml:space="preserve"> </w:t>
      </w:r>
      <w:r w:rsidR="00B273EB">
        <w:rPr>
          <w:lang w:val="es-ES"/>
        </w:rPr>
        <w:t>-</w:t>
      </w:r>
      <w:r w:rsidRPr="006D4802">
        <w:rPr>
          <w:lang w:val="es-ES"/>
        </w:rPr>
        <w:t xml:space="preserve"> </w:t>
      </w:r>
      <w:r w:rsidR="00770190" w:rsidRPr="006D4802">
        <w:rPr>
          <w:lang w:val="es-ES"/>
        </w:rPr>
        <w:t>Diversidad de los grupos de trabajo</w:t>
      </w:r>
    </w:p>
    <w:p w14:paraId="623BA995" w14:textId="77777777" w:rsidR="00737F14" w:rsidRPr="006D4802" w:rsidRDefault="00770190" w:rsidP="00F64209">
      <w:pPr>
        <w:pStyle w:val="TKAIM"/>
        <w:tabs>
          <w:tab w:val="clear" w:pos="709"/>
          <w:tab w:val="left" w:pos="851"/>
        </w:tabs>
        <w:ind w:left="851" w:hanging="1135"/>
        <w:jc w:val="both"/>
        <w:rPr>
          <w:lang w:val="es-ES"/>
        </w:rPr>
      </w:pPr>
      <w:r w:rsidRPr="006D4802">
        <w:rPr>
          <w:lang w:val="es-ES"/>
        </w:rPr>
        <w:t>Finalidad</w:t>
      </w:r>
      <w:r w:rsidR="00737F14" w:rsidRPr="006D4802">
        <w:rPr>
          <w:lang w:val="es-ES"/>
        </w:rPr>
        <w:t xml:space="preserve">: </w:t>
      </w:r>
      <w:r w:rsidRPr="006D4802">
        <w:rPr>
          <w:lang w:val="es-ES"/>
        </w:rPr>
        <w:t>Concienciar sobre la forma en que las diferencias entre las distintas personas que integran un grupo pueden incidir en la preparación y prestación del apoyo lingüístico</w:t>
      </w:r>
      <w:r w:rsidR="00737F14" w:rsidRPr="006D4802">
        <w:rPr>
          <w:lang w:val="es-ES"/>
        </w:rPr>
        <w:t>.</w:t>
      </w:r>
    </w:p>
    <w:p w14:paraId="25E5A687" w14:textId="77777777" w:rsidR="00737F14" w:rsidRPr="006D4802" w:rsidRDefault="00AE03EB" w:rsidP="00C849D4">
      <w:pPr>
        <w:pStyle w:val="TKTEXTE"/>
        <w:jc w:val="both"/>
        <w:rPr>
          <w:lang w:val="es-ES"/>
        </w:rPr>
      </w:pPr>
      <w:r w:rsidRPr="006D4802">
        <w:rPr>
          <w:lang w:val="es-ES"/>
        </w:rPr>
        <w:t xml:space="preserve">Todos hemos </w:t>
      </w:r>
      <w:r w:rsidR="00F64209" w:rsidRPr="006D4802">
        <w:rPr>
          <w:lang w:val="es-ES"/>
        </w:rPr>
        <w:t>tenido la experiencia</w:t>
      </w:r>
      <w:r w:rsidR="00792FF5" w:rsidRPr="006D4802">
        <w:rPr>
          <w:lang w:val="es-ES"/>
        </w:rPr>
        <w:t xml:space="preserve"> de p</w:t>
      </w:r>
      <w:r w:rsidR="00C849D4" w:rsidRPr="006D4802">
        <w:rPr>
          <w:lang w:val="es-ES"/>
        </w:rPr>
        <w:t>ertenecer a grupos mixtos o</w:t>
      </w:r>
      <w:r w:rsidR="00792FF5" w:rsidRPr="006D4802">
        <w:rPr>
          <w:lang w:val="es-ES"/>
        </w:rPr>
        <w:t xml:space="preserve"> de</w:t>
      </w:r>
      <w:r w:rsidR="00C849D4" w:rsidRPr="006D4802">
        <w:rPr>
          <w:lang w:val="es-ES"/>
        </w:rPr>
        <w:t xml:space="preserve"> tratar con ellos</w:t>
      </w:r>
      <w:r w:rsidR="00737F14" w:rsidRPr="006D4802">
        <w:rPr>
          <w:lang w:val="es-ES"/>
        </w:rPr>
        <w:t xml:space="preserve">. </w:t>
      </w:r>
      <w:r w:rsidR="00C849D4" w:rsidRPr="006D4802">
        <w:rPr>
          <w:lang w:val="es-ES"/>
        </w:rPr>
        <w:t xml:space="preserve">Los espectadores de un partido de fútbol o el público de un teatro comparten un interés concreto, pero son personas muy distintas en muchos otros aspectos. </w:t>
      </w:r>
    </w:p>
    <w:p w14:paraId="76324402" w14:textId="77777777" w:rsidR="00C849D4" w:rsidRPr="006D4802" w:rsidRDefault="00C849D4" w:rsidP="00792FF5">
      <w:pPr>
        <w:pStyle w:val="TKTEXTE"/>
        <w:jc w:val="both"/>
        <w:rPr>
          <w:lang w:val="es-ES"/>
        </w:rPr>
      </w:pPr>
      <w:r w:rsidRPr="006D4802">
        <w:rPr>
          <w:lang w:val="es-ES"/>
        </w:rPr>
        <w:t xml:space="preserve">Cuando se presta apoyo al aprendizaje de idiomas por los refugiados, es importante tener en cuenta que </w:t>
      </w:r>
      <w:r w:rsidR="002D636B">
        <w:rPr>
          <w:lang w:val="es-ES"/>
        </w:rPr>
        <w:t xml:space="preserve">estos componen </w:t>
      </w:r>
      <w:r w:rsidRPr="006D4802">
        <w:rPr>
          <w:lang w:val="es-ES"/>
        </w:rPr>
        <w:t>un grupo</w:t>
      </w:r>
      <w:r w:rsidR="00792FF5" w:rsidRPr="006D4802">
        <w:rPr>
          <w:lang w:val="es-ES"/>
        </w:rPr>
        <w:t xml:space="preserve"> muy diverso de personas que proceden de distintos contextos sociales, educativos y culturales</w:t>
      </w:r>
      <w:r w:rsidR="00B273EB">
        <w:rPr>
          <w:lang w:val="es-ES"/>
        </w:rPr>
        <w:t>,</w:t>
      </w:r>
      <w:r w:rsidR="00792FF5" w:rsidRPr="006D4802">
        <w:rPr>
          <w:lang w:val="es-ES"/>
        </w:rPr>
        <w:t xml:space="preserve"> </w:t>
      </w:r>
      <w:r w:rsidRPr="006D4802">
        <w:rPr>
          <w:lang w:val="es-ES"/>
        </w:rPr>
        <w:t xml:space="preserve">y </w:t>
      </w:r>
      <w:r w:rsidR="002D636B">
        <w:rPr>
          <w:lang w:val="es-ES"/>
        </w:rPr>
        <w:t xml:space="preserve">con </w:t>
      </w:r>
      <w:r w:rsidR="00792FF5" w:rsidRPr="006D4802">
        <w:rPr>
          <w:lang w:val="es-ES"/>
        </w:rPr>
        <w:t xml:space="preserve">distintas </w:t>
      </w:r>
      <w:r w:rsidRPr="006D4802">
        <w:rPr>
          <w:lang w:val="es-ES"/>
        </w:rPr>
        <w:t xml:space="preserve">actitudes y </w:t>
      </w:r>
      <w:r w:rsidR="00792FF5" w:rsidRPr="006D4802">
        <w:rPr>
          <w:lang w:val="es-ES"/>
        </w:rPr>
        <w:t>grados de ambición con respecto al aprendizaje de</w:t>
      </w:r>
      <w:r w:rsidR="00B273EB">
        <w:rPr>
          <w:lang w:val="es-ES"/>
        </w:rPr>
        <w:t>l</w:t>
      </w:r>
      <w:r w:rsidR="00792FF5" w:rsidRPr="006D4802">
        <w:rPr>
          <w:lang w:val="es-ES"/>
        </w:rPr>
        <w:t xml:space="preserve"> </w:t>
      </w:r>
      <w:r w:rsidRPr="006D4802">
        <w:rPr>
          <w:lang w:val="es-ES"/>
        </w:rPr>
        <w:t xml:space="preserve">nuevo idioma. Es importante </w:t>
      </w:r>
      <w:r w:rsidR="00792FF5" w:rsidRPr="006D4802">
        <w:rPr>
          <w:lang w:val="es-ES"/>
        </w:rPr>
        <w:t xml:space="preserve">dar a los refugiados la posibilidad de determinar qué es lo que quieren aprender </w:t>
      </w:r>
      <w:r w:rsidRPr="006D4802">
        <w:rPr>
          <w:lang w:val="es-ES"/>
        </w:rPr>
        <w:t xml:space="preserve">y cómo, </w:t>
      </w:r>
      <w:r w:rsidR="00792FF5" w:rsidRPr="006D4802">
        <w:rPr>
          <w:lang w:val="es-ES"/>
        </w:rPr>
        <w:t>permitir un aprendizaje a distintas velocidades y recurrir a a</w:t>
      </w:r>
      <w:r w:rsidRPr="006D4802">
        <w:rPr>
          <w:lang w:val="es-ES"/>
        </w:rPr>
        <w:t xml:space="preserve">ctividades y enfoques </w:t>
      </w:r>
      <w:r w:rsidR="00792FF5" w:rsidRPr="006D4802">
        <w:rPr>
          <w:lang w:val="es-ES"/>
        </w:rPr>
        <w:t xml:space="preserve">distintos </w:t>
      </w:r>
      <w:r w:rsidR="00B273EB">
        <w:rPr>
          <w:lang w:val="es-ES"/>
        </w:rPr>
        <w:t>para dicho aprendizaje.</w:t>
      </w:r>
    </w:p>
    <w:p w14:paraId="0167FF0F" w14:textId="77777777" w:rsidR="00737F14" w:rsidRPr="006D4802" w:rsidRDefault="00792FF5" w:rsidP="00DE286D">
      <w:pPr>
        <w:pStyle w:val="TKTITRE1"/>
        <w:rPr>
          <w:lang w:val="es-ES"/>
        </w:rPr>
      </w:pPr>
      <w:r w:rsidRPr="006D4802">
        <w:rPr>
          <w:lang w:val="es-ES"/>
        </w:rPr>
        <w:t>Diversidad en la vida cotidiana</w:t>
      </w:r>
    </w:p>
    <w:p w14:paraId="0DB09F85" w14:textId="77777777" w:rsidR="00BA5FFE" w:rsidRPr="006D4802" w:rsidRDefault="00792FF5" w:rsidP="00BA5FFE">
      <w:pPr>
        <w:pStyle w:val="TKTEXTE"/>
        <w:jc w:val="both"/>
        <w:rPr>
          <w:lang w:val="es-ES"/>
        </w:rPr>
      </w:pPr>
      <w:r w:rsidRPr="006D4802">
        <w:rPr>
          <w:lang w:val="es-ES"/>
        </w:rPr>
        <w:t>En un hotel de una gran ciudad podemos encontrar muchos huéspedes que hablen distintos idiomas y requieran distintos tipos de asesoramiento o información</w:t>
      </w:r>
      <w:r w:rsidR="00B273EB">
        <w:rPr>
          <w:lang w:val="es-ES"/>
        </w:rPr>
        <w:t>,</w:t>
      </w:r>
      <w:r w:rsidRPr="006D4802">
        <w:rPr>
          <w:lang w:val="es-ES"/>
        </w:rPr>
        <w:t xml:space="preserve"> pero </w:t>
      </w:r>
      <w:r w:rsidR="00B273EB">
        <w:rPr>
          <w:lang w:val="es-ES"/>
        </w:rPr>
        <w:t xml:space="preserve">que </w:t>
      </w:r>
      <w:r w:rsidRPr="006D4802">
        <w:rPr>
          <w:lang w:val="es-ES"/>
        </w:rPr>
        <w:t xml:space="preserve">estén obligados a seguir las mismas normas en materia de horarios de </w:t>
      </w:r>
      <w:r w:rsidR="00F64209" w:rsidRPr="006D4802">
        <w:rPr>
          <w:i/>
          <w:lang w:val="es-ES"/>
        </w:rPr>
        <w:t xml:space="preserve">check </w:t>
      </w:r>
      <w:r w:rsidR="00737F14" w:rsidRPr="006D4802">
        <w:rPr>
          <w:i/>
          <w:lang w:val="es-ES"/>
        </w:rPr>
        <w:t>in</w:t>
      </w:r>
      <w:r w:rsidR="00737F14" w:rsidRPr="006D4802">
        <w:rPr>
          <w:lang w:val="es-ES"/>
        </w:rPr>
        <w:t xml:space="preserve"> </w:t>
      </w:r>
      <w:r w:rsidRPr="006D4802">
        <w:rPr>
          <w:lang w:val="es-ES"/>
        </w:rPr>
        <w:t xml:space="preserve">y </w:t>
      </w:r>
      <w:r w:rsidR="00F64209" w:rsidRPr="006D4802">
        <w:rPr>
          <w:i/>
          <w:lang w:val="es-ES"/>
        </w:rPr>
        <w:t xml:space="preserve">check </w:t>
      </w:r>
      <w:r w:rsidR="00737F14" w:rsidRPr="006D4802">
        <w:rPr>
          <w:i/>
          <w:lang w:val="es-ES"/>
        </w:rPr>
        <w:t>out</w:t>
      </w:r>
      <w:r w:rsidR="00737F14" w:rsidRPr="006D4802">
        <w:rPr>
          <w:lang w:val="es-ES"/>
        </w:rPr>
        <w:t>,</w:t>
      </w:r>
      <w:r w:rsidRPr="006D4802">
        <w:rPr>
          <w:lang w:val="es-ES"/>
        </w:rPr>
        <w:t xml:space="preserve"> consumo de tabaco, utilización de la red </w:t>
      </w:r>
      <w:r w:rsidRPr="00426ABA">
        <w:rPr>
          <w:lang w:val="es-ES"/>
        </w:rPr>
        <w:t>wifi</w:t>
      </w:r>
      <w:r w:rsidRPr="006D4802">
        <w:rPr>
          <w:lang w:val="es-ES"/>
        </w:rPr>
        <w:t xml:space="preserve">, etc. </w:t>
      </w:r>
      <w:r w:rsidR="00BA5FFE" w:rsidRPr="006D4802">
        <w:rPr>
          <w:lang w:val="es-ES"/>
        </w:rPr>
        <w:t xml:space="preserve">El personal de la recepción utilizará distintos idiomas, señalará lugares en mapas, </w:t>
      </w:r>
      <w:r w:rsidR="00B273EB">
        <w:rPr>
          <w:lang w:val="es-ES"/>
        </w:rPr>
        <w:t>recurrirá a los</w:t>
      </w:r>
      <w:r w:rsidR="00BA5FFE" w:rsidRPr="006D4802">
        <w:rPr>
          <w:lang w:val="es-ES"/>
        </w:rPr>
        <w:t xml:space="preserve"> gestos o realizará anotaciones para asegurarse de que cada </w:t>
      </w:r>
      <w:r w:rsidR="00B273EB">
        <w:rPr>
          <w:lang w:val="es-ES"/>
        </w:rPr>
        <w:t>huésped</w:t>
      </w:r>
      <w:r w:rsidR="00BA5FFE" w:rsidRPr="006D4802">
        <w:rPr>
          <w:lang w:val="es-ES"/>
        </w:rPr>
        <w:t xml:space="preserve"> recibe la información necesaria. A pesar de las diferencias existentes entre los huéspedes, y entre los miembros del personal del hotel, todos tienen que entender y seguir las mismas reglas y normas.</w:t>
      </w:r>
    </w:p>
    <w:p w14:paraId="4BE46637" w14:textId="77777777" w:rsidR="00BA5FFE" w:rsidRPr="006D4802" w:rsidRDefault="00BA5FFE" w:rsidP="00BA5FFE">
      <w:pPr>
        <w:pStyle w:val="TKTEXTE"/>
        <w:jc w:val="both"/>
        <w:rPr>
          <w:lang w:val="es-ES"/>
        </w:rPr>
      </w:pPr>
    </w:p>
    <w:p w14:paraId="14323A77" w14:textId="77777777" w:rsidR="00737F14" w:rsidRPr="006D4802" w:rsidRDefault="00BA5FFE" w:rsidP="00DE286D">
      <w:pPr>
        <w:pStyle w:val="TKTITRE1"/>
        <w:rPr>
          <w:lang w:val="es-ES"/>
        </w:rPr>
      </w:pPr>
      <w:r w:rsidRPr="006D4802">
        <w:rPr>
          <w:lang w:val="es-ES"/>
        </w:rPr>
        <w:t xml:space="preserve">Reflexión sobre el grupo de refugiados </w:t>
      </w:r>
      <w:r w:rsidR="00B273EB">
        <w:rPr>
          <w:lang w:val="es-ES"/>
        </w:rPr>
        <w:t>que integran el grupo de aprendizaje</w:t>
      </w:r>
      <w:r w:rsidRPr="006D4802">
        <w:rPr>
          <w:lang w:val="es-ES"/>
        </w:rPr>
        <w:t xml:space="preserve"> </w:t>
      </w:r>
    </w:p>
    <w:p w14:paraId="65F9A75E" w14:textId="77777777" w:rsidR="00FD35CF" w:rsidRPr="006D4802" w:rsidRDefault="00BA5FFE" w:rsidP="00BA5FFE">
      <w:pPr>
        <w:pStyle w:val="TKTEXTE"/>
        <w:jc w:val="both"/>
        <w:rPr>
          <w:lang w:val="es-ES"/>
        </w:rPr>
      </w:pPr>
      <w:r w:rsidRPr="006D4802">
        <w:rPr>
          <w:lang w:val="es-ES"/>
        </w:rPr>
        <w:t xml:space="preserve">En el </w:t>
      </w:r>
      <w:r w:rsidR="002D636B">
        <w:rPr>
          <w:lang w:val="es-ES"/>
        </w:rPr>
        <w:t xml:space="preserve">siguiente </w:t>
      </w:r>
      <w:r w:rsidRPr="006D4802">
        <w:rPr>
          <w:lang w:val="es-ES"/>
        </w:rPr>
        <w:t xml:space="preserve">cuadro se incluyen algunas de las características </w:t>
      </w:r>
      <w:r w:rsidR="00B273EB" w:rsidRPr="006D4802">
        <w:rPr>
          <w:lang w:val="es-ES"/>
        </w:rPr>
        <w:t xml:space="preserve">principales </w:t>
      </w:r>
      <w:r w:rsidRPr="006D4802">
        <w:rPr>
          <w:lang w:val="es-ES"/>
        </w:rPr>
        <w:t xml:space="preserve">de los grupos mixtos de alumnos. Reflexionemos acerca del grupo de refugiados </w:t>
      </w:r>
      <w:r w:rsidR="002D636B">
        <w:rPr>
          <w:lang w:val="es-ES"/>
        </w:rPr>
        <w:t xml:space="preserve">que tenemos ante nosotros o </w:t>
      </w:r>
      <w:r w:rsidRPr="006D4802">
        <w:rPr>
          <w:lang w:val="es-ES"/>
        </w:rPr>
        <w:t xml:space="preserve">al </w:t>
      </w:r>
      <w:r w:rsidR="00B273EB">
        <w:rPr>
          <w:lang w:val="es-ES"/>
        </w:rPr>
        <w:t>que prestaremos apoyo, y decidamos</w:t>
      </w:r>
      <w:r w:rsidRPr="006D4802">
        <w:rPr>
          <w:lang w:val="es-ES"/>
        </w:rPr>
        <w:t xml:space="preserve"> cuáles de los siguientes factores incidirán en nuestra labor</w:t>
      </w:r>
      <w:r w:rsidR="00B273EB">
        <w:rPr>
          <w:lang w:val="es-ES"/>
        </w:rPr>
        <w:t>,</w:t>
      </w:r>
      <w:r w:rsidRPr="006D4802">
        <w:rPr>
          <w:lang w:val="es-ES"/>
        </w:rPr>
        <w:t xml:space="preserve"> y cómo </w:t>
      </w:r>
      <w:r w:rsidR="00B273EB">
        <w:rPr>
          <w:lang w:val="es-ES"/>
        </w:rPr>
        <w:t xml:space="preserve">la </w:t>
      </w:r>
      <w:r w:rsidRPr="006D4802">
        <w:rPr>
          <w:lang w:val="es-ES"/>
        </w:rPr>
        <w:t xml:space="preserve">llevaremos a cabo. Si consideramos que alguno de los factores </w:t>
      </w:r>
      <w:r w:rsidR="00B273EB">
        <w:rPr>
          <w:lang w:val="es-ES"/>
        </w:rPr>
        <w:t xml:space="preserve">resultará </w:t>
      </w:r>
      <w:r w:rsidRPr="006D4802">
        <w:rPr>
          <w:lang w:val="es-ES"/>
        </w:rPr>
        <w:t xml:space="preserve">particularmente </w:t>
      </w:r>
      <w:r w:rsidR="00B273EB">
        <w:rPr>
          <w:lang w:val="es-ES"/>
        </w:rPr>
        <w:t>relevante</w:t>
      </w:r>
      <w:r w:rsidRPr="006D4802">
        <w:rPr>
          <w:lang w:val="es-ES"/>
        </w:rPr>
        <w:t xml:space="preserve">, marquémoslo con un doble </w:t>
      </w:r>
      <w:r w:rsidR="00737F14" w:rsidRPr="006D4802">
        <w:rPr>
          <w:i/>
          <w:lang w:val="es-ES"/>
        </w:rPr>
        <w:t>tick</w:t>
      </w:r>
      <w:r w:rsidR="00737F14" w:rsidRPr="006D4802">
        <w:rPr>
          <w:lang w:val="es-ES"/>
        </w:rPr>
        <w:t xml:space="preserve"> </w:t>
      </w:r>
      <w:r w:rsidR="00DE286D" w:rsidRPr="006D4802">
        <w:rPr>
          <w:rFonts w:asciiTheme="minorHAnsi" w:hAnsiTheme="minorHAnsi" w:cstheme="minorHAnsi"/>
          <w:lang w:val="es-ES"/>
        </w:rPr>
        <w:t>(</w:t>
      </w:r>
      <w:r w:rsidR="00DE286D" w:rsidRPr="006D4802">
        <w:rPr>
          <w:rFonts w:asciiTheme="minorHAnsi" w:hAnsiTheme="minorHAnsi" w:cstheme="minorHAnsi"/>
          <w:lang w:val="es-ES"/>
        </w:rPr>
        <w:sym w:font="Wingdings" w:char="F0FC"/>
      </w:r>
      <w:r w:rsidR="00DE286D" w:rsidRPr="006D4802">
        <w:rPr>
          <w:rFonts w:asciiTheme="minorHAnsi" w:hAnsiTheme="minorHAnsi" w:cstheme="minorHAnsi"/>
          <w:lang w:val="es-ES"/>
        </w:rPr>
        <w:sym w:font="Wingdings" w:char="F0FC"/>
      </w:r>
      <w:r w:rsidR="00DE286D" w:rsidRPr="006D4802">
        <w:rPr>
          <w:rFonts w:asciiTheme="minorHAnsi" w:hAnsiTheme="minorHAnsi" w:cstheme="minorHAnsi"/>
          <w:lang w:val="es-ES"/>
        </w:rPr>
        <w:t xml:space="preserve">) </w:t>
      </w:r>
      <w:r w:rsidRPr="006D4802">
        <w:rPr>
          <w:lang w:val="es-ES"/>
        </w:rPr>
        <w:t>para destacarlo</w:t>
      </w:r>
      <w:r w:rsidR="00DE286D" w:rsidRPr="006D4802">
        <w:rPr>
          <w:lang w:val="es-ES"/>
        </w:rPr>
        <w:t>.</w:t>
      </w:r>
    </w:p>
    <w:p w14:paraId="3596AD92" w14:textId="77777777" w:rsidR="00FD35CF" w:rsidRPr="006D4802" w:rsidRDefault="00FD35CF">
      <w:pPr>
        <w:spacing w:after="160" w:line="259" w:lineRule="auto"/>
        <w:rPr>
          <w:rFonts w:cs="Calibri"/>
          <w:szCs w:val="24"/>
        </w:rPr>
      </w:pPr>
      <w:r w:rsidRPr="006D4802">
        <w:br w:type="page"/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147"/>
        <w:gridCol w:w="1574"/>
        <w:gridCol w:w="1574"/>
        <w:gridCol w:w="4847"/>
      </w:tblGrid>
      <w:tr w:rsidR="00791F44" w:rsidRPr="006D4802" w14:paraId="39E88361" w14:textId="77777777" w:rsidTr="0030594A">
        <w:trPr>
          <w:trHeight w:val="1386"/>
        </w:trPr>
        <w:tc>
          <w:tcPr>
            <w:tcW w:w="2660" w:type="dxa"/>
            <w:gridSpan w:val="2"/>
            <w:vAlign w:val="center"/>
          </w:tcPr>
          <w:p w14:paraId="708D8D82" w14:textId="77777777" w:rsidR="00791F44" w:rsidRPr="006D4802" w:rsidRDefault="00BA5FFE" w:rsidP="0030594A">
            <w:pPr>
              <w:pStyle w:val="TKTextetableau"/>
              <w:jc w:val="center"/>
              <w:rPr>
                <w:b/>
                <w:bCs/>
                <w:lang w:val="es-ES"/>
              </w:rPr>
            </w:pPr>
            <w:r w:rsidRPr="006D4802">
              <w:rPr>
                <w:b/>
                <w:bCs/>
                <w:lang w:val="es-ES"/>
              </w:rPr>
              <w:lastRenderedPageBreak/>
              <w:t>Ca</w:t>
            </w:r>
            <w:r w:rsidR="00791F44" w:rsidRPr="006D4802">
              <w:rPr>
                <w:b/>
                <w:bCs/>
                <w:lang w:val="es-ES"/>
              </w:rPr>
              <w:t>racte</w:t>
            </w:r>
            <w:r w:rsidRPr="006D4802">
              <w:rPr>
                <w:b/>
                <w:bCs/>
                <w:lang w:val="es-ES"/>
              </w:rPr>
              <w:t>rí</w:t>
            </w:r>
            <w:r w:rsidR="00791F44" w:rsidRPr="006D4802">
              <w:rPr>
                <w:b/>
                <w:bCs/>
                <w:lang w:val="es-ES"/>
              </w:rPr>
              <w:t>stic</w:t>
            </w:r>
            <w:r w:rsidRPr="006D4802">
              <w:rPr>
                <w:b/>
                <w:bCs/>
                <w:lang w:val="es-ES"/>
              </w:rPr>
              <w:t>as</w:t>
            </w:r>
          </w:p>
        </w:tc>
        <w:tc>
          <w:tcPr>
            <w:tcW w:w="1559" w:type="dxa"/>
            <w:vAlign w:val="center"/>
          </w:tcPr>
          <w:p w14:paraId="017A9B68" w14:textId="77777777" w:rsidR="00791F44" w:rsidRPr="006D4802" w:rsidRDefault="00BA5FFE" w:rsidP="0030594A">
            <w:pPr>
              <w:pStyle w:val="TKTextetableau"/>
              <w:jc w:val="center"/>
              <w:rPr>
                <w:b/>
                <w:bCs/>
                <w:lang w:val="es-ES"/>
              </w:rPr>
            </w:pPr>
            <w:r w:rsidRPr="006D4802">
              <w:rPr>
                <w:b/>
                <w:bCs/>
                <w:lang w:val="es-ES"/>
              </w:rPr>
              <w:t>Este factor me resulta pertinente</w:t>
            </w:r>
            <w:r w:rsidR="0030594A" w:rsidRPr="006D4802">
              <w:rPr>
                <w:b/>
                <w:bCs/>
                <w:lang w:val="es-ES"/>
              </w:rPr>
              <w:t xml:space="preserve"> </w:t>
            </w:r>
            <w:r w:rsidR="00791F44" w:rsidRPr="006D4802">
              <w:rPr>
                <w:b/>
                <w:bCs/>
                <w:lang w:val="es-ES"/>
              </w:rPr>
              <w:t>(</w:t>
            </w:r>
            <w:r w:rsidR="00791F44" w:rsidRPr="006D4802">
              <w:rPr>
                <w:b/>
                <w:bCs/>
                <w:lang w:val="es-ES"/>
              </w:rPr>
              <w:sym w:font="Wingdings" w:char="F0FC"/>
            </w:r>
            <w:r w:rsidRPr="006D4802">
              <w:rPr>
                <w:b/>
                <w:bCs/>
                <w:lang w:val="es-ES"/>
              </w:rPr>
              <w:t>) o</w:t>
            </w:r>
            <w:r w:rsidR="00791F44" w:rsidRPr="006D4802">
              <w:rPr>
                <w:b/>
                <w:bCs/>
                <w:lang w:val="es-ES"/>
              </w:rPr>
              <w:t xml:space="preserve"> (</w:t>
            </w:r>
            <w:r w:rsidR="00791F44" w:rsidRPr="006D4802">
              <w:rPr>
                <w:b/>
                <w:bCs/>
                <w:lang w:val="es-ES"/>
              </w:rPr>
              <w:sym w:font="Wingdings" w:char="F0FC"/>
            </w:r>
            <w:r w:rsidR="00791F44" w:rsidRPr="006D4802">
              <w:rPr>
                <w:b/>
                <w:bCs/>
                <w:lang w:val="es-ES"/>
              </w:rPr>
              <w:sym w:font="Wingdings" w:char="F0FC"/>
            </w:r>
            <w:r w:rsidR="00791F44" w:rsidRPr="006D4802">
              <w:rPr>
                <w:b/>
                <w:bCs/>
                <w:lang w:val="es-ES"/>
              </w:rPr>
              <w:t>)</w:t>
            </w:r>
          </w:p>
        </w:tc>
        <w:tc>
          <w:tcPr>
            <w:tcW w:w="1559" w:type="dxa"/>
            <w:vAlign w:val="center"/>
          </w:tcPr>
          <w:p w14:paraId="57A89CE7" w14:textId="77777777" w:rsidR="00791F44" w:rsidRPr="006D4802" w:rsidRDefault="00D31E26" w:rsidP="00D31E26">
            <w:pPr>
              <w:pStyle w:val="TKTextetableau"/>
              <w:jc w:val="center"/>
              <w:rPr>
                <w:b/>
                <w:bCs/>
                <w:lang w:val="es-ES"/>
              </w:rPr>
            </w:pPr>
            <w:r w:rsidRPr="006D4802">
              <w:rPr>
                <w:b/>
                <w:bCs/>
                <w:lang w:val="es-ES"/>
              </w:rPr>
              <w:t>Tengo que pensar cómo gestionar esto (¿?)</w:t>
            </w:r>
          </w:p>
        </w:tc>
        <w:tc>
          <w:tcPr>
            <w:tcW w:w="4799" w:type="dxa"/>
            <w:vAlign w:val="center"/>
          </w:tcPr>
          <w:p w14:paraId="7A9825A1" w14:textId="77777777" w:rsidR="00791F44" w:rsidRPr="006D4802" w:rsidRDefault="00BA5FFE" w:rsidP="0030594A">
            <w:pPr>
              <w:pStyle w:val="TKTextetableau"/>
              <w:jc w:val="center"/>
              <w:rPr>
                <w:b/>
                <w:bCs/>
                <w:lang w:val="es-ES"/>
              </w:rPr>
            </w:pPr>
            <w:r w:rsidRPr="006D4802">
              <w:rPr>
                <w:b/>
                <w:bCs/>
                <w:lang w:val="es-ES"/>
              </w:rPr>
              <w:t>Observaciones para uno mismo</w:t>
            </w:r>
          </w:p>
        </w:tc>
      </w:tr>
      <w:tr w:rsidR="00E254C6" w:rsidRPr="006D4802" w14:paraId="3262B508" w14:textId="77777777" w:rsidTr="0030594A">
        <w:trPr>
          <w:trHeight w:val="20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804FDAD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2849CBA" w14:textId="77777777" w:rsidR="00791F44" w:rsidRPr="006D4802" w:rsidRDefault="00D31E26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Edades muy distintas en el grupo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47D855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70C7BA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37AAE6BD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FD35CF" w:rsidRPr="006D4802" w14:paraId="08DADD5D" w14:textId="77777777" w:rsidTr="0030594A">
        <w:trPr>
          <w:trHeight w:val="2098"/>
        </w:trPr>
        <w:tc>
          <w:tcPr>
            <w:tcW w:w="534" w:type="dxa"/>
            <w:vAlign w:val="center"/>
          </w:tcPr>
          <w:p w14:paraId="0FC7BB9E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2</w:t>
            </w:r>
          </w:p>
        </w:tc>
        <w:tc>
          <w:tcPr>
            <w:tcW w:w="2126" w:type="dxa"/>
            <w:vAlign w:val="center"/>
          </w:tcPr>
          <w:p w14:paraId="7C75495A" w14:textId="77777777" w:rsidR="00791F44" w:rsidRPr="006D4802" w:rsidRDefault="00D31E26" w:rsidP="00B273EB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 xml:space="preserve">Hombres y mujeres, </w:t>
            </w:r>
            <w:r w:rsidR="00B273EB">
              <w:rPr>
                <w:lang w:val="es-ES"/>
              </w:rPr>
              <w:t>algunos con hijos</w:t>
            </w:r>
          </w:p>
        </w:tc>
        <w:tc>
          <w:tcPr>
            <w:tcW w:w="1559" w:type="dxa"/>
            <w:vAlign w:val="center"/>
          </w:tcPr>
          <w:p w14:paraId="3A8C014D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281AA756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vAlign w:val="center"/>
          </w:tcPr>
          <w:p w14:paraId="2192693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167C53FA" w14:textId="77777777" w:rsidTr="0030594A">
        <w:trPr>
          <w:trHeight w:val="20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F6AFAB9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6215F0D" w14:textId="77777777" w:rsidR="00791F44" w:rsidRPr="006D4802" w:rsidRDefault="00D31E26" w:rsidP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Personas optimistas con respecto al futuro</w:t>
            </w:r>
            <w:r w:rsidR="00B273EB">
              <w:rPr>
                <w:lang w:val="es-ES"/>
              </w:rPr>
              <w:t>, junto con</w:t>
            </w:r>
            <w:r w:rsidRPr="006D4802">
              <w:rPr>
                <w:lang w:val="es-ES"/>
              </w:rPr>
              <w:t xml:space="preserve"> personas deprimidas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485960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99A80B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6CD0849C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FD35CF" w:rsidRPr="006D4802" w14:paraId="7EBA932C" w14:textId="77777777" w:rsidTr="0030594A">
        <w:trPr>
          <w:trHeight w:val="2098"/>
        </w:trPr>
        <w:tc>
          <w:tcPr>
            <w:tcW w:w="534" w:type="dxa"/>
            <w:vAlign w:val="center"/>
          </w:tcPr>
          <w:p w14:paraId="3AAE68AD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4</w:t>
            </w:r>
          </w:p>
        </w:tc>
        <w:tc>
          <w:tcPr>
            <w:tcW w:w="2126" w:type="dxa"/>
            <w:vAlign w:val="center"/>
          </w:tcPr>
          <w:p w14:paraId="4FF279EE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Person</w:t>
            </w:r>
            <w:r w:rsidR="00B273EB">
              <w:rPr>
                <w:lang w:val="es-ES"/>
              </w:rPr>
              <w:t xml:space="preserve">as con muchas ganas de aprender, </w:t>
            </w:r>
            <w:r w:rsidRPr="006D4802">
              <w:rPr>
                <w:lang w:val="es-ES"/>
              </w:rPr>
              <w:t xml:space="preserve">junto con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>que consideran que no serán capaces de aprender un nuevo idioma</w:t>
            </w:r>
          </w:p>
        </w:tc>
        <w:tc>
          <w:tcPr>
            <w:tcW w:w="1559" w:type="dxa"/>
            <w:vAlign w:val="center"/>
          </w:tcPr>
          <w:p w14:paraId="243C8B6F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41BDF159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vAlign w:val="center"/>
          </w:tcPr>
          <w:p w14:paraId="2EE0BCDF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092269B2" w14:textId="77777777" w:rsidTr="0030594A">
        <w:trPr>
          <w:trHeight w:val="20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6ACE8DB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26E0CB9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Personas ya familiarizadas con el nuevo idioma</w:t>
            </w:r>
            <w:r w:rsidR="00B273EB">
              <w:rPr>
                <w:lang w:val="es-ES"/>
              </w:rPr>
              <w:t>,</w:t>
            </w:r>
            <w:r w:rsidRPr="006D4802">
              <w:rPr>
                <w:lang w:val="es-ES"/>
              </w:rPr>
              <w:t xml:space="preserve"> junto </w:t>
            </w:r>
            <w:r w:rsidR="00B273EB">
              <w:rPr>
                <w:lang w:val="es-ES"/>
              </w:rPr>
              <w:t>con</w:t>
            </w:r>
            <w:r w:rsidRPr="006D4802">
              <w:rPr>
                <w:lang w:val="es-ES"/>
              </w:rPr>
              <w:t xml:space="preserve">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>que no lo conocen en absoluto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EAF604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ECC501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484E9121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FD35CF" w:rsidRPr="006D4802" w14:paraId="2A2175C0" w14:textId="77777777" w:rsidTr="0030594A">
        <w:trPr>
          <w:trHeight w:val="2098"/>
        </w:trPr>
        <w:tc>
          <w:tcPr>
            <w:tcW w:w="534" w:type="dxa"/>
            <w:vAlign w:val="center"/>
          </w:tcPr>
          <w:p w14:paraId="083D88D1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14:paraId="3BB6616A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 xml:space="preserve">Personas </w:t>
            </w:r>
            <w:r w:rsidR="00B273EB">
              <w:rPr>
                <w:lang w:val="es-ES"/>
              </w:rPr>
              <w:t>que nunca han aprendido a leer o</w:t>
            </w:r>
            <w:r w:rsidRPr="006D4802">
              <w:rPr>
                <w:lang w:val="es-ES"/>
              </w:rPr>
              <w:t xml:space="preserve"> a escribir</w:t>
            </w:r>
            <w:r w:rsidR="00B273EB">
              <w:rPr>
                <w:lang w:val="es-ES"/>
              </w:rPr>
              <w:t>, junto con</w:t>
            </w:r>
            <w:r w:rsidRPr="006D4802">
              <w:rPr>
                <w:lang w:val="es-ES"/>
              </w:rPr>
              <w:t xml:space="preserve">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 xml:space="preserve">que leen y escriben con soltura, al menos en su propio idioma </w:t>
            </w:r>
          </w:p>
        </w:tc>
        <w:tc>
          <w:tcPr>
            <w:tcW w:w="1559" w:type="dxa"/>
            <w:vAlign w:val="center"/>
          </w:tcPr>
          <w:p w14:paraId="5EC3EEC8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DAC4F3E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vAlign w:val="center"/>
          </w:tcPr>
          <w:p w14:paraId="7668B62B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62C59101" w14:textId="77777777" w:rsidTr="0030594A">
        <w:trPr>
          <w:trHeight w:val="20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0AF1067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152E76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Algunas personas que empiezan a hablar sin pre</w:t>
            </w:r>
            <w:r w:rsidR="00B273EB">
              <w:rPr>
                <w:lang w:val="es-ES"/>
              </w:rPr>
              <w:t xml:space="preserve">ocuparse por si cometen errores, </w:t>
            </w:r>
            <w:r w:rsidRPr="006D4802">
              <w:rPr>
                <w:lang w:val="es-ES"/>
              </w:rPr>
              <w:t xml:space="preserve">junto </w:t>
            </w:r>
            <w:r w:rsidR="00B273EB">
              <w:rPr>
                <w:lang w:val="es-ES"/>
              </w:rPr>
              <w:t xml:space="preserve">con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 xml:space="preserve">que permanecen calladas hasta estar seguras de cómo pronunciar una palabra o formular una frase de manera correcta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A4460D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202AC1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7414F34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7D4D8137" w14:textId="77777777" w:rsidTr="0030594A">
        <w:trPr>
          <w:trHeight w:val="2098"/>
        </w:trPr>
        <w:tc>
          <w:tcPr>
            <w:tcW w:w="534" w:type="dxa"/>
            <w:vAlign w:val="center"/>
          </w:tcPr>
          <w:p w14:paraId="5058C5C7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8</w:t>
            </w:r>
          </w:p>
        </w:tc>
        <w:tc>
          <w:tcPr>
            <w:tcW w:w="2126" w:type="dxa"/>
            <w:vAlign w:val="center"/>
          </w:tcPr>
          <w:p w14:paraId="78A84B24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Personas con competencia en más de dos idiomas</w:t>
            </w:r>
            <w:r w:rsidR="00B273EB">
              <w:rPr>
                <w:lang w:val="es-ES"/>
              </w:rPr>
              <w:t>, junto con</w:t>
            </w:r>
            <w:r w:rsidRPr="006D4802">
              <w:rPr>
                <w:lang w:val="es-ES"/>
              </w:rPr>
              <w:t xml:space="preserve">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>que nunca han aprendido una segunda lengua</w:t>
            </w:r>
          </w:p>
        </w:tc>
        <w:tc>
          <w:tcPr>
            <w:tcW w:w="1559" w:type="dxa"/>
            <w:vAlign w:val="center"/>
          </w:tcPr>
          <w:p w14:paraId="6B579AD6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ADC0033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vAlign w:val="center"/>
          </w:tcPr>
          <w:p w14:paraId="05007322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0EF7E5CE" w14:textId="77777777" w:rsidTr="0030594A">
        <w:trPr>
          <w:trHeight w:val="209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1631F1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2AC2518" w14:textId="77777777" w:rsidR="00791F44" w:rsidRPr="006D4802" w:rsidRDefault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Personas con un alto nivel de educación</w:t>
            </w:r>
            <w:r w:rsidR="00B273EB">
              <w:rPr>
                <w:lang w:val="es-ES"/>
              </w:rPr>
              <w:t>, junto con</w:t>
            </w:r>
            <w:r w:rsidRPr="006D4802">
              <w:rPr>
                <w:lang w:val="es-ES"/>
              </w:rPr>
              <w:t xml:space="preserve"> </w:t>
            </w:r>
            <w:r w:rsidR="002748DD">
              <w:rPr>
                <w:lang w:val="es-ES"/>
              </w:rPr>
              <w:t xml:space="preserve">otras </w:t>
            </w:r>
            <w:r w:rsidRPr="006D4802">
              <w:rPr>
                <w:lang w:val="es-ES"/>
              </w:rPr>
              <w:t xml:space="preserve">con </w:t>
            </w:r>
            <w:r w:rsidR="00B273EB">
              <w:rPr>
                <w:lang w:val="es-ES"/>
              </w:rPr>
              <w:t>escasa o nula e</w:t>
            </w:r>
            <w:r w:rsidRPr="006D4802">
              <w:rPr>
                <w:lang w:val="es-ES"/>
              </w:rPr>
              <w:t xml:space="preserve">ducación formal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117F9F6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DD301B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038B3834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51BED71D" w14:textId="77777777" w:rsidTr="0030594A">
        <w:trPr>
          <w:trHeight w:val="209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37CB2E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7A7829" w14:textId="77777777" w:rsidR="00791F44" w:rsidRPr="006D4802" w:rsidRDefault="00D31E26" w:rsidP="00B273EB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 xml:space="preserve">Personas con preferencias distintas </w:t>
            </w:r>
            <w:r w:rsidR="00B273EB">
              <w:rPr>
                <w:lang w:val="es-ES"/>
              </w:rPr>
              <w:t>sobre</w:t>
            </w:r>
            <w:r w:rsidRPr="006D4802">
              <w:rPr>
                <w:lang w:val="es-ES"/>
              </w:rPr>
              <w:t xml:space="preserve"> la forma en que prefieren aprender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606534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177174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14:paraId="0E6848D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  <w:tr w:rsidR="00E254C6" w:rsidRPr="006D4802" w14:paraId="3FAD8EE9" w14:textId="77777777" w:rsidTr="0030594A">
        <w:trPr>
          <w:trHeight w:val="20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F552B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2018" w14:textId="77777777" w:rsidR="00791F44" w:rsidRPr="006D4802" w:rsidRDefault="00D31E26" w:rsidP="00D31E26">
            <w:pPr>
              <w:pStyle w:val="TKTextetableau"/>
              <w:rPr>
                <w:lang w:val="es-ES"/>
              </w:rPr>
            </w:pPr>
            <w:r w:rsidRPr="006D4802">
              <w:rPr>
                <w:lang w:val="es-ES"/>
              </w:rPr>
              <w:t>Distintas expectativas dentro del grupo con respecto al papel desempeñado por quienes prestan el apoyo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331E0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D53A4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E7865" w14:textId="77777777" w:rsidR="00791F44" w:rsidRPr="006D4802" w:rsidRDefault="00791F44" w:rsidP="0030594A">
            <w:pPr>
              <w:pStyle w:val="TKTextetableau"/>
              <w:rPr>
                <w:lang w:val="es-ES"/>
              </w:rPr>
            </w:pPr>
          </w:p>
        </w:tc>
      </w:tr>
    </w:tbl>
    <w:p w14:paraId="005060C8" w14:textId="77777777" w:rsidR="00737F14" w:rsidRPr="006D4802" w:rsidRDefault="00D31E26" w:rsidP="00F91C4D">
      <w:pPr>
        <w:pStyle w:val="TKTITRE1"/>
        <w:rPr>
          <w:lang w:val="es-ES"/>
        </w:rPr>
      </w:pPr>
      <w:r w:rsidRPr="006D4802">
        <w:rPr>
          <w:lang w:val="es-ES"/>
        </w:rPr>
        <w:lastRenderedPageBreak/>
        <w:t xml:space="preserve">Efecto de la diversidad en un grupo de alumnos </w:t>
      </w:r>
    </w:p>
    <w:p w14:paraId="269D8DDB" w14:textId="77777777" w:rsidR="00737F14" w:rsidRPr="006D4802" w:rsidRDefault="007821CB" w:rsidP="007821CB">
      <w:pPr>
        <w:pStyle w:val="TKTEXTE"/>
        <w:jc w:val="both"/>
        <w:rPr>
          <w:lang w:val="es-ES"/>
        </w:rPr>
      </w:pPr>
      <w:r w:rsidRPr="006D4802">
        <w:rPr>
          <w:lang w:val="es-ES"/>
        </w:rPr>
        <w:t xml:space="preserve">Algunas </w:t>
      </w:r>
      <w:r w:rsidR="00B273EB">
        <w:rPr>
          <w:lang w:val="es-ES"/>
        </w:rPr>
        <w:t xml:space="preserve">de las </w:t>
      </w:r>
      <w:r w:rsidRPr="006D4802">
        <w:rPr>
          <w:lang w:val="es-ES"/>
        </w:rPr>
        <w:t xml:space="preserve">diferencias </w:t>
      </w:r>
      <w:r w:rsidR="00B273EB">
        <w:rPr>
          <w:lang w:val="es-ES"/>
        </w:rPr>
        <w:t>presentes</w:t>
      </w:r>
      <w:r w:rsidRPr="006D4802">
        <w:rPr>
          <w:lang w:val="es-ES"/>
        </w:rPr>
        <w:t xml:space="preserve"> </w:t>
      </w:r>
      <w:r w:rsidR="00F50168">
        <w:rPr>
          <w:lang w:val="es-ES"/>
        </w:rPr>
        <w:t>en determinado</w:t>
      </w:r>
      <w:r w:rsidRPr="006D4802">
        <w:rPr>
          <w:lang w:val="es-ES"/>
        </w:rPr>
        <w:t xml:space="preserve"> grupo pueden incidir de manera directa en el apoyo </w:t>
      </w:r>
      <w:r w:rsidR="00F50168" w:rsidRPr="006D4802">
        <w:rPr>
          <w:lang w:val="es-ES"/>
        </w:rPr>
        <w:t xml:space="preserve">prestado </w:t>
      </w:r>
      <w:r w:rsidRPr="006D4802">
        <w:rPr>
          <w:lang w:val="es-ES"/>
        </w:rPr>
        <w:t xml:space="preserve">al aprendizaje de idiomas. </w:t>
      </w:r>
    </w:p>
    <w:p w14:paraId="0557E30E" w14:textId="77777777" w:rsidR="00737F14" w:rsidRPr="006D4802" w:rsidRDefault="007821CB" w:rsidP="007821CB">
      <w:pPr>
        <w:pStyle w:val="TKTEXTE"/>
        <w:jc w:val="both"/>
        <w:rPr>
          <w:lang w:val="es-ES"/>
        </w:rPr>
      </w:pPr>
      <w:r w:rsidRPr="006D4802">
        <w:rPr>
          <w:lang w:val="es-ES"/>
        </w:rPr>
        <w:t>Por ejemplo, las filas 5, 6, 7 y</w:t>
      </w:r>
      <w:r w:rsidR="00737F14" w:rsidRPr="006D4802">
        <w:rPr>
          <w:lang w:val="es-ES"/>
        </w:rPr>
        <w:t xml:space="preserve"> 8 </w:t>
      </w:r>
      <w:r w:rsidRPr="006D4802">
        <w:rPr>
          <w:lang w:val="es-ES"/>
        </w:rPr>
        <w:t xml:space="preserve">del cuadro hacen referencia a conocimientos o competencias previos. Los refugiados con experiencia previa </w:t>
      </w:r>
      <w:r w:rsidR="00924A0A" w:rsidRPr="006D4802">
        <w:rPr>
          <w:lang w:val="es-ES"/>
        </w:rPr>
        <w:t>de</w:t>
      </w:r>
      <w:r w:rsidRPr="006D4802">
        <w:rPr>
          <w:lang w:val="es-ES"/>
        </w:rPr>
        <w:t xml:space="preserve"> aprendiza</w:t>
      </w:r>
      <w:r w:rsidR="00924A0A" w:rsidRPr="006D4802">
        <w:rPr>
          <w:lang w:val="es-ES"/>
        </w:rPr>
        <w:t>je formal, sobre todo en la esfera de los idiomas, contarán con valiosas estrategias de aprendizaje que podrán aplicar al nuevo desafío</w:t>
      </w:r>
      <w:r w:rsidR="00B273EB">
        <w:rPr>
          <w:lang w:val="es-ES"/>
        </w:rPr>
        <w:t xml:space="preserve"> al que se enfrentan</w:t>
      </w:r>
      <w:r w:rsidR="00924A0A" w:rsidRPr="006D4802">
        <w:rPr>
          <w:lang w:val="es-ES"/>
        </w:rPr>
        <w:t xml:space="preserve">. Si se les pide que cumplimenten un formulario, sabrán que no es necesario que comprendan todas y cada una de las palabras para poder hacerse una idea de lo que </w:t>
      </w:r>
      <w:r w:rsidR="00B273EB">
        <w:rPr>
          <w:lang w:val="es-ES"/>
        </w:rPr>
        <w:t xml:space="preserve">este </w:t>
      </w:r>
      <w:r w:rsidR="00924A0A" w:rsidRPr="006D4802">
        <w:rPr>
          <w:lang w:val="es-ES"/>
        </w:rPr>
        <w:t>dice. Es probable que recurran al teléfono móvil o a un diccionario para buscar el significado de las palabras nuevas, y también que les dé menos vergüenza</w:t>
      </w:r>
      <w:r w:rsidR="00B273EB">
        <w:rPr>
          <w:lang w:val="es-ES"/>
        </w:rPr>
        <w:t>,</w:t>
      </w:r>
      <w:r w:rsidR="00924A0A" w:rsidRPr="006D4802">
        <w:rPr>
          <w:lang w:val="es-ES"/>
        </w:rPr>
        <w:t xml:space="preserve"> o les preocupe menos</w:t>
      </w:r>
      <w:r w:rsidR="00B273EB">
        <w:rPr>
          <w:lang w:val="es-ES"/>
        </w:rPr>
        <w:t>,</w:t>
      </w:r>
      <w:r w:rsidR="00924A0A" w:rsidRPr="006D4802">
        <w:rPr>
          <w:lang w:val="es-ES"/>
        </w:rPr>
        <w:t xml:space="preserve"> pedir ayuda.</w:t>
      </w:r>
    </w:p>
    <w:p w14:paraId="17AE3F72" w14:textId="77777777" w:rsidR="00737F14" w:rsidRPr="006D4802" w:rsidRDefault="00924A0A" w:rsidP="00CA7113">
      <w:pPr>
        <w:pStyle w:val="TKTEXTE"/>
        <w:jc w:val="both"/>
        <w:rPr>
          <w:lang w:val="es-ES"/>
        </w:rPr>
      </w:pPr>
      <w:r w:rsidRPr="006D4802">
        <w:rPr>
          <w:lang w:val="es-ES"/>
        </w:rPr>
        <w:t>En es</w:t>
      </w:r>
      <w:r w:rsidR="00B273EB">
        <w:rPr>
          <w:lang w:val="es-ES"/>
        </w:rPr>
        <w:t>t</w:t>
      </w:r>
      <w:r w:rsidRPr="006D4802">
        <w:rPr>
          <w:lang w:val="es-ES"/>
        </w:rPr>
        <w:t xml:space="preserve">os casos, tal vez sea necesario </w:t>
      </w:r>
      <w:r w:rsidR="00B273EB">
        <w:rPr>
          <w:lang w:val="es-ES"/>
        </w:rPr>
        <w:t>recurrir a actividades de aprendizaje con</w:t>
      </w:r>
      <w:r w:rsidRPr="006D4802">
        <w:rPr>
          <w:lang w:val="es-ES"/>
        </w:rPr>
        <w:t xml:space="preserve"> distinto</w:t>
      </w:r>
      <w:r w:rsidR="00B273EB">
        <w:rPr>
          <w:lang w:val="es-ES"/>
        </w:rPr>
        <w:t>s</w:t>
      </w:r>
      <w:r w:rsidRPr="006D4802">
        <w:rPr>
          <w:lang w:val="es-ES"/>
        </w:rPr>
        <w:t xml:space="preserve"> grado</w:t>
      </w:r>
      <w:r w:rsidR="00B273EB">
        <w:rPr>
          <w:lang w:val="es-ES"/>
        </w:rPr>
        <w:t>s</w:t>
      </w:r>
      <w:r w:rsidRPr="006D4802">
        <w:rPr>
          <w:lang w:val="es-ES"/>
        </w:rPr>
        <w:t xml:space="preserve"> de dificultad para abarcar las distintas habilidades y los distintos grados de </w:t>
      </w:r>
      <w:r w:rsidR="00B273EB">
        <w:rPr>
          <w:lang w:val="es-ES"/>
        </w:rPr>
        <w:t>auto</w:t>
      </w:r>
      <w:r w:rsidRPr="006D4802">
        <w:rPr>
          <w:lang w:val="es-ES"/>
        </w:rPr>
        <w:t xml:space="preserve">confianza </w:t>
      </w:r>
      <w:r w:rsidR="00B273EB">
        <w:rPr>
          <w:lang w:val="es-ES"/>
        </w:rPr>
        <w:t xml:space="preserve">de los miembros </w:t>
      </w:r>
      <w:r w:rsidRPr="006D4802">
        <w:rPr>
          <w:lang w:val="es-ES"/>
        </w:rPr>
        <w:t>de un grupo. Los refugiados con cierta experiencia previa de aprendizaje (de idiomas) suelen querer progresar rápidamente</w:t>
      </w:r>
      <w:r w:rsidR="00B273EB">
        <w:rPr>
          <w:lang w:val="es-ES"/>
        </w:rPr>
        <w:t>,</w:t>
      </w:r>
      <w:r w:rsidRPr="006D4802">
        <w:rPr>
          <w:lang w:val="es-ES"/>
        </w:rPr>
        <w:t xml:space="preserve"> y tratarán de utilizar palabras y frases</w:t>
      </w:r>
      <w:r w:rsidR="00B273EB">
        <w:rPr>
          <w:lang w:val="es-ES"/>
        </w:rPr>
        <w:t xml:space="preserve"> </w:t>
      </w:r>
      <w:r w:rsidR="00B273EB" w:rsidRPr="006D4802">
        <w:rPr>
          <w:lang w:val="es-ES"/>
        </w:rPr>
        <w:t>nuevas</w:t>
      </w:r>
      <w:r w:rsidRPr="006D4802">
        <w:rPr>
          <w:lang w:val="es-ES"/>
        </w:rPr>
        <w:t xml:space="preserve">, mientras que los refugiados con poca o ninguna experiencia previa en </w:t>
      </w:r>
      <w:r w:rsidR="00F50168">
        <w:rPr>
          <w:lang w:val="es-ES"/>
        </w:rPr>
        <w:t xml:space="preserve">la </w:t>
      </w:r>
      <w:r w:rsidR="00F50168" w:rsidRPr="006D4802">
        <w:rPr>
          <w:lang w:val="es-ES"/>
        </w:rPr>
        <w:t xml:space="preserve">educación formal y/o </w:t>
      </w:r>
      <w:r w:rsidR="00B273EB">
        <w:rPr>
          <w:lang w:val="es-ES"/>
        </w:rPr>
        <w:t xml:space="preserve">el </w:t>
      </w:r>
      <w:r w:rsidRPr="006D4802">
        <w:rPr>
          <w:lang w:val="es-ES"/>
        </w:rPr>
        <w:t xml:space="preserve">aprendizaje de idiomas necesitarán más tiempo, apoyo y </w:t>
      </w:r>
      <w:r w:rsidR="00CA7113" w:rsidRPr="006D4802">
        <w:rPr>
          <w:lang w:val="es-ES"/>
        </w:rPr>
        <w:t xml:space="preserve">oportunidades de repetición. </w:t>
      </w:r>
      <w:r w:rsidR="00F50168">
        <w:rPr>
          <w:lang w:val="es-ES"/>
        </w:rPr>
        <w:t xml:space="preserve"> </w:t>
      </w:r>
    </w:p>
    <w:p w14:paraId="12C4A41A" w14:textId="77777777" w:rsidR="00652C59" w:rsidRPr="006D4802" w:rsidRDefault="00B273EB" w:rsidP="00652C59">
      <w:pPr>
        <w:pStyle w:val="TKTEXTE"/>
        <w:jc w:val="both"/>
        <w:rPr>
          <w:lang w:val="es-ES"/>
        </w:rPr>
      </w:pPr>
      <w:r>
        <w:rPr>
          <w:lang w:val="es-ES"/>
        </w:rPr>
        <w:t>Algunas de las</w:t>
      </w:r>
      <w:r w:rsidR="00CA7113" w:rsidRPr="006D4802">
        <w:rPr>
          <w:lang w:val="es-ES"/>
        </w:rPr>
        <w:t xml:space="preserve"> diferencias </w:t>
      </w:r>
      <w:r>
        <w:rPr>
          <w:lang w:val="es-ES"/>
        </w:rPr>
        <w:t>presentes en g</w:t>
      </w:r>
      <w:r w:rsidR="00CA7113" w:rsidRPr="006D4802">
        <w:rPr>
          <w:lang w:val="es-ES"/>
        </w:rPr>
        <w:t xml:space="preserve">rupos </w:t>
      </w:r>
      <w:r w:rsidR="003749BB" w:rsidRPr="006D4802">
        <w:rPr>
          <w:lang w:val="es-ES"/>
        </w:rPr>
        <w:t>heterogéneos</w:t>
      </w:r>
      <w:r w:rsidR="00F64209" w:rsidRPr="006D4802">
        <w:rPr>
          <w:lang w:val="es-ES"/>
        </w:rPr>
        <w:t xml:space="preserve"> no inciden de manera directa en </w:t>
      </w:r>
      <w:r>
        <w:rPr>
          <w:lang w:val="es-ES"/>
        </w:rPr>
        <w:t>el aprendizaje del idioma</w:t>
      </w:r>
      <w:r w:rsidR="00F50168">
        <w:rPr>
          <w:lang w:val="es-ES"/>
        </w:rPr>
        <w:t>,</w:t>
      </w:r>
      <w:r>
        <w:rPr>
          <w:lang w:val="es-ES"/>
        </w:rPr>
        <w:t xml:space="preserve"> </w:t>
      </w:r>
      <w:r w:rsidR="00CA7113" w:rsidRPr="006D4802">
        <w:rPr>
          <w:lang w:val="es-ES"/>
        </w:rPr>
        <w:t>pero</w:t>
      </w:r>
      <w:r>
        <w:rPr>
          <w:lang w:val="es-ES"/>
        </w:rPr>
        <w:t>,</w:t>
      </w:r>
      <w:r w:rsidR="00CA7113" w:rsidRPr="006D4802">
        <w:rPr>
          <w:lang w:val="es-ES"/>
        </w:rPr>
        <w:t xml:space="preserve"> </w:t>
      </w:r>
      <w:r w:rsidR="00F64209" w:rsidRPr="006D4802">
        <w:rPr>
          <w:lang w:val="es-ES"/>
        </w:rPr>
        <w:t xml:space="preserve">aun así, pueden </w:t>
      </w:r>
      <w:r w:rsidR="00395167" w:rsidRPr="006D4802">
        <w:rPr>
          <w:lang w:val="es-ES"/>
        </w:rPr>
        <w:t>influir</w:t>
      </w:r>
      <w:r w:rsidR="00F64209" w:rsidRPr="006D4802">
        <w:rPr>
          <w:lang w:val="es-ES"/>
        </w:rPr>
        <w:t xml:space="preserve"> </w:t>
      </w:r>
      <w:r w:rsidR="00395167" w:rsidRPr="006D4802">
        <w:rPr>
          <w:lang w:val="es-ES"/>
        </w:rPr>
        <w:t xml:space="preserve">en </w:t>
      </w:r>
      <w:r w:rsidR="00F64209" w:rsidRPr="006D4802">
        <w:rPr>
          <w:lang w:val="es-ES"/>
        </w:rPr>
        <w:t>la</w:t>
      </w:r>
      <w:r w:rsidR="00395167" w:rsidRPr="006D4802">
        <w:rPr>
          <w:lang w:val="es-ES"/>
        </w:rPr>
        <w:t>s</w:t>
      </w:r>
      <w:r w:rsidR="00F64209" w:rsidRPr="006D4802">
        <w:rPr>
          <w:lang w:val="es-ES"/>
        </w:rPr>
        <w:t xml:space="preserve"> conducta</w:t>
      </w:r>
      <w:r w:rsidR="00395167" w:rsidRPr="006D4802">
        <w:rPr>
          <w:lang w:val="es-ES"/>
        </w:rPr>
        <w:t>s</w:t>
      </w:r>
      <w:r w:rsidR="00F64209" w:rsidRPr="006D4802">
        <w:rPr>
          <w:lang w:val="es-ES"/>
        </w:rPr>
        <w:t xml:space="preserve"> o provocar distintas </w:t>
      </w:r>
      <w:r w:rsidR="00CA7113" w:rsidRPr="006D4802">
        <w:rPr>
          <w:lang w:val="es-ES"/>
        </w:rPr>
        <w:t xml:space="preserve">actitudes </w:t>
      </w:r>
      <w:r w:rsidR="00F64209" w:rsidRPr="006D4802">
        <w:rPr>
          <w:lang w:val="es-ES"/>
        </w:rPr>
        <w:t>de cara al trabajo conjunto dentro de</w:t>
      </w:r>
      <w:r w:rsidR="00CA7113" w:rsidRPr="006D4802">
        <w:rPr>
          <w:lang w:val="es-ES"/>
        </w:rPr>
        <w:t xml:space="preserve"> un grupo. Por ejemplo, </w:t>
      </w:r>
      <w:r w:rsidR="00F64209" w:rsidRPr="006D4802">
        <w:rPr>
          <w:lang w:val="es-ES"/>
        </w:rPr>
        <w:t>las filas</w:t>
      </w:r>
      <w:r w:rsidR="00CA7113" w:rsidRPr="006D4802">
        <w:rPr>
          <w:lang w:val="es-ES"/>
        </w:rPr>
        <w:t xml:space="preserve"> 1, 2, 3 y 4 </w:t>
      </w:r>
      <w:r w:rsidR="00F64209" w:rsidRPr="006D4802">
        <w:rPr>
          <w:lang w:val="es-ES"/>
        </w:rPr>
        <w:t xml:space="preserve">del cuadro pueden </w:t>
      </w:r>
      <w:r w:rsidR="00395167" w:rsidRPr="006D4802">
        <w:rPr>
          <w:lang w:val="es-ES"/>
        </w:rPr>
        <w:t xml:space="preserve">influir en </w:t>
      </w:r>
      <w:r w:rsidR="00F50168">
        <w:rPr>
          <w:lang w:val="es-ES"/>
        </w:rPr>
        <w:t xml:space="preserve">la predisposición de </w:t>
      </w:r>
      <w:r w:rsidR="00CA7113" w:rsidRPr="006D4802">
        <w:rPr>
          <w:lang w:val="es-ES"/>
        </w:rPr>
        <w:t>las personas de</w:t>
      </w:r>
      <w:r w:rsidR="00395167" w:rsidRPr="006D4802">
        <w:rPr>
          <w:lang w:val="es-ES"/>
        </w:rPr>
        <w:t xml:space="preserve"> un</w:t>
      </w:r>
      <w:r w:rsidR="00CA7113" w:rsidRPr="006D4802">
        <w:rPr>
          <w:lang w:val="es-ES"/>
        </w:rPr>
        <w:t xml:space="preserve"> grupo </w:t>
      </w:r>
      <w:r w:rsidR="00F50168">
        <w:rPr>
          <w:lang w:val="es-ES"/>
        </w:rPr>
        <w:t xml:space="preserve">a </w:t>
      </w:r>
      <w:r w:rsidR="00CA7113" w:rsidRPr="006D4802">
        <w:rPr>
          <w:lang w:val="es-ES"/>
        </w:rPr>
        <w:t xml:space="preserve">comunicarse e interactuar entre sí. </w:t>
      </w:r>
      <w:r w:rsidR="005E7D81">
        <w:rPr>
          <w:lang w:val="es-ES"/>
        </w:rPr>
        <w:t xml:space="preserve">Y quizá </w:t>
      </w:r>
      <w:r w:rsidR="00A9044D">
        <w:rPr>
          <w:lang w:val="es-ES"/>
        </w:rPr>
        <w:t>tengamos en cuenta e</w:t>
      </w:r>
      <w:r w:rsidR="00CA7113" w:rsidRPr="006D4802">
        <w:rPr>
          <w:lang w:val="es-ES"/>
        </w:rPr>
        <w:t xml:space="preserve">stos factores </w:t>
      </w:r>
      <w:r w:rsidR="00A9044D">
        <w:rPr>
          <w:lang w:val="es-ES"/>
        </w:rPr>
        <w:t xml:space="preserve">a la hora de formar </w:t>
      </w:r>
      <w:r w:rsidR="00CA7113" w:rsidRPr="006D4802">
        <w:rPr>
          <w:lang w:val="es-ES"/>
        </w:rPr>
        <w:t>subgrupos para determinadas acti</w:t>
      </w:r>
      <w:r w:rsidR="00652C59" w:rsidRPr="006D4802">
        <w:rPr>
          <w:lang w:val="es-ES"/>
        </w:rPr>
        <w:t xml:space="preserve">vidades, o </w:t>
      </w:r>
      <w:r w:rsidR="00A9044D">
        <w:rPr>
          <w:lang w:val="es-ES"/>
        </w:rPr>
        <w:t xml:space="preserve">de </w:t>
      </w:r>
      <w:r w:rsidR="00652C59" w:rsidRPr="006D4802">
        <w:rPr>
          <w:lang w:val="es-ES"/>
        </w:rPr>
        <w:t xml:space="preserve">pedir </w:t>
      </w:r>
      <w:r w:rsidR="005E7D81">
        <w:rPr>
          <w:lang w:val="es-ES"/>
        </w:rPr>
        <w:t xml:space="preserve">a </w:t>
      </w:r>
      <w:r w:rsidRPr="006D4802">
        <w:rPr>
          <w:lang w:val="es-ES"/>
        </w:rPr>
        <w:t>cada persona del grupo</w:t>
      </w:r>
      <w:r w:rsidR="005E7D81">
        <w:rPr>
          <w:lang w:val="es-ES"/>
        </w:rPr>
        <w:t xml:space="preserve"> que haga algo concreto</w:t>
      </w:r>
      <w:r w:rsidR="00652C59" w:rsidRPr="006D4802">
        <w:rPr>
          <w:lang w:val="es-ES"/>
        </w:rPr>
        <w:t>.</w:t>
      </w:r>
      <w:r w:rsidR="00652C59" w:rsidRPr="006D4802">
        <w:rPr>
          <w:color w:val="FF0000"/>
          <w:lang w:val="es-ES"/>
        </w:rPr>
        <w:t xml:space="preserve"> </w:t>
      </w:r>
    </w:p>
    <w:p w14:paraId="1CD828F4" w14:textId="77777777" w:rsidR="00737F14" w:rsidRPr="006D4802" w:rsidRDefault="00652C59" w:rsidP="00F91C4D">
      <w:pPr>
        <w:pStyle w:val="TKTITRE1"/>
        <w:rPr>
          <w:lang w:val="es-ES"/>
        </w:rPr>
      </w:pPr>
      <w:r w:rsidRPr="006D4802">
        <w:rPr>
          <w:lang w:val="es-ES"/>
        </w:rPr>
        <w:t>Las diferencias no son un problema</w:t>
      </w:r>
      <w:r w:rsidR="005E7D81">
        <w:rPr>
          <w:lang w:val="es-ES"/>
        </w:rPr>
        <w:t xml:space="preserve">: incluso </w:t>
      </w:r>
      <w:r w:rsidRPr="006D4802">
        <w:rPr>
          <w:lang w:val="es-ES"/>
        </w:rPr>
        <w:t xml:space="preserve">pueden aprovecharse </w:t>
      </w:r>
    </w:p>
    <w:p w14:paraId="2BA7D243" w14:textId="77777777" w:rsidR="00426ABA" w:rsidRDefault="00652C59" w:rsidP="00426ABA">
      <w:pPr>
        <w:pStyle w:val="TKTITRE1"/>
        <w:jc w:val="both"/>
        <w:rPr>
          <w:lang w:val="es-ES"/>
        </w:rPr>
      </w:pPr>
      <w:r w:rsidRPr="00426ABA">
        <w:rPr>
          <w:b w:val="0"/>
          <w:bCs w:val="0"/>
          <w:sz w:val="24"/>
          <w:szCs w:val="24"/>
          <w:lang w:val="es-ES"/>
        </w:rPr>
        <w:t>Las diferencias no son un obstáculo para trabajar y aprender juntos. Pueden aprovecharse de manera eficaz, entre otras cosas</w:t>
      </w:r>
      <w:r w:rsidR="005E7D81" w:rsidRPr="00426ABA">
        <w:rPr>
          <w:b w:val="0"/>
          <w:bCs w:val="0"/>
          <w:sz w:val="24"/>
          <w:szCs w:val="24"/>
          <w:lang w:val="es-ES"/>
        </w:rPr>
        <w:t xml:space="preserve">, </w:t>
      </w:r>
      <w:r w:rsidRPr="00426ABA">
        <w:rPr>
          <w:b w:val="0"/>
          <w:bCs w:val="0"/>
          <w:sz w:val="24"/>
          <w:szCs w:val="24"/>
          <w:lang w:val="es-ES"/>
        </w:rPr>
        <w:t xml:space="preserve">para </w:t>
      </w:r>
      <w:r w:rsidR="007D7788" w:rsidRPr="00426ABA">
        <w:rPr>
          <w:b w:val="0"/>
          <w:bCs w:val="0"/>
          <w:sz w:val="24"/>
          <w:szCs w:val="24"/>
          <w:lang w:val="es-ES"/>
        </w:rPr>
        <w:t xml:space="preserve">conseguir que los alumnos más aventajados ayuden </w:t>
      </w:r>
      <w:r w:rsidRPr="00426ABA">
        <w:rPr>
          <w:b w:val="0"/>
          <w:bCs w:val="0"/>
          <w:sz w:val="24"/>
          <w:szCs w:val="24"/>
          <w:lang w:val="es-ES"/>
        </w:rPr>
        <w:t xml:space="preserve">a </w:t>
      </w:r>
      <w:r w:rsidR="005E7D81" w:rsidRPr="00426ABA">
        <w:rPr>
          <w:b w:val="0"/>
          <w:bCs w:val="0"/>
          <w:sz w:val="24"/>
          <w:szCs w:val="24"/>
          <w:lang w:val="es-ES"/>
        </w:rPr>
        <w:t xml:space="preserve">los que tienen </w:t>
      </w:r>
      <w:r w:rsidRPr="00426ABA">
        <w:rPr>
          <w:b w:val="0"/>
          <w:bCs w:val="0"/>
          <w:sz w:val="24"/>
          <w:szCs w:val="24"/>
          <w:lang w:val="es-ES"/>
        </w:rPr>
        <w:t xml:space="preserve">más dificultades para aprender. Estableciendo un </w:t>
      </w:r>
      <w:r w:rsidR="00B273EB" w:rsidRPr="00426ABA">
        <w:rPr>
          <w:b w:val="0"/>
          <w:bCs w:val="0"/>
          <w:sz w:val="24"/>
          <w:szCs w:val="24"/>
          <w:lang w:val="es-ES"/>
        </w:rPr>
        <w:t>clima de colaboración</w:t>
      </w:r>
      <w:r w:rsidRPr="00426ABA">
        <w:rPr>
          <w:b w:val="0"/>
          <w:bCs w:val="0"/>
          <w:sz w:val="24"/>
          <w:szCs w:val="24"/>
          <w:lang w:val="es-ES"/>
        </w:rPr>
        <w:t xml:space="preserve"> se puede conseguir que todos </w:t>
      </w:r>
      <w:r w:rsidR="005E7D81" w:rsidRPr="00426ABA">
        <w:rPr>
          <w:b w:val="0"/>
          <w:bCs w:val="0"/>
          <w:sz w:val="24"/>
          <w:szCs w:val="24"/>
          <w:lang w:val="es-ES"/>
        </w:rPr>
        <w:t xml:space="preserve">presten </w:t>
      </w:r>
      <w:r w:rsidRPr="00426ABA">
        <w:rPr>
          <w:b w:val="0"/>
          <w:bCs w:val="0"/>
          <w:sz w:val="24"/>
          <w:szCs w:val="24"/>
          <w:lang w:val="es-ES"/>
        </w:rPr>
        <w:t>apoyo</w:t>
      </w:r>
      <w:r w:rsidR="00B273EB" w:rsidRPr="00426ABA">
        <w:rPr>
          <w:b w:val="0"/>
          <w:bCs w:val="0"/>
          <w:sz w:val="24"/>
          <w:szCs w:val="24"/>
          <w:lang w:val="es-ES"/>
        </w:rPr>
        <w:t>, en función de s</w:t>
      </w:r>
      <w:r w:rsidRPr="00426ABA">
        <w:rPr>
          <w:b w:val="0"/>
          <w:bCs w:val="0"/>
          <w:sz w:val="24"/>
          <w:szCs w:val="24"/>
          <w:lang w:val="es-ES"/>
        </w:rPr>
        <w:t>us capacidades individuales. Por ejemplo, un refugiado</w:t>
      </w:r>
      <w:r w:rsidR="00B273EB" w:rsidRPr="00426ABA">
        <w:rPr>
          <w:b w:val="0"/>
          <w:bCs w:val="0"/>
          <w:sz w:val="24"/>
          <w:szCs w:val="24"/>
          <w:lang w:val="es-ES"/>
        </w:rPr>
        <w:t xml:space="preserve"> para el que el aprendizaje de idiomas parezca un </w:t>
      </w:r>
      <w:r w:rsidRPr="00426ABA">
        <w:rPr>
          <w:b w:val="0"/>
          <w:bCs w:val="0"/>
          <w:sz w:val="24"/>
          <w:szCs w:val="24"/>
          <w:lang w:val="es-ES"/>
        </w:rPr>
        <w:t xml:space="preserve">gran desafío </w:t>
      </w:r>
      <w:r w:rsidR="00B273EB" w:rsidRPr="00426ABA">
        <w:rPr>
          <w:b w:val="0"/>
          <w:bCs w:val="0"/>
          <w:sz w:val="24"/>
          <w:szCs w:val="24"/>
          <w:lang w:val="es-ES"/>
        </w:rPr>
        <w:t xml:space="preserve">tal vez sea un gran dibujante. </w:t>
      </w:r>
      <w:r w:rsidRPr="00426ABA">
        <w:rPr>
          <w:b w:val="0"/>
          <w:bCs w:val="0"/>
          <w:sz w:val="24"/>
          <w:szCs w:val="24"/>
          <w:lang w:val="es-ES"/>
        </w:rPr>
        <w:t>Otro</w:t>
      </w:r>
      <w:r w:rsidR="00B273EB" w:rsidRPr="00426ABA">
        <w:rPr>
          <w:b w:val="0"/>
          <w:bCs w:val="0"/>
          <w:sz w:val="24"/>
          <w:szCs w:val="24"/>
          <w:lang w:val="es-ES"/>
        </w:rPr>
        <w:t>, por ejemplo,</w:t>
      </w:r>
      <w:r w:rsidRPr="00426ABA">
        <w:rPr>
          <w:b w:val="0"/>
          <w:bCs w:val="0"/>
          <w:sz w:val="24"/>
          <w:szCs w:val="24"/>
          <w:lang w:val="es-ES"/>
        </w:rPr>
        <w:t xml:space="preserve"> puede disfrutar </w:t>
      </w:r>
      <w:r w:rsidR="00B273EB" w:rsidRPr="00426ABA">
        <w:rPr>
          <w:b w:val="0"/>
          <w:bCs w:val="0"/>
          <w:sz w:val="24"/>
          <w:szCs w:val="24"/>
          <w:lang w:val="es-ES"/>
        </w:rPr>
        <w:t>cantando.</w:t>
      </w:r>
      <w:r w:rsidR="00B273EB">
        <w:rPr>
          <w:lang w:val="es-ES"/>
        </w:rPr>
        <w:t xml:space="preserve"> </w:t>
      </w:r>
    </w:p>
    <w:p w14:paraId="603A21F7" w14:textId="77777777" w:rsidR="00737F14" w:rsidRPr="006D4802" w:rsidRDefault="003749BB" w:rsidP="00426ABA">
      <w:pPr>
        <w:pStyle w:val="TKTITRE1"/>
        <w:jc w:val="both"/>
        <w:rPr>
          <w:lang w:val="es-ES"/>
        </w:rPr>
      </w:pPr>
      <w:r w:rsidRPr="006D4802">
        <w:rPr>
          <w:lang w:val="es-ES"/>
        </w:rPr>
        <w:t xml:space="preserve">Algunas ideas </w:t>
      </w:r>
      <w:r w:rsidR="00F21D58" w:rsidRPr="006D4802">
        <w:rPr>
          <w:lang w:val="es-ES"/>
        </w:rPr>
        <w:t>a tener en cuenta</w:t>
      </w:r>
    </w:p>
    <w:p w14:paraId="3135E177" w14:textId="77777777" w:rsidR="00CE72A9" w:rsidRPr="006D4802" w:rsidRDefault="003749BB" w:rsidP="003749BB">
      <w:pPr>
        <w:pStyle w:val="TKTEXTE"/>
        <w:jc w:val="both"/>
        <w:rPr>
          <w:lang w:val="es-ES"/>
        </w:rPr>
      </w:pPr>
      <w:r w:rsidRPr="006D4802">
        <w:rPr>
          <w:lang w:val="es-ES"/>
        </w:rPr>
        <w:t>Analicemos las siguientes directrices para trabajar con grupos heterogéneos</w:t>
      </w:r>
      <w:r w:rsidR="00B273EB">
        <w:rPr>
          <w:lang w:val="es-ES"/>
        </w:rPr>
        <w:t>,</w:t>
      </w:r>
      <w:r w:rsidRPr="006D4802">
        <w:rPr>
          <w:lang w:val="es-ES"/>
        </w:rPr>
        <w:t xml:space="preserve"> y consideremos cuáles serían de aplicación en</w:t>
      </w:r>
      <w:r w:rsidR="00F21D58" w:rsidRPr="006D4802">
        <w:rPr>
          <w:lang w:val="es-ES"/>
        </w:rPr>
        <w:t xml:space="preserve"> nuestra situación concreta</w:t>
      </w:r>
      <w:r w:rsidR="00F91C4D" w:rsidRPr="006D4802">
        <w:rPr>
          <w:lang w:val="es-E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19"/>
        <w:gridCol w:w="1001"/>
      </w:tblGrid>
      <w:tr w:rsidR="00F91C4D" w:rsidRPr="006D4802" w14:paraId="0CBF632F" w14:textId="77777777" w:rsidTr="00190EAF">
        <w:trPr>
          <w:trHeight w:val="633"/>
        </w:trPr>
        <w:tc>
          <w:tcPr>
            <w:tcW w:w="9619" w:type="dxa"/>
            <w:shd w:val="clear" w:color="auto" w:fill="D9D9D9" w:themeFill="background1" w:themeFillShade="D9"/>
            <w:vAlign w:val="center"/>
          </w:tcPr>
          <w:p w14:paraId="7B1758CF" w14:textId="77777777" w:rsidR="00F91C4D" w:rsidRPr="00B273EB" w:rsidRDefault="00AE183D" w:rsidP="00F21D58">
            <w:pPr>
              <w:pStyle w:val="TKTextetableau"/>
              <w:rPr>
                <w:b/>
                <w:bCs/>
                <w:lang w:val="es-ES"/>
              </w:rPr>
            </w:pPr>
            <w:r w:rsidRPr="00B273EB">
              <w:rPr>
                <w:b/>
                <w:bCs/>
                <w:lang w:val="es-ES"/>
              </w:rPr>
              <w:t>Sug</w:t>
            </w:r>
            <w:r w:rsidR="00F21D58" w:rsidRPr="00B273EB">
              <w:rPr>
                <w:b/>
                <w:bCs/>
                <w:lang w:val="es-ES"/>
              </w:rPr>
              <w:t>erencias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49B70173" w14:textId="77777777" w:rsidR="00F91C4D" w:rsidRPr="006D4802" w:rsidRDefault="00AE183D" w:rsidP="0030594A">
            <w:pPr>
              <w:pStyle w:val="TKTextetableau"/>
              <w:jc w:val="center"/>
              <w:rPr>
                <w:b/>
                <w:bCs/>
                <w:lang w:val="es-ES"/>
              </w:rPr>
            </w:pPr>
            <w:r w:rsidRPr="006D4802">
              <w:rPr>
                <w:b/>
                <w:bCs/>
                <w:lang w:val="es-ES"/>
              </w:rPr>
              <w:sym w:font="Wingdings" w:char="F0FC"/>
            </w:r>
          </w:p>
        </w:tc>
      </w:tr>
      <w:tr w:rsidR="00F91C4D" w:rsidRPr="00190EAF" w14:paraId="05DF428E" w14:textId="77777777" w:rsidTr="00190EAF">
        <w:trPr>
          <w:trHeight w:val="1628"/>
        </w:trPr>
        <w:tc>
          <w:tcPr>
            <w:tcW w:w="9619" w:type="dxa"/>
          </w:tcPr>
          <w:p w14:paraId="254CC3B7" w14:textId="77777777" w:rsidR="00F21D58" w:rsidRPr="00190EAF" w:rsidRDefault="00F21D58" w:rsidP="00F21D58">
            <w:pPr>
              <w:pStyle w:val="TKTextetableau"/>
              <w:jc w:val="both"/>
              <w:rPr>
                <w:lang w:val="es-ES"/>
              </w:rPr>
            </w:pPr>
            <w:r w:rsidRPr="00190EAF">
              <w:rPr>
                <w:lang w:val="es-ES"/>
              </w:rPr>
              <w:t>Alentar a los refugiados a reconocer y aprovechar las cosas que tienen en común</w:t>
            </w:r>
            <w:r w:rsidR="00B67303" w:rsidRPr="00190EAF">
              <w:rPr>
                <w:lang w:val="es-ES"/>
              </w:rPr>
              <w:t>:</w:t>
            </w:r>
            <w:r w:rsidR="00C7087A" w:rsidRPr="00190EAF">
              <w:rPr>
                <w:lang w:val="es-ES"/>
              </w:rPr>
              <w:t xml:space="preserve"> </w:t>
            </w:r>
            <w:r w:rsidRPr="00190EAF">
              <w:rPr>
                <w:lang w:val="es-ES"/>
              </w:rPr>
              <w:t>todos ellos dominarán al menos un idioma. Durante su viaje, habrán tenido que hacer frente a situaciones sin ser capaces necesariamente de hablar (mucho o poco) el idioma necesario en ese momento. Todos ellos tendrán experiencias y competencias previas, que pueden utilizar para aprender el nuevo idioma. También podemos sugerirles que recurran a lo siguiente:</w:t>
            </w:r>
          </w:p>
          <w:p w14:paraId="0CFCFB75" w14:textId="69B15BFC" w:rsidR="00F21D58" w:rsidRPr="00190EAF" w:rsidRDefault="00B273EB" w:rsidP="00F21D58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190EAF">
              <w:rPr>
                <w:sz w:val="20"/>
              </w:rPr>
              <w:t>La e</w:t>
            </w:r>
            <w:r w:rsidR="00F21D58" w:rsidRPr="00190EAF">
              <w:rPr>
                <w:sz w:val="20"/>
              </w:rPr>
              <w:t xml:space="preserve">laboración de un autorretrato lingüístico (véase también la herramienta 38 - </w:t>
            </w:r>
            <w:hyperlink r:id="rId8" w:history="1">
              <w:r w:rsidR="00F21D58" w:rsidRPr="00190EAF">
                <w:rPr>
                  <w:rStyle w:val="Lienhypertexte"/>
                  <w:rFonts w:eastAsia="Calibri" w:cs="Calibri"/>
                  <w:i/>
                  <w:iCs/>
                  <w:sz w:val="20"/>
                  <w:u w:val="none"/>
                </w:rPr>
                <w:t>Retrato plurilingüe: una labor de reflexión para los refugiados</w:t>
              </w:r>
            </w:hyperlink>
            <w:r w:rsidR="00F21D58" w:rsidRPr="00190EAF">
              <w:rPr>
                <w:sz w:val="20"/>
              </w:rPr>
              <w:t>)</w:t>
            </w:r>
            <w:r w:rsidRPr="00190EAF">
              <w:rPr>
                <w:sz w:val="20"/>
              </w:rPr>
              <w:t>.</w:t>
            </w:r>
          </w:p>
          <w:p w14:paraId="60475EEA" w14:textId="77777777" w:rsidR="00F91C4D" w:rsidRPr="00190EAF" w:rsidRDefault="00F21D58" w:rsidP="00F21D58">
            <w:pPr>
              <w:pStyle w:val="TKTextetableau"/>
              <w:numPr>
                <w:ilvl w:val="0"/>
                <w:numId w:val="13"/>
              </w:numPr>
              <w:jc w:val="both"/>
              <w:rPr>
                <w:lang w:val="es-ES"/>
              </w:rPr>
            </w:pPr>
            <w:r w:rsidRPr="00190EAF">
              <w:rPr>
                <w:lang w:val="es-ES"/>
              </w:rPr>
              <w:t xml:space="preserve"> Formas de comunicación no verbales (gestos/mímica)</w:t>
            </w:r>
            <w:r w:rsidR="00B273EB" w:rsidRPr="00190EAF">
              <w:rPr>
                <w:lang w:val="es-ES"/>
              </w:rPr>
              <w:t>.</w:t>
            </w:r>
          </w:p>
        </w:tc>
        <w:tc>
          <w:tcPr>
            <w:tcW w:w="1001" w:type="dxa"/>
          </w:tcPr>
          <w:p w14:paraId="2D1125AE" w14:textId="77777777" w:rsidR="00F91C4D" w:rsidRPr="00190EAF" w:rsidRDefault="00F91C4D" w:rsidP="0030594A">
            <w:pPr>
              <w:pStyle w:val="TKTextetableau"/>
              <w:rPr>
                <w:lang w:val="es-ES"/>
              </w:rPr>
            </w:pPr>
          </w:p>
        </w:tc>
      </w:tr>
      <w:tr w:rsidR="00F91C4D" w:rsidRPr="006D4802" w14:paraId="010F4ED5" w14:textId="77777777" w:rsidTr="00190EAF">
        <w:trPr>
          <w:trHeight w:val="1628"/>
        </w:trPr>
        <w:tc>
          <w:tcPr>
            <w:tcW w:w="9619" w:type="dxa"/>
            <w:shd w:val="clear" w:color="auto" w:fill="D9D9D9" w:themeFill="background1" w:themeFillShade="D9"/>
          </w:tcPr>
          <w:p w14:paraId="6108F9DB" w14:textId="77777777" w:rsidR="00F21D58" w:rsidRPr="00B273EB" w:rsidRDefault="00F21D58" w:rsidP="00F21D58">
            <w:pPr>
              <w:pStyle w:val="TKTextetableau"/>
              <w:rPr>
                <w:lang w:val="es-ES"/>
              </w:rPr>
            </w:pPr>
            <w:r w:rsidRPr="00B273EB">
              <w:rPr>
                <w:lang w:val="es-ES"/>
              </w:rPr>
              <w:lastRenderedPageBreak/>
              <w:t>Aprovechar las competencias de algunos refugiados para ayudar a otros:</w:t>
            </w:r>
          </w:p>
          <w:p w14:paraId="30663035" w14:textId="77777777" w:rsidR="007D18BB" w:rsidRPr="00B273EB" w:rsidRDefault="007D18BB" w:rsidP="0098059C">
            <w:pPr>
              <w:pStyle w:val="TKTextetableau"/>
              <w:numPr>
                <w:ilvl w:val="0"/>
                <w:numId w:val="13"/>
              </w:numPr>
              <w:jc w:val="both"/>
              <w:rPr>
                <w:lang w:val="es-ES"/>
              </w:rPr>
            </w:pPr>
            <w:r w:rsidRPr="00B273EB">
              <w:rPr>
                <w:lang w:val="es-ES"/>
              </w:rPr>
              <w:t>Pensar en emparejar a los alumnos del grupo de forma que cada pareja está integrada por un alumno con cierto conocimiento del nuevo i</w:t>
            </w:r>
            <w:r w:rsidR="00B273EB">
              <w:rPr>
                <w:lang w:val="es-ES"/>
              </w:rPr>
              <w:t>dioma y un alumno que desconozca</w:t>
            </w:r>
            <w:r w:rsidRPr="00B273EB">
              <w:rPr>
                <w:lang w:val="es-ES"/>
              </w:rPr>
              <w:t xml:space="preserve"> por completo dicho idioma</w:t>
            </w:r>
            <w:r w:rsidR="00F21D58" w:rsidRPr="00B273EB">
              <w:rPr>
                <w:lang w:val="es-ES"/>
              </w:rPr>
              <w:t>.</w:t>
            </w:r>
          </w:p>
          <w:p w14:paraId="5B543F70" w14:textId="77777777" w:rsidR="007D18BB" w:rsidRPr="00B273EB" w:rsidRDefault="007D18BB" w:rsidP="0098059C">
            <w:pPr>
              <w:pStyle w:val="TKTextetableau"/>
              <w:numPr>
                <w:ilvl w:val="0"/>
                <w:numId w:val="13"/>
              </w:numPr>
              <w:jc w:val="both"/>
              <w:rPr>
                <w:lang w:val="es-ES"/>
              </w:rPr>
            </w:pPr>
            <w:r w:rsidRPr="00B273EB">
              <w:rPr>
                <w:lang w:val="es-ES"/>
              </w:rPr>
              <w:t>Pedir a los alumnos que se formulen observaciones unos a otros, centrándose en lo positivo (por ejemplo, lo que han logrado)</w:t>
            </w:r>
            <w:r w:rsidR="00F21D58" w:rsidRPr="00B273EB">
              <w:rPr>
                <w:lang w:val="es-ES"/>
              </w:rPr>
              <w:t>.</w:t>
            </w:r>
          </w:p>
          <w:p w14:paraId="4A1291E4" w14:textId="77777777" w:rsidR="00F91C4D" w:rsidRPr="00B273EB" w:rsidRDefault="007D18BB" w:rsidP="0098059C">
            <w:pPr>
              <w:pStyle w:val="TKTextetableau"/>
              <w:numPr>
                <w:ilvl w:val="0"/>
                <w:numId w:val="13"/>
              </w:numPr>
              <w:jc w:val="both"/>
              <w:rPr>
                <w:lang w:val="es-ES"/>
              </w:rPr>
            </w:pPr>
            <w:r w:rsidRPr="00B273EB">
              <w:rPr>
                <w:lang w:val="es-ES"/>
              </w:rPr>
              <w:t>Animar</w:t>
            </w:r>
            <w:r w:rsidR="00F21D58" w:rsidRPr="00B273EB">
              <w:rPr>
                <w:lang w:val="es-ES"/>
              </w:rPr>
              <w:t xml:space="preserve"> a los refugiados a compartir sus habilidades </w:t>
            </w:r>
            <w:r w:rsidRPr="00B273EB">
              <w:rPr>
                <w:lang w:val="es-ES"/>
              </w:rPr>
              <w:t>con el resto del</w:t>
            </w:r>
            <w:r w:rsidR="00F21D58" w:rsidRPr="00B273EB">
              <w:rPr>
                <w:lang w:val="es-ES"/>
              </w:rPr>
              <w:t xml:space="preserve"> grupo (por ejemplo, describiendo o explicando algo de interés común, cantando una canción, recitando un poema, etc.).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4573A860" w14:textId="77777777" w:rsidR="00F91C4D" w:rsidRPr="006D4802" w:rsidRDefault="00F91C4D" w:rsidP="0030594A">
            <w:pPr>
              <w:pStyle w:val="TKTextetableau"/>
              <w:rPr>
                <w:lang w:val="es-ES"/>
              </w:rPr>
            </w:pPr>
          </w:p>
        </w:tc>
      </w:tr>
      <w:tr w:rsidR="00F91C4D" w:rsidRPr="006D4802" w14:paraId="15C5B1FF" w14:textId="77777777" w:rsidTr="00190EAF">
        <w:trPr>
          <w:trHeight w:val="2962"/>
        </w:trPr>
        <w:tc>
          <w:tcPr>
            <w:tcW w:w="9619" w:type="dxa"/>
          </w:tcPr>
          <w:p w14:paraId="435000B2" w14:textId="77777777" w:rsidR="00FD16E1" w:rsidRPr="00190EAF" w:rsidRDefault="007D18BB" w:rsidP="0030594A">
            <w:pPr>
              <w:pStyle w:val="TKTextetableau"/>
              <w:rPr>
                <w:lang w:val="es-ES"/>
              </w:rPr>
            </w:pPr>
            <w:r w:rsidRPr="00190EAF">
              <w:rPr>
                <w:lang w:val="es-ES"/>
              </w:rPr>
              <w:t>Asegurarnos de que todos aprenden algo:</w:t>
            </w:r>
          </w:p>
          <w:p w14:paraId="6F3772CC" w14:textId="77777777" w:rsidR="007D18BB" w:rsidRPr="00190EAF" w:rsidRDefault="007D18BB" w:rsidP="007D18BB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 xml:space="preserve">Observar las respuestas a nuestras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sugerencias </w:t>
            </w:r>
            <w:r w:rsidRPr="00190EAF">
              <w:rPr>
                <w:sz w:val="20"/>
                <w:szCs w:val="20"/>
                <w:lang w:val="es-ES"/>
              </w:rPr>
              <w:t>y hacer más pregunt</w:t>
            </w:r>
            <w:r w:rsidR="00B273EB" w:rsidRPr="00190EAF">
              <w:rPr>
                <w:sz w:val="20"/>
                <w:szCs w:val="20"/>
                <w:lang w:val="es-ES"/>
              </w:rPr>
              <w:t xml:space="preserve">as, o aportar más estímulos si </w:t>
            </w:r>
            <w:r w:rsidRPr="00190EAF">
              <w:rPr>
                <w:sz w:val="20"/>
                <w:szCs w:val="20"/>
                <w:lang w:val="es-ES"/>
              </w:rPr>
              <w:t xml:space="preserve">lo consideramos necesario, o </w:t>
            </w:r>
            <w:r w:rsidR="00B273EB" w:rsidRPr="00190EAF">
              <w:rPr>
                <w:sz w:val="20"/>
                <w:szCs w:val="20"/>
                <w:lang w:val="es-ES"/>
              </w:rPr>
              <w:t>dar marcha atrás</w:t>
            </w:r>
            <w:r w:rsidRPr="00190EAF">
              <w:rPr>
                <w:sz w:val="20"/>
                <w:szCs w:val="20"/>
                <w:lang w:val="es-ES"/>
              </w:rPr>
              <w:t xml:space="preserve"> si vemos que algún alumno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tiene </w:t>
            </w:r>
            <w:r w:rsidRPr="00190EAF">
              <w:rPr>
                <w:sz w:val="20"/>
                <w:szCs w:val="20"/>
                <w:lang w:val="es-ES"/>
              </w:rPr>
              <w:t>dificultades.</w:t>
            </w:r>
          </w:p>
          <w:p w14:paraId="3D3BE203" w14:textId="77777777" w:rsidR="007D18BB" w:rsidRPr="00190EAF" w:rsidRDefault="007D18BB" w:rsidP="007D18BB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 xml:space="preserve">Algo nuevo: Para algunos refugiados puede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tratarse de </w:t>
            </w:r>
            <w:r w:rsidRPr="00190EAF">
              <w:rPr>
                <w:sz w:val="20"/>
                <w:szCs w:val="20"/>
                <w:lang w:val="es-ES"/>
              </w:rPr>
              <w:t xml:space="preserve">una palabra, para otros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de </w:t>
            </w:r>
            <w:r w:rsidRPr="00190EAF">
              <w:rPr>
                <w:sz w:val="20"/>
                <w:szCs w:val="20"/>
                <w:lang w:val="es-ES"/>
              </w:rPr>
              <w:t>una fras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e, y para otros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de </w:t>
            </w:r>
            <w:r w:rsidR="006D4802" w:rsidRPr="00190EAF">
              <w:rPr>
                <w:sz w:val="20"/>
                <w:szCs w:val="20"/>
                <w:lang w:val="es-ES"/>
              </w:rPr>
              <w:t>una expresión. Conseguir e</w:t>
            </w:r>
            <w:r w:rsidRPr="00190EAF">
              <w:rPr>
                <w:sz w:val="20"/>
                <w:szCs w:val="20"/>
                <w:lang w:val="es-ES"/>
              </w:rPr>
              <w:t>ntender, aprender y recordar seis palabras de un nuevo idioma en una sola sesión es ya todo un logro.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 Demostremos </w:t>
            </w:r>
            <w:r w:rsidRPr="00190EAF">
              <w:rPr>
                <w:sz w:val="20"/>
                <w:szCs w:val="20"/>
                <w:lang w:val="es-ES"/>
              </w:rPr>
              <w:t>que la comunicación puede ser efectiva con una sola palabra. Por ejemplo, “¿disculpe?” puede transmitir el significado tan eficazmente como “lo siento, ¿le importaría repetirlo?</w:t>
            </w:r>
            <w:r w:rsidR="003B00EE" w:rsidRPr="00190EAF">
              <w:rPr>
                <w:sz w:val="20"/>
                <w:szCs w:val="20"/>
                <w:lang w:val="es-ES"/>
              </w:rPr>
              <w:t>”.</w:t>
            </w:r>
          </w:p>
          <w:p w14:paraId="3D5A6821" w14:textId="77777777" w:rsidR="00F91C4D" w:rsidRPr="00190EAF" w:rsidRDefault="007D18BB" w:rsidP="00125685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>Ayudar a todo</w:t>
            </w:r>
            <w:r w:rsidR="006D4802" w:rsidRPr="00190EAF">
              <w:rPr>
                <w:sz w:val="20"/>
                <w:szCs w:val="20"/>
                <w:lang w:val="es-ES"/>
              </w:rPr>
              <w:t>s</w:t>
            </w:r>
            <w:r w:rsidRPr="00190EAF">
              <w:rPr>
                <w:sz w:val="20"/>
                <w:szCs w:val="20"/>
                <w:lang w:val="es-ES"/>
              </w:rPr>
              <w:t xml:space="preserve"> los </w:t>
            </w:r>
            <w:r w:rsidR="006D4802" w:rsidRPr="00190EAF">
              <w:rPr>
                <w:sz w:val="20"/>
                <w:szCs w:val="20"/>
                <w:lang w:val="es-ES"/>
              </w:rPr>
              <w:t>alumno</w:t>
            </w:r>
            <w:r w:rsidRPr="00190EAF">
              <w:rPr>
                <w:sz w:val="20"/>
                <w:szCs w:val="20"/>
                <w:lang w:val="es-ES"/>
              </w:rPr>
              <w:t xml:space="preserve">s a 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ver y </w:t>
            </w:r>
            <w:r w:rsidR="005E7D81" w:rsidRPr="00190EAF">
              <w:rPr>
                <w:sz w:val="20"/>
                <w:szCs w:val="20"/>
                <w:lang w:val="es-ES"/>
              </w:rPr>
              <w:t xml:space="preserve">escuchar </w:t>
            </w:r>
            <w:r w:rsidR="006D4802" w:rsidRPr="00190EAF">
              <w:rPr>
                <w:sz w:val="20"/>
                <w:szCs w:val="20"/>
                <w:lang w:val="es-ES"/>
              </w:rPr>
              <w:t>lo que han aprendido, por ejemplo</w:t>
            </w:r>
            <w:r w:rsidR="005E7D81" w:rsidRPr="00190EAF">
              <w:rPr>
                <w:sz w:val="20"/>
                <w:szCs w:val="20"/>
                <w:lang w:val="es-ES"/>
              </w:rPr>
              <w:t>,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 resumiendo </w:t>
            </w:r>
            <w:r w:rsidRPr="00190EAF">
              <w:rPr>
                <w:sz w:val="20"/>
                <w:szCs w:val="20"/>
                <w:lang w:val="es-ES"/>
              </w:rPr>
              <w:t>los puntos en los que se ha ce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ntrado la sesión (mediante imágenes u objetos), </w:t>
            </w:r>
            <w:r w:rsidRPr="00190EAF">
              <w:rPr>
                <w:sz w:val="20"/>
                <w:szCs w:val="20"/>
                <w:lang w:val="es-ES"/>
              </w:rPr>
              <w:t xml:space="preserve">pidiendo a los refugiados que </w:t>
            </w:r>
            <w:r w:rsidR="006D4802" w:rsidRPr="00190EAF">
              <w:rPr>
                <w:sz w:val="20"/>
                <w:szCs w:val="20"/>
                <w:lang w:val="es-ES"/>
              </w:rPr>
              <w:t>participen en un breve juego de rol</w:t>
            </w:r>
            <w:r w:rsidRPr="00190EAF">
              <w:rPr>
                <w:sz w:val="20"/>
                <w:szCs w:val="20"/>
                <w:lang w:val="es-ES"/>
              </w:rPr>
              <w:t xml:space="preserve"> utilizando el idioma de destino, 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organizando breves </w:t>
            </w:r>
            <w:r w:rsidR="00125685" w:rsidRPr="00190EAF">
              <w:rPr>
                <w:sz w:val="20"/>
                <w:szCs w:val="20"/>
                <w:lang w:val="es-ES"/>
              </w:rPr>
              <w:t xml:space="preserve">tests </w:t>
            </w:r>
            <w:r w:rsidR="006D4802" w:rsidRPr="00190EAF">
              <w:rPr>
                <w:sz w:val="20"/>
                <w:szCs w:val="20"/>
                <w:lang w:val="es-ES"/>
              </w:rPr>
              <w:t xml:space="preserve">de preguntas y respuestas, etc. </w:t>
            </w:r>
          </w:p>
        </w:tc>
        <w:tc>
          <w:tcPr>
            <w:tcW w:w="1001" w:type="dxa"/>
          </w:tcPr>
          <w:p w14:paraId="50598810" w14:textId="77777777" w:rsidR="00F91C4D" w:rsidRPr="006D4802" w:rsidRDefault="00F91C4D" w:rsidP="0030594A">
            <w:pPr>
              <w:pStyle w:val="TKTextetableau"/>
              <w:rPr>
                <w:lang w:val="es-ES"/>
              </w:rPr>
            </w:pPr>
          </w:p>
        </w:tc>
      </w:tr>
      <w:tr w:rsidR="00F91C4D" w:rsidRPr="006D4802" w14:paraId="191FF842" w14:textId="77777777" w:rsidTr="00190EAF">
        <w:trPr>
          <w:trHeight w:val="1867"/>
        </w:trPr>
        <w:tc>
          <w:tcPr>
            <w:tcW w:w="9619" w:type="dxa"/>
            <w:shd w:val="clear" w:color="auto" w:fill="D9D9D9" w:themeFill="background1" w:themeFillShade="D9"/>
          </w:tcPr>
          <w:p w14:paraId="5C4A317E" w14:textId="77777777" w:rsidR="00FD16E1" w:rsidRPr="00190EAF" w:rsidRDefault="006D4802" w:rsidP="0030594A">
            <w:pPr>
              <w:pStyle w:val="TKTextetableau"/>
              <w:rPr>
                <w:lang w:val="es-ES"/>
              </w:rPr>
            </w:pPr>
            <w:r w:rsidRPr="00190EAF">
              <w:rPr>
                <w:lang w:val="es-ES"/>
              </w:rPr>
              <w:t>Crear un entorno de aprendizaje relajado y</w:t>
            </w:r>
            <w:r w:rsidR="00125685" w:rsidRPr="00190EAF">
              <w:rPr>
                <w:lang w:val="es-ES"/>
              </w:rPr>
              <w:t xml:space="preserve"> dotado de sentido</w:t>
            </w:r>
            <w:r w:rsidR="00A01F03" w:rsidRPr="00190EAF">
              <w:rPr>
                <w:lang w:val="es-ES"/>
              </w:rPr>
              <w:t>:</w:t>
            </w:r>
          </w:p>
          <w:p w14:paraId="25598EE9" w14:textId="77777777" w:rsidR="00FD16E1" w:rsidRPr="00190EAF" w:rsidRDefault="00A01F03" w:rsidP="00A01F03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 xml:space="preserve">Compartir información sobre nosotros mismos. </w:t>
            </w:r>
          </w:p>
          <w:p w14:paraId="77CC35D7" w14:textId="77777777" w:rsidR="00FD16E1" w:rsidRPr="00190EAF" w:rsidRDefault="00B273EB" w:rsidP="00A01F03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>Propiciar</w:t>
            </w:r>
            <w:r w:rsidR="00A01F03" w:rsidRPr="00190EAF">
              <w:rPr>
                <w:sz w:val="20"/>
                <w:szCs w:val="20"/>
                <w:lang w:val="es-ES"/>
              </w:rPr>
              <w:t xml:space="preserve"> una comunicación real y </w:t>
            </w:r>
            <w:r w:rsidRPr="00190EAF">
              <w:rPr>
                <w:sz w:val="20"/>
                <w:szCs w:val="20"/>
                <w:lang w:val="es-ES"/>
              </w:rPr>
              <w:t>significativa</w:t>
            </w:r>
            <w:r w:rsidR="00A01F03" w:rsidRPr="00190EAF">
              <w:rPr>
                <w:sz w:val="20"/>
                <w:szCs w:val="20"/>
                <w:lang w:val="es-ES"/>
              </w:rPr>
              <w:t xml:space="preserve"> entre los participantes y nosotros mismos</w:t>
            </w:r>
            <w:r w:rsidR="00B67303" w:rsidRPr="00190EAF">
              <w:rPr>
                <w:sz w:val="20"/>
                <w:szCs w:val="20"/>
                <w:lang w:val="es-ES"/>
              </w:rPr>
              <w:t>.</w:t>
            </w:r>
          </w:p>
          <w:p w14:paraId="703A77F5" w14:textId="77777777" w:rsidR="00FD16E1" w:rsidRPr="00190EAF" w:rsidRDefault="00A01F03" w:rsidP="00A01F03">
            <w:pPr>
              <w:pStyle w:val="TKBulletLevel1"/>
              <w:jc w:val="both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 xml:space="preserve">Preguntar a los alumnos cómo prefieren que nos dirijamos a ellos, asegurarnos de pronunciar bien sus nombres y </w:t>
            </w:r>
            <w:r w:rsidR="00125685" w:rsidRPr="00190EAF">
              <w:rPr>
                <w:sz w:val="20"/>
                <w:szCs w:val="20"/>
                <w:lang w:val="es-ES"/>
              </w:rPr>
              <w:t xml:space="preserve">de </w:t>
            </w:r>
            <w:r w:rsidRPr="00190EAF">
              <w:rPr>
                <w:sz w:val="20"/>
                <w:szCs w:val="20"/>
                <w:lang w:val="es-ES"/>
              </w:rPr>
              <w:t xml:space="preserve">utilizarlos. </w:t>
            </w:r>
          </w:p>
          <w:p w14:paraId="0E18DFC7" w14:textId="77777777" w:rsidR="00F91C4D" w:rsidRPr="00190EAF" w:rsidRDefault="00A01F03" w:rsidP="00A01F03">
            <w:pPr>
              <w:pStyle w:val="TKBulletLevel1"/>
              <w:rPr>
                <w:sz w:val="20"/>
                <w:szCs w:val="20"/>
                <w:lang w:val="es-ES"/>
              </w:rPr>
            </w:pPr>
            <w:r w:rsidRPr="00190EAF">
              <w:rPr>
                <w:sz w:val="20"/>
                <w:szCs w:val="20"/>
                <w:lang w:val="es-ES"/>
              </w:rPr>
              <w:t xml:space="preserve">Invitar a los refugiados a elegir qué quieren aprender y con quién quieren trabajar. Todos son iguales y todos pueden aprender de los demás. 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6B4D8CD0" w14:textId="77777777" w:rsidR="00F91C4D" w:rsidRPr="006D4802" w:rsidRDefault="00F91C4D" w:rsidP="0030594A">
            <w:pPr>
              <w:pStyle w:val="TKTextetableau"/>
              <w:rPr>
                <w:lang w:val="es-ES"/>
              </w:rPr>
            </w:pPr>
          </w:p>
        </w:tc>
      </w:tr>
      <w:tr w:rsidR="00F91C4D" w:rsidRPr="006D4802" w14:paraId="45B5A89B" w14:textId="77777777" w:rsidTr="00190EAF">
        <w:trPr>
          <w:trHeight w:val="2597"/>
        </w:trPr>
        <w:tc>
          <w:tcPr>
            <w:tcW w:w="9619" w:type="dxa"/>
          </w:tcPr>
          <w:p w14:paraId="7A83B6A4" w14:textId="77777777" w:rsidR="00F91C4D" w:rsidRPr="00190EAF" w:rsidRDefault="00CA7113" w:rsidP="0030594A">
            <w:pPr>
              <w:pStyle w:val="TKTextetableau"/>
              <w:rPr>
                <w:lang w:val="es-ES"/>
              </w:rPr>
            </w:pPr>
            <w:r w:rsidRPr="00190EAF">
              <w:rPr>
                <w:lang w:val="es-ES"/>
              </w:rPr>
              <w:t>Nuestras ideas y experiencias</w:t>
            </w:r>
          </w:p>
        </w:tc>
        <w:tc>
          <w:tcPr>
            <w:tcW w:w="1001" w:type="dxa"/>
          </w:tcPr>
          <w:p w14:paraId="2A02BA66" w14:textId="77777777" w:rsidR="00F91C4D" w:rsidRPr="006D4802" w:rsidRDefault="00F91C4D" w:rsidP="0030594A">
            <w:pPr>
              <w:pStyle w:val="TKTextetableau"/>
              <w:rPr>
                <w:lang w:val="es-ES"/>
              </w:rPr>
            </w:pPr>
          </w:p>
        </w:tc>
      </w:tr>
    </w:tbl>
    <w:p w14:paraId="65121C12" w14:textId="77777777" w:rsidR="00737F14" w:rsidRPr="006D4802" w:rsidRDefault="00A01F03" w:rsidP="00FD16E1">
      <w:pPr>
        <w:pStyle w:val="TKTITRE1"/>
        <w:rPr>
          <w:lang w:val="es-ES"/>
        </w:rPr>
      </w:pPr>
      <w:r>
        <w:rPr>
          <w:lang w:val="es-ES"/>
        </w:rPr>
        <w:t xml:space="preserve">Nota sobre </w:t>
      </w:r>
      <w:r w:rsidR="00B273EB">
        <w:rPr>
          <w:lang w:val="es-ES"/>
        </w:rPr>
        <w:t xml:space="preserve">las </w:t>
      </w:r>
      <w:r>
        <w:rPr>
          <w:lang w:val="es-ES"/>
        </w:rPr>
        <w:t>distintas preferencias de aprendizaje</w:t>
      </w:r>
    </w:p>
    <w:p w14:paraId="02CBCF9C" w14:textId="77777777" w:rsidR="00737F14" w:rsidRPr="006D4802" w:rsidRDefault="00A01F03" w:rsidP="00466422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alumnos pueden mostrar preferencias </w:t>
      </w:r>
      <w:r w:rsidR="00125685">
        <w:rPr>
          <w:lang w:val="es-ES"/>
        </w:rPr>
        <w:t xml:space="preserve">sobre </w:t>
      </w:r>
      <w:r>
        <w:rPr>
          <w:lang w:val="es-ES"/>
        </w:rPr>
        <w:t>cómo les gusta</w:t>
      </w:r>
      <w:r w:rsidR="00125685">
        <w:rPr>
          <w:lang w:val="es-ES"/>
        </w:rPr>
        <w:t>ría</w:t>
      </w:r>
      <w:r>
        <w:rPr>
          <w:lang w:val="es-ES"/>
        </w:rPr>
        <w:t xml:space="preserve"> aprender, sobre todo si tienen experiencia previa de aprendizaje formal. Por ejemplo, algunas personas pueden preferir recibir indicaciones, otras leerlas y otras seguir instrucciones en un </w:t>
      </w:r>
      <w:r w:rsidR="00B273EB">
        <w:rPr>
          <w:lang w:val="es-ES"/>
        </w:rPr>
        <w:t>dibujo</w:t>
      </w:r>
      <w:r>
        <w:rPr>
          <w:lang w:val="es-ES"/>
        </w:rPr>
        <w:t>. Utilizando un amplio abanico de estímulos</w:t>
      </w:r>
      <w:r w:rsidR="00B273EB">
        <w:rPr>
          <w:lang w:val="es-ES"/>
        </w:rPr>
        <w:t>,</w:t>
      </w:r>
      <w:r>
        <w:rPr>
          <w:lang w:val="es-ES"/>
        </w:rPr>
        <w:t xml:space="preserve"> actividades y recursos</w:t>
      </w:r>
      <w:r w:rsidR="00B273EB">
        <w:rPr>
          <w:lang w:val="es-ES"/>
        </w:rPr>
        <w:t>,</w:t>
      </w:r>
      <w:r>
        <w:rPr>
          <w:lang w:val="es-ES"/>
        </w:rPr>
        <w:t xml:space="preserve"> lograremos </w:t>
      </w:r>
      <w:r w:rsidR="00466422">
        <w:rPr>
          <w:lang w:val="es-ES"/>
        </w:rPr>
        <w:t>aprovechar al máximo las oportunidades de aprendizaje, involucr</w:t>
      </w:r>
      <w:r w:rsidR="00125685">
        <w:rPr>
          <w:lang w:val="es-ES"/>
        </w:rPr>
        <w:t>ar</w:t>
      </w:r>
      <w:r w:rsidR="00466422">
        <w:rPr>
          <w:lang w:val="es-ES"/>
        </w:rPr>
        <w:t xml:space="preserve"> </w:t>
      </w:r>
      <w:r w:rsidR="00125685">
        <w:rPr>
          <w:lang w:val="es-ES"/>
        </w:rPr>
        <w:t xml:space="preserve">en él a los alumnos </w:t>
      </w:r>
      <w:r w:rsidR="00466422">
        <w:rPr>
          <w:lang w:val="es-ES"/>
        </w:rPr>
        <w:t>y reducir posibles barreras.</w:t>
      </w:r>
    </w:p>
    <w:p w14:paraId="5FE84AD1" w14:textId="77777777" w:rsidR="00737F14" w:rsidRPr="006D4802" w:rsidRDefault="00CA7113" w:rsidP="00466422">
      <w:pPr>
        <w:pStyle w:val="TKTITRE1"/>
        <w:jc w:val="both"/>
        <w:rPr>
          <w:lang w:val="es-ES"/>
        </w:rPr>
      </w:pPr>
      <w:r w:rsidRPr="006D4802">
        <w:rPr>
          <w:lang w:val="es-ES"/>
        </w:rPr>
        <w:t xml:space="preserve">Uso del kit de herramientas </w:t>
      </w:r>
      <w:r w:rsidR="00125685">
        <w:rPr>
          <w:lang w:val="es-ES"/>
        </w:rPr>
        <w:t xml:space="preserve">en la </w:t>
      </w:r>
      <w:r w:rsidRPr="006D4802">
        <w:rPr>
          <w:lang w:val="es-ES"/>
        </w:rPr>
        <w:t>planifica</w:t>
      </w:r>
      <w:r w:rsidR="00125685">
        <w:rPr>
          <w:lang w:val="es-ES"/>
        </w:rPr>
        <w:t>ción</w:t>
      </w:r>
    </w:p>
    <w:p w14:paraId="6D8B2824" w14:textId="35160EB8" w:rsidR="00AD36D4" w:rsidRPr="006D4802" w:rsidRDefault="00CA7113" w:rsidP="00466422">
      <w:pPr>
        <w:pStyle w:val="TKTEXTE"/>
        <w:jc w:val="both"/>
        <w:rPr>
          <w:i/>
          <w:u w:val="single"/>
          <w:lang w:val="es-ES"/>
        </w:rPr>
      </w:pPr>
      <w:r w:rsidRPr="006D4802">
        <w:rPr>
          <w:lang w:val="es-ES"/>
        </w:rPr>
        <w:t xml:space="preserve">El presente kit de herramientas ofrece diversos enfoques para ayudarnos a elegir las actividades. Véase </w:t>
      </w:r>
      <w:hyperlink r:id="rId9" w:history="1">
        <w:r w:rsidR="00737F14" w:rsidRPr="006D4802">
          <w:rPr>
            <w:rStyle w:val="Lienhypertexte"/>
            <w:rFonts w:cs="Calibri"/>
            <w:i/>
            <w:iCs/>
            <w:u w:val="none"/>
            <w:lang w:val="es-ES"/>
          </w:rPr>
          <w:t>P</w:t>
        </w:r>
        <w:r w:rsidRPr="006D4802">
          <w:rPr>
            <w:rStyle w:val="Lienhypertexte"/>
            <w:rFonts w:cs="Calibri"/>
            <w:i/>
            <w:iCs/>
            <w:u w:val="none"/>
            <w:lang w:val="es-ES"/>
          </w:rPr>
          <w:t>reparación y planificación</w:t>
        </w:r>
      </w:hyperlink>
      <w:r w:rsidR="00737F14" w:rsidRPr="006D4802">
        <w:rPr>
          <w:i/>
          <w:lang w:val="es-ES"/>
        </w:rPr>
        <w:t>.</w:t>
      </w:r>
    </w:p>
    <w:sectPr w:rsidR="00AD36D4" w:rsidRPr="006D4802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F03E" w14:textId="77777777" w:rsidR="00B96E9C" w:rsidRDefault="00B96E9C" w:rsidP="00C523EA">
      <w:r>
        <w:separator/>
      </w:r>
    </w:p>
  </w:endnote>
  <w:endnote w:type="continuationSeparator" w:id="0">
    <w:p w14:paraId="7C8F81A1" w14:textId="77777777" w:rsidR="00B96E9C" w:rsidRDefault="00B96E9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36448BEC" w14:textId="77777777" w:rsidTr="00254DC5">
      <w:trPr>
        <w:cantSplit/>
      </w:trPr>
      <w:tc>
        <w:tcPr>
          <w:tcW w:w="1667" w:type="pct"/>
        </w:tcPr>
        <w:p w14:paraId="20FDD29C" w14:textId="77777777" w:rsidR="00770190" w:rsidRPr="002D636B" w:rsidRDefault="003A1641" w:rsidP="00770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A164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44857659" w14:textId="77777777" w:rsidR="00770190" w:rsidRPr="002D636B" w:rsidRDefault="003A1641" w:rsidP="00770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A1641">
            <w:rPr>
              <w:rFonts w:eastAsia="Calibri" w:cs="Cambria"/>
              <w:sz w:val="18"/>
              <w:szCs w:val="18"/>
            </w:rPr>
            <w:t>Estrasburgo</w:t>
          </w:r>
        </w:p>
        <w:p w14:paraId="4F1A1FB4" w14:textId="77777777" w:rsidR="00770190" w:rsidRPr="002D636B" w:rsidRDefault="003A1641" w:rsidP="00770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A1641">
            <w:rPr>
              <w:rFonts w:eastAsia="Calibri" w:cs="Cambria"/>
              <w:sz w:val="18"/>
              <w:szCs w:val="18"/>
            </w:rPr>
            <w:t xml:space="preserve"> </w:t>
          </w:r>
        </w:p>
        <w:p w14:paraId="383F2165" w14:textId="77777777" w:rsidR="00770190" w:rsidRPr="002D636B" w:rsidRDefault="003A1641" w:rsidP="0077019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A1641">
            <w:rPr>
              <w:rFonts w:eastAsia="Calibri" w:cs="Cambria"/>
              <w:b/>
              <w:sz w:val="18"/>
              <w:szCs w:val="18"/>
            </w:rPr>
            <w:t>Herramienta 14</w:t>
          </w:r>
        </w:p>
        <w:p w14:paraId="68F0F3D5" w14:textId="77777777" w:rsidR="00186952" w:rsidRPr="002D636B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</w:tc>
      <w:tc>
        <w:tcPr>
          <w:tcW w:w="1667" w:type="pct"/>
          <w:vAlign w:val="bottom"/>
        </w:tcPr>
        <w:p w14:paraId="7EC731E7" w14:textId="77777777" w:rsidR="00186952" w:rsidRDefault="00186952" w:rsidP="00770190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770190">
            <w:rPr>
              <w:rFonts w:eastAsia="Calibri" w:cs="Cambria"/>
              <w:sz w:val="18"/>
              <w:szCs w:val="18"/>
              <w:lang w:val="en-US"/>
            </w:rPr>
            <w:t xml:space="preserve">ágina </w: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15638">
            <w:rPr>
              <w:rFonts w:eastAsia="Calibri" w:cs="Cambria"/>
              <w:noProof/>
              <w:sz w:val="18"/>
              <w:szCs w:val="18"/>
              <w:lang w:val="en-US"/>
            </w:rPr>
            <w:t>6</w: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15638">
            <w:rPr>
              <w:rFonts w:eastAsia="Calibri" w:cs="Cambria"/>
              <w:noProof/>
              <w:sz w:val="18"/>
              <w:szCs w:val="18"/>
              <w:lang w:val="en-US"/>
            </w:rPr>
            <w:t>6</w:t>
          </w:r>
          <w:r w:rsidR="00456E46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3AD270F7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7FE9484E" wp14:editId="3387D372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B8AE8D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3D8F" w14:textId="77777777" w:rsidR="00B96E9C" w:rsidRDefault="00B96E9C" w:rsidP="00C523EA">
      <w:r>
        <w:separator/>
      </w:r>
    </w:p>
  </w:footnote>
  <w:footnote w:type="continuationSeparator" w:id="0">
    <w:p w14:paraId="3EC85820" w14:textId="77777777" w:rsidR="00B96E9C" w:rsidRDefault="00B96E9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70190" w:rsidRPr="000B195A" w14:paraId="15D6C642" w14:textId="77777777" w:rsidTr="00770190">
      <w:trPr>
        <w:trHeight w:val="1304"/>
      </w:trPr>
      <w:tc>
        <w:tcPr>
          <w:tcW w:w="2228" w:type="dxa"/>
        </w:tcPr>
        <w:p w14:paraId="60015510" w14:textId="77777777" w:rsidR="00770190" w:rsidRPr="00CB5C65" w:rsidRDefault="00770190" w:rsidP="00186952">
          <w:r w:rsidRPr="00CB5C65">
            <w:rPr>
              <w:noProof/>
              <w:lang w:eastAsia="es-ES"/>
            </w:rPr>
            <w:drawing>
              <wp:inline distT="0" distB="0" distL="0" distR="0" wp14:anchorId="1CB1FEA6" wp14:editId="7382E71D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2E2940CC" w14:textId="77777777" w:rsidR="00770190" w:rsidRDefault="00770190" w:rsidP="0061613B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7FA7A0DB" w14:textId="77777777" w:rsidR="00770190" w:rsidRDefault="00770190" w:rsidP="0061613B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5CD2EE17" w14:textId="77777777" w:rsidR="00770190" w:rsidRDefault="00000000" w:rsidP="0061613B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70190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2304BE00" w14:textId="77777777" w:rsidR="00770190" w:rsidRDefault="00770190" w:rsidP="0061613B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07F9D115" w14:textId="77777777" w:rsidR="00770190" w:rsidRDefault="00000000" w:rsidP="0061613B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770190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B808B38" w14:textId="77777777" w:rsidR="00186952" w:rsidRPr="002D636B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CD3AF5"/>
    <w:multiLevelType w:val="hybridMultilevel"/>
    <w:tmpl w:val="666EE02C"/>
    <w:lvl w:ilvl="0" w:tplc="2A38EF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B7C"/>
    <w:multiLevelType w:val="hybridMultilevel"/>
    <w:tmpl w:val="C2108DE8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1CB1712"/>
    <w:multiLevelType w:val="hybridMultilevel"/>
    <w:tmpl w:val="74AEB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03A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7A6A05"/>
    <w:multiLevelType w:val="hybridMultilevel"/>
    <w:tmpl w:val="7982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50106">
    <w:abstractNumId w:val="1"/>
  </w:num>
  <w:num w:numId="2" w16cid:durableId="399837152">
    <w:abstractNumId w:val="4"/>
  </w:num>
  <w:num w:numId="3" w16cid:durableId="1171407477">
    <w:abstractNumId w:val="9"/>
  </w:num>
  <w:num w:numId="4" w16cid:durableId="104422683">
    <w:abstractNumId w:val="0"/>
  </w:num>
  <w:num w:numId="5" w16cid:durableId="317029808">
    <w:abstractNumId w:val="8"/>
  </w:num>
  <w:num w:numId="6" w16cid:durableId="1563715461">
    <w:abstractNumId w:val="7"/>
  </w:num>
  <w:num w:numId="7" w16cid:durableId="1457605348">
    <w:abstractNumId w:val="4"/>
  </w:num>
  <w:num w:numId="8" w16cid:durableId="453400949">
    <w:abstractNumId w:val="2"/>
  </w:num>
  <w:num w:numId="9" w16cid:durableId="1728525853">
    <w:abstractNumId w:val="6"/>
  </w:num>
  <w:num w:numId="10" w16cid:durableId="1015961463">
    <w:abstractNumId w:val="10"/>
  </w:num>
  <w:num w:numId="11" w16cid:durableId="276376044">
    <w:abstractNumId w:val="4"/>
  </w:num>
  <w:num w:numId="12" w16cid:durableId="57677247">
    <w:abstractNumId w:val="4"/>
  </w:num>
  <w:num w:numId="13" w16cid:durableId="1602907532">
    <w:abstractNumId w:val="5"/>
  </w:num>
  <w:num w:numId="14" w16cid:durableId="1203059809">
    <w:abstractNumId w:val="3"/>
  </w:num>
  <w:num w:numId="15" w16cid:durableId="157504575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2564F"/>
    <w:rsid w:val="000338F0"/>
    <w:rsid w:val="00036FAA"/>
    <w:rsid w:val="00037B0E"/>
    <w:rsid w:val="000509E1"/>
    <w:rsid w:val="00057371"/>
    <w:rsid w:val="000618A7"/>
    <w:rsid w:val="000776F3"/>
    <w:rsid w:val="0009323B"/>
    <w:rsid w:val="000937FA"/>
    <w:rsid w:val="000A080D"/>
    <w:rsid w:val="000B098B"/>
    <w:rsid w:val="000B195A"/>
    <w:rsid w:val="000C5F40"/>
    <w:rsid w:val="000D3E92"/>
    <w:rsid w:val="000E706C"/>
    <w:rsid w:val="000E7AFD"/>
    <w:rsid w:val="000F42D6"/>
    <w:rsid w:val="00110B4B"/>
    <w:rsid w:val="00113442"/>
    <w:rsid w:val="00121C7F"/>
    <w:rsid w:val="00125685"/>
    <w:rsid w:val="00126A5E"/>
    <w:rsid w:val="00133E2F"/>
    <w:rsid w:val="001347DC"/>
    <w:rsid w:val="00140B7E"/>
    <w:rsid w:val="00154B1F"/>
    <w:rsid w:val="00172C07"/>
    <w:rsid w:val="001741D1"/>
    <w:rsid w:val="0017676C"/>
    <w:rsid w:val="00186952"/>
    <w:rsid w:val="00190EAF"/>
    <w:rsid w:val="001927FB"/>
    <w:rsid w:val="001965B4"/>
    <w:rsid w:val="001A1B4C"/>
    <w:rsid w:val="001A6672"/>
    <w:rsid w:val="001B0010"/>
    <w:rsid w:val="001B602D"/>
    <w:rsid w:val="001B71AD"/>
    <w:rsid w:val="001C7918"/>
    <w:rsid w:val="00201D74"/>
    <w:rsid w:val="00202F65"/>
    <w:rsid w:val="0020300A"/>
    <w:rsid w:val="00214CD0"/>
    <w:rsid w:val="00233192"/>
    <w:rsid w:val="00246E8E"/>
    <w:rsid w:val="00254DC5"/>
    <w:rsid w:val="0026293F"/>
    <w:rsid w:val="00273910"/>
    <w:rsid w:val="002748DD"/>
    <w:rsid w:val="002860CD"/>
    <w:rsid w:val="002A0CEF"/>
    <w:rsid w:val="002A3476"/>
    <w:rsid w:val="002D636B"/>
    <w:rsid w:val="002E478C"/>
    <w:rsid w:val="002F089F"/>
    <w:rsid w:val="002F2562"/>
    <w:rsid w:val="0030060E"/>
    <w:rsid w:val="00303A5A"/>
    <w:rsid w:val="0030594A"/>
    <w:rsid w:val="003128C2"/>
    <w:rsid w:val="00327BBC"/>
    <w:rsid w:val="0033137E"/>
    <w:rsid w:val="003428B9"/>
    <w:rsid w:val="0035492A"/>
    <w:rsid w:val="003575BD"/>
    <w:rsid w:val="00373B9F"/>
    <w:rsid w:val="003749BB"/>
    <w:rsid w:val="0037570C"/>
    <w:rsid w:val="0038409C"/>
    <w:rsid w:val="003847AD"/>
    <w:rsid w:val="0039090F"/>
    <w:rsid w:val="00395167"/>
    <w:rsid w:val="003A1641"/>
    <w:rsid w:val="003B00EE"/>
    <w:rsid w:val="003B337F"/>
    <w:rsid w:val="003C0495"/>
    <w:rsid w:val="003C050D"/>
    <w:rsid w:val="003C1CE1"/>
    <w:rsid w:val="003C32F5"/>
    <w:rsid w:val="003D4203"/>
    <w:rsid w:val="003E358D"/>
    <w:rsid w:val="003E5743"/>
    <w:rsid w:val="003F121D"/>
    <w:rsid w:val="00426ABA"/>
    <w:rsid w:val="00431808"/>
    <w:rsid w:val="004353CC"/>
    <w:rsid w:val="00450203"/>
    <w:rsid w:val="00456E46"/>
    <w:rsid w:val="00457DD9"/>
    <w:rsid w:val="00460BCC"/>
    <w:rsid w:val="00466422"/>
    <w:rsid w:val="00470AA9"/>
    <w:rsid w:val="0049006B"/>
    <w:rsid w:val="00490099"/>
    <w:rsid w:val="004A486D"/>
    <w:rsid w:val="004B5DD8"/>
    <w:rsid w:val="004C1652"/>
    <w:rsid w:val="004E1253"/>
    <w:rsid w:val="004E32A8"/>
    <w:rsid w:val="004F2E30"/>
    <w:rsid w:val="00503E91"/>
    <w:rsid w:val="00510C53"/>
    <w:rsid w:val="00526886"/>
    <w:rsid w:val="00555D25"/>
    <w:rsid w:val="00561E8B"/>
    <w:rsid w:val="00570D5C"/>
    <w:rsid w:val="005713EB"/>
    <w:rsid w:val="00586C3E"/>
    <w:rsid w:val="00590BE5"/>
    <w:rsid w:val="00592F6C"/>
    <w:rsid w:val="005C2E50"/>
    <w:rsid w:val="005E4CA5"/>
    <w:rsid w:val="005E7D81"/>
    <w:rsid w:val="005F3597"/>
    <w:rsid w:val="0061613B"/>
    <w:rsid w:val="00617D74"/>
    <w:rsid w:val="00634900"/>
    <w:rsid w:val="0064154F"/>
    <w:rsid w:val="006455D0"/>
    <w:rsid w:val="00651E90"/>
    <w:rsid w:val="00652C59"/>
    <w:rsid w:val="00655B1E"/>
    <w:rsid w:val="00655CCE"/>
    <w:rsid w:val="006627B2"/>
    <w:rsid w:val="006A1A21"/>
    <w:rsid w:val="006B72DB"/>
    <w:rsid w:val="006C0689"/>
    <w:rsid w:val="006C08C3"/>
    <w:rsid w:val="006C7675"/>
    <w:rsid w:val="006C7764"/>
    <w:rsid w:val="006D234F"/>
    <w:rsid w:val="006D4802"/>
    <w:rsid w:val="006E41FB"/>
    <w:rsid w:val="006F56BB"/>
    <w:rsid w:val="00705BF1"/>
    <w:rsid w:val="00734E55"/>
    <w:rsid w:val="00737F14"/>
    <w:rsid w:val="0074542C"/>
    <w:rsid w:val="007458E1"/>
    <w:rsid w:val="00750608"/>
    <w:rsid w:val="00770190"/>
    <w:rsid w:val="00773ACD"/>
    <w:rsid w:val="007821CB"/>
    <w:rsid w:val="00786599"/>
    <w:rsid w:val="00791F44"/>
    <w:rsid w:val="00792FF5"/>
    <w:rsid w:val="007A4D23"/>
    <w:rsid w:val="007B1856"/>
    <w:rsid w:val="007B4D14"/>
    <w:rsid w:val="007D18BB"/>
    <w:rsid w:val="007D7788"/>
    <w:rsid w:val="007E33F4"/>
    <w:rsid w:val="007F3646"/>
    <w:rsid w:val="007F5F10"/>
    <w:rsid w:val="0080462C"/>
    <w:rsid w:val="00805257"/>
    <w:rsid w:val="008067EC"/>
    <w:rsid w:val="0083366C"/>
    <w:rsid w:val="00844534"/>
    <w:rsid w:val="008469DE"/>
    <w:rsid w:val="008506D5"/>
    <w:rsid w:val="0085465B"/>
    <w:rsid w:val="00861574"/>
    <w:rsid w:val="00872577"/>
    <w:rsid w:val="00892B00"/>
    <w:rsid w:val="008A1CEA"/>
    <w:rsid w:val="008B45A3"/>
    <w:rsid w:val="008C53DF"/>
    <w:rsid w:val="008E5153"/>
    <w:rsid w:val="008E6FB9"/>
    <w:rsid w:val="008F0189"/>
    <w:rsid w:val="008F0399"/>
    <w:rsid w:val="008F1473"/>
    <w:rsid w:val="008F24DC"/>
    <w:rsid w:val="008F51C9"/>
    <w:rsid w:val="008F5269"/>
    <w:rsid w:val="008F7DF2"/>
    <w:rsid w:val="009025F0"/>
    <w:rsid w:val="00924A0A"/>
    <w:rsid w:val="0093428B"/>
    <w:rsid w:val="0094551C"/>
    <w:rsid w:val="00953DC1"/>
    <w:rsid w:val="00970C63"/>
    <w:rsid w:val="0097497F"/>
    <w:rsid w:val="0098059C"/>
    <w:rsid w:val="00983501"/>
    <w:rsid w:val="00990990"/>
    <w:rsid w:val="009A3FE3"/>
    <w:rsid w:val="009A4759"/>
    <w:rsid w:val="009A5131"/>
    <w:rsid w:val="009B563D"/>
    <w:rsid w:val="009B7F95"/>
    <w:rsid w:val="009C0600"/>
    <w:rsid w:val="00A01F03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9044D"/>
    <w:rsid w:val="00A94D11"/>
    <w:rsid w:val="00AA3F27"/>
    <w:rsid w:val="00AB255A"/>
    <w:rsid w:val="00AD36D4"/>
    <w:rsid w:val="00AD4244"/>
    <w:rsid w:val="00AE03EB"/>
    <w:rsid w:val="00AE183D"/>
    <w:rsid w:val="00AE657E"/>
    <w:rsid w:val="00AF4A1E"/>
    <w:rsid w:val="00AF56A8"/>
    <w:rsid w:val="00B14386"/>
    <w:rsid w:val="00B25C82"/>
    <w:rsid w:val="00B273EB"/>
    <w:rsid w:val="00B33421"/>
    <w:rsid w:val="00B35EFB"/>
    <w:rsid w:val="00B67303"/>
    <w:rsid w:val="00B73A35"/>
    <w:rsid w:val="00B85B33"/>
    <w:rsid w:val="00B87D33"/>
    <w:rsid w:val="00B94E15"/>
    <w:rsid w:val="00B96E9C"/>
    <w:rsid w:val="00B979B0"/>
    <w:rsid w:val="00B97AA7"/>
    <w:rsid w:val="00BA25B4"/>
    <w:rsid w:val="00BA3C32"/>
    <w:rsid w:val="00BA5FFE"/>
    <w:rsid w:val="00BB1282"/>
    <w:rsid w:val="00BB182D"/>
    <w:rsid w:val="00BC0303"/>
    <w:rsid w:val="00BC3EFC"/>
    <w:rsid w:val="00BD2F15"/>
    <w:rsid w:val="00BE6428"/>
    <w:rsid w:val="00BF2B09"/>
    <w:rsid w:val="00BF693D"/>
    <w:rsid w:val="00C012EE"/>
    <w:rsid w:val="00C24B3F"/>
    <w:rsid w:val="00C35A15"/>
    <w:rsid w:val="00C36B49"/>
    <w:rsid w:val="00C478A6"/>
    <w:rsid w:val="00C523EA"/>
    <w:rsid w:val="00C622D7"/>
    <w:rsid w:val="00C7087A"/>
    <w:rsid w:val="00C7477C"/>
    <w:rsid w:val="00C8086F"/>
    <w:rsid w:val="00C849D4"/>
    <w:rsid w:val="00C94196"/>
    <w:rsid w:val="00CA7113"/>
    <w:rsid w:val="00CC04A9"/>
    <w:rsid w:val="00CC0991"/>
    <w:rsid w:val="00CD42D1"/>
    <w:rsid w:val="00CE72A9"/>
    <w:rsid w:val="00CF0B90"/>
    <w:rsid w:val="00CF36D3"/>
    <w:rsid w:val="00D00DA4"/>
    <w:rsid w:val="00D07616"/>
    <w:rsid w:val="00D2211A"/>
    <w:rsid w:val="00D31E26"/>
    <w:rsid w:val="00D57D70"/>
    <w:rsid w:val="00D61794"/>
    <w:rsid w:val="00D81172"/>
    <w:rsid w:val="00D8328F"/>
    <w:rsid w:val="00D83A78"/>
    <w:rsid w:val="00DA5073"/>
    <w:rsid w:val="00DA5A92"/>
    <w:rsid w:val="00DC59A0"/>
    <w:rsid w:val="00DD0635"/>
    <w:rsid w:val="00DD35DF"/>
    <w:rsid w:val="00DD53DC"/>
    <w:rsid w:val="00DE286D"/>
    <w:rsid w:val="00DE5B7D"/>
    <w:rsid w:val="00DF5B76"/>
    <w:rsid w:val="00DF60EB"/>
    <w:rsid w:val="00DF6268"/>
    <w:rsid w:val="00E076C3"/>
    <w:rsid w:val="00E21B21"/>
    <w:rsid w:val="00E254C6"/>
    <w:rsid w:val="00E31FA5"/>
    <w:rsid w:val="00E53152"/>
    <w:rsid w:val="00E826A8"/>
    <w:rsid w:val="00E90A39"/>
    <w:rsid w:val="00EB3411"/>
    <w:rsid w:val="00ED4CB7"/>
    <w:rsid w:val="00F03B84"/>
    <w:rsid w:val="00F13CDD"/>
    <w:rsid w:val="00F15638"/>
    <w:rsid w:val="00F21D58"/>
    <w:rsid w:val="00F260E9"/>
    <w:rsid w:val="00F50168"/>
    <w:rsid w:val="00F5126A"/>
    <w:rsid w:val="00F64209"/>
    <w:rsid w:val="00F87471"/>
    <w:rsid w:val="00F91C4D"/>
    <w:rsid w:val="00F934F1"/>
    <w:rsid w:val="00FB0515"/>
    <w:rsid w:val="00FB1DA7"/>
    <w:rsid w:val="00FB70A6"/>
    <w:rsid w:val="00FC4F80"/>
    <w:rsid w:val="00FC7790"/>
    <w:rsid w:val="00FD16E1"/>
    <w:rsid w:val="00FD180C"/>
    <w:rsid w:val="00FD2AF9"/>
    <w:rsid w:val="00FD35CF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03289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8A1CEA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A7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71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7113"/>
    <w:rPr>
      <w:rFonts w:ascii="Calibri" w:eastAsia="Times New Roman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71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7113"/>
    <w:rPr>
      <w:rFonts w:ascii="Calibri" w:eastAsia="Times New Roman" w:hAnsi="Calibri" w:cs="Times New Roman"/>
      <w:b/>
      <w:bCs/>
      <w:sz w:val="20"/>
      <w:szCs w:val="20"/>
      <w:lang w:val="es-ES_tradnl"/>
    </w:rPr>
  </w:style>
  <w:style w:type="paragraph" w:styleId="Paragraphedeliste">
    <w:name w:val="List Paragraph"/>
    <w:basedOn w:val="Normal"/>
    <w:uiPriority w:val="34"/>
    <w:rsid w:val="00F21D58"/>
    <w:pPr>
      <w:ind w:left="720"/>
      <w:contextualSpacing/>
    </w:pPr>
  </w:style>
  <w:style w:type="paragraph" w:styleId="Rvision">
    <w:name w:val="Revision"/>
    <w:hidden/>
    <w:uiPriority w:val="99"/>
    <w:semiHidden/>
    <w:rsid w:val="0061613B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19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38-retrato-plurilingue-una-labor-de-reflexion-para-los-ref/1680a966b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e.int/es/web/language-support-for-adult-refugees/preparation-plan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76E-247C-43E4-99BA-9507CBD0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265</TotalTime>
  <Pages>5</Pages>
  <Words>1521</Words>
  <Characters>8367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Carole</cp:lastModifiedBy>
  <cp:revision>8</cp:revision>
  <cp:lastPrinted>2020-11-23T09:17:00Z</cp:lastPrinted>
  <dcterms:created xsi:type="dcterms:W3CDTF">2020-11-24T09:20:00Z</dcterms:created>
  <dcterms:modified xsi:type="dcterms:W3CDTF">2022-12-20T06:32:00Z</dcterms:modified>
</cp:coreProperties>
</file>