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0575" w14:textId="5666D227" w:rsidR="00265AFC" w:rsidRPr="00265AFC" w:rsidRDefault="00265AFC" w:rsidP="00265AFC">
      <w:pPr>
        <w:pStyle w:val="Header"/>
        <w:spacing w:line="360" w:lineRule="auto"/>
        <w:jc w:val="center"/>
        <w:rPr>
          <w:color w:val="17365D" w:themeColor="text2" w:themeShade="BF"/>
        </w:rPr>
      </w:pPr>
      <w:r w:rsidRPr="00265AFC">
        <w:rPr>
          <w:color w:val="17365D" w:themeColor="text2" w:themeShade="BF"/>
        </w:rPr>
        <w:t>HUKUK PROFESYONELLERİ İÇİN İNSAN HAKLARI EĞİTİMİ</w:t>
      </w:r>
    </w:p>
    <w:p w14:paraId="1D226F15" w14:textId="1E9CEF47" w:rsidR="00265AFC" w:rsidRDefault="00265AFC" w:rsidP="00522F41">
      <w:pPr>
        <w:pStyle w:val="Title"/>
        <w:spacing w:line="276" w:lineRule="auto"/>
        <w:jc w:val="center"/>
        <w:rPr>
          <w:rFonts w:eastAsiaTheme="minorEastAsia"/>
          <w:noProof/>
          <w:sz w:val="40"/>
          <w:szCs w:val="40"/>
          <w:lang w:val="tr-TR" w:eastAsia="tr-TR"/>
        </w:rPr>
      </w:pPr>
      <w:r w:rsidRPr="00AD611E">
        <w:rPr>
          <w:rFonts w:eastAsiaTheme="minorEastAsia"/>
          <w:noProof/>
          <w:sz w:val="40"/>
          <w:szCs w:val="40"/>
          <w:lang w:val="tr-TR" w:eastAsia="tr-TR"/>
        </w:rPr>
        <w:drawing>
          <wp:inline distT="0" distB="0" distL="0" distR="0" wp14:anchorId="059429E6" wp14:editId="20180B63">
            <wp:extent cx="5829023" cy="64318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991" cy="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85F30" w14:textId="77777777" w:rsidR="00265AFC" w:rsidRPr="00265AFC" w:rsidRDefault="00265AFC" w:rsidP="00265AFC">
      <w:pPr>
        <w:jc w:val="center"/>
        <w:rPr>
          <w:b/>
          <w:color w:val="17365D" w:themeColor="text2" w:themeShade="BF"/>
          <w:sz w:val="24"/>
          <w:szCs w:val="24"/>
          <w:lang w:val="tr-TR"/>
        </w:rPr>
      </w:pPr>
      <w:r w:rsidRPr="00265AFC">
        <w:rPr>
          <w:b/>
          <w:color w:val="17365D" w:themeColor="text2" w:themeShade="BF"/>
          <w:sz w:val="24"/>
          <w:szCs w:val="24"/>
          <w:lang w:val="tr-TR"/>
        </w:rPr>
        <w:t>İyi Yönetişim Ortaklığı</w:t>
      </w:r>
    </w:p>
    <w:p w14:paraId="013ABBB3" w14:textId="77777777" w:rsidR="00C02B7E" w:rsidRDefault="00C02B7E" w:rsidP="00C02B7E">
      <w:pPr>
        <w:jc w:val="center"/>
        <w:rPr>
          <w:lang w:val="tr-TR"/>
        </w:rPr>
      </w:pPr>
      <w:r w:rsidRPr="00AD611E">
        <w:rPr>
          <w:noProof/>
          <w:lang w:val="tr-TR" w:eastAsia="tr-TR"/>
        </w:rPr>
        <w:drawing>
          <wp:inline distT="0" distB="0" distL="0" distR="0" wp14:anchorId="75EA599B" wp14:editId="553FDAA0">
            <wp:extent cx="3182371" cy="1134000"/>
            <wp:effectExtent l="0" t="0" r="0" b="0"/>
            <wp:docPr id="4" name="Picture 4" descr="C:\Users\medarska-lazova\AppData\Local\Microsoft\Windows\Temporary Internet Files\Content.Word\English-COE-EU-Partnership-for-Good-Govern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arska-lazova\AppData\Local\Microsoft\Windows\Temporary Internet Files\Content.Word\English-COE-EU-Partnership-for-Good-Governan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71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E58F" w14:textId="77777777" w:rsidR="00BE2E2F" w:rsidRDefault="00A312A7" w:rsidP="00BE2E2F">
      <w:pPr>
        <w:pStyle w:val="Title"/>
        <w:spacing w:line="276" w:lineRule="auto"/>
        <w:jc w:val="center"/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</w:pPr>
      <w:r w:rsidRPr="00AD611E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>Kadın</w:t>
      </w:r>
      <w:r w:rsidR="00D44FF1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>lar</w:t>
      </w:r>
      <w:r w:rsidRPr="00AD611E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 xml:space="preserve">ın Adalete Erişimi </w:t>
      </w:r>
      <w:r w:rsidR="00BE2E2F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 xml:space="preserve">için </w:t>
      </w:r>
    </w:p>
    <w:p w14:paraId="1C18A304" w14:textId="167A30EE" w:rsidR="0011630E" w:rsidRDefault="00B66B81" w:rsidP="00A312A7">
      <w:pPr>
        <w:pStyle w:val="Title"/>
        <w:spacing w:line="276" w:lineRule="auto"/>
        <w:jc w:val="center"/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</w:pPr>
      <w:r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 xml:space="preserve">çevrimiçi </w:t>
      </w:r>
      <w:r w:rsidR="00BE2E2F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 xml:space="preserve">HELP </w:t>
      </w:r>
      <w:r w:rsidR="00A312A7" w:rsidRPr="00265AFC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>Kursu</w:t>
      </w:r>
      <w:r w:rsidR="0011630E">
        <w:rPr>
          <w:rFonts w:asciiTheme="minorHAnsi" w:eastAsiaTheme="minorEastAsia" w:hAnsiTheme="minorHAnsi" w:cs="Arial"/>
          <w:b/>
          <w:color w:val="215868" w:themeColor="accent5" w:themeShade="80"/>
          <w:sz w:val="44"/>
          <w:szCs w:val="44"/>
          <w:lang w:val="tr-TR"/>
        </w:rPr>
        <w:t xml:space="preserve"> </w:t>
      </w:r>
    </w:p>
    <w:p w14:paraId="69209E9D" w14:textId="77777777" w:rsidR="00C02B7E" w:rsidRPr="00AD611E" w:rsidRDefault="00C02B7E" w:rsidP="00FF78C6">
      <w:pPr>
        <w:pStyle w:val="Title"/>
        <w:spacing w:line="276" w:lineRule="auto"/>
        <w:rPr>
          <w:rFonts w:asciiTheme="minorHAnsi" w:hAnsiTheme="minorHAnsi" w:cs="Arial"/>
          <w:b/>
          <w:color w:val="215868" w:themeColor="accent5" w:themeShade="80"/>
          <w:kern w:val="24"/>
          <w:sz w:val="22"/>
          <w:szCs w:val="22"/>
          <w:lang w:val="tr-TR"/>
        </w:rPr>
      </w:pPr>
    </w:p>
    <w:p w14:paraId="2371CF7E" w14:textId="3DE15975" w:rsidR="008726FD" w:rsidRPr="00AD611E" w:rsidRDefault="00A312A7" w:rsidP="00FF78C6">
      <w:pPr>
        <w:pStyle w:val="Title"/>
        <w:spacing w:line="276" w:lineRule="auto"/>
        <w:rPr>
          <w:rFonts w:asciiTheme="minorHAnsi" w:hAnsiTheme="minorHAnsi" w:cs="Arial"/>
          <w:b/>
          <w:color w:val="215868" w:themeColor="accent5" w:themeShade="80"/>
          <w:kern w:val="24"/>
          <w:sz w:val="22"/>
          <w:szCs w:val="22"/>
          <w:lang w:val="tr-TR"/>
        </w:rPr>
      </w:pPr>
      <w:r w:rsidRPr="00AD611E">
        <w:rPr>
          <w:rFonts w:asciiTheme="minorHAnsi" w:hAnsiTheme="minorHAnsi" w:cs="Arial"/>
          <w:b/>
          <w:color w:val="215868" w:themeColor="accent5" w:themeShade="80"/>
          <w:kern w:val="24"/>
          <w:sz w:val="22"/>
          <w:szCs w:val="22"/>
          <w:lang w:val="tr-TR"/>
        </w:rPr>
        <w:t>Arka plan</w:t>
      </w:r>
    </w:p>
    <w:p w14:paraId="544211E8" w14:textId="610D1DF3" w:rsidR="00A312A7" w:rsidRPr="00AD611E" w:rsidRDefault="00A312A7" w:rsidP="00522F41">
      <w:pPr>
        <w:spacing w:after="0"/>
        <w:jc w:val="both"/>
        <w:rPr>
          <w:rFonts w:eastAsia="Times New Roman" w:cs="Times New Roman"/>
          <w:lang w:val="tr-TR"/>
        </w:rPr>
      </w:pPr>
      <w:r w:rsidRPr="00AD611E">
        <w:rPr>
          <w:rFonts w:eastAsia="Times New Roman" w:cs="Times New Roman"/>
          <w:lang w:val="tr-TR"/>
        </w:rPr>
        <w:t>Toplumsal cinsiyet eşitliğinin sağlanması Avrupa Konseyinin (CoE) ve üye devletlerinin bir önceliğidir. Aynı zamanda örgütün görevlerini yerine getirmesi açısından da temel niteliktedir: insan haklarını güvence altına almak, demokrasiyi savunmak ve hukukun üstünlüğünü korumak. Her ne kadar Avrupa’da kadınların hukuki statüsü son on yıllarda gelişme kaydetmiş olsa da</w:t>
      </w:r>
      <w:r w:rsidR="00AD611E">
        <w:rPr>
          <w:rFonts w:eastAsia="Times New Roman" w:cs="Times New Roman"/>
          <w:lang w:val="tr-TR"/>
        </w:rPr>
        <w:t xml:space="preserve"> </w:t>
      </w:r>
      <w:r w:rsidRPr="00AD611E">
        <w:rPr>
          <w:rFonts w:eastAsia="Times New Roman" w:cs="Times New Roman"/>
          <w:lang w:val="tr-TR"/>
        </w:rPr>
        <w:t xml:space="preserve">etkili </w:t>
      </w:r>
      <w:r w:rsidR="00D416F0">
        <w:rPr>
          <w:rFonts w:eastAsia="Times New Roman" w:cs="Times New Roman"/>
          <w:lang w:val="tr-TR"/>
        </w:rPr>
        <w:t xml:space="preserve">bir </w:t>
      </w:r>
      <w:r w:rsidRPr="00AD611E">
        <w:rPr>
          <w:rFonts w:eastAsia="Times New Roman" w:cs="Times New Roman"/>
          <w:lang w:val="tr-TR"/>
        </w:rPr>
        <w:t xml:space="preserve">kadın erkek eşitliği </w:t>
      </w:r>
      <w:r w:rsidR="00522AA4">
        <w:rPr>
          <w:rFonts w:eastAsia="Times New Roman" w:cs="Times New Roman"/>
          <w:lang w:val="tr-TR"/>
        </w:rPr>
        <w:t>halen</w:t>
      </w:r>
      <w:r w:rsidR="00522AA4" w:rsidRPr="00AD611E">
        <w:rPr>
          <w:rFonts w:eastAsia="Times New Roman" w:cs="Times New Roman"/>
          <w:lang w:val="tr-TR"/>
        </w:rPr>
        <w:t xml:space="preserve"> </w:t>
      </w:r>
      <w:r w:rsidRPr="00AD611E">
        <w:rPr>
          <w:rFonts w:eastAsia="Times New Roman" w:cs="Times New Roman"/>
          <w:lang w:val="tr-TR"/>
        </w:rPr>
        <w:t>gerçek olmaktan çok uzak.</w:t>
      </w:r>
    </w:p>
    <w:p w14:paraId="74BEA42C" w14:textId="77777777" w:rsidR="00D272AE" w:rsidRPr="00AD611E" w:rsidRDefault="00D272AE" w:rsidP="00522F41">
      <w:pPr>
        <w:spacing w:after="0"/>
        <w:jc w:val="both"/>
        <w:rPr>
          <w:rFonts w:eastAsia="Times New Roman" w:cs="Times New Roman"/>
          <w:lang w:val="tr-TR"/>
        </w:rPr>
      </w:pPr>
    </w:p>
    <w:p w14:paraId="7D4DB0FD" w14:textId="12B22C2F" w:rsidR="00A312A7" w:rsidRPr="00AD611E" w:rsidRDefault="00A312A7" w:rsidP="00522F41">
      <w:pPr>
        <w:spacing w:after="0"/>
        <w:jc w:val="both"/>
        <w:rPr>
          <w:rFonts w:eastAsia="Times New Roman" w:cs="Times New Roman"/>
          <w:lang w:val="tr-TR"/>
        </w:rPr>
      </w:pPr>
      <w:r w:rsidRPr="00AD611E">
        <w:rPr>
          <w:rFonts w:eastAsia="Times New Roman" w:cs="Times New Roman"/>
          <w:lang w:val="tr-TR"/>
        </w:rPr>
        <w:t>Avrupa Konseyi ve üye devletleri</w:t>
      </w:r>
      <w:r w:rsidR="00522AA4">
        <w:rPr>
          <w:rFonts w:eastAsia="Times New Roman" w:cs="Times New Roman"/>
          <w:lang w:val="tr-TR"/>
        </w:rPr>
        <w:t>,</w:t>
      </w:r>
      <w:r w:rsidR="004176BB" w:rsidRPr="00AD611E">
        <w:rPr>
          <w:rFonts w:eastAsia="Times New Roman" w:cs="Times New Roman"/>
          <w:lang w:val="tr-TR"/>
        </w:rPr>
        <w:t xml:space="preserve"> kadınların adalete erişiminin geliştirilmesi ve kadına yönelik şiddetin önlenmesi ve bununla mücadele için</w:t>
      </w:r>
      <w:r w:rsidR="00AD611E">
        <w:rPr>
          <w:rFonts w:eastAsia="Times New Roman" w:cs="Times New Roman"/>
          <w:lang w:val="tr-TR"/>
        </w:rPr>
        <w:t xml:space="preserve"> özel taahhütlerde bulunmuştur. Adalet sisteminde yer alan profesyonellerin, kadınların adalete erişiminin sağlanmasındaki ve güçlendirilmesindeki rolü maddi eşitliğe ulaşmak ve eşit hakların </w:t>
      </w:r>
      <w:r w:rsidR="00522AA4">
        <w:rPr>
          <w:rFonts w:eastAsia="Times New Roman" w:cs="Times New Roman"/>
          <w:lang w:val="tr-TR"/>
        </w:rPr>
        <w:t xml:space="preserve">tüm toplumda </w:t>
      </w:r>
      <w:r w:rsidR="00AD611E">
        <w:rPr>
          <w:rFonts w:eastAsia="Times New Roman" w:cs="Times New Roman"/>
          <w:lang w:val="tr-TR"/>
        </w:rPr>
        <w:t>güvence altına alınması için temel niteliktedir.</w:t>
      </w:r>
    </w:p>
    <w:p w14:paraId="1D7C8B16" w14:textId="77777777" w:rsidR="00D272AE" w:rsidRPr="00AD611E" w:rsidRDefault="00D272AE" w:rsidP="00522F41">
      <w:pPr>
        <w:spacing w:after="0"/>
        <w:jc w:val="both"/>
        <w:rPr>
          <w:rFonts w:eastAsia="Times New Roman" w:cs="Times New Roman"/>
          <w:lang w:val="tr-TR"/>
        </w:rPr>
      </w:pPr>
    </w:p>
    <w:p w14:paraId="494D777F" w14:textId="7B749D7B" w:rsidR="00AD611E" w:rsidRDefault="00AD611E" w:rsidP="00522F41">
      <w:pPr>
        <w:pStyle w:val="ql-align-justify1"/>
        <w:shd w:val="clear" w:color="auto" w:fill="FFFFFF"/>
        <w:spacing w:line="276" w:lineRule="auto"/>
        <w:rPr>
          <w:rFonts w:asciiTheme="minorHAnsi" w:hAnsiTheme="minorHAnsi"/>
          <w:sz w:val="22"/>
          <w:lang w:val="tr-TR"/>
        </w:rPr>
      </w:pPr>
      <w:r>
        <w:rPr>
          <w:rFonts w:asciiTheme="minorHAnsi" w:hAnsiTheme="minorHAnsi"/>
          <w:sz w:val="22"/>
          <w:lang w:val="tr-TR"/>
        </w:rPr>
        <w:t>Bu sebeple</w:t>
      </w:r>
      <w:r w:rsidR="00D272AE" w:rsidRPr="00AD611E">
        <w:rPr>
          <w:rFonts w:asciiTheme="minorHAnsi" w:hAnsiTheme="minorHAnsi"/>
          <w:sz w:val="22"/>
          <w:lang w:val="tr-TR"/>
        </w:rPr>
        <w:t xml:space="preserve">, </w:t>
      </w:r>
      <w:hyperlink r:id="rId10" w:history="1">
        <w:r w:rsidRPr="00E4106B">
          <w:rPr>
            <w:rStyle w:val="Hyperlink"/>
            <w:rFonts w:asciiTheme="minorHAnsi" w:hAnsiTheme="minorHAnsi"/>
            <w:sz w:val="22"/>
            <w:lang w:val="tr-TR"/>
          </w:rPr>
          <w:t>Kadınların Adalete Erişimine</w:t>
        </w:r>
      </w:hyperlink>
      <w:r w:rsidR="00522F41" w:rsidRPr="00AD611E">
        <w:rPr>
          <w:rFonts w:asciiTheme="minorHAnsi" w:hAnsiTheme="minorHAnsi"/>
          <w:sz w:val="22"/>
          <w:lang w:val="tr-TR"/>
        </w:rPr>
        <w:t xml:space="preserve"> </w:t>
      </w:r>
      <w:r>
        <w:rPr>
          <w:rFonts w:asciiTheme="minorHAnsi" w:hAnsiTheme="minorHAnsi"/>
          <w:sz w:val="22"/>
          <w:lang w:val="tr-TR"/>
        </w:rPr>
        <w:t xml:space="preserve">ilişkin HELP Kursu hukuk profesyonellerine, adalete erişimin önündeki hukuki ve diğer engelleri anlamalarına ve günlük çalışmalarına toplumsal cinsiyete duyarlı bir mercekten bakmalarına yardımcı olmak için geliştirildi. </w:t>
      </w:r>
    </w:p>
    <w:p w14:paraId="1E7E2FC7" w14:textId="77777777" w:rsidR="00D272AE" w:rsidRPr="00AD611E" w:rsidRDefault="00D272AE" w:rsidP="00522F41">
      <w:pPr>
        <w:spacing w:after="0"/>
        <w:jc w:val="both"/>
        <w:rPr>
          <w:rFonts w:eastAsia="Times New Roman" w:cs="Times New Roman"/>
          <w:lang w:val="tr-TR"/>
        </w:rPr>
      </w:pPr>
      <w:r w:rsidRPr="00AD611E">
        <w:rPr>
          <w:rFonts w:eastAsia="Times New Roman" w:cs="Times New Roman"/>
          <w:lang w:val="tr-TR"/>
        </w:rPr>
        <w:t xml:space="preserve"> </w:t>
      </w:r>
    </w:p>
    <w:p w14:paraId="74A1E96A" w14:textId="4F85B692" w:rsidR="00D272AE" w:rsidRPr="00AD611E" w:rsidRDefault="00AD611E" w:rsidP="00AD611E">
      <w:pPr>
        <w:jc w:val="both"/>
        <w:rPr>
          <w:rFonts w:eastAsia="Times New Roman" w:cs="Times New Roman"/>
          <w:lang w:val="tr-TR"/>
        </w:rPr>
      </w:pPr>
      <w:r>
        <w:rPr>
          <w:rFonts w:eastAsia="Times New Roman" w:cs="Times New Roman"/>
          <w:lang w:val="tr-TR"/>
        </w:rPr>
        <w:t>Kurs, uluslararası düzeyde ve Avrupa düzeyinde kadın haklarının, toplumsal cinsiyet eşitliği standartlarının, içtiha</w:t>
      </w:r>
      <w:r w:rsidR="00E4106B">
        <w:rPr>
          <w:rFonts w:eastAsia="Times New Roman" w:cs="Times New Roman"/>
          <w:lang w:val="tr-TR"/>
        </w:rPr>
        <w:t>t hukukunun</w:t>
      </w:r>
      <w:r>
        <w:rPr>
          <w:rFonts w:eastAsia="Times New Roman" w:cs="Times New Roman"/>
          <w:lang w:val="tr-TR"/>
        </w:rPr>
        <w:t xml:space="preserve"> ve iyi uygulamaların kapsamlı bir özetini sunacaktır. Toplumsal cinsiyet eşitliği ve adalet konularına ilişkin kapsamlı Avrupa Konseyi standartlarını, izleme raporlarını ve konuya ilişkin esnek hukuk araçlarını içeren tek kaynak niteliğin</w:t>
      </w:r>
      <w:r w:rsidR="00D416F0">
        <w:rPr>
          <w:rFonts w:eastAsia="Times New Roman" w:cs="Times New Roman"/>
          <w:lang w:val="tr-TR"/>
        </w:rPr>
        <w:t xml:space="preserve">deki </w:t>
      </w:r>
      <w:r>
        <w:rPr>
          <w:rFonts w:eastAsia="Times New Roman" w:cs="Times New Roman"/>
          <w:lang w:val="tr-TR"/>
        </w:rPr>
        <w:t xml:space="preserve">ilk HELP Kursu’dur. </w:t>
      </w:r>
    </w:p>
    <w:p w14:paraId="02848DA2" w14:textId="77777777" w:rsidR="00D272AE" w:rsidRPr="00AD611E" w:rsidRDefault="00C02B7E" w:rsidP="00522F41">
      <w:pPr>
        <w:jc w:val="both"/>
        <w:rPr>
          <w:rFonts w:eastAsia="Times New Roman" w:cs="Arial"/>
          <w:lang w:val="tr-TR" w:eastAsia="en-GB"/>
        </w:rPr>
      </w:pPr>
      <w:r w:rsidRPr="00AD611E">
        <w:rPr>
          <w:rFonts w:eastAsia="Times New Roman" w:cs="Arial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815E" wp14:editId="2611D335">
                <wp:simplePos x="0" y="0"/>
                <wp:positionH relativeFrom="column">
                  <wp:posOffset>2549471</wp:posOffset>
                </wp:positionH>
                <wp:positionV relativeFrom="paragraph">
                  <wp:posOffset>-216976</wp:posOffset>
                </wp:positionV>
                <wp:extent cx="3541062" cy="247904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062" cy="247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E55F" w14:textId="77777777" w:rsidR="00C02B7E" w:rsidRPr="00AD611E" w:rsidRDefault="00C02B7E" w:rsidP="00C02B7E">
                            <w:pPr>
                              <w:pStyle w:val="Default"/>
                              <w:rPr>
                                <w:lang w:val="tr-TR"/>
                              </w:rPr>
                            </w:pPr>
                          </w:p>
                          <w:p w14:paraId="387E43ED" w14:textId="552E8C5E" w:rsidR="00C02B7E" w:rsidRPr="00AD611E" w:rsidRDefault="00AD611E" w:rsidP="00C02B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tr-TR"/>
                              </w:rPr>
                            </w:pPr>
                            <w:r w:rsidRPr="00AD611E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tr-TR"/>
                              </w:rPr>
                              <w:t xml:space="preserve">Konular; sunumlar, interaktif ekranlar, bilgi testleri ve yansıtma egzersizleri gibi araçlarla pratiğe uygun bir şekilde </w:t>
                            </w:r>
                            <w:r w:rsidR="00522AA4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tr-TR"/>
                              </w:rPr>
                              <w:t>ele alınmıştır</w:t>
                            </w:r>
                            <w:r w:rsidRPr="00AD611E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  <w:p w14:paraId="5B11DD67" w14:textId="32221D3D" w:rsidR="00AD611E" w:rsidRPr="00AD611E" w:rsidRDefault="00AD611E" w:rsidP="00C02B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AD61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tr-TR"/>
                              </w:rPr>
                              <w:t>Öncelikli olarak hukuk profesyonellerine (yargıçlar, savcılar, avukatlar) yönelik tasarlanmıştır ancak mahkeme çalışanları, kolluk birimleri, sosyal hizmet görevlileri, ulusal insan hakları kuruluşları, sivil toplum örgütleri, bas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AD61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tr-TR"/>
                              </w:rPr>
                              <w:t>n ve toplumsal cinsiyet eşitliği alanında çalışan diğer profesyoneller için de faydalı olabilir.</w:t>
                            </w:r>
                          </w:p>
                          <w:p w14:paraId="39526B0D" w14:textId="77777777" w:rsidR="00C02B7E" w:rsidRPr="00AD611E" w:rsidRDefault="00C02B7E" w:rsidP="00C02B7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tr-TR"/>
                              </w:rPr>
                            </w:pPr>
                          </w:p>
                          <w:p w14:paraId="29E197C8" w14:textId="513FE692" w:rsidR="00C02B7E" w:rsidRPr="00AD611E" w:rsidRDefault="00AD611E" w:rsidP="00C02B7E">
                            <w:pPr>
                              <w:rPr>
                                <w:sz w:val="24"/>
                                <w:lang w:val="tr-TR"/>
                              </w:rPr>
                            </w:pPr>
                            <w:r w:rsidRPr="00AD611E">
                              <w:rPr>
                                <w:bCs/>
                                <w:szCs w:val="20"/>
                                <w:lang w:val="tr-TR"/>
                              </w:rPr>
                              <w:t>Kurs</w:t>
                            </w:r>
                            <w:r w:rsidR="00C02B7E" w:rsidRPr="00AD611E">
                              <w:rPr>
                                <w:b/>
                                <w:bCs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D611E">
                              <w:rPr>
                                <w:b/>
                                <w:bCs/>
                                <w:szCs w:val="20"/>
                                <w:lang w:val="tr-TR"/>
                              </w:rPr>
                              <w:t>Ekim</w:t>
                            </w:r>
                            <w:r w:rsidR="00C02B7E" w:rsidRPr="00AD611E">
                              <w:rPr>
                                <w:b/>
                                <w:bCs/>
                                <w:szCs w:val="20"/>
                                <w:lang w:val="tr-TR"/>
                              </w:rPr>
                              <w:t xml:space="preserve"> 2018</w:t>
                            </w:r>
                            <w:r w:rsidRPr="00AD611E">
                              <w:rPr>
                                <w:b/>
                                <w:bCs/>
                                <w:szCs w:val="20"/>
                                <w:lang w:val="tr-TR"/>
                              </w:rPr>
                              <w:t>’</w:t>
                            </w:r>
                            <w:r w:rsidRPr="00AD611E">
                              <w:rPr>
                                <w:szCs w:val="20"/>
                                <w:lang w:val="tr-TR"/>
                              </w:rPr>
                              <w:t>de tamamlanmıştır.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8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75pt;margin-top:-17.1pt;width:278.8pt;height:1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zAIgIAAB4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" stroked="f">
                <v:textbox>
                  <w:txbxContent>
                    <w:p w14:paraId="5EF0E55F" w14:textId="77777777" w:rsidR="00C02B7E" w:rsidRPr="00AD611E" w:rsidRDefault="00C02B7E" w:rsidP="00C02B7E">
                      <w:pPr>
                        <w:pStyle w:val="Default"/>
                        <w:rPr>
                          <w:lang w:val="tr-TR"/>
                        </w:rPr>
                      </w:pPr>
                    </w:p>
                    <w:p w14:paraId="387E43ED" w14:textId="552E8C5E" w:rsidR="00C02B7E" w:rsidRPr="00AD611E" w:rsidRDefault="00AD611E" w:rsidP="00C02B7E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0"/>
                          <w:lang w:val="tr-TR"/>
                        </w:rPr>
                      </w:pPr>
                      <w:r w:rsidRPr="00AD611E">
                        <w:rPr>
                          <w:rFonts w:asciiTheme="minorHAnsi" w:hAnsiTheme="minorHAnsi"/>
                          <w:sz w:val="22"/>
                          <w:szCs w:val="20"/>
                          <w:lang w:val="tr-TR"/>
                        </w:rPr>
                        <w:t xml:space="preserve">Konular; sunumlar, interaktif ekranlar, bilgi testleri ve yansıtma egzersizleri gibi araçlarla pratiğe uygun bir şekilde </w:t>
                      </w:r>
                      <w:r w:rsidR="00522AA4">
                        <w:rPr>
                          <w:rFonts w:asciiTheme="minorHAnsi" w:hAnsiTheme="minorHAnsi"/>
                          <w:sz w:val="22"/>
                          <w:szCs w:val="20"/>
                          <w:lang w:val="tr-TR"/>
                        </w:rPr>
                        <w:t>ele alınmıştır</w:t>
                      </w:r>
                      <w:r w:rsidRPr="00AD611E">
                        <w:rPr>
                          <w:rFonts w:asciiTheme="minorHAnsi" w:hAnsiTheme="minorHAnsi"/>
                          <w:sz w:val="22"/>
                          <w:szCs w:val="20"/>
                          <w:lang w:val="tr-TR"/>
                        </w:rPr>
                        <w:t>.</w:t>
                      </w:r>
                    </w:p>
                    <w:p w14:paraId="5B11DD67" w14:textId="32221D3D" w:rsidR="00AD611E" w:rsidRPr="00AD611E" w:rsidRDefault="00AD611E" w:rsidP="00C02B7E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tr-TR"/>
                        </w:rPr>
                      </w:pPr>
                      <w:r w:rsidRPr="00AD611E">
                        <w:rPr>
                          <w:rFonts w:asciiTheme="minorHAnsi" w:hAnsiTheme="minorHAnsi"/>
                          <w:sz w:val="22"/>
                          <w:szCs w:val="22"/>
                          <w:lang w:val="tr-TR"/>
                        </w:rPr>
                        <w:t>Öncelikli olarak hukuk profesyonellerine (yargıçlar, savcılar, avukatlar) yönelik tasarlanmıştır ancak mahkeme çalışanları, kolluk birimleri, sosyal hizmet görevlileri, ulusal insan hakları kuruluşları, sivil toplum örgütleri, bas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tr-TR"/>
                        </w:rPr>
                        <w:t>ı</w:t>
                      </w:r>
                      <w:r w:rsidRPr="00AD611E">
                        <w:rPr>
                          <w:rFonts w:asciiTheme="minorHAnsi" w:hAnsiTheme="minorHAnsi"/>
                          <w:sz w:val="22"/>
                          <w:szCs w:val="22"/>
                          <w:lang w:val="tr-TR"/>
                        </w:rPr>
                        <w:t>n ve toplumsal cinsiyet eşitliği alanında çalışan diğer profesyoneller için de faydalı olabilir.</w:t>
                      </w:r>
                    </w:p>
                    <w:p w14:paraId="39526B0D" w14:textId="77777777" w:rsidR="00C02B7E" w:rsidRPr="00AD611E" w:rsidRDefault="00C02B7E" w:rsidP="00C02B7E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2"/>
                          <w:szCs w:val="20"/>
                          <w:lang w:val="tr-TR"/>
                        </w:rPr>
                      </w:pPr>
                    </w:p>
                    <w:p w14:paraId="29E197C8" w14:textId="513FE692" w:rsidR="00C02B7E" w:rsidRPr="00AD611E" w:rsidRDefault="00AD611E" w:rsidP="00C02B7E">
                      <w:pPr>
                        <w:rPr>
                          <w:sz w:val="24"/>
                          <w:lang w:val="tr-TR"/>
                        </w:rPr>
                      </w:pPr>
                      <w:r w:rsidRPr="00AD611E">
                        <w:rPr>
                          <w:bCs/>
                          <w:szCs w:val="20"/>
                          <w:lang w:val="tr-TR"/>
                        </w:rPr>
                        <w:t>Kurs</w:t>
                      </w:r>
                      <w:r w:rsidR="00C02B7E" w:rsidRPr="00AD611E">
                        <w:rPr>
                          <w:b/>
                          <w:bCs/>
                          <w:szCs w:val="20"/>
                          <w:lang w:val="tr-TR"/>
                        </w:rPr>
                        <w:t xml:space="preserve"> </w:t>
                      </w:r>
                      <w:r w:rsidRPr="00AD611E">
                        <w:rPr>
                          <w:b/>
                          <w:bCs/>
                          <w:szCs w:val="20"/>
                          <w:lang w:val="tr-TR"/>
                        </w:rPr>
                        <w:t>Ekim</w:t>
                      </w:r>
                      <w:r w:rsidR="00C02B7E" w:rsidRPr="00AD611E">
                        <w:rPr>
                          <w:b/>
                          <w:bCs/>
                          <w:szCs w:val="20"/>
                          <w:lang w:val="tr-TR"/>
                        </w:rPr>
                        <w:t xml:space="preserve"> 2018</w:t>
                      </w:r>
                      <w:r w:rsidRPr="00AD611E">
                        <w:rPr>
                          <w:b/>
                          <w:bCs/>
                          <w:szCs w:val="20"/>
                          <w:lang w:val="tr-TR"/>
                        </w:rPr>
                        <w:t>’</w:t>
                      </w:r>
                      <w:r w:rsidRPr="00AD611E">
                        <w:rPr>
                          <w:szCs w:val="20"/>
                          <w:lang w:val="tr-TR"/>
                        </w:rPr>
                        <w:t>de tamamlanmıştır.</w:t>
                      </w:r>
                    </w:p>
                  </w:txbxContent>
                </v:textbox>
              </v:shape>
            </w:pict>
          </mc:Fallback>
        </mc:AlternateContent>
      </w:r>
      <w:r w:rsidR="00F90459" w:rsidRPr="00AD611E">
        <w:rPr>
          <w:lang w:val="tr-TR"/>
        </w:rPr>
        <w:t xml:space="preserve"> </w:t>
      </w:r>
      <w:r w:rsidR="00F90459" w:rsidRPr="00AD611E">
        <w:rPr>
          <w:noProof/>
          <w:lang w:val="tr-TR" w:eastAsia="tr-TR"/>
        </w:rPr>
        <w:drawing>
          <wp:inline distT="0" distB="0" distL="0" distR="0" wp14:anchorId="14E06CDA" wp14:editId="00BC9D73">
            <wp:extent cx="2193010" cy="1934306"/>
            <wp:effectExtent l="0" t="0" r="0" b="8890"/>
            <wp:docPr id="1" name="Picture 1" descr="C:\Users\medarska-lazova\AppData\Local\Microsoft\Windows\Temporary Internet Files\Content.Word\WAJ_Cover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arska-lazova\AppData\Local\Microsoft\Windows\Temporary Internet Files\Content.Word\WAJ_Cover_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71" cy="193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11E">
        <w:rPr>
          <w:rFonts w:eastAsia="Times New Roman" w:cs="Arial"/>
          <w:lang w:val="tr-TR"/>
        </w:rPr>
        <w:t xml:space="preserve"> </w:t>
      </w:r>
    </w:p>
    <w:p w14:paraId="323A38B9" w14:textId="77777777" w:rsidR="00C02B7E" w:rsidRPr="00AD611E" w:rsidRDefault="00C02B7E" w:rsidP="00522F41">
      <w:pPr>
        <w:pBdr>
          <w:bottom w:val="single" w:sz="6" w:space="1" w:color="auto"/>
        </w:pBdr>
        <w:jc w:val="both"/>
        <w:rPr>
          <w:rFonts w:eastAsia="Times New Roman" w:cs="Arial"/>
          <w:b/>
          <w:color w:val="215868" w:themeColor="accent5" w:themeShade="80"/>
          <w:lang w:val="tr-TR" w:eastAsia="en-GB"/>
        </w:rPr>
      </w:pPr>
    </w:p>
    <w:p w14:paraId="7E9EE5E0" w14:textId="0CF12953" w:rsidR="008726FD" w:rsidRPr="00AD611E" w:rsidRDefault="00AD611E" w:rsidP="00522F41">
      <w:pPr>
        <w:pBdr>
          <w:bottom w:val="single" w:sz="6" w:space="1" w:color="auto"/>
        </w:pBdr>
        <w:jc w:val="both"/>
        <w:rPr>
          <w:rFonts w:eastAsia="Times New Roman" w:cs="Arial"/>
          <w:b/>
          <w:color w:val="215868" w:themeColor="accent5" w:themeShade="80"/>
          <w:lang w:val="tr-TR" w:eastAsia="en-GB"/>
        </w:rPr>
      </w:pPr>
      <w:r>
        <w:rPr>
          <w:rFonts w:eastAsia="Times New Roman" w:cs="Arial"/>
          <w:b/>
          <w:color w:val="215868" w:themeColor="accent5" w:themeShade="80"/>
          <w:lang w:val="tr-TR" w:eastAsia="en-GB"/>
        </w:rPr>
        <w:t>Kurs özeti</w:t>
      </w:r>
    </w:p>
    <w:p w14:paraId="30E5BCF5" w14:textId="3DB39A98" w:rsidR="00AA3E5B" w:rsidRPr="00AD611E" w:rsidRDefault="00AD611E" w:rsidP="00522F41">
      <w:pPr>
        <w:spacing w:after="0"/>
        <w:jc w:val="both"/>
        <w:rPr>
          <w:rFonts w:eastAsia="Calibri" w:cs="Arial"/>
          <w:lang w:val="tr-TR" w:eastAsia="en-GB"/>
        </w:rPr>
      </w:pPr>
      <w:r>
        <w:rPr>
          <w:rFonts w:eastAsia="Calibri" w:cs="Arial"/>
          <w:lang w:val="tr-TR" w:eastAsia="en-GB"/>
        </w:rPr>
        <w:t>Kurs aşağıdaki altı temel modülden oluşmaktadır:</w:t>
      </w:r>
    </w:p>
    <w:p w14:paraId="788EE322" w14:textId="77777777" w:rsidR="00AA3E5B" w:rsidRPr="00AD611E" w:rsidRDefault="00AA3E5B" w:rsidP="00522F41">
      <w:pPr>
        <w:spacing w:after="0"/>
        <w:jc w:val="both"/>
        <w:rPr>
          <w:rFonts w:eastAsia="Calibri" w:cs="Arial"/>
          <w:lang w:val="tr-TR" w:eastAsia="en-GB"/>
        </w:rPr>
      </w:pPr>
    </w:p>
    <w:p w14:paraId="1CAC9148" w14:textId="66F7555D" w:rsidR="00FF78C6" w:rsidRPr="00AD611E" w:rsidRDefault="005E1C98" w:rsidP="00FF78C6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lang w:val="tr-TR"/>
        </w:rPr>
      </w:pPr>
      <w:r>
        <w:rPr>
          <w:rFonts w:cs="Arial"/>
          <w:b/>
          <w:lang w:val="tr-TR"/>
        </w:rPr>
        <w:t>Adalete erişim kavramına giriş</w:t>
      </w:r>
    </w:p>
    <w:p w14:paraId="326E426A" w14:textId="3B952C47" w:rsidR="005E1C98" w:rsidRDefault="005E1C98" w:rsidP="00FF78C6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b/>
          <w:lang w:val="tr-TR"/>
        </w:rPr>
      </w:pPr>
      <w:r w:rsidRPr="005E1C98">
        <w:rPr>
          <w:rFonts w:cs="Arial"/>
          <w:b/>
          <w:lang w:val="tr-TR"/>
        </w:rPr>
        <w:t xml:space="preserve">Uluslararası </w:t>
      </w:r>
      <w:r>
        <w:rPr>
          <w:rFonts w:cs="Arial"/>
          <w:b/>
          <w:lang w:val="tr-TR"/>
        </w:rPr>
        <w:t>h</w:t>
      </w:r>
      <w:r w:rsidRPr="005E1C98">
        <w:rPr>
          <w:rFonts w:cs="Arial"/>
          <w:b/>
          <w:lang w:val="tr-TR"/>
        </w:rPr>
        <w:t xml:space="preserve">ukuk </w:t>
      </w:r>
      <w:r>
        <w:rPr>
          <w:rFonts w:cs="Arial"/>
          <w:b/>
          <w:lang w:val="tr-TR"/>
        </w:rPr>
        <w:t>ç</w:t>
      </w:r>
      <w:r w:rsidRPr="005E1C98">
        <w:rPr>
          <w:rFonts w:cs="Arial"/>
          <w:b/>
          <w:lang w:val="tr-TR"/>
        </w:rPr>
        <w:t xml:space="preserve">erçevesi ve Avrupa </w:t>
      </w:r>
      <w:r>
        <w:rPr>
          <w:rFonts w:cs="Arial"/>
          <w:b/>
          <w:lang w:val="tr-TR"/>
        </w:rPr>
        <w:t>h</w:t>
      </w:r>
      <w:r w:rsidRPr="005E1C98">
        <w:rPr>
          <w:rFonts w:cs="Arial"/>
          <w:b/>
          <w:lang w:val="tr-TR"/>
        </w:rPr>
        <w:t xml:space="preserve">ukuku </w:t>
      </w:r>
      <w:r>
        <w:rPr>
          <w:rFonts w:cs="Arial"/>
          <w:b/>
          <w:lang w:val="tr-TR"/>
        </w:rPr>
        <w:t>ç</w:t>
      </w:r>
      <w:r w:rsidRPr="005E1C98">
        <w:rPr>
          <w:rFonts w:cs="Arial"/>
          <w:b/>
          <w:lang w:val="tr-TR"/>
        </w:rPr>
        <w:t>erçevesi</w:t>
      </w:r>
    </w:p>
    <w:p w14:paraId="109B9864" w14:textId="475228D8" w:rsidR="005E1C98" w:rsidRDefault="005E1C98" w:rsidP="00FF78C6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b/>
          <w:lang w:val="tr-TR"/>
        </w:rPr>
      </w:pPr>
      <w:r w:rsidRPr="005E1C98">
        <w:rPr>
          <w:rFonts w:cs="Arial"/>
          <w:b/>
          <w:lang w:val="tr-TR"/>
        </w:rPr>
        <w:t xml:space="preserve">Cinsiyete ve </w:t>
      </w:r>
      <w:r>
        <w:rPr>
          <w:rFonts w:cs="Arial"/>
          <w:b/>
          <w:lang w:val="tr-TR"/>
        </w:rPr>
        <w:t>t</w:t>
      </w:r>
      <w:r w:rsidRPr="005E1C98">
        <w:rPr>
          <w:rFonts w:cs="Arial"/>
          <w:b/>
          <w:lang w:val="tr-TR"/>
        </w:rPr>
        <w:t xml:space="preserve">oplumsal </w:t>
      </w:r>
      <w:r>
        <w:rPr>
          <w:rFonts w:cs="Arial"/>
          <w:b/>
          <w:lang w:val="tr-TR"/>
        </w:rPr>
        <w:t>c</w:t>
      </w:r>
      <w:r w:rsidRPr="005E1C98">
        <w:rPr>
          <w:rFonts w:cs="Arial"/>
          <w:b/>
          <w:lang w:val="tr-TR"/>
        </w:rPr>
        <w:t xml:space="preserve">insiyete </w:t>
      </w:r>
      <w:r>
        <w:rPr>
          <w:rFonts w:cs="Arial"/>
          <w:b/>
          <w:lang w:val="tr-TR"/>
        </w:rPr>
        <w:t>d</w:t>
      </w:r>
      <w:r w:rsidRPr="005E1C98">
        <w:rPr>
          <w:rFonts w:cs="Arial"/>
          <w:b/>
          <w:lang w:val="tr-TR"/>
        </w:rPr>
        <w:t xml:space="preserve">ayalı </w:t>
      </w:r>
      <w:r>
        <w:rPr>
          <w:rFonts w:cs="Arial"/>
          <w:b/>
          <w:lang w:val="tr-TR"/>
        </w:rPr>
        <w:t>a</w:t>
      </w:r>
      <w:r w:rsidRPr="005E1C98">
        <w:rPr>
          <w:rFonts w:cs="Arial"/>
          <w:b/>
          <w:lang w:val="tr-TR"/>
        </w:rPr>
        <w:t xml:space="preserve">yrımcılık </w:t>
      </w:r>
    </w:p>
    <w:p w14:paraId="072EFA04" w14:textId="2A96340F" w:rsidR="005E1C98" w:rsidRPr="005E1C98" w:rsidRDefault="005E1C98" w:rsidP="00FF78C6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lang w:val="tr-TR"/>
        </w:rPr>
      </w:pPr>
      <w:r w:rsidRPr="005E1C98">
        <w:rPr>
          <w:rFonts w:cs="Arial"/>
          <w:b/>
          <w:lang w:val="tr-TR"/>
        </w:rPr>
        <w:t xml:space="preserve">Toplumsal </w:t>
      </w:r>
      <w:r>
        <w:rPr>
          <w:rFonts w:cs="Arial"/>
          <w:b/>
          <w:lang w:val="tr-TR"/>
        </w:rPr>
        <w:t>c</w:t>
      </w:r>
      <w:r w:rsidRPr="005E1C98">
        <w:rPr>
          <w:rFonts w:cs="Arial"/>
          <w:b/>
          <w:lang w:val="tr-TR"/>
        </w:rPr>
        <w:t xml:space="preserve">insiyete </w:t>
      </w:r>
      <w:r>
        <w:rPr>
          <w:rFonts w:cs="Arial"/>
          <w:b/>
          <w:lang w:val="tr-TR"/>
        </w:rPr>
        <w:t>d</w:t>
      </w:r>
      <w:r w:rsidRPr="005E1C98">
        <w:rPr>
          <w:rFonts w:cs="Arial"/>
          <w:b/>
          <w:lang w:val="tr-TR"/>
        </w:rPr>
        <w:t xml:space="preserve">ayalı </w:t>
      </w:r>
      <w:r>
        <w:rPr>
          <w:rFonts w:cs="Arial"/>
          <w:b/>
          <w:lang w:val="tr-TR"/>
        </w:rPr>
        <w:t>k</w:t>
      </w:r>
      <w:r w:rsidRPr="005E1C98">
        <w:rPr>
          <w:rFonts w:cs="Arial"/>
          <w:b/>
          <w:lang w:val="tr-TR"/>
        </w:rPr>
        <w:t xml:space="preserve">alıp </w:t>
      </w:r>
      <w:r>
        <w:rPr>
          <w:rFonts w:cs="Arial"/>
          <w:b/>
          <w:lang w:val="tr-TR"/>
        </w:rPr>
        <w:t>y</w:t>
      </w:r>
      <w:r w:rsidRPr="005E1C98">
        <w:rPr>
          <w:rFonts w:cs="Arial"/>
          <w:b/>
          <w:lang w:val="tr-TR"/>
        </w:rPr>
        <w:t xml:space="preserve">argılardan </w:t>
      </w:r>
      <w:r>
        <w:rPr>
          <w:rFonts w:cs="Arial"/>
          <w:b/>
          <w:lang w:val="tr-TR"/>
        </w:rPr>
        <w:t>k</w:t>
      </w:r>
      <w:r w:rsidRPr="005E1C98">
        <w:rPr>
          <w:rFonts w:cs="Arial"/>
          <w:b/>
          <w:lang w:val="tr-TR"/>
        </w:rPr>
        <w:t>açınmak</w:t>
      </w:r>
    </w:p>
    <w:p w14:paraId="1CD200E8" w14:textId="77777777" w:rsidR="005E1C98" w:rsidRPr="005E1C98" w:rsidRDefault="005E1C98" w:rsidP="00522F41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lang w:val="tr-TR"/>
        </w:rPr>
      </w:pPr>
      <w:r w:rsidRPr="005E1C98">
        <w:rPr>
          <w:rFonts w:cs="Arial"/>
          <w:b/>
          <w:lang w:val="tr-TR"/>
        </w:rPr>
        <w:t xml:space="preserve">Kadınların </w:t>
      </w:r>
      <w:r>
        <w:rPr>
          <w:rFonts w:cs="Arial"/>
          <w:b/>
          <w:lang w:val="tr-TR"/>
        </w:rPr>
        <w:t>a</w:t>
      </w:r>
      <w:r w:rsidRPr="005E1C98">
        <w:rPr>
          <w:rFonts w:cs="Arial"/>
          <w:b/>
          <w:lang w:val="tr-TR"/>
        </w:rPr>
        <w:t xml:space="preserve">dalete </w:t>
      </w:r>
      <w:r>
        <w:rPr>
          <w:rFonts w:cs="Arial"/>
          <w:b/>
          <w:lang w:val="tr-TR"/>
        </w:rPr>
        <w:t>e</w:t>
      </w:r>
      <w:r w:rsidRPr="005E1C98">
        <w:rPr>
          <w:rFonts w:cs="Arial"/>
          <w:b/>
          <w:lang w:val="tr-TR"/>
        </w:rPr>
        <w:t xml:space="preserve">rişiminin </w:t>
      </w:r>
      <w:r>
        <w:rPr>
          <w:rFonts w:cs="Arial"/>
          <w:b/>
          <w:lang w:val="tr-TR"/>
        </w:rPr>
        <w:t>g</w:t>
      </w:r>
      <w:r w:rsidRPr="005E1C98">
        <w:rPr>
          <w:rFonts w:cs="Arial"/>
          <w:b/>
          <w:lang w:val="tr-TR"/>
        </w:rPr>
        <w:t xml:space="preserve">eliştirilmesi için </w:t>
      </w:r>
      <w:r>
        <w:rPr>
          <w:rFonts w:cs="Arial"/>
          <w:b/>
          <w:lang w:val="tr-TR"/>
        </w:rPr>
        <w:t>p</w:t>
      </w:r>
      <w:r w:rsidRPr="005E1C98">
        <w:rPr>
          <w:rFonts w:cs="Arial"/>
          <w:b/>
          <w:lang w:val="tr-TR"/>
        </w:rPr>
        <w:t xml:space="preserve">ratik </w:t>
      </w:r>
      <w:r>
        <w:rPr>
          <w:rFonts w:cs="Arial"/>
          <w:b/>
          <w:lang w:val="tr-TR"/>
        </w:rPr>
        <w:t>r</w:t>
      </w:r>
      <w:r w:rsidRPr="005E1C98">
        <w:rPr>
          <w:rFonts w:cs="Arial"/>
          <w:b/>
          <w:lang w:val="tr-TR"/>
        </w:rPr>
        <w:t xml:space="preserve">ehber </w:t>
      </w:r>
    </w:p>
    <w:p w14:paraId="09C0367B" w14:textId="05AA7310" w:rsidR="006D0FF4" w:rsidRPr="005E1C98" w:rsidRDefault="005E1C98" w:rsidP="00522F41">
      <w:pPr>
        <w:pStyle w:val="ListParagraph"/>
        <w:numPr>
          <w:ilvl w:val="0"/>
          <w:numId w:val="22"/>
        </w:numPr>
        <w:spacing w:after="0"/>
        <w:jc w:val="both"/>
        <w:rPr>
          <w:rFonts w:cs="Arial"/>
          <w:lang w:val="tr-TR"/>
        </w:rPr>
      </w:pPr>
      <w:r w:rsidRPr="005E1C98">
        <w:rPr>
          <w:rFonts w:cs="Arial"/>
          <w:b/>
          <w:lang w:val="tr-TR"/>
        </w:rPr>
        <w:t xml:space="preserve">Toplumsal </w:t>
      </w:r>
      <w:r>
        <w:rPr>
          <w:rFonts w:cs="Arial"/>
          <w:b/>
          <w:lang w:val="tr-TR"/>
        </w:rPr>
        <w:t>c</w:t>
      </w:r>
      <w:r w:rsidRPr="005E1C98">
        <w:rPr>
          <w:rFonts w:cs="Arial"/>
          <w:b/>
          <w:lang w:val="tr-TR"/>
        </w:rPr>
        <w:t xml:space="preserve">insiyete </w:t>
      </w:r>
      <w:r>
        <w:rPr>
          <w:rFonts w:cs="Arial"/>
          <w:b/>
          <w:lang w:val="tr-TR"/>
        </w:rPr>
        <w:t>d</w:t>
      </w:r>
      <w:r w:rsidRPr="005E1C98">
        <w:rPr>
          <w:rFonts w:cs="Arial"/>
          <w:b/>
          <w:lang w:val="tr-TR"/>
        </w:rPr>
        <w:t xml:space="preserve">uyarlı </w:t>
      </w:r>
      <w:r>
        <w:rPr>
          <w:rFonts w:cs="Arial"/>
          <w:b/>
          <w:lang w:val="tr-TR"/>
        </w:rPr>
        <w:t>h</w:t>
      </w:r>
      <w:r w:rsidRPr="005E1C98">
        <w:rPr>
          <w:rFonts w:cs="Arial"/>
          <w:b/>
          <w:lang w:val="tr-TR"/>
        </w:rPr>
        <w:t xml:space="preserve">ukuk </w:t>
      </w:r>
      <w:r>
        <w:rPr>
          <w:rFonts w:cs="Arial"/>
          <w:b/>
          <w:lang w:val="tr-TR"/>
        </w:rPr>
        <w:t>u</w:t>
      </w:r>
      <w:r w:rsidRPr="005E1C98">
        <w:rPr>
          <w:rFonts w:cs="Arial"/>
          <w:b/>
          <w:lang w:val="tr-TR"/>
        </w:rPr>
        <w:t xml:space="preserve">ygulaması </w:t>
      </w:r>
      <w:r>
        <w:rPr>
          <w:rFonts w:cs="Arial"/>
          <w:b/>
          <w:lang w:val="tr-TR"/>
        </w:rPr>
        <w:t>y</w:t>
      </w:r>
      <w:r w:rsidRPr="005E1C98">
        <w:rPr>
          <w:rFonts w:cs="Arial"/>
          <w:b/>
          <w:lang w:val="tr-TR"/>
        </w:rPr>
        <w:t>aklaşımları</w:t>
      </w:r>
    </w:p>
    <w:p w14:paraId="2DF6CF99" w14:textId="77777777" w:rsidR="00C02B7E" w:rsidRPr="00AD611E" w:rsidRDefault="00C02B7E" w:rsidP="00522F41">
      <w:pPr>
        <w:pBdr>
          <w:bottom w:val="single" w:sz="6" w:space="1" w:color="auto"/>
        </w:pBdr>
        <w:jc w:val="both"/>
        <w:rPr>
          <w:rFonts w:cs="Arial"/>
          <w:b/>
          <w:color w:val="215868" w:themeColor="accent5" w:themeShade="80"/>
          <w:lang w:val="tr-TR"/>
        </w:rPr>
      </w:pPr>
    </w:p>
    <w:p w14:paraId="7086DBEC" w14:textId="0C1E5E22" w:rsidR="00A13407" w:rsidRPr="00AD611E" w:rsidRDefault="00E4106B" w:rsidP="00522F41">
      <w:pPr>
        <w:pBdr>
          <w:bottom w:val="single" w:sz="6" w:space="1" w:color="auto"/>
        </w:pBdr>
        <w:jc w:val="both"/>
        <w:rPr>
          <w:rFonts w:cs="Arial"/>
          <w:b/>
          <w:color w:val="215868" w:themeColor="accent5" w:themeShade="80"/>
          <w:lang w:val="tr-TR"/>
        </w:rPr>
      </w:pPr>
      <w:r>
        <w:rPr>
          <w:rFonts w:cs="Arial"/>
          <w:b/>
          <w:color w:val="215868" w:themeColor="accent5" w:themeShade="80"/>
          <w:lang w:val="tr-TR"/>
        </w:rPr>
        <w:t>Kursun gelişimi</w:t>
      </w:r>
    </w:p>
    <w:p w14:paraId="2857B18C" w14:textId="036F1B57" w:rsidR="004F1EDC" w:rsidRPr="004F1EDC" w:rsidRDefault="00E4106B" w:rsidP="004F1EDC">
      <w:pPr>
        <w:jc w:val="both"/>
        <w:rPr>
          <w:rFonts w:cs="Arial"/>
          <w:lang w:val="tr-TR"/>
        </w:rPr>
      </w:pPr>
      <w:r>
        <w:rPr>
          <w:rFonts w:cs="Arial"/>
          <w:lang w:val="tr-TR"/>
        </w:rPr>
        <w:t xml:space="preserve">Bu ücretsiz çevrim içi kurs, </w:t>
      </w:r>
      <w:hyperlink r:id="rId12" w:history="1">
        <w:r w:rsidR="00BC6580" w:rsidRPr="00BC6580">
          <w:rPr>
            <w:rStyle w:val="Hyperlink"/>
            <w:rFonts w:cs="Arial"/>
            <w:lang w:val="tr-TR"/>
          </w:rPr>
          <w:t>İyi Yönetişim Ortaklığı</w:t>
        </w:r>
      </w:hyperlink>
      <w:r w:rsidR="00BC6580">
        <w:rPr>
          <w:rFonts w:cs="Arial"/>
          <w:lang w:val="tr-TR"/>
        </w:rPr>
        <w:t xml:space="preserve"> </w:t>
      </w:r>
      <w:r>
        <w:rPr>
          <w:lang w:val="tr-TR"/>
        </w:rPr>
        <w:t>kapsamında</w:t>
      </w:r>
      <w:r w:rsidR="00BC6580">
        <w:rPr>
          <w:lang w:val="tr-TR"/>
        </w:rPr>
        <w:t>ki</w:t>
      </w:r>
      <w:r>
        <w:rPr>
          <w:lang w:val="tr-TR"/>
        </w:rPr>
        <w:t xml:space="preserve"> “</w:t>
      </w:r>
      <w:hyperlink r:id="rId13" w:history="1">
        <w:r w:rsidRPr="00E4106B">
          <w:rPr>
            <w:rStyle w:val="Hyperlink"/>
            <w:lang w:val="tr-TR"/>
          </w:rPr>
          <w:t>Altı Doğu Ortaklığı Ülkesinde Şiddet Mağduru Kadınların Adalete Erişiminin Güçlendirilmesi</w:t>
        </w:r>
      </w:hyperlink>
      <w:r>
        <w:rPr>
          <w:lang w:val="tr-TR"/>
        </w:rPr>
        <w:t xml:space="preserve">” projesi </w:t>
      </w:r>
      <w:r w:rsidR="00BC6580">
        <w:rPr>
          <w:lang w:val="tr-TR"/>
        </w:rPr>
        <w:t>uyarınca</w:t>
      </w:r>
      <w:r>
        <w:rPr>
          <w:lang w:val="tr-TR"/>
        </w:rPr>
        <w:t xml:space="preserve"> Avrupa Konseyi </w:t>
      </w:r>
      <w:hyperlink r:id="rId14" w:history="1">
        <w:r w:rsidRPr="004F1EDC">
          <w:rPr>
            <w:rStyle w:val="Hyperlink"/>
            <w:lang w:val="tr-TR"/>
          </w:rPr>
          <w:t>Toplumsal Cinsiyet Eşitliği Bölümü</w:t>
        </w:r>
      </w:hyperlink>
      <w:r>
        <w:rPr>
          <w:lang w:val="tr-TR"/>
        </w:rPr>
        <w:t xml:space="preserve"> ve </w:t>
      </w:r>
      <w:hyperlink r:id="rId15" w:history="1">
        <w:r w:rsidRPr="004F1EDC">
          <w:rPr>
            <w:rStyle w:val="Hyperlink"/>
            <w:lang w:val="tr-TR"/>
          </w:rPr>
          <w:t>HELP Programı</w:t>
        </w:r>
      </w:hyperlink>
      <w:r>
        <w:rPr>
          <w:lang w:val="tr-TR"/>
        </w:rPr>
        <w:t xml:space="preserve"> </w:t>
      </w:r>
      <w:r w:rsidR="004F1EDC">
        <w:rPr>
          <w:lang w:val="tr-TR"/>
        </w:rPr>
        <w:t>ortaklığı</w:t>
      </w:r>
      <w:r w:rsidR="00BC6580">
        <w:rPr>
          <w:lang w:val="tr-TR"/>
        </w:rPr>
        <w:t xml:space="preserve"> ile </w:t>
      </w:r>
      <w:r>
        <w:rPr>
          <w:lang w:val="tr-TR"/>
        </w:rPr>
        <w:t xml:space="preserve">geliştirilmiştir. </w:t>
      </w:r>
    </w:p>
    <w:p w14:paraId="3527DD0E" w14:textId="5A01978E" w:rsidR="005065F6" w:rsidRPr="00AD611E" w:rsidRDefault="00E4106B" w:rsidP="00522F41">
      <w:pPr>
        <w:pBdr>
          <w:bottom w:val="single" w:sz="6" w:space="1" w:color="auto"/>
        </w:pBdr>
        <w:jc w:val="both"/>
        <w:rPr>
          <w:rFonts w:cs="Arial"/>
          <w:b/>
          <w:color w:val="215868" w:themeColor="accent5" w:themeShade="80"/>
          <w:lang w:val="tr-TR"/>
        </w:rPr>
      </w:pPr>
      <w:r>
        <w:rPr>
          <w:rFonts w:cs="Arial"/>
          <w:b/>
          <w:color w:val="215868" w:themeColor="accent5" w:themeShade="80"/>
          <w:lang w:val="tr-TR"/>
        </w:rPr>
        <w:t xml:space="preserve">Ücretsiz çevrim içi kursa erişim </w:t>
      </w:r>
    </w:p>
    <w:p w14:paraId="5558431E" w14:textId="6AC94D8F" w:rsidR="00A13407" w:rsidRPr="004F1EDC" w:rsidRDefault="004F1EDC" w:rsidP="00522F41">
      <w:pPr>
        <w:jc w:val="both"/>
        <w:rPr>
          <w:rFonts w:cs="Arial"/>
          <w:lang w:val="tr-TR"/>
        </w:rPr>
      </w:pPr>
      <w:r>
        <w:rPr>
          <w:rFonts w:cs="Arial"/>
          <w:lang w:val="tr-TR"/>
        </w:rPr>
        <w:t xml:space="preserve">Kursa erişmek için daha önce hesap açmadıysanız HELP hesabı açmanız gerekmektedir </w:t>
      </w:r>
      <w:r w:rsidR="005065F6" w:rsidRPr="00AD611E">
        <w:rPr>
          <w:rFonts w:cs="Arial"/>
          <w:lang w:val="tr-TR"/>
        </w:rPr>
        <w:t>(</w:t>
      </w:r>
      <w:hyperlink r:id="rId16" w:history="1">
        <w:r w:rsidR="005065F6" w:rsidRPr="00AD611E">
          <w:rPr>
            <w:rStyle w:val="Hyperlink"/>
            <w:rFonts w:cs="Arial"/>
            <w:bCs/>
            <w:u w:val="none"/>
            <w:lang w:val="tr-TR"/>
          </w:rPr>
          <w:t>http://help.elearning.ext.coe.int/login/</w:t>
        </w:r>
      </w:hyperlink>
      <w:r w:rsidR="005065F6" w:rsidRPr="00AD611E">
        <w:rPr>
          <w:rFonts w:cs="Arial"/>
          <w:lang w:val="tr-TR"/>
        </w:rPr>
        <w:t xml:space="preserve">) (2 </w:t>
      </w:r>
      <w:r>
        <w:rPr>
          <w:rFonts w:cs="Arial"/>
          <w:lang w:val="tr-TR"/>
        </w:rPr>
        <w:t>dakika</w:t>
      </w:r>
      <w:r w:rsidR="009D3285">
        <w:rPr>
          <w:rFonts w:cs="Arial"/>
          <w:lang w:val="tr-TR"/>
        </w:rPr>
        <w:t>nızı alacaktır</w:t>
      </w:r>
      <w:r>
        <w:rPr>
          <w:rFonts w:cs="Arial"/>
          <w:lang w:val="tr-TR"/>
        </w:rPr>
        <w:t>)</w:t>
      </w:r>
      <w:r w:rsidR="009D3285">
        <w:rPr>
          <w:rFonts w:cs="Arial"/>
          <w:lang w:val="tr-TR"/>
        </w:rPr>
        <w:t>,</w:t>
      </w:r>
      <w:r>
        <w:rPr>
          <w:rFonts w:cs="Arial"/>
          <w:lang w:val="tr-TR"/>
        </w:rPr>
        <w:t xml:space="preserve"> ardından doğrudan kurs bağlantısına tıklayabilirsiniz: </w:t>
      </w:r>
      <w:r w:rsidR="00331A5D" w:rsidRPr="00AD611E">
        <w:rPr>
          <w:rFonts w:cs="Arial"/>
          <w:lang w:val="tr-TR"/>
        </w:rPr>
        <w:t>http://help.elearning.ext.coe.int/course/view.php?id=2595</w:t>
      </w:r>
      <w:r w:rsidR="00D75479" w:rsidRPr="00AD611E">
        <w:rPr>
          <w:rFonts w:cs="Arial"/>
          <w:lang w:val="tr-TR"/>
        </w:rPr>
        <w:t>.</w:t>
      </w:r>
    </w:p>
    <w:p w14:paraId="3613B85B" w14:textId="77777777" w:rsidR="00C459FB" w:rsidRPr="00AD611E" w:rsidRDefault="00C459FB" w:rsidP="00522F41">
      <w:pPr>
        <w:rPr>
          <w:lang w:val="tr-TR"/>
        </w:rPr>
      </w:pPr>
    </w:p>
    <w:sectPr w:rsidR="00C459FB" w:rsidRPr="00AD6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2C1" w14:textId="77777777" w:rsidR="00690E16" w:rsidRDefault="00690E16" w:rsidP="004F1EDC">
      <w:pPr>
        <w:spacing w:after="0" w:line="240" w:lineRule="auto"/>
      </w:pPr>
      <w:r>
        <w:separator/>
      </w:r>
    </w:p>
  </w:endnote>
  <w:endnote w:type="continuationSeparator" w:id="0">
    <w:p w14:paraId="3E6CF858" w14:textId="77777777" w:rsidR="00690E16" w:rsidRDefault="00690E16" w:rsidP="004F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8A43" w14:textId="77777777" w:rsidR="00690E16" w:rsidRDefault="00690E16" w:rsidP="004F1EDC">
      <w:pPr>
        <w:spacing w:after="0" w:line="240" w:lineRule="auto"/>
      </w:pPr>
      <w:r>
        <w:separator/>
      </w:r>
    </w:p>
  </w:footnote>
  <w:footnote w:type="continuationSeparator" w:id="0">
    <w:p w14:paraId="4F580678" w14:textId="77777777" w:rsidR="00690E16" w:rsidRDefault="00690E16" w:rsidP="004F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68"/>
    <w:multiLevelType w:val="hybridMultilevel"/>
    <w:tmpl w:val="4D78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45A6"/>
    <w:multiLevelType w:val="hybridMultilevel"/>
    <w:tmpl w:val="6638E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29E"/>
    <w:multiLevelType w:val="hybridMultilevel"/>
    <w:tmpl w:val="CDB08D7E"/>
    <w:lvl w:ilvl="0" w:tplc="9B6A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4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6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CF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AC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8B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2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FA4B70"/>
    <w:multiLevelType w:val="hybridMultilevel"/>
    <w:tmpl w:val="770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A0D"/>
    <w:multiLevelType w:val="hybridMultilevel"/>
    <w:tmpl w:val="97309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4930"/>
    <w:multiLevelType w:val="hybridMultilevel"/>
    <w:tmpl w:val="0BD2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65A5"/>
    <w:multiLevelType w:val="hybridMultilevel"/>
    <w:tmpl w:val="778CB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1F2F"/>
    <w:multiLevelType w:val="hybridMultilevel"/>
    <w:tmpl w:val="0846B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11652"/>
    <w:multiLevelType w:val="hybridMultilevel"/>
    <w:tmpl w:val="DC7CFB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586D"/>
    <w:multiLevelType w:val="hybridMultilevel"/>
    <w:tmpl w:val="3606D1D6"/>
    <w:lvl w:ilvl="0" w:tplc="A41AF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4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A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A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4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E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63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0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656BF2"/>
    <w:multiLevelType w:val="hybridMultilevel"/>
    <w:tmpl w:val="DB0CF980"/>
    <w:lvl w:ilvl="0" w:tplc="6222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60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0A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23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C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2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6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8C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C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5B2572"/>
    <w:multiLevelType w:val="hybridMultilevel"/>
    <w:tmpl w:val="8C44A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D7F22"/>
    <w:multiLevelType w:val="hybridMultilevel"/>
    <w:tmpl w:val="19DEA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E2C"/>
    <w:multiLevelType w:val="multilevel"/>
    <w:tmpl w:val="002C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B03010"/>
    <w:multiLevelType w:val="hybridMultilevel"/>
    <w:tmpl w:val="34726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4601"/>
    <w:multiLevelType w:val="hybridMultilevel"/>
    <w:tmpl w:val="A8A0A7EA"/>
    <w:lvl w:ilvl="0" w:tplc="B17C6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6B77"/>
    <w:multiLevelType w:val="hybridMultilevel"/>
    <w:tmpl w:val="FCE0A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A6B21"/>
    <w:multiLevelType w:val="hybridMultilevel"/>
    <w:tmpl w:val="63983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E5F8F"/>
    <w:multiLevelType w:val="hybridMultilevel"/>
    <w:tmpl w:val="64FC8742"/>
    <w:lvl w:ilvl="0" w:tplc="96EC5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E8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6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2E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0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8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E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1F3254"/>
    <w:multiLevelType w:val="hybridMultilevel"/>
    <w:tmpl w:val="075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E4AF8"/>
    <w:multiLevelType w:val="hybridMultilevel"/>
    <w:tmpl w:val="C0EA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2"/>
  </w:num>
  <w:num w:numId="5">
    <w:abstractNumId w:val="6"/>
  </w:num>
  <w:num w:numId="6">
    <w:abstractNumId w:val="5"/>
  </w:num>
  <w:num w:numId="7">
    <w:abstractNumId w:val="13"/>
  </w:num>
  <w:num w:numId="8">
    <w:abstractNumId w:val="17"/>
  </w:num>
  <w:num w:numId="9">
    <w:abstractNumId w:val="18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0"/>
  </w:num>
  <w:num w:numId="15">
    <w:abstractNumId w:val="20"/>
  </w:num>
  <w:num w:numId="16">
    <w:abstractNumId w:val="1"/>
  </w:num>
  <w:num w:numId="17">
    <w:abstractNumId w:val="3"/>
  </w:num>
  <w:num w:numId="18">
    <w:abstractNumId w:val="8"/>
  </w:num>
  <w:num w:numId="19">
    <w:abstractNumId w:val="19"/>
  </w:num>
  <w:num w:numId="20">
    <w:abstractNumId w:val="8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C"/>
    <w:rsid w:val="001068C0"/>
    <w:rsid w:val="0011630E"/>
    <w:rsid w:val="00126FC2"/>
    <w:rsid w:val="00141CE7"/>
    <w:rsid w:val="00147391"/>
    <w:rsid w:val="00157FBE"/>
    <w:rsid w:val="001608D7"/>
    <w:rsid w:val="00161935"/>
    <w:rsid w:val="002110EC"/>
    <w:rsid w:val="00215AC0"/>
    <w:rsid w:val="00235092"/>
    <w:rsid w:val="00265AFC"/>
    <w:rsid w:val="00283EF3"/>
    <w:rsid w:val="002A3810"/>
    <w:rsid w:val="002A50A6"/>
    <w:rsid w:val="002D3FB9"/>
    <w:rsid w:val="00331A5D"/>
    <w:rsid w:val="0034792C"/>
    <w:rsid w:val="0038661B"/>
    <w:rsid w:val="003962C9"/>
    <w:rsid w:val="003C455F"/>
    <w:rsid w:val="003D5307"/>
    <w:rsid w:val="004176BB"/>
    <w:rsid w:val="00424D57"/>
    <w:rsid w:val="00485ED6"/>
    <w:rsid w:val="00496F06"/>
    <w:rsid w:val="004C3E6C"/>
    <w:rsid w:val="004F1EDC"/>
    <w:rsid w:val="0050149C"/>
    <w:rsid w:val="005065F6"/>
    <w:rsid w:val="00522AA4"/>
    <w:rsid w:val="00522F41"/>
    <w:rsid w:val="0052476C"/>
    <w:rsid w:val="00541388"/>
    <w:rsid w:val="005453EF"/>
    <w:rsid w:val="00567262"/>
    <w:rsid w:val="005E1C98"/>
    <w:rsid w:val="00615571"/>
    <w:rsid w:val="00616003"/>
    <w:rsid w:val="006163B6"/>
    <w:rsid w:val="006218BC"/>
    <w:rsid w:val="00690E16"/>
    <w:rsid w:val="006A5E08"/>
    <w:rsid w:val="006D0FF4"/>
    <w:rsid w:val="006F640E"/>
    <w:rsid w:val="00706621"/>
    <w:rsid w:val="00721C54"/>
    <w:rsid w:val="007368D6"/>
    <w:rsid w:val="00792DD3"/>
    <w:rsid w:val="007A23B8"/>
    <w:rsid w:val="007A53B4"/>
    <w:rsid w:val="007B0942"/>
    <w:rsid w:val="007E3821"/>
    <w:rsid w:val="007F169A"/>
    <w:rsid w:val="00807779"/>
    <w:rsid w:val="00814BCC"/>
    <w:rsid w:val="00815DE1"/>
    <w:rsid w:val="00850009"/>
    <w:rsid w:val="008726FD"/>
    <w:rsid w:val="00885F00"/>
    <w:rsid w:val="008A6585"/>
    <w:rsid w:val="008B26AD"/>
    <w:rsid w:val="008F26CC"/>
    <w:rsid w:val="00910668"/>
    <w:rsid w:val="00911AD8"/>
    <w:rsid w:val="00917FDF"/>
    <w:rsid w:val="00936A48"/>
    <w:rsid w:val="0095093F"/>
    <w:rsid w:val="0097650B"/>
    <w:rsid w:val="009B77A2"/>
    <w:rsid w:val="009C6463"/>
    <w:rsid w:val="009D3285"/>
    <w:rsid w:val="00A13407"/>
    <w:rsid w:val="00A312A7"/>
    <w:rsid w:val="00A83AD1"/>
    <w:rsid w:val="00AA3E5B"/>
    <w:rsid w:val="00AB7510"/>
    <w:rsid w:val="00AC4065"/>
    <w:rsid w:val="00AC4D07"/>
    <w:rsid w:val="00AD10D8"/>
    <w:rsid w:val="00AD611E"/>
    <w:rsid w:val="00B1765F"/>
    <w:rsid w:val="00B30B7F"/>
    <w:rsid w:val="00B66B81"/>
    <w:rsid w:val="00B75341"/>
    <w:rsid w:val="00B75416"/>
    <w:rsid w:val="00B8337B"/>
    <w:rsid w:val="00B87404"/>
    <w:rsid w:val="00B94A6C"/>
    <w:rsid w:val="00B962E0"/>
    <w:rsid w:val="00BC52A4"/>
    <w:rsid w:val="00BC6580"/>
    <w:rsid w:val="00BD7467"/>
    <w:rsid w:val="00BE2E2F"/>
    <w:rsid w:val="00C02B7E"/>
    <w:rsid w:val="00C4592E"/>
    <w:rsid w:val="00C459FB"/>
    <w:rsid w:val="00C512F5"/>
    <w:rsid w:val="00C61D11"/>
    <w:rsid w:val="00C866A7"/>
    <w:rsid w:val="00CB718A"/>
    <w:rsid w:val="00CC109E"/>
    <w:rsid w:val="00D2596E"/>
    <w:rsid w:val="00D272AE"/>
    <w:rsid w:val="00D416F0"/>
    <w:rsid w:val="00D44FF1"/>
    <w:rsid w:val="00D6372B"/>
    <w:rsid w:val="00D75479"/>
    <w:rsid w:val="00DC2188"/>
    <w:rsid w:val="00DD432F"/>
    <w:rsid w:val="00DD60B3"/>
    <w:rsid w:val="00DE3D8B"/>
    <w:rsid w:val="00E338A9"/>
    <w:rsid w:val="00E4106B"/>
    <w:rsid w:val="00E508DF"/>
    <w:rsid w:val="00E519AD"/>
    <w:rsid w:val="00EE53AD"/>
    <w:rsid w:val="00F10444"/>
    <w:rsid w:val="00F21FC7"/>
    <w:rsid w:val="00F44672"/>
    <w:rsid w:val="00F90459"/>
    <w:rsid w:val="00F977D4"/>
    <w:rsid w:val="00FD5752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A35D9"/>
  <w15:docId w15:val="{08D00D0C-C932-4ABE-A69C-72CDC5F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1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0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009"/>
    <w:rPr>
      <w:b/>
      <w:bCs/>
      <w:sz w:val="20"/>
      <w:szCs w:val="20"/>
    </w:rPr>
  </w:style>
  <w:style w:type="paragraph" w:customStyle="1" w:styleId="ql-align-justify1">
    <w:name w:val="ql-align-justify1"/>
    <w:basedOn w:val="Normal"/>
    <w:rsid w:val="00D272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611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DC"/>
  </w:style>
  <w:style w:type="paragraph" w:styleId="Footer">
    <w:name w:val="footer"/>
    <w:basedOn w:val="Normal"/>
    <w:link w:val="FooterChar"/>
    <w:uiPriority w:val="99"/>
    <w:unhideWhenUsed/>
    <w:rsid w:val="004F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e.int/en/web/genderequality/strengthening-access-to-justice-for-women-victims-of-violence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jp-eu.coe.int/en/web/eap-pcf/promoting-equality-and-human-digni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elp.elearning.ext.coe.int/log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oe.int/en/web/help/home" TargetMode="External"/><Relationship Id="rId10" Type="http://schemas.openxmlformats.org/officeDocument/2006/relationships/hyperlink" Target="http://help.elearning.ext.coe.int/log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e.int/en/web/genderequality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DB18-BE42-4F7C-AD99-58B10612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ERENOGLU CONSULTANCY, TRANSLATION AND FOREIGN TRADE LTD CO</dc:title>
  <dc:subject>erenoglu@erenoglu.com.tr</dc:subject>
  <dc:creator>ERENOĞLU DANIŞMNALIK, TERCÜMANLIK VE DIŞ TİCARET LTD. ŞT.</dc:creator>
  <cp:keywords>www.erenoglu.com.tr</cp:keywords>
  <cp:lastModifiedBy>PAPILA Serkan</cp:lastModifiedBy>
  <cp:revision>2</cp:revision>
  <cp:lastPrinted>2017-11-20T08:17:00Z</cp:lastPrinted>
  <dcterms:created xsi:type="dcterms:W3CDTF">2022-02-22T12:45:00Z</dcterms:created>
  <dcterms:modified xsi:type="dcterms:W3CDTF">2022-02-22T12:45:00Z</dcterms:modified>
  <cp:category>T: 0090 312 441 91 00 - Çankaya - ANKARA</cp:category>
  <cp:contentStatus>Nazik ERENOGLU</cp:contentStatus>
</cp:coreProperties>
</file>