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AD86" w14:textId="77777777" w:rsidR="008F26CC" w:rsidRPr="005C518D" w:rsidRDefault="001068C0" w:rsidP="00541388">
      <w:pPr>
        <w:pStyle w:val="Title"/>
        <w:jc w:val="center"/>
        <w:rPr>
          <w:rFonts w:eastAsiaTheme="minorEastAsia"/>
          <w:sz w:val="40"/>
          <w:szCs w:val="40"/>
          <w:lang w:val="tr-TR"/>
        </w:rPr>
      </w:pPr>
      <w:r w:rsidRPr="005C518D">
        <w:rPr>
          <w:rFonts w:eastAsiaTheme="minorEastAsia"/>
          <w:noProof/>
          <w:sz w:val="40"/>
          <w:szCs w:val="40"/>
          <w:lang w:val="tr-TR" w:eastAsia="tr-TR"/>
        </w:rPr>
        <w:drawing>
          <wp:inline distT="0" distB="0" distL="0" distR="0" wp14:anchorId="446D2362" wp14:editId="29F33A26">
            <wp:extent cx="5876925" cy="1542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2A474" w14:textId="77777777" w:rsidR="001068C0" w:rsidRPr="005C518D" w:rsidRDefault="001068C0" w:rsidP="001068C0">
      <w:pPr>
        <w:pStyle w:val="Title"/>
        <w:rPr>
          <w:rFonts w:ascii="Arial" w:eastAsiaTheme="minorEastAsia" w:hAnsi="Arial" w:cs="Arial"/>
          <w:sz w:val="36"/>
          <w:szCs w:val="36"/>
          <w:lang w:val="tr-TR"/>
        </w:rPr>
      </w:pPr>
    </w:p>
    <w:p w14:paraId="49BBC783" w14:textId="708ADD34" w:rsidR="006F640E" w:rsidRPr="005C518D" w:rsidRDefault="008726FD" w:rsidP="001068C0">
      <w:pPr>
        <w:pStyle w:val="Title"/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</w:pPr>
      <w:r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 xml:space="preserve">HELP </w:t>
      </w:r>
      <w:r w:rsidR="001068C0" w:rsidRPr="005C518D">
        <w:rPr>
          <w:rFonts w:ascii="Arial" w:hAnsi="Arial" w:cs="Arial"/>
          <w:b/>
          <w:color w:val="215868" w:themeColor="accent5" w:themeShade="80"/>
          <w:sz w:val="36"/>
          <w:szCs w:val="36"/>
          <w:lang w:val="tr-TR"/>
        </w:rPr>
        <w:t>O</w:t>
      </w:r>
      <w:r w:rsidR="00541388" w:rsidRPr="005C518D">
        <w:rPr>
          <w:rFonts w:ascii="Arial" w:hAnsi="Arial" w:cs="Arial"/>
          <w:b/>
          <w:color w:val="215868" w:themeColor="accent5" w:themeShade="80"/>
          <w:sz w:val="36"/>
          <w:szCs w:val="36"/>
          <w:lang w:val="tr-TR"/>
        </w:rPr>
        <w:t xml:space="preserve">nline </w:t>
      </w:r>
      <w:r w:rsidR="00605477"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>Eğitimi</w:t>
      </w:r>
      <w:r w:rsidR="00622D05"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 xml:space="preserve">: Kadına </w:t>
      </w:r>
      <w:r w:rsidR="00605477"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>Yönelik</w:t>
      </w:r>
      <w:r w:rsidR="00622D05"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 xml:space="preserve"> Şiddet ve </w:t>
      </w:r>
      <w:r w:rsidR="00605477"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>Ev</w:t>
      </w:r>
      <w:r w:rsidR="00622D05" w:rsidRPr="005C518D">
        <w:rPr>
          <w:rFonts w:ascii="Arial" w:eastAsiaTheme="minorEastAsia" w:hAnsi="Arial" w:cs="Arial"/>
          <w:b/>
          <w:color w:val="215868" w:themeColor="accent5" w:themeShade="80"/>
          <w:sz w:val="36"/>
          <w:szCs w:val="36"/>
          <w:lang w:val="tr-TR"/>
        </w:rPr>
        <w:t xml:space="preserve"> İçi Şiddet </w:t>
      </w:r>
    </w:p>
    <w:p w14:paraId="43E1D078" w14:textId="77777777" w:rsidR="008F26CC" w:rsidRPr="005C518D" w:rsidRDefault="001068C0" w:rsidP="008F26CC">
      <w:pPr>
        <w:rPr>
          <w:lang w:val="tr-TR"/>
        </w:rPr>
      </w:pPr>
      <w:r w:rsidRPr="005C518D">
        <w:rPr>
          <w:rFonts w:eastAsiaTheme="minorEastAsia"/>
          <w:noProof/>
          <w:sz w:val="40"/>
          <w:szCs w:val="40"/>
          <w:lang w:val="tr-TR" w:eastAsia="tr-TR"/>
        </w:rPr>
        <w:drawing>
          <wp:inline distT="0" distB="0" distL="0" distR="0" wp14:anchorId="730A8B95" wp14:editId="7699D3C7">
            <wp:extent cx="5829023" cy="643180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991" cy="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76A4E" w14:textId="3EA32B72" w:rsidR="008726FD" w:rsidRPr="005C518D" w:rsidRDefault="003A0457" w:rsidP="00541388">
      <w:pPr>
        <w:pBdr>
          <w:bottom w:val="single" w:sz="6" w:space="1" w:color="auto"/>
        </w:pBdr>
        <w:rPr>
          <w:rFonts w:ascii="Arial" w:hAnsi="Arial" w:cs="Arial"/>
          <w:b/>
          <w:color w:val="215868" w:themeColor="accent5" w:themeShade="80"/>
          <w:kern w:val="24"/>
          <w:sz w:val="20"/>
          <w:szCs w:val="20"/>
          <w:lang w:val="tr-TR"/>
        </w:rPr>
      </w:pPr>
      <w:r w:rsidRPr="005C518D">
        <w:rPr>
          <w:rFonts w:ascii="Arial" w:hAnsi="Arial" w:cs="Arial"/>
          <w:b/>
          <w:color w:val="215868" w:themeColor="accent5" w:themeShade="80"/>
          <w:kern w:val="24"/>
          <w:sz w:val="20"/>
          <w:szCs w:val="20"/>
          <w:lang w:val="tr-TR"/>
        </w:rPr>
        <w:t>Arkaplan ve anahtar</w:t>
      </w:r>
      <w:r w:rsidR="00622D05" w:rsidRPr="005C518D">
        <w:rPr>
          <w:rFonts w:ascii="Arial" w:hAnsi="Arial" w:cs="Arial"/>
          <w:b/>
          <w:color w:val="215868" w:themeColor="accent5" w:themeShade="80"/>
          <w:kern w:val="24"/>
          <w:sz w:val="20"/>
          <w:szCs w:val="20"/>
          <w:lang w:val="tr-TR"/>
        </w:rPr>
        <w:t xml:space="preserve"> kavramlar</w:t>
      </w:r>
    </w:p>
    <w:p w14:paraId="3C85FC97" w14:textId="178245B0" w:rsidR="008E0D58" w:rsidRPr="005C518D" w:rsidRDefault="00622D05" w:rsidP="008E0D58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Kadına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yönelik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şiddet, insan haklarının ağır bir ihlali ve kadına karşı yapılan bir ayrımcılıktır. Birçok şekilde ortaya çıkabilir</w:t>
      </w:r>
      <w:r w:rsidR="00FB03A2" w:rsidRPr="005C518D">
        <w:rPr>
          <w:rFonts w:ascii="Arial" w:eastAsia="Times New Roman" w:hAnsi="Arial" w:cs="Arial"/>
          <w:sz w:val="20"/>
          <w:szCs w:val="20"/>
          <w:lang w:val="tr-TR" w:eastAsia="en-GB"/>
        </w:rPr>
        <w:t>: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örneğin fiziksel şiddet, cinsel istismar, takip ederek tacizde bulunma, kadın sünneti veya zorla evlendirme gibi. Kadına yönelik şiddet, kadınla</w:t>
      </w:r>
      <w:r w:rsidR="00EB1F24" w:rsidRPr="005C518D">
        <w:rPr>
          <w:rFonts w:ascii="Arial" w:eastAsia="Times New Roman" w:hAnsi="Arial" w:cs="Arial"/>
          <w:sz w:val="20"/>
          <w:szCs w:val="20"/>
          <w:lang w:val="tr-TR" w:eastAsia="en-GB"/>
        </w:rPr>
        <w:t>r ve erkekler arasındaki eşit olmayan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güç ilişkilerinin hem bir nedeni hem de sonucudur ve kadınların tüm gelişimini sınırlar.</w:t>
      </w:r>
      <w:r w:rsidR="008E0D58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="008E0D58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 de dahil olmak üzere kadına yönelik şiddet</w:t>
      </w:r>
      <w:r w:rsidR="00EB1F24" w:rsidRPr="005C518D">
        <w:rPr>
          <w:rFonts w:ascii="Arial" w:eastAsia="Times New Roman" w:hAnsi="Arial" w:cs="Arial"/>
          <w:sz w:val="20"/>
          <w:szCs w:val="20"/>
          <w:lang w:val="tr-TR" w:eastAsia="en-GB"/>
        </w:rPr>
        <w:t>, hukuk, politika ve uygulama</w:t>
      </w:r>
      <w:r w:rsidR="008E0D58" w:rsidRPr="005C518D">
        <w:rPr>
          <w:rFonts w:ascii="Arial" w:eastAsia="Times New Roman" w:hAnsi="Arial" w:cs="Arial"/>
          <w:sz w:val="20"/>
          <w:szCs w:val="20"/>
          <w:lang w:val="tr-TR" w:eastAsia="en-GB"/>
        </w:rPr>
        <w:t>daki bazı olumlu gelişmelere rağmen, her Avrupa Konseyi üye devletinde meydana gelmektedir.</w:t>
      </w:r>
    </w:p>
    <w:p w14:paraId="7B3806EA" w14:textId="5FF3C4E8" w:rsidR="008E0D58" w:rsidRPr="005C518D" w:rsidRDefault="008E0D58" w:rsidP="001608D7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Devletlerin tüm vatandaşlarının insan haklarına saygı duyma, koruma ve yerine getirme sorumluluğu vardır. Bu nedenle, </w:t>
      </w:r>
      <w:r w:rsidR="00FB03A2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 de dahil olmak üzere kadına yönelik her türlü şiddetin önlenmesi, araştırılması ve cezalandırılması için tüm makul önlemler alınmalıdır. Kadına yönelik şiddet, özellikle ev içinde meydana geldiğinde</w:t>
      </w:r>
      <w:r w:rsidR="00895DB3" w:rsidRPr="005C518D">
        <w:rPr>
          <w:rFonts w:ascii="Arial" w:eastAsia="Times New Roman" w:hAnsi="Arial" w:cs="Arial"/>
          <w:sz w:val="20"/>
          <w:szCs w:val="20"/>
          <w:lang w:val="tr-TR" w:eastAsia="en-GB"/>
        </w:rPr>
        <w:t>,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kadınların yardım için başvurduğu otoritelerin tepkisi ile birleştirilebilecek karmaşık bir konudur. Bu nedenle, </w:t>
      </w:r>
      <w:r w:rsidR="00AF6F81" w:rsidRPr="005C518D">
        <w:rPr>
          <w:rFonts w:ascii="Arial" w:eastAsia="Times New Roman" w:hAnsi="Arial" w:cs="Arial"/>
          <w:sz w:val="20"/>
          <w:szCs w:val="20"/>
          <w:lang w:val="tr-TR" w:eastAsia="en-GB"/>
        </w:rPr>
        <w:t>hukuk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profesyonellerin</w:t>
      </w:r>
      <w:r w:rsidR="00AF6F81" w:rsidRPr="005C518D">
        <w:rPr>
          <w:rFonts w:ascii="Arial" w:eastAsia="Times New Roman" w:hAnsi="Arial" w:cs="Arial"/>
          <w:sz w:val="20"/>
          <w:szCs w:val="20"/>
          <w:lang w:val="tr-TR" w:eastAsia="en-GB"/>
        </w:rPr>
        <w:t>in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kadına yönelik şiddeti ve </w:t>
      </w:r>
      <w:r w:rsidR="007D7D92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şiddeti daha iyi anlama</w:t>
      </w:r>
      <w:r w:rsidR="00AF6F81" w:rsidRPr="005C518D">
        <w:rPr>
          <w:rFonts w:ascii="Arial" w:eastAsia="Times New Roman" w:hAnsi="Arial" w:cs="Arial"/>
          <w:sz w:val="20"/>
          <w:szCs w:val="20"/>
          <w:lang w:val="tr-TR" w:eastAsia="en-GB"/>
        </w:rPr>
        <w:t>ları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için konuyla ilgili kapsamlı bir Avrupa müfredatı gerekmektedir.</w:t>
      </w:r>
    </w:p>
    <w:p w14:paraId="2F6E4BF3" w14:textId="15736685" w:rsidR="002349B5" w:rsidRPr="005C518D" w:rsidRDefault="008E0D58" w:rsidP="008E0D58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HELP  Kadına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Yönelik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Şiddet ve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İçi Şiddet</w:t>
      </w:r>
      <w:r w:rsidR="00E9777E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eğitimi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, özellikle de Kadınlara Yönelik Şiddet ve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İçi Şiddetin Önlenmesi ve Bunlarla Mücadeleye İlişkin Avrupa Konseyi Sözleşmesi</w:t>
      </w:r>
      <w:r w:rsidR="00404248" w:rsidRPr="005C518D">
        <w:rPr>
          <w:rFonts w:ascii="Arial" w:eastAsia="Times New Roman" w:hAnsi="Arial" w:cs="Arial"/>
          <w:sz w:val="20"/>
          <w:szCs w:val="20"/>
          <w:lang w:val="tr-TR" w:eastAsia="en-GB"/>
        </w:rPr>
        <w:t>’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ne (İstanbul Sözleşmesi) odaklanarak, kadın ve kızların şiddetten korunmasına ve şiddetin önlenmesini düzenleyen temel kavramları, uluslararası ve Avrupa yasal çerçeve</w:t>
      </w:r>
      <w:r w:rsidR="00404248" w:rsidRPr="005C518D">
        <w:rPr>
          <w:rFonts w:ascii="Arial" w:eastAsia="Times New Roman" w:hAnsi="Arial" w:cs="Arial"/>
          <w:sz w:val="20"/>
          <w:szCs w:val="20"/>
          <w:lang w:val="tr-TR" w:eastAsia="en-GB"/>
        </w:rPr>
        <w:t>yi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ve içtihatları intera</w:t>
      </w:r>
      <w:r w:rsidR="002349B5" w:rsidRPr="005C518D">
        <w:rPr>
          <w:rFonts w:ascii="Arial" w:eastAsia="Times New Roman" w:hAnsi="Arial" w:cs="Arial"/>
          <w:sz w:val="20"/>
          <w:szCs w:val="20"/>
          <w:lang w:val="tr-TR" w:eastAsia="en-GB"/>
        </w:rPr>
        <w:t>ktif bir şekilde kapsamaktadır.</w:t>
      </w:r>
      <w:r w:rsidR="00EB1F24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Ayrıca,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eğitimde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="000F7B36" w:rsidRPr="005C518D">
        <w:rPr>
          <w:rFonts w:ascii="Arial" w:eastAsia="Times New Roman" w:hAnsi="Arial" w:cs="Arial"/>
          <w:sz w:val="20"/>
          <w:szCs w:val="20"/>
          <w:lang w:val="tr-TR" w:eastAsia="en-GB"/>
        </w:rPr>
        <w:t>hukuk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profesyoneller</w:t>
      </w:r>
      <w:r w:rsidR="000F7B36" w:rsidRPr="005C518D">
        <w:rPr>
          <w:rFonts w:ascii="Arial" w:eastAsia="Times New Roman" w:hAnsi="Arial" w:cs="Arial"/>
          <w:sz w:val="20"/>
          <w:szCs w:val="20"/>
          <w:lang w:val="tr-TR" w:eastAsia="en-GB"/>
        </w:rPr>
        <w:t>ine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, insan hakları ve mağdur merkezli yaklaşım bakımından kadına yönelik şiddet olayları ve </w:t>
      </w:r>
      <w:r w:rsidR="007D7D92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 vakalarıyla başa çıkma konusunda pratik araçlar sağlanmaktadır.</w:t>
      </w:r>
    </w:p>
    <w:p w14:paraId="35647661" w14:textId="79337945" w:rsidR="002349B5" w:rsidRPr="005C518D" w:rsidRDefault="002349B5" w:rsidP="008E0D58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>HELP  Kadına</w:t>
      </w:r>
      <w:r w:rsidR="00605477"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Yönelik</w:t>
      </w: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Şiddet ve </w:t>
      </w:r>
      <w:r w:rsidR="00605477"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>Ev</w:t>
      </w: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İçi Şiddet</w:t>
      </w:r>
      <w:r w:rsidR="000F7B36"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eğitimi</w:t>
      </w: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, kadına </w:t>
      </w:r>
      <w:r w:rsidR="001A1210"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>yönelik</w:t>
      </w: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şiddet davaların</w:t>
      </w:r>
      <w:r w:rsidR="00EB142B"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>da</w:t>
      </w: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adli müdahalenin kalitesini artırmak ve şiddet mağdurları için adalete erişimi desteklemek için ayrıntılı ve kapsamlı bir müfredat sunmaktadır. Böyle bir kursun uzun vadede, ulusal eğitim kurumlarının ve / veya AK üye devletlerinin diğer yetkili makamlarının genel </w:t>
      </w:r>
      <w:r w:rsidR="00E57D15"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>eğitim</w:t>
      </w:r>
      <w:r w:rsidRPr="005C518D">
        <w:rPr>
          <w:rFonts w:ascii="Arial" w:hAnsi="Arial" w:cs="Arial"/>
          <w:color w:val="000000" w:themeColor="dark1"/>
          <w:kern w:val="24"/>
          <w:sz w:val="20"/>
          <w:szCs w:val="20"/>
          <w:lang w:val="tr-TR"/>
        </w:rPr>
        <w:t xml:space="preserve"> müfredatının ayrılmaz bir parçası olması amaçlanmaktadır.</w:t>
      </w:r>
    </w:p>
    <w:p w14:paraId="6A1E3D8E" w14:textId="77777777" w:rsidR="008726FD" w:rsidRPr="005C518D" w:rsidRDefault="002349B5" w:rsidP="00C61D11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tr-TR" w:eastAsia="en-GB"/>
        </w:rPr>
        <w:lastRenderedPageBreak/>
        <w:t>Öğrenme Hedefleri</w:t>
      </w:r>
    </w:p>
    <w:p w14:paraId="252C5405" w14:textId="5BA21492" w:rsidR="008726FD" w:rsidRPr="005C518D" w:rsidRDefault="00186F97" w:rsidP="00C61D11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Bu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eğitimin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sonunda aşağıdakileri gerçekleştirebileceksiniz</w:t>
      </w:r>
      <w:r w:rsidR="002349B5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; </w:t>
      </w:r>
    </w:p>
    <w:p w14:paraId="309FF8B8" w14:textId="73FC1461" w:rsidR="00186F97" w:rsidRPr="005C518D" w:rsidRDefault="007A53B4" w:rsidP="00186F97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Kadına yönelik şiddet ve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 ile ilgili temel kavramları anlamak ve kadına yönelik şiddet mağdurlarına yönelik adalete erişimin önündeki ortak engelleri tanımak;</w:t>
      </w:r>
    </w:p>
    <w:p w14:paraId="04156777" w14:textId="784F0010" w:rsidR="00186F97" w:rsidRPr="005C518D" w:rsidRDefault="00186F97" w:rsidP="00186F97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Gün</w:t>
      </w:r>
      <w:r w:rsidR="00511B5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lük çalışmalarınızda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="00511B5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temel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uluslararası ve Avrupa </w:t>
      </w:r>
      <w:r w:rsidR="00511B5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hukuk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="00511B5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enstrümanlarından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, özellikle Kadınlara Yönelik Şiddet ve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İçi Şiddetin Önlenmesi ve Bunlarla Mücadeleye İlişkin Avrupa Konseyi Sözleşmesi'nden yararlanmak;</w:t>
      </w:r>
    </w:p>
    <w:p w14:paraId="442EF1AF" w14:textId="01941BFF" w:rsidR="00186F97" w:rsidRPr="005C518D" w:rsidRDefault="00186F97" w:rsidP="00186F97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Kadına yönelik şiddete ve </w:t>
      </w:r>
      <w:r w:rsidR="002E4F15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 vakalarına cinsiyete duyarlı ve mağdur merkezli bir yaklaşım uygulamak;</w:t>
      </w:r>
    </w:p>
    <w:p w14:paraId="57FA9BEB" w14:textId="2A02AA0E" w:rsidR="00186F97" w:rsidRPr="005C518D" w:rsidRDefault="00186F97" w:rsidP="00186F97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Medeni hukuk ve ceza hukuku uzmanlarının, şiddet mağdurlarını kadına ve </w:t>
      </w:r>
      <w:r w:rsidR="0060547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şiddete karşı korumada ve adalete erişimlerini sağlamadaki önemli rolünü anlamak;</w:t>
      </w:r>
    </w:p>
    <w:p w14:paraId="443C5BF0" w14:textId="1B0F43B7" w:rsidR="00C61D11" w:rsidRPr="005C518D" w:rsidRDefault="00186F97" w:rsidP="00186F97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Yargı sisteminde daha yüksek standartlar ve daha yüksek verimlilik sağlamak için işbirliği ve koordinasyonun önemini ve şiddet uygulayanları hedef alan daha iyi önlemleri anlamak</w:t>
      </w:r>
      <w:r w:rsidR="002E4F15" w:rsidRPr="005C518D">
        <w:rPr>
          <w:rFonts w:ascii="Arial" w:eastAsia="Times New Roman" w:hAnsi="Arial" w:cs="Arial"/>
          <w:sz w:val="20"/>
          <w:szCs w:val="20"/>
          <w:lang w:val="tr-TR" w:eastAsia="en-GB"/>
        </w:rPr>
        <w:t>.</w:t>
      </w:r>
    </w:p>
    <w:p w14:paraId="5A9FF0A9" w14:textId="6CFC351E" w:rsidR="008726FD" w:rsidRPr="005C518D" w:rsidRDefault="00815DE1" w:rsidP="00C61D11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b/>
          <w:noProof/>
          <w:color w:val="215868" w:themeColor="accent5" w:themeShade="80"/>
          <w:sz w:val="20"/>
          <w:szCs w:val="20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65E74DB" wp14:editId="70B596E6">
            <wp:simplePos x="0" y="0"/>
            <wp:positionH relativeFrom="margin">
              <wp:posOffset>4106545</wp:posOffset>
            </wp:positionH>
            <wp:positionV relativeFrom="margin">
              <wp:posOffset>1270635</wp:posOffset>
            </wp:positionV>
            <wp:extent cx="2533650" cy="17818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ur Right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477" w:rsidRPr="005C518D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tr-TR" w:eastAsia="en-GB"/>
        </w:rPr>
        <w:t>Eğitim</w:t>
      </w:r>
      <w:r w:rsidR="00186F97" w:rsidRPr="005C518D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tr-TR" w:eastAsia="en-GB"/>
        </w:rPr>
        <w:t xml:space="preserve"> </w:t>
      </w:r>
      <w:r w:rsidR="001C181A" w:rsidRPr="005C518D">
        <w:rPr>
          <w:rFonts w:ascii="Arial" w:eastAsia="Times New Roman" w:hAnsi="Arial" w:cs="Arial"/>
          <w:b/>
          <w:color w:val="215868" w:themeColor="accent5" w:themeShade="80"/>
          <w:sz w:val="20"/>
          <w:szCs w:val="20"/>
          <w:lang w:val="tr-TR" w:eastAsia="en-GB"/>
        </w:rPr>
        <w:t>ana hatları</w:t>
      </w:r>
    </w:p>
    <w:p w14:paraId="44E06181" w14:textId="5A160FA3" w:rsidR="008726FD" w:rsidRPr="005C518D" w:rsidRDefault="00605477" w:rsidP="00C61D11">
      <w:p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Eğitim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, aşağıdaki </w:t>
      </w:r>
      <w:r w:rsidR="005249DE" w:rsidRPr="005C518D">
        <w:rPr>
          <w:rFonts w:ascii="Arial" w:eastAsia="Times New Roman" w:hAnsi="Arial" w:cs="Arial"/>
          <w:sz w:val="20"/>
          <w:szCs w:val="20"/>
          <w:lang w:val="tr-TR" w:eastAsia="en-GB"/>
        </w:rPr>
        <w:t>yedi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ana bölümden oluşmaktadır</w:t>
      </w:r>
      <w:r w:rsidR="008726FD" w:rsidRPr="005C518D">
        <w:rPr>
          <w:rFonts w:ascii="Arial" w:eastAsia="Times New Roman" w:hAnsi="Arial" w:cs="Arial"/>
          <w:sz w:val="20"/>
          <w:szCs w:val="20"/>
          <w:lang w:val="tr-TR" w:eastAsia="en-GB"/>
        </w:rPr>
        <w:t>:</w:t>
      </w:r>
    </w:p>
    <w:p w14:paraId="6F097118" w14:textId="1B62BA95" w:rsidR="008726FD" w:rsidRPr="005C518D" w:rsidRDefault="00126FC2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1.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Kadına karşı şiddeti ve </w:t>
      </w:r>
      <w:r w:rsidR="001D5293" w:rsidRPr="005C518D">
        <w:rPr>
          <w:rFonts w:ascii="Arial" w:eastAsia="Times New Roman" w:hAnsi="Arial" w:cs="Arial"/>
          <w:sz w:val="20"/>
          <w:szCs w:val="20"/>
          <w:lang w:val="tr-TR" w:eastAsia="en-GB"/>
        </w:rPr>
        <w:t>ev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içi şiddeti anlamak</w:t>
      </w:r>
      <w:r w:rsidR="00F44672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</w:p>
    <w:p w14:paraId="5844A0C0" w14:textId="77777777" w:rsidR="00B962E0" w:rsidRPr="005C518D" w:rsidRDefault="00126FC2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2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.Uluslararası ve Avrupa yasa</w:t>
      </w:r>
      <w:r w:rsidR="00EB1F24" w:rsidRPr="005C518D">
        <w:rPr>
          <w:rFonts w:ascii="Arial" w:eastAsia="Times New Roman" w:hAnsi="Arial" w:cs="Arial"/>
          <w:sz w:val="20"/>
          <w:szCs w:val="20"/>
          <w:lang w:val="tr-TR" w:eastAsia="en-GB"/>
        </w:rPr>
        <w:t>l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çerçevesi </w:t>
      </w:r>
    </w:p>
    <w:p w14:paraId="5BD7C97A" w14:textId="77777777" w:rsidR="00F44672" w:rsidRPr="005C518D" w:rsidRDefault="00147391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3</w:t>
      </w:r>
      <w:r w:rsidR="00126FC2" w:rsidRPr="005C518D">
        <w:rPr>
          <w:rFonts w:ascii="Arial" w:eastAsia="Times New Roman" w:hAnsi="Arial" w:cs="Arial"/>
          <w:sz w:val="20"/>
          <w:szCs w:val="20"/>
          <w:lang w:val="tr-TR" w:eastAsia="en-GB"/>
        </w:rPr>
        <w:t>.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Adaletin önündeki engelleri aşmak </w:t>
      </w:r>
    </w:p>
    <w:p w14:paraId="00594476" w14:textId="5413DD1A" w:rsidR="006F640E" w:rsidRPr="005C518D" w:rsidRDefault="00850009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4.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>Ceza Yargı</w:t>
      </w:r>
      <w:r w:rsidR="005249DE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laması 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="005249DE" w:rsidRPr="005C518D">
        <w:rPr>
          <w:rFonts w:ascii="Arial" w:eastAsia="Times New Roman" w:hAnsi="Arial" w:cs="Arial"/>
          <w:sz w:val="20"/>
          <w:szCs w:val="20"/>
          <w:lang w:val="tr-TR" w:eastAsia="en-GB"/>
        </w:rPr>
        <w:t>M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üdahalesi </w:t>
      </w:r>
      <w:r w:rsidR="005249DE" w:rsidRPr="005C518D">
        <w:rPr>
          <w:rFonts w:ascii="Arial" w:eastAsia="Times New Roman" w:hAnsi="Arial" w:cs="Arial"/>
          <w:sz w:val="20"/>
          <w:szCs w:val="20"/>
          <w:lang w:val="tr-TR" w:eastAsia="en-GB"/>
        </w:rPr>
        <w:t>I – Soruşturma ve yargılamaya hazırlık</w:t>
      </w:r>
    </w:p>
    <w:p w14:paraId="0C4BD6EE" w14:textId="1FCCFBBC" w:rsidR="005249DE" w:rsidRPr="005C518D" w:rsidRDefault="00850009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5.</w:t>
      </w:r>
      <w:r w:rsidR="005249DE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Ceza Yargılaması  Müdahalesi II – Yargılama ve hüküm/karar</w:t>
      </w:r>
    </w:p>
    <w:p w14:paraId="7BA40EFF" w14:textId="7BEFB9B5" w:rsidR="006F640E" w:rsidRPr="005C518D" w:rsidRDefault="005249DE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6. Hukuk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Yargı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laması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 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M</w:t>
      </w:r>
      <w:r w:rsidR="00186F97" w:rsidRPr="005C518D">
        <w:rPr>
          <w:rFonts w:ascii="Arial" w:eastAsia="Times New Roman" w:hAnsi="Arial" w:cs="Arial"/>
          <w:sz w:val="20"/>
          <w:szCs w:val="20"/>
          <w:lang w:val="tr-TR" w:eastAsia="en-GB"/>
        </w:rPr>
        <w:t xml:space="preserve">üdahalesi </w:t>
      </w:r>
    </w:p>
    <w:p w14:paraId="5FE04C50" w14:textId="3E79D4C5" w:rsidR="008726FD" w:rsidRPr="005C518D" w:rsidRDefault="005249DE" w:rsidP="00C61D11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7</w:t>
      </w:r>
      <w:r w:rsidR="00850009" w:rsidRPr="005C518D">
        <w:rPr>
          <w:rFonts w:ascii="Arial" w:eastAsia="Times New Roman" w:hAnsi="Arial" w:cs="Arial"/>
          <w:sz w:val="20"/>
          <w:szCs w:val="20"/>
          <w:lang w:val="tr-TR" w:eastAsia="en-GB"/>
        </w:rPr>
        <w:t>.</w:t>
      </w:r>
      <w:r w:rsidRPr="005C518D">
        <w:rPr>
          <w:rFonts w:ascii="Arial" w:eastAsia="Times New Roman" w:hAnsi="Arial" w:cs="Arial"/>
          <w:sz w:val="20"/>
          <w:szCs w:val="20"/>
          <w:lang w:val="tr-TR" w:eastAsia="en-GB"/>
        </w:rPr>
        <w:t>Alternatif Uyuşmazlık Çözümü</w:t>
      </w:r>
    </w:p>
    <w:p w14:paraId="3ADC9512" w14:textId="77777777" w:rsidR="006D0FF4" w:rsidRPr="005C518D" w:rsidRDefault="006D0FF4" w:rsidP="008726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 w:eastAsia="en-GB"/>
        </w:rPr>
      </w:pPr>
    </w:p>
    <w:p w14:paraId="3B4F9E9E" w14:textId="5134650B" w:rsidR="00A13407" w:rsidRPr="005C518D" w:rsidRDefault="00186F97" w:rsidP="00C61D11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</w:pPr>
      <w:r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>A</w:t>
      </w:r>
      <w:r w:rsidR="002510FD"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>vrupa Konseyi (AK)</w:t>
      </w:r>
      <w:r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 xml:space="preserve"> çatısı altında </w:t>
      </w:r>
      <w:r w:rsidR="00605477"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>eğitimin</w:t>
      </w:r>
      <w:r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 xml:space="preserve"> gelişimi</w:t>
      </w:r>
    </w:p>
    <w:p w14:paraId="7884ED62" w14:textId="62152B24" w:rsidR="00235092" w:rsidRPr="005C518D" w:rsidRDefault="00186F97" w:rsidP="00186F97">
      <w:pPr>
        <w:jc w:val="both"/>
        <w:rPr>
          <w:rFonts w:ascii="Arial" w:hAnsi="Arial" w:cs="Arial"/>
          <w:sz w:val="20"/>
          <w:szCs w:val="20"/>
          <w:lang w:val="tr-TR"/>
        </w:rPr>
      </w:pPr>
      <w:r w:rsidRPr="005C518D">
        <w:rPr>
          <w:rFonts w:ascii="Arial" w:hAnsi="Arial" w:cs="Arial"/>
          <w:sz w:val="20"/>
          <w:szCs w:val="20"/>
          <w:lang w:val="tr-TR"/>
        </w:rPr>
        <w:t xml:space="preserve">Bu </w:t>
      </w:r>
      <w:r w:rsidR="00605477" w:rsidRPr="005C518D">
        <w:rPr>
          <w:rFonts w:ascii="Arial" w:hAnsi="Arial" w:cs="Arial"/>
          <w:sz w:val="20"/>
          <w:szCs w:val="20"/>
          <w:lang w:val="tr-TR"/>
        </w:rPr>
        <w:t>eğitim</w:t>
      </w:r>
      <w:r w:rsidR="00684293" w:rsidRPr="005C518D">
        <w:rPr>
          <w:rFonts w:ascii="Arial" w:hAnsi="Arial" w:cs="Arial"/>
          <w:sz w:val="20"/>
          <w:szCs w:val="20"/>
          <w:lang w:val="tr-TR"/>
        </w:rPr>
        <w:t xml:space="preserve"> </w:t>
      </w:r>
      <w:r w:rsidR="00C36A60" w:rsidRPr="005C518D">
        <w:rPr>
          <w:rFonts w:ascii="Arial" w:hAnsi="Arial" w:cs="Arial"/>
          <w:sz w:val="20"/>
          <w:szCs w:val="20"/>
          <w:lang w:val="tr-TR"/>
        </w:rPr>
        <w:t xml:space="preserve">Avrupa Konseyi </w:t>
      </w:r>
      <w:r w:rsidR="00684293" w:rsidRPr="005C518D">
        <w:rPr>
          <w:rFonts w:ascii="Arial" w:hAnsi="Arial" w:cs="Arial"/>
          <w:sz w:val="20"/>
          <w:szCs w:val="20"/>
          <w:lang w:val="tr-TR"/>
        </w:rPr>
        <w:t>Eşitlik ve İnsan Onuru Departmanı, Kadına Karşı Şiddet Bölümü ve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Avrupa Konseyi Hukuk Profesyonelleri için İnsan Hakları Eğitimi </w:t>
      </w:r>
      <w:r w:rsidR="00684293" w:rsidRPr="005C518D">
        <w:rPr>
          <w:rFonts w:ascii="Arial" w:hAnsi="Arial" w:cs="Arial"/>
          <w:sz w:val="20"/>
          <w:szCs w:val="20"/>
          <w:lang w:val="tr-TR"/>
        </w:rPr>
        <w:t>Avrupa Programı (HELP)</w:t>
      </w:r>
      <w:r w:rsidR="005C0C83" w:rsidRPr="005C518D">
        <w:rPr>
          <w:rFonts w:ascii="Arial" w:hAnsi="Arial" w:cs="Arial"/>
          <w:sz w:val="20"/>
          <w:szCs w:val="20"/>
          <w:lang w:val="tr-TR"/>
        </w:rPr>
        <w:t xml:space="preserve"> Birimi</w:t>
      </w:r>
      <w:r w:rsidR="00684293" w:rsidRPr="005C518D">
        <w:rPr>
          <w:rFonts w:ascii="Arial" w:hAnsi="Arial" w:cs="Arial"/>
          <w:sz w:val="20"/>
          <w:szCs w:val="20"/>
          <w:lang w:val="tr-TR"/>
        </w:rPr>
        <w:t xml:space="preserve"> işbirliği ile hazırlanmıştır.</w:t>
      </w:r>
    </w:p>
    <w:p w14:paraId="1E93CE93" w14:textId="77777777" w:rsidR="00A13407" w:rsidRPr="005C518D" w:rsidRDefault="00684293" w:rsidP="00C61D11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</w:pPr>
      <w:r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 xml:space="preserve">Hedef Kitle </w:t>
      </w:r>
    </w:p>
    <w:p w14:paraId="2768AE8D" w14:textId="2764D261" w:rsidR="00A13407" w:rsidRPr="005C518D" w:rsidRDefault="00283172" w:rsidP="00C61D11">
      <w:pPr>
        <w:jc w:val="both"/>
        <w:rPr>
          <w:rFonts w:ascii="Arial" w:hAnsi="Arial" w:cs="Arial"/>
          <w:sz w:val="20"/>
          <w:szCs w:val="20"/>
          <w:lang w:val="tr-TR"/>
        </w:rPr>
      </w:pPr>
      <w:r w:rsidRPr="005C518D">
        <w:rPr>
          <w:rFonts w:ascii="Arial" w:hAnsi="Arial" w:cs="Arial"/>
          <w:sz w:val="20"/>
          <w:szCs w:val="20"/>
          <w:lang w:val="tr-TR"/>
        </w:rPr>
        <w:t>Bu ücretsiz online</w:t>
      </w:r>
      <w:r w:rsidR="005C0C83" w:rsidRPr="005C518D">
        <w:rPr>
          <w:rFonts w:ascii="Arial" w:hAnsi="Arial" w:cs="Arial"/>
          <w:sz w:val="20"/>
          <w:szCs w:val="20"/>
          <w:lang w:val="tr-TR"/>
        </w:rPr>
        <w:t xml:space="preserve"> (çevrimiçi)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</w:t>
      </w:r>
      <w:r w:rsidR="00605477" w:rsidRPr="005C518D">
        <w:rPr>
          <w:rFonts w:ascii="Arial" w:hAnsi="Arial" w:cs="Arial"/>
          <w:sz w:val="20"/>
          <w:szCs w:val="20"/>
          <w:lang w:val="tr-TR"/>
        </w:rPr>
        <w:t>eğitim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öncelikle hukuk profesyonellerine (hakimler, savcılar, </w:t>
      </w:r>
      <w:r w:rsidR="002665E1" w:rsidRPr="005C518D">
        <w:rPr>
          <w:rFonts w:ascii="Arial" w:hAnsi="Arial" w:cs="Arial"/>
          <w:sz w:val="20"/>
          <w:szCs w:val="20"/>
          <w:lang w:val="tr-TR"/>
        </w:rPr>
        <w:t xml:space="preserve">özel dava vekilleri/temsilciler, 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avukatlar ve </w:t>
      </w:r>
      <w:r w:rsidR="002665E1" w:rsidRPr="005C518D">
        <w:rPr>
          <w:rFonts w:ascii="Arial" w:hAnsi="Arial" w:cs="Arial"/>
          <w:sz w:val="20"/>
          <w:szCs w:val="20"/>
          <w:lang w:val="tr-TR"/>
        </w:rPr>
        <w:t>kıdemli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mahkeme</w:t>
      </w:r>
      <w:r w:rsidR="002665E1" w:rsidRPr="005C518D">
        <w:rPr>
          <w:rFonts w:ascii="Arial" w:hAnsi="Arial" w:cs="Arial"/>
          <w:sz w:val="20"/>
          <w:szCs w:val="20"/>
          <w:lang w:val="tr-TR"/>
        </w:rPr>
        <w:t xml:space="preserve"> personeli</w:t>
      </w:r>
      <w:r w:rsidRPr="005C518D">
        <w:rPr>
          <w:rFonts w:ascii="Arial" w:hAnsi="Arial" w:cs="Arial"/>
          <w:sz w:val="20"/>
          <w:szCs w:val="20"/>
          <w:lang w:val="tr-TR"/>
        </w:rPr>
        <w:t>) yöneliktir ancak aynı zamanda emniyet</w:t>
      </w:r>
      <w:r w:rsidR="002665E1" w:rsidRPr="005C518D">
        <w:rPr>
          <w:rFonts w:ascii="Arial" w:hAnsi="Arial" w:cs="Arial"/>
          <w:sz w:val="20"/>
          <w:szCs w:val="20"/>
          <w:lang w:val="tr-TR"/>
        </w:rPr>
        <w:t>/kolluk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görevlileri, adli tıp uzmanları, sivil toplum örgütleri, kadına </w:t>
      </w:r>
      <w:r w:rsidR="00605477" w:rsidRPr="005C518D">
        <w:rPr>
          <w:rFonts w:ascii="Arial" w:hAnsi="Arial" w:cs="Arial"/>
          <w:sz w:val="20"/>
          <w:szCs w:val="20"/>
          <w:lang w:val="tr-TR"/>
        </w:rPr>
        <w:t>yönelik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şiddet ve </w:t>
      </w:r>
      <w:r w:rsidR="00605477" w:rsidRPr="005C518D">
        <w:rPr>
          <w:rFonts w:ascii="Arial" w:hAnsi="Arial" w:cs="Arial"/>
          <w:sz w:val="20"/>
          <w:szCs w:val="20"/>
          <w:lang w:val="tr-TR"/>
        </w:rPr>
        <w:t>ev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içi şiddet alanında çalışan medya ve diğer profesyoneller için de yararlı olacaktır. Bu </w:t>
      </w:r>
      <w:r w:rsidR="00605477" w:rsidRPr="005C518D">
        <w:rPr>
          <w:rFonts w:ascii="Arial" w:hAnsi="Arial" w:cs="Arial"/>
          <w:sz w:val="20"/>
          <w:szCs w:val="20"/>
          <w:lang w:val="tr-TR"/>
        </w:rPr>
        <w:t>eğitim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aynı zamanda tercüme edil</w:t>
      </w:r>
      <w:r w:rsidR="002665E1" w:rsidRPr="005C518D">
        <w:rPr>
          <w:rFonts w:ascii="Arial" w:hAnsi="Arial" w:cs="Arial"/>
          <w:sz w:val="20"/>
          <w:szCs w:val="20"/>
          <w:lang w:val="tr-TR"/>
        </w:rPr>
        <w:t>ebilir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ulusal bağlamda </w:t>
      </w:r>
      <w:r w:rsidR="002665E1" w:rsidRPr="005C518D">
        <w:rPr>
          <w:rFonts w:ascii="Arial" w:hAnsi="Arial" w:cs="Arial"/>
          <w:sz w:val="20"/>
          <w:szCs w:val="20"/>
          <w:lang w:val="tr-TR"/>
        </w:rPr>
        <w:t xml:space="preserve">da </w:t>
      </w:r>
      <w:r w:rsidRPr="005C518D">
        <w:rPr>
          <w:rFonts w:ascii="Arial" w:hAnsi="Arial" w:cs="Arial"/>
          <w:sz w:val="20"/>
          <w:szCs w:val="20"/>
          <w:lang w:val="tr-TR"/>
        </w:rPr>
        <w:t>adapt</w:t>
      </w:r>
      <w:r w:rsidR="002665E1" w:rsidRPr="005C518D">
        <w:rPr>
          <w:rFonts w:ascii="Arial" w:hAnsi="Arial" w:cs="Arial"/>
          <w:sz w:val="20"/>
          <w:szCs w:val="20"/>
          <w:lang w:val="tr-TR"/>
        </w:rPr>
        <w:t>asyonu yapılabilir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75FD2632" w14:textId="61E78909" w:rsidR="005065F6" w:rsidRPr="005C518D" w:rsidRDefault="00605477" w:rsidP="005065F6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</w:pPr>
      <w:r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>Eğitime</w:t>
      </w:r>
      <w:r w:rsidR="00283172" w:rsidRPr="005C518D"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  <w:t xml:space="preserve"> başlarken </w:t>
      </w:r>
    </w:p>
    <w:p w14:paraId="53B67D4B" w14:textId="77777777" w:rsidR="005C518D" w:rsidRPr="005C518D" w:rsidRDefault="00283172" w:rsidP="008726FD">
      <w:pPr>
        <w:rPr>
          <w:rFonts w:ascii="Arial" w:hAnsi="Arial" w:cs="Arial"/>
          <w:sz w:val="20"/>
          <w:szCs w:val="20"/>
          <w:lang w:val="tr-TR"/>
        </w:rPr>
      </w:pP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Pr="005C518D">
        <w:rPr>
          <w:rFonts w:ascii="Arial" w:hAnsi="Arial" w:cs="Arial"/>
          <w:sz w:val="20"/>
          <w:szCs w:val="20"/>
          <w:lang w:val="tr-TR"/>
        </w:rPr>
        <w:softHyphen/>
      </w:r>
      <w:r w:rsidR="00605477" w:rsidRPr="005C518D">
        <w:rPr>
          <w:rFonts w:ascii="Arial" w:hAnsi="Arial" w:cs="Arial"/>
          <w:sz w:val="20"/>
          <w:szCs w:val="20"/>
          <w:lang w:val="tr-TR"/>
        </w:rPr>
        <w:t>Eğitime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 erişim için, HELP e-öğrenme platformuna bu adresten ulaşmanız gerekli</w:t>
      </w:r>
      <w:r w:rsidR="00A42CE7" w:rsidRPr="005C518D">
        <w:rPr>
          <w:rFonts w:ascii="Arial" w:hAnsi="Arial" w:cs="Arial"/>
          <w:sz w:val="20"/>
          <w:szCs w:val="20"/>
          <w:lang w:val="tr-TR"/>
        </w:rPr>
        <w:t>dir</w:t>
      </w:r>
      <w:r w:rsidRPr="005C518D">
        <w:rPr>
          <w:rFonts w:ascii="Arial" w:hAnsi="Arial" w:cs="Arial"/>
          <w:sz w:val="20"/>
          <w:szCs w:val="20"/>
          <w:lang w:val="tr-TR"/>
        </w:rPr>
        <w:t xml:space="preserve">; </w:t>
      </w:r>
      <w:hyperlink r:id="rId9" w:history="1">
        <w:r w:rsidRPr="005C518D">
          <w:rPr>
            <w:rStyle w:val="Hyperlink"/>
            <w:rFonts w:ascii="Arial" w:hAnsi="Arial" w:cs="Arial"/>
            <w:sz w:val="20"/>
            <w:szCs w:val="20"/>
            <w:lang w:val="tr-TR"/>
          </w:rPr>
          <w:t>http://help.elearning.ext.coe.int/</w:t>
        </w:r>
      </w:hyperlink>
      <w:r w:rsidRPr="005C518D">
        <w:rPr>
          <w:rFonts w:ascii="Arial" w:hAnsi="Arial" w:cs="Arial"/>
          <w:sz w:val="20"/>
          <w:szCs w:val="20"/>
          <w:lang w:val="tr-TR"/>
        </w:rPr>
        <w:t xml:space="preserve">. Öncelikle eğer henüz yapmadıysanız, kendinize bir hesap açmanız gerekmektedir. (2 </w:t>
      </w:r>
      <w:r w:rsidR="00A42CE7" w:rsidRPr="005C518D">
        <w:rPr>
          <w:rFonts w:ascii="Arial" w:hAnsi="Arial" w:cs="Arial"/>
          <w:sz w:val="20"/>
          <w:szCs w:val="20"/>
          <w:lang w:val="tr-TR"/>
        </w:rPr>
        <w:t>dakika</w:t>
      </w:r>
      <w:r w:rsidRPr="005C518D">
        <w:rPr>
          <w:rFonts w:ascii="Arial" w:hAnsi="Arial" w:cs="Arial"/>
          <w:sz w:val="20"/>
          <w:szCs w:val="20"/>
          <w:lang w:val="tr-TR"/>
        </w:rPr>
        <w:t>)</w:t>
      </w:r>
    </w:p>
    <w:p w14:paraId="5BE6E85D" w14:textId="10BB939B" w:rsidR="00C459FB" w:rsidRPr="005C518D" w:rsidRDefault="00605477" w:rsidP="008726FD">
      <w:pPr>
        <w:rPr>
          <w:sz w:val="20"/>
          <w:szCs w:val="20"/>
          <w:lang w:val="tr-TR"/>
        </w:rPr>
      </w:pPr>
      <w:r w:rsidRPr="005C518D">
        <w:rPr>
          <w:rFonts w:ascii="Arial" w:hAnsi="Arial" w:cs="Arial"/>
          <w:sz w:val="20"/>
          <w:szCs w:val="20"/>
          <w:lang w:val="tr-TR"/>
        </w:rPr>
        <w:lastRenderedPageBreak/>
        <w:t>Eğitime</w:t>
      </w:r>
      <w:r w:rsidR="00283172" w:rsidRPr="005C518D">
        <w:rPr>
          <w:rFonts w:ascii="Arial" w:hAnsi="Arial" w:cs="Arial"/>
          <w:sz w:val="20"/>
          <w:szCs w:val="20"/>
          <w:lang w:val="tr-TR"/>
        </w:rPr>
        <w:t xml:space="preserve"> direkt eriş</w:t>
      </w:r>
      <w:r w:rsidR="002428AC" w:rsidRPr="005C518D">
        <w:rPr>
          <w:rFonts w:ascii="Arial" w:hAnsi="Arial" w:cs="Arial"/>
          <w:sz w:val="20"/>
          <w:szCs w:val="20"/>
          <w:lang w:val="tr-TR"/>
        </w:rPr>
        <w:t xml:space="preserve">mek için ise aşağıdaki linki </w:t>
      </w:r>
      <w:r w:rsidR="00283172" w:rsidRPr="005C518D">
        <w:rPr>
          <w:rFonts w:ascii="Arial" w:hAnsi="Arial" w:cs="Arial"/>
          <w:sz w:val="20"/>
          <w:szCs w:val="20"/>
          <w:lang w:val="tr-TR"/>
        </w:rPr>
        <w:t xml:space="preserve"> tıklayınız:  </w:t>
      </w:r>
      <w:hyperlink r:id="rId10" w:history="1">
        <w:r w:rsidR="005C518D" w:rsidRPr="005C518D">
          <w:rPr>
            <w:rStyle w:val="Hyperlink"/>
            <w:sz w:val="20"/>
            <w:szCs w:val="20"/>
            <w:lang w:val="tr-TR"/>
          </w:rPr>
          <w:t>http://help.elearning.ext.coe.int/course/view.php?id=2112</w:t>
        </w:r>
      </w:hyperlink>
    </w:p>
    <w:p w14:paraId="29B08C70" w14:textId="77777777" w:rsidR="005C518D" w:rsidRPr="005C518D" w:rsidRDefault="005C518D" w:rsidP="008726FD">
      <w:pPr>
        <w:rPr>
          <w:rFonts w:ascii="Arial" w:hAnsi="Arial" w:cs="Arial"/>
          <w:sz w:val="20"/>
          <w:szCs w:val="20"/>
          <w:lang w:val="tr-TR"/>
        </w:rPr>
      </w:pPr>
    </w:p>
    <w:sectPr w:rsidR="005C518D" w:rsidRPr="005C5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868"/>
    <w:multiLevelType w:val="hybridMultilevel"/>
    <w:tmpl w:val="4D78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45A6"/>
    <w:multiLevelType w:val="hybridMultilevel"/>
    <w:tmpl w:val="6638E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29E"/>
    <w:multiLevelType w:val="hybridMultilevel"/>
    <w:tmpl w:val="CDB08D7E"/>
    <w:lvl w:ilvl="0" w:tplc="9B6A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4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6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CF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AC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8B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4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A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24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FA4B70"/>
    <w:multiLevelType w:val="hybridMultilevel"/>
    <w:tmpl w:val="770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A0D"/>
    <w:multiLevelType w:val="hybridMultilevel"/>
    <w:tmpl w:val="97309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4930"/>
    <w:multiLevelType w:val="hybridMultilevel"/>
    <w:tmpl w:val="0BD2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65A5"/>
    <w:multiLevelType w:val="hybridMultilevel"/>
    <w:tmpl w:val="778CB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1652"/>
    <w:multiLevelType w:val="hybridMultilevel"/>
    <w:tmpl w:val="DC7CFB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586D"/>
    <w:multiLevelType w:val="hybridMultilevel"/>
    <w:tmpl w:val="3606D1D6"/>
    <w:lvl w:ilvl="0" w:tplc="A41AF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4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A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A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4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E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63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5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08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656BF2"/>
    <w:multiLevelType w:val="hybridMultilevel"/>
    <w:tmpl w:val="DB0CF980"/>
    <w:lvl w:ilvl="0" w:tplc="6222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60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0A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23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C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24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6F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8C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C8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5B2572"/>
    <w:multiLevelType w:val="hybridMultilevel"/>
    <w:tmpl w:val="8C44A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D7F22"/>
    <w:multiLevelType w:val="hybridMultilevel"/>
    <w:tmpl w:val="19DEA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5E2C"/>
    <w:multiLevelType w:val="multilevel"/>
    <w:tmpl w:val="002C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B03010"/>
    <w:multiLevelType w:val="hybridMultilevel"/>
    <w:tmpl w:val="34726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16B77"/>
    <w:multiLevelType w:val="hybridMultilevel"/>
    <w:tmpl w:val="FCE0A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A6B21"/>
    <w:multiLevelType w:val="hybridMultilevel"/>
    <w:tmpl w:val="63983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E5F8F"/>
    <w:multiLevelType w:val="hybridMultilevel"/>
    <w:tmpl w:val="64FC8742"/>
    <w:lvl w:ilvl="0" w:tplc="96EC5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E8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6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E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2E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2E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0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E8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E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1F3254"/>
    <w:multiLevelType w:val="hybridMultilevel"/>
    <w:tmpl w:val="0750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E4AF8"/>
    <w:multiLevelType w:val="hybridMultilevel"/>
    <w:tmpl w:val="C0EA4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15"/>
  </w:num>
  <w:num w:numId="9">
    <w:abstractNumId w:val="16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18"/>
  </w:num>
  <w:num w:numId="16">
    <w:abstractNumId w:val="1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C"/>
    <w:rsid w:val="000F7B36"/>
    <w:rsid w:val="001068C0"/>
    <w:rsid w:val="00126FC2"/>
    <w:rsid w:val="00141CE7"/>
    <w:rsid w:val="00147391"/>
    <w:rsid w:val="00157FBE"/>
    <w:rsid w:val="001608D7"/>
    <w:rsid w:val="00161935"/>
    <w:rsid w:val="00186F97"/>
    <w:rsid w:val="001A1210"/>
    <w:rsid w:val="001C181A"/>
    <w:rsid w:val="001D5293"/>
    <w:rsid w:val="002349B5"/>
    <w:rsid w:val="00235092"/>
    <w:rsid w:val="002428AC"/>
    <w:rsid w:val="00247B29"/>
    <w:rsid w:val="002510FD"/>
    <w:rsid w:val="002665E1"/>
    <w:rsid w:val="00283172"/>
    <w:rsid w:val="002A50A6"/>
    <w:rsid w:val="002E4F15"/>
    <w:rsid w:val="0034792C"/>
    <w:rsid w:val="003A0457"/>
    <w:rsid w:val="003C455F"/>
    <w:rsid w:val="00404248"/>
    <w:rsid w:val="00424D57"/>
    <w:rsid w:val="00485ED6"/>
    <w:rsid w:val="00496F06"/>
    <w:rsid w:val="004C3E6C"/>
    <w:rsid w:val="005065F6"/>
    <w:rsid w:val="00511B57"/>
    <w:rsid w:val="0052476C"/>
    <w:rsid w:val="005249DE"/>
    <w:rsid w:val="00541388"/>
    <w:rsid w:val="005453EF"/>
    <w:rsid w:val="00567262"/>
    <w:rsid w:val="005C0C83"/>
    <w:rsid w:val="005C518D"/>
    <w:rsid w:val="00605477"/>
    <w:rsid w:val="00615571"/>
    <w:rsid w:val="00616003"/>
    <w:rsid w:val="006218BC"/>
    <w:rsid w:val="00622D05"/>
    <w:rsid w:val="00684293"/>
    <w:rsid w:val="006A5E08"/>
    <w:rsid w:val="006D0FF4"/>
    <w:rsid w:val="006F640E"/>
    <w:rsid w:val="00706621"/>
    <w:rsid w:val="00721C54"/>
    <w:rsid w:val="007368D6"/>
    <w:rsid w:val="00792DD3"/>
    <w:rsid w:val="007A53B4"/>
    <w:rsid w:val="007B0942"/>
    <w:rsid w:val="007D7D92"/>
    <w:rsid w:val="00807779"/>
    <w:rsid w:val="00814BCC"/>
    <w:rsid w:val="00815DE1"/>
    <w:rsid w:val="00850009"/>
    <w:rsid w:val="008726FD"/>
    <w:rsid w:val="00885F00"/>
    <w:rsid w:val="00895DB3"/>
    <w:rsid w:val="008B26AD"/>
    <w:rsid w:val="008E0D58"/>
    <w:rsid w:val="008F26CC"/>
    <w:rsid w:val="00936A48"/>
    <w:rsid w:val="0095093F"/>
    <w:rsid w:val="0097650B"/>
    <w:rsid w:val="009B77A2"/>
    <w:rsid w:val="00A13407"/>
    <w:rsid w:val="00A42CE7"/>
    <w:rsid w:val="00AB7510"/>
    <w:rsid w:val="00AC4065"/>
    <w:rsid w:val="00AC4D07"/>
    <w:rsid w:val="00AD10D8"/>
    <w:rsid w:val="00AF6F81"/>
    <w:rsid w:val="00B1765F"/>
    <w:rsid w:val="00B30B7F"/>
    <w:rsid w:val="00B75416"/>
    <w:rsid w:val="00B860E2"/>
    <w:rsid w:val="00B87404"/>
    <w:rsid w:val="00B94A6C"/>
    <w:rsid w:val="00B962E0"/>
    <w:rsid w:val="00BC52A4"/>
    <w:rsid w:val="00C36A60"/>
    <w:rsid w:val="00C4592E"/>
    <w:rsid w:val="00C459FB"/>
    <w:rsid w:val="00C512F5"/>
    <w:rsid w:val="00C61D11"/>
    <w:rsid w:val="00C866A7"/>
    <w:rsid w:val="00CB718A"/>
    <w:rsid w:val="00CC109E"/>
    <w:rsid w:val="00D2596E"/>
    <w:rsid w:val="00D6372B"/>
    <w:rsid w:val="00DA6224"/>
    <w:rsid w:val="00DC2188"/>
    <w:rsid w:val="00DD432F"/>
    <w:rsid w:val="00DD60B3"/>
    <w:rsid w:val="00DE3D8B"/>
    <w:rsid w:val="00E338A9"/>
    <w:rsid w:val="00E508DF"/>
    <w:rsid w:val="00E57D15"/>
    <w:rsid w:val="00E9777E"/>
    <w:rsid w:val="00EB142B"/>
    <w:rsid w:val="00EB1F24"/>
    <w:rsid w:val="00EE53AD"/>
    <w:rsid w:val="00F10444"/>
    <w:rsid w:val="00F21FC7"/>
    <w:rsid w:val="00F44672"/>
    <w:rsid w:val="00FB03A2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8D065"/>
  <w15:docId w15:val="{A948D664-EF1D-4E0F-9A31-D2E592F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1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0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0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1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lp.elearning.ext.coe.int/course/view.php?id=2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elearning.ext.coe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4334-B23F-4A61-B406-9E116435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KARATARI-KOSTU Seran</dc:creator>
  <cp:lastModifiedBy>PAPILA Serkan</cp:lastModifiedBy>
  <cp:revision>2</cp:revision>
  <dcterms:created xsi:type="dcterms:W3CDTF">2022-02-22T12:46:00Z</dcterms:created>
  <dcterms:modified xsi:type="dcterms:W3CDTF">2022-02-22T12:46:00Z</dcterms:modified>
</cp:coreProperties>
</file>