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7EAF4" w14:textId="3381D352" w:rsidR="00C970DE" w:rsidRPr="00C970DE" w:rsidRDefault="00C970DE" w:rsidP="000F7896">
      <w:pPr>
        <w:rPr>
          <w:rFonts w:ascii="Verdana" w:hAnsi="Verdana"/>
          <w:sz w:val="28"/>
          <w:szCs w:val="28"/>
          <w:lang w:val="fr-FR"/>
        </w:rPr>
      </w:pPr>
      <w:r w:rsidRPr="00C970DE">
        <w:rPr>
          <w:rFonts w:ascii="Verdana" w:hAnsi="Verdana"/>
          <w:sz w:val="28"/>
          <w:szCs w:val="28"/>
          <w:lang w:val="fr-FR"/>
        </w:rPr>
        <w:t>Leçon 2.2 (Dispositions de fond de la Convention de Budapest - Partie 1)</w:t>
      </w:r>
    </w:p>
    <w:p w14:paraId="1D0E3DC5" w14:textId="77777777" w:rsidR="00C115FC" w:rsidRPr="00C970DE" w:rsidRDefault="00C115FC" w:rsidP="00C115FC">
      <w:pPr>
        <w:ind w:left="360"/>
        <w:rPr>
          <w:rFonts w:ascii="Verdana" w:hAnsi="Verdana"/>
          <w:lang w:val="fr-FR"/>
        </w:rPr>
      </w:pPr>
    </w:p>
    <w:tbl>
      <w:tblPr>
        <w:tblStyle w:val="TableGrid"/>
        <w:tblW w:w="0" w:type="auto"/>
        <w:tblLayout w:type="fixed"/>
        <w:tblLook w:val="04A0" w:firstRow="1" w:lastRow="0" w:firstColumn="1" w:lastColumn="0" w:noHBand="0" w:noVBand="1"/>
      </w:tblPr>
      <w:tblGrid>
        <w:gridCol w:w="1838"/>
        <w:gridCol w:w="5007"/>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CFA8E9C" w:rsidR="00C970DE" w:rsidRPr="00C970DE" w:rsidRDefault="00C970DE" w:rsidP="00C115FC">
            <w:pPr>
              <w:rPr>
                <w:rFonts w:ascii="Verdana" w:hAnsi="Verdana"/>
                <w:sz w:val="22"/>
                <w:szCs w:val="22"/>
                <w:lang w:val="fr-FR"/>
              </w:rPr>
            </w:pPr>
            <w:r w:rsidRPr="00C970DE">
              <w:rPr>
                <w:rFonts w:ascii="Verdana" w:hAnsi="Verdana"/>
                <w:sz w:val="22"/>
                <w:szCs w:val="22"/>
                <w:lang w:val="fr-FR"/>
              </w:rPr>
              <w:t>Leçon 2.2 (Dispositions de fond de la Convention de Budapest - Partie 1)</w:t>
            </w:r>
          </w:p>
        </w:tc>
        <w:tc>
          <w:tcPr>
            <w:tcW w:w="2165" w:type="dxa"/>
            <w:shd w:val="clear" w:color="auto" w:fill="DEEAF6" w:themeFill="accent5" w:themeFillTint="33"/>
            <w:vAlign w:val="center"/>
          </w:tcPr>
          <w:p w14:paraId="30B631DA" w14:textId="3706276F" w:rsidR="00C970DE" w:rsidRPr="00D82C18" w:rsidRDefault="00C970DE" w:rsidP="00C115FC">
            <w:pPr>
              <w:rPr>
                <w:rFonts w:ascii="Verdana" w:hAnsi="Verdana"/>
                <w:sz w:val="22"/>
                <w:szCs w:val="22"/>
              </w:rPr>
            </w:pPr>
            <w:r>
              <w:rPr>
                <w:rFonts w:ascii="Verdana" w:hAnsi="Verdana"/>
                <w:color w:val="000000" w:themeColor="text1"/>
                <w:sz w:val="22"/>
                <w:szCs w:val="22"/>
              </w:rPr>
              <w:t>Durée: 90 minutes</w:t>
            </w:r>
          </w:p>
        </w:tc>
      </w:tr>
      <w:tr w:rsidR="00E7344B" w:rsidRPr="00E65C47" w14:paraId="7C1107AB" w14:textId="77777777" w:rsidTr="00A439ED">
        <w:trPr>
          <w:trHeight w:val="1727"/>
        </w:trPr>
        <w:tc>
          <w:tcPr>
            <w:tcW w:w="9010" w:type="dxa"/>
            <w:gridSpan w:val="3"/>
            <w:vAlign w:val="center"/>
          </w:tcPr>
          <w:p w14:paraId="3822F016" w14:textId="77777777" w:rsidR="00C970DE" w:rsidRDefault="00C970DE" w:rsidP="00C970DE">
            <w:pPr>
              <w:pStyle w:val="bul1"/>
              <w:numPr>
                <w:ilvl w:val="0"/>
                <w:numId w:val="0"/>
              </w:numPr>
              <w:spacing w:line="280" w:lineRule="exact"/>
              <w:ind w:left="851" w:hanging="851"/>
              <w:rPr>
                <w:lang w:val="en-GB"/>
              </w:rPr>
            </w:pPr>
          </w:p>
          <w:p w14:paraId="1C44FA18" w14:textId="72B58101" w:rsidR="00C970DE" w:rsidRPr="00C970DE" w:rsidRDefault="00C970DE" w:rsidP="00E65C47">
            <w:pPr>
              <w:pStyle w:val="bul1"/>
              <w:numPr>
                <w:ilvl w:val="0"/>
                <w:numId w:val="0"/>
              </w:numPr>
              <w:spacing w:line="280" w:lineRule="exact"/>
              <w:ind w:left="720" w:hanging="360"/>
              <w:rPr>
                <w:lang w:val="en-GB"/>
              </w:rPr>
            </w:pPr>
            <w:proofErr w:type="spellStart"/>
            <w:r w:rsidRPr="00C970DE">
              <w:rPr>
                <w:lang w:val="en-GB"/>
              </w:rPr>
              <w:t>Ressources</w:t>
            </w:r>
            <w:proofErr w:type="spellEnd"/>
            <w:r w:rsidRPr="00C970DE">
              <w:rPr>
                <w:lang w:val="en-GB"/>
              </w:rPr>
              <w:t xml:space="preserve"> </w:t>
            </w:r>
            <w:proofErr w:type="spellStart"/>
            <w:proofErr w:type="gramStart"/>
            <w:r w:rsidRPr="00C970DE">
              <w:rPr>
                <w:lang w:val="en-GB"/>
              </w:rPr>
              <w:t>nécessaires</w:t>
            </w:r>
            <w:proofErr w:type="spellEnd"/>
            <w:r w:rsidRPr="00C970DE">
              <w:rPr>
                <w:lang w:val="en-GB"/>
              </w:rPr>
              <w:t xml:space="preserve"> :</w:t>
            </w:r>
            <w:proofErr w:type="gramEnd"/>
            <w:r w:rsidRPr="00C970DE">
              <w:rPr>
                <w:lang w:val="en-GB"/>
              </w:rPr>
              <w:t xml:space="preserve"> </w:t>
            </w:r>
          </w:p>
          <w:p w14:paraId="1D3B343A" w14:textId="41A2BB05" w:rsidR="00C970DE" w:rsidRPr="00C970DE" w:rsidRDefault="00C970DE" w:rsidP="00C970DE">
            <w:pPr>
              <w:pStyle w:val="bul1"/>
              <w:numPr>
                <w:ilvl w:val="0"/>
                <w:numId w:val="6"/>
              </w:numPr>
              <w:spacing w:line="280" w:lineRule="exact"/>
              <w:rPr>
                <w:lang w:val="fr-FR"/>
              </w:rPr>
            </w:pPr>
            <w:r w:rsidRPr="00C970DE">
              <w:rPr>
                <w:lang w:val="fr-FR"/>
              </w:rPr>
              <w:t xml:space="preserve">PC/ordinateur portable chargé avec des versions de logiciel compatibles avec les matériaux préparés </w:t>
            </w:r>
          </w:p>
          <w:p w14:paraId="034F4FD1" w14:textId="25EB2358" w:rsidR="00C970DE" w:rsidRPr="00C970DE" w:rsidRDefault="00C970DE" w:rsidP="00C970DE">
            <w:pPr>
              <w:pStyle w:val="bul1"/>
              <w:numPr>
                <w:ilvl w:val="0"/>
                <w:numId w:val="6"/>
              </w:numPr>
              <w:spacing w:line="280" w:lineRule="exact"/>
              <w:rPr>
                <w:lang w:val="fr-FR"/>
              </w:rPr>
            </w:pPr>
            <w:r w:rsidRPr="00C970DE">
              <w:rPr>
                <w:lang w:val="fr-FR"/>
              </w:rPr>
              <w:t xml:space="preserve">Accès à Internet (si disponible) </w:t>
            </w:r>
          </w:p>
          <w:p w14:paraId="3EA43F8E" w14:textId="77777777" w:rsidR="00C970DE" w:rsidRDefault="00C970DE" w:rsidP="00C970DE">
            <w:pPr>
              <w:pStyle w:val="bul1"/>
              <w:numPr>
                <w:ilvl w:val="0"/>
                <w:numId w:val="6"/>
              </w:numPr>
              <w:spacing w:line="280" w:lineRule="exact"/>
              <w:rPr>
                <w:lang w:val="en-GB"/>
              </w:rPr>
            </w:pPr>
            <w:proofErr w:type="spellStart"/>
            <w:r w:rsidRPr="00C970DE">
              <w:rPr>
                <w:lang w:val="en-GB"/>
              </w:rPr>
              <w:t>Présentation</w:t>
            </w:r>
            <w:proofErr w:type="spellEnd"/>
            <w:r w:rsidRPr="00C970DE">
              <w:rPr>
                <w:lang w:val="en-GB"/>
              </w:rPr>
              <w:t xml:space="preserve"> PowerPoint </w:t>
            </w:r>
            <w:proofErr w:type="spellStart"/>
            <w:r w:rsidRPr="00C970DE">
              <w:rPr>
                <w:lang w:val="en-GB"/>
              </w:rPr>
              <w:t>ou</w:t>
            </w:r>
            <w:proofErr w:type="spellEnd"/>
            <w:r w:rsidRPr="00C970DE">
              <w:rPr>
                <w:lang w:val="en-GB"/>
              </w:rPr>
              <w:t xml:space="preserve"> </w:t>
            </w:r>
            <w:proofErr w:type="spellStart"/>
            <w:r w:rsidRPr="00C970DE">
              <w:rPr>
                <w:lang w:val="en-GB"/>
              </w:rPr>
              <w:t>autre</w:t>
            </w:r>
            <w:proofErr w:type="spellEnd"/>
            <w:r w:rsidRPr="00C970DE">
              <w:rPr>
                <w:lang w:val="en-GB"/>
              </w:rPr>
              <w:t xml:space="preserve"> </w:t>
            </w:r>
          </w:p>
          <w:p w14:paraId="14CF9EF0" w14:textId="794A9E35" w:rsidR="00C970DE" w:rsidRPr="00C970DE" w:rsidRDefault="00C970DE" w:rsidP="00C970DE">
            <w:pPr>
              <w:pStyle w:val="bul1"/>
              <w:numPr>
                <w:ilvl w:val="0"/>
                <w:numId w:val="6"/>
              </w:numPr>
              <w:spacing w:line="280" w:lineRule="exact"/>
              <w:rPr>
                <w:lang w:val="fr-FR"/>
              </w:rPr>
            </w:pPr>
            <w:r w:rsidRPr="00C970DE">
              <w:rPr>
                <w:lang w:val="fr-FR"/>
              </w:rPr>
              <w:t>Copie de la Convention de Budapest</w:t>
            </w:r>
          </w:p>
        </w:tc>
      </w:tr>
      <w:tr w:rsidR="00E7344B" w:rsidRPr="00E65C47" w14:paraId="635F2EFD" w14:textId="77777777" w:rsidTr="00F1574D">
        <w:trPr>
          <w:trHeight w:val="2879"/>
        </w:trPr>
        <w:tc>
          <w:tcPr>
            <w:tcW w:w="9010" w:type="dxa"/>
            <w:gridSpan w:val="3"/>
            <w:vAlign w:val="center"/>
          </w:tcPr>
          <w:p w14:paraId="01344659" w14:textId="4A7E98B9" w:rsidR="00C970DE" w:rsidRPr="00C970DE" w:rsidRDefault="00C970DE" w:rsidP="00C970DE">
            <w:pPr>
              <w:spacing w:before="120" w:after="120" w:line="280" w:lineRule="exact"/>
              <w:jc w:val="both"/>
              <w:rPr>
                <w:rFonts w:ascii="Verdana" w:hAnsi="Verdana"/>
                <w:b/>
                <w:bCs/>
                <w:iCs/>
                <w:color w:val="000000" w:themeColor="text1"/>
                <w:sz w:val="22"/>
                <w:szCs w:val="22"/>
                <w:lang w:val="fr-FR"/>
              </w:rPr>
            </w:pPr>
            <w:r w:rsidRPr="00C970DE">
              <w:rPr>
                <w:rFonts w:ascii="Verdana" w:hAnsi="Verdana"/>
                <w:b/>
                <w:bCs/>
                <w:iCs/>
                <w:color w:val="000000" w:themeColor="text1"/>
                <w:sz w:val="22"/>
                <w:szCs w:val="22"/>
                <w:lang w:val="fr-FR"/>
              </w:rPr>
              <w:t>Objectif de la session</w:t>
            </w:r>
            <w:r w:rsidR="00E65C47">
              <w:rPr>
                <w:rFonts w:ascii="Verdana" w:hAnsi="Verdana"/>
                <w:b/>
                <w:bCs/>
                <w:iCs/>
                <w:color w:val="000000" w:themeColor="text1"/>
                <w:sz w:val="22"/>
                <w:szCs w:val="22"/>
                <w:lang w:val="fr-FR"/>
              </w:rPr>
              <w:t xml:space="preserve"> </w:t>
            </w:r>
            <w:r w:rsidRPr="00C970DE">
              <w:rPr>
                <w:rFonts w:ascii="Verdana" w:hAnsi="Verdana"/>
                <w:b/>
                <w:bCs/>
                <w:iCs/>
                <w:color w:val="000000" w:themeColor="text1"/>
                <w:sz w:val="22"/>
                <w:szCs w:val="22"/>
                <w:lang w:val="fr-FR"/>
              </w:rPr>
              <w:t xml:space="preserve">:  </w:t>
            </w:r>
          </w:p>
          <w:p w14:paraId="3FE58655" w14:textId="611CCDAE" w:rsidR="00C970DE" w:rsidRPr="00C970DE" w:rsidRDefault="00C970DE" w:rsidP="00C970DE">
            <w:pPr>
              <w:spacing w:before="120" w:after="120" w:line="280" w:lineRule="exact"/>
              <w:jc w:val="both"/>
              <w:rPr>
                <w:rFonts w:ascii="Verdana" w:hAnsi="Verdana"/>
                <w:i/>
                <w:color w:val="FF0000"/>
                <w:sz w:val="18"/>
                <w:szCs w:val="18"/>
                <w:lang w:val="fr-FR"/>
              </w:rPr>
            </w:pPr>
            <w:r w:rsidRPr="00C970DE">
              <w:rPr>
                <w:rFonts w:ascii="Verdana" w:hAnsi="Verdana"/>
                <w:iCs/>
                <w:color w:val="000000" w:themeColor="text1"/>
                <w:sz w:val="18"/>
                <w:szCs w:val="18"/>
                <w:lang w:val="fr-FR"/>
              </w:rPr>
              <w:t xml:space="preserve">Le but de cette session est de fournir aux participants une </w:t>
            </w:r>
            <w:r w:rsidR="0062003C">
              <w:rPr>
                <w:rFonts w:ascii="Verdana" w:hAnsi="Verdana"/>
                <w:iCs/>
                <w:color w:val="000000" w:themeColor="text1"/>
                <w:sz w:val="18"/>
                <w:szCs w:val="18"/>
                <w:lang w:val="fr-FR"/>
              </w:rPr>
              <w:t xml:space="preserve">bonne </w:t>
            </w:r>
            <w:r w:rsidRPr="00C970DE">
              <w:rPr>
                <w:rFonts w:ascii="Verdana" w:hAnsi="Verdana"/>
                <w:iCs/>
                <w:color w:val="000000" w:themeColor="text1"/>
                <w:sz w:val="18"/>
                <w:szCs w:val="18"/>
                <w:lang w:val="fr-FR"/>
              </w:rPr>
              <w:t>compréhension des éléments des infractions contre la confidentialité, l'intégrité et la disponibilité des systèmes et des données informatiques, établies conformément à la Convention de Budapest. La session couvre, en détail, chaque élément de l'article 2 (accès illégal), de l'article 3 (interception illégale), de l'article 4 (atteinte aux données), de l'article 5 (atteinte au système) et de l'article 6 (utilisation abusive de dispositifs) de la Convention de Budapest.</w:t>
            </w:r>
          </w:p>
        </w:tc>
      </w:tr>
      <w:tr w:rsidR="00A03CF0" w:rsidRPr="00C970DE" w14:paraId="1B5A80A7" w14:textId="77777777" w:rsidTr="001E7389">
        <w:trPr>
          <w:trHeight w:val="983"/>
        </w:trPr>
        <w:tc>
          <w:tcPr>
            <w:tcW w:w="9010" w:type="dxa"/>
            <w:gridSpan w:val="3"/>
            <w:vAlign w:val="center"/>
          </w:tcPr>
          <w:p w14:paraId="46C0BE48" w14:textId="77777777" w:rsidR="00C970DE" w:rsidRDefault="00C970DE" w:rsidP="00C970DE">
            <w:pPr>
              <w:pStyle w:val="bul1"/>
              <w:numPr>
                <w:ilvl w:val="0"/>
                <w:numId w:val="0"/>
              </w:numPr>
              <w:ind w:left="851" w:hanging="851"/>
              <w:rPr>
                <w:szCs w:val="18"/>
                <w:lang w:val="en-GB"/>
              </w:rPr>
            </w:pPr>
          </w:p>
          <w:p w14:paraId="222F4EF3" w14:textId="77777777" w:rsidR="00C970DE" w:rsidRPr="00C970DE" w:rsidRDefault="00C970DE" w:rsidP="00C970DE">
            <w:pPr>
              <w:pStyle w:val="bul1"/>
              <w:numPr>
                <w:ilvl w:val="0"/>
                <w:numId w:val="0"/>
              </w:numPr>
              <w:ind w:left="851" w:hanging="851"/>
              <w:rPr>
                <w:b/>
                <w:bCs/>
                <w:sz w:val="22"/>
                <w:szCs w:val="22"/>
              </w:rPr>
            </w:pPr>
            <w:proofErr w:type="gramStart"/>
            <w:r w:rsidRPr="00C970DE">
              <w:rPr>
                <w:b/>
                <w:bCs/>
                <w:sz w:val="22"/>
                <w:szCs w:val="22"/>
              </w:rPr>
              <w:t>Objectifs :</w:t>
            </w:r>
            <w:proofErr w:type="gramEnd"/>
          </w:p>
          <w:p w14:paraId="0BF475B4" w14:textId="615362B4" w:rsidR="00C970DE" w:rsidRPr="00C970DE" w:rsidRDefault="00C970DE" w:rsidP="00C970DE">
            <w:pPr>
              <w:pStyle w:val="bul1"/>
              <w:numPr>
                <w:ilvl w:val="0"/>
                <w:numId w:val="0"/>
              </w:numPr>
              <w:ind w:left="851" w:hanging="851"/>
              <w:rPr>
                <w:szCs w:val="18"/>
              </w:rPr>
            </w:pPr>
            <w:r w:rsidRPr="00C970DE">
              <w:rPr>
                <w:szCs w:val="18"/>
              </w:rPr>
              <w:t xml:space="preserve">A la </w:t>
            </w:r>
            <w:proofErr w:type="spellStart"/>
            <w:r w:rsidRPr="00C970DE">
              <w:rPr>
                <w:szCs w:val="18"/>
              </w:rPr>
              <w:t>fin</w:t>
            </w:r>
            <w:proofErr w:type="spellEnd"/>
            <w:r w:rsidRPr="00C970DE">
              <w:rPr>
                <w:szCs w:val="18"/>
              </w:rPr>
              <w:t xml:space="preserve"> de </w:t>
            </w:r>
            <w:proofErr w:type="spellStart"/>
            <w:r w:rsidRPr="00C970DE">
              <w:rPr>
                <w:szCs w:val="18"/>
              </w:rPr>
              <w:t>cette</w:t>
            </w:r>
            <w:proofErr w:type="spellEnd"/>
            <w:r w:rsidRPr="00C970DE">
              <w:rPr>
                <w:szCs w:val="18"/>
              </w:rPr>
              <w:t xml:space="preserve"> </w:t>
            </w:r>
            <w:proofErr w:type="spellStart"/>
            <w:r w:rsidRPr="00C970DE">
              <w:rPr>
                <w:szCs w:val="18"/>
              </w:rPr>
              <w:t>session</w:t>
            </w:r>
            <w:proofErr w:type="spellEnd"/>
            <w:r w:rsidRPr="00C970DE">
              <w:rPr>
                <w:szCs w:val="18"/>
              </w:rPr>
              <w:t xml:space="preserve">, les </w:t>
            </w:r>
            <w:proofErr w:type="spellStart"/>
            <w:r w:rsidRPr="00C970DE">
              <w:rPr>
                <w:szCs w:val="18"/>
              </w:rPr>
              <w:t>délégués</w:t>
            </w:r>
            <w:proofErr w:type="spellEnd"/>
            <w:r w:rsidRPr="00C970DE">
              <w:rPr>
                <w:szCs w:val="18"/>
              </w:rPr>
              <w:t xml:space="preserve"> </w:t>
            </w:r>
            <w:proofErr w:type="spellStart"/>
            <w:r w:rsidRPr="00C970DE">
              <w:rPr>
                <w:szCs w:val="18"/>
              </w:rPr>
              <w:t>seront</w:t>
            </w:r>
            <w:proofErr w:type="spellEnd"/>
            <w:r w:rsidRPr="00C970DE">
              <w:rPr>
                <w:szCs w:val="18"/>
              </w:rPr>
              <w:t xml:space="preserve"> </w:t>
            </w:r>
            <w:proofErr w:type="spellStart"/>
            <w:r w:rsidRPr="00C970DE">
              <w:rPr>
                <w:szCs w:val="18"/>
              </w:rPr>
              <w:t>capables</w:t>
            </w:r>
            <w:proofErr w:type="spellEnd"/>
            <w:r w:rsidRPr="00C970DE">
              <w:rPr>
                <w:szCs w:val="18"/>
              </w:rPr>
              <w:t xml:space="preserve"> de:</w:t>
            </w:r>
          </w:p>
          <w:p w14:paraId="3C54416C" w14:textId="0E36A48D" w:rsidR="00C970DE" w:rsidRPr="00C970DE" w:rsidRDefault="00C970DE" w:rsidP="00C970DE">
            <w:pPr>
              <w:pStyle w:val="bul1"/>
            </w:pPr>
            <w:proofErr w:type="spellStart"/>
            <w:r w:rsidRPr="00C970DE">
              <w:t>Comprendre</w:t>
            </w:r>
            <w:proofErr w:type="spellEnd"/>
            <w:r w:rsidRPr="00C970DE">
              <w:t xml:space="preserve"> la </w:t>
            </w:r>
            <w:proofErr w:type="spellStart"/>
            <w:r w:rsidRPr="00C970DE">
              <w:t>signification</w:t>
            </w:r>
            <w:proofErr w:type="spellEnd"/>
            <w:r w:rsidRPr="00C970DE">
              <w:t xml:space="preserve"> de </w:t>
            </w:r>
            <w:proofErr w:type="spellStart"/>
            <w:r w:rsidRPr="00C970DE">
              <w:t>termes</w:t>
            </w:r>
            <w:proofErr w:type="spellEnd"/>
            <w:r w:rsidRPr="00C970DE">
              <w:t xml:space="preserve"> </w:t>
            </w:r>
            <w:proofErr w:type="spellStart"/>
            <w:r w:rsidRPr="00C970DE">
              <w:t>fondamentaux</w:t>
            </w:r>
            <w:proofErr w:type="spellEnd"/>
            <w:r w:rsidRPr="00C970DE">
              <w:t xml:space="preserve"> </w:t>
            </w:r>
            <w:proofErr w:type="spellStart"/>
            <w:r w:rsidRPr="00C970DE">
              <w:t>tels</w:t>
            </w:r>
            <w:proofErr w:type="spellEnd"/>
            <w:r w:rsidRPr="00C970DE">
              <w:t xml:space="preserve"> </w:t>
            </w:r>
            <w:proofErr w:type="spellStart"/>
            <w:r w:rsidRPr="00C970DE">
              <w:t>que</w:t>
            </w:r>
            <w:proofErr w:type="spellEnd"/>
            <w:r w:rsidRPr="00C970DE">
              <w:t>:</w:t>
            </w:r>
          </w:p>
          <w:p w14:paraId="075EAD92" w14:textId="77777777" w:rsidR="00C970DE" w:rsidRPr="00C970DE" w:rsidRDefault="00C970DE" w:rsidP="00C970DE">
            <w:pPr>
              <w:pStyle w:val="bul1"/>
              <w:numPr>
                <w:ilvl w:val="0"/>
                <w:numId w:val="0"/>
              </w:numPr>
              <w:ind w:left="1016"/>
              <w:rPr>
                <w:szCs w:val="18"/>
              </w:rPr>
            </w:pPr>
            <w:r w:rsidRPr="00C970DE">
              <w:rPr>
                <w:szCs w:val="18"/>
              </w:rPr>
              <w:t xml:space="preserve">a) </w:t>
            </w:r>
            <w:proofErr w:type="spellStart"/>
            <w:r w:rsidRPr="00C970DE">
              <w:rPr>
                <w:szCs w:val="18"/>
              </w:rPr>
              <w:t>données</w:t>
            </w:r>
            <w:proofErr w:type="spellEnd"/>
            <w:r w:rsidRPr="00C970DE">
              <w:rPr>
                <w:szCs w:val="18"/>
              </w:rPr>
              <w:t xml:space="preserve"> </w:t>
            </w:r>
            <w:proofErr w:type="spellStart"/>
            <w:r w:rsidRPr="00C970DE">
              <w:rPr>
                <w:szCs w:val="18"/>
              </w:rPr>
              <w:t>informatiques</w:t>
            </w:r>
            <w:proofErr w:type="spellEnd"/>
          </w:p>
          <w:p w14:paraId="56356BA4" w14:textId="77777777" w:rsidR="00C970DE" w:rsidRPr="00C970DE" w:rsidRDefault="00C970DE" w:rsidP="00C970DE">
            <w:pPr>
              <w:pStyle w:val="bul1"/>
              <w:numPr>
                <w:ilvl w:val="0"/>
                <w:numId w:val="0"/>
              </w:numPr>
              <w:ind w:left="1016"/>
              <w:rPr>
                <w:szCs w:val="18"/>
              </w:rPr>
            </w:pPr>
            <w:r w:rsidRPr="00C970DE">
              <w:rPr>
                <w:szCs w:val="18"/>
              </w:rPr>
              <w:t xml:space="preserve">b) </w:t>
            </w:r>
            <w:proofErr w:type="spellStart"/>
            <w:r w:rsidRPr="00C970DE">
              <w:rPr>
                <w:szCs w:val="18"/>
              </w:rPr>
              <w:t>système</w:t>
            </w:r>
            <w:proofErr w:type="spellEnd"/>
            <w:r w:rsidRPr="00C970DE">
              <w:rPr>
                <w:szCs w:val="18"/>
              </w:rPr>
              <w:t xml:space="preserve"> </w:t>
            </w:r>
            <w:proofErr w:type="spellStart"/>
            <w:r w:rsidRPr="00C970DE">
              <w:rPr>
                <w:szCs w:val="18"/>
              </w:rPr>
              <w:t>informatique</w:t>
            </w:r>
            <w:proofErr w:type="spellEnd"/>
          </w:p>
          <w:p w14:paraId="5A6F55DB" w14:textId="77777777" w:rsidR="00C970DE" w:rsidRPr="00C970DE" w:rsidRDefault="00C970DE" w:rsidP="00C970DE">
            <w:pPr>
              <w:pStyle w:val="bul1"/>
              <w:numPr>
                <w:ilvl w:val="0"/>
                <w:numId w:val="0"/>
              </w:numPr>
              <w:ind w:left="1016"/>
              <w:rPr>
                <w:szCs w:val="18"/>
              </w:rPr>
            </w:pPr>
            <w:r w:rsidRPr="00C970DE">
              <w:rPr>
                <w:szCs w:val="18"/>
              </w:rPr>
              <w:t xml:space="preserve">c) </w:t>
            </w:r>
            <w:proofErr w:type="spellStart"/>
            <w:r w:rsidRPr="00C970DE">
              <w:rPr>
                <w:szCs w:val="18"/>
              </w:rPr>
              <w:t>données</w:t>
            </w:r>
            <w:proofErr w:type="spellEnd"/>
            <w:r w:rsidRPr="00C970DE">
              <w:rPr>
                <w:szCs w:val="18"/>
              </w:rPr>
              <w:t xml:space="preserve"> relatives au </w:t>
            </w:r>
            <w:proofErr w:type="spellStart"/>
            <w:r w:rsidRPr="00C970DE">
              <w:rPr>
                <w:szCs w:val="18"/>
              </w:rPr>
              <w:t>trafic</w:t>
            </w:r>
            <w:proofErr w:type="spellEnd"/>
            <w:r w:rsidRPr="00C970DE">
              <w:rPr>
                <w:szCs w:val="18"/>
              </w:rPr>
              <w:t xml:space="preserve"> </w:t>
            </w:r>
          </w:p>
          <w:p w14:paraId="7C3DA63F" w14:textId="77777777" w:rsidR="00C970DE" w:rsidRPr="00C970DE" w:rsidRDefault="00C970DE" w:rsidP="00C970DE">
            <w:pPr>
              <w:pStyle w:val="bul1"/>
              <w:numPr>
                <w:ilvl w:val="0"/>
                <w:numId w:val="0"/>
              </w:numPr>
              <w:ind w:left="1016"/>
              <w:rPr>
                <w:szCs w:val="18"/>
              </w:rPr>
            </w:pPr>
            <w:r w:rsidRPr="00C970DE">
              <w:rPr>
                <w:szCs w:val="18"/>
              </w:rPr>
              <w:t xml:space="preserve">d) </w:t>
            </w:r>
            <w:proofErr w:type="spellStart"/>
            <w:r w:rsidRPr="00C970DE">
              <w:rPr>
                <w:szCs w:val="18"/>
              </w:rPr>
              <w:t>fournisseur</w:t>
            </w:r>
            <w:proofErr w:type="spellEnd"/>
            <w:r w:rsidRPr="00C970DE">
              <w:rPr>
                <w:szCs w:val="18"/>
              </w:rPr>
              <w:t xml:space="preserve"> de </w:t>
            </w:r>
            <w:proofErr w:type="spellStart"/>
            <w:r w:rsidRPr="00C970DE">
              <w:rPr>
                <w:szCs w:val="18"/>
              </w:rPr>
              <w:t>services</w:t>
            </w:r>
            <w:proofErr w:type="spellEnd"/>
          </w:p>
          <w:p w14:paraId="641FAA1B" w14:textId="7BA89A5C" w:rsidR="00C970DE" w:rsidRPr="00C970DE" w:rsidRDefault="00C970DE" w:rsidP="00C970DE">
            <w:pPr>
              <w:pStyle w:val="bul1"/>
            </w:pPr>
            <w:r w:rsidRPr="00C970DE">
              <w:t xml:space="preserve">Identifier les </w:t>
            </w:r>
            <w:proofErr w:type="spellStart"/>
            <w:r w:rsidRPr="00C970DE">
              <w:t>éléments</w:t>
            </w:r>
            <w:proofErr w:type="spellEnd"/>
            <w:r w:rsidRPr="00C970DE">
              <w:t xml:space="preserve"> </w:t>
            </w:r>
            <w:proofErr w:type="spellStart"/>
            <w:r w:rsidRPr="00C970DE">
              <w:t>qui</w:t>
            </w:r>
            <w:proofErr w:type="spellEnd"/>
            <w:r w:rsidRPr="00C970DE">
              <w:t xml:space="preserve"> </w:t>
            </w:r>
            <w:proofErr w:type="spellStart"/>
            <w:r w:rsidRPr="00C970DE">
              <w:t>constituent</w:t>
            </w:r>
            <w:proofErr w:type="spellEnd"/>
            <w:r w:rsidRPr="00C970DE">
              <w:t xml:space="preserve"> </w:t>
            </w:r>
            <w:proofErr w:type="spellStart"/>
            <w:r w:rsidRPr="00C970DE">
              <w:t>l'infraction</w:t>
            </w:r>
            <w:proofErr w:type="spellEnd"/>
            <w:r w:rsidRPr="00C970DE">
              <w:t xml:space="preserve"> de:</w:t>
            </w:r>
          </w:p>
          <w:p w14:paraId="2DCDCB51" w14:textId="77777777" w:rsidR="00C970DE" w:rsidRPr="00C970DE" w:rsidRDefault="00C970DE" w:rsidP="00C970DE">
            <w:pPr>
              <w:pStyle w:val="bul1"/>
              <w:numPr>
                <w:ilvl w:val="0"/>
                <w:numId w:val="0"/>
              </w:numPr>
              <w:ind w:left="1016"/>
              <w:rPr>
                <w:szCs w:val="18"/>
              </w:rPr>
            </w:pPr>
            <w:r w:rsidRPr="00C970DE">
              <w:rPr>
                <w:szCs w:val="18"/>
              </w:rPr>
              <w:t xml:space="preserve">a) </w:t>
            </w:r>
            <w:proofErr w:type="spellStart"/>
            <w:r w:rsidRPr="00C970DE">
              <w:rPr>
                <w:szCs w:val="18"/>
              </w:rPr>
              <w:t>l'accès</w:t>
            </w:r>
            <w:proofErr w:type="spellEnd"/>
            <w:r w:rsidRPr="00C970DE">
              <w:rPr>
                <w:szCs w:val="18"/>
              </w:rPr>
              <w:t xml:space="preserve"> </w:t>
            </w:r>
            <w:proofErr w:type="spellStart"/>
            <w:r w:rsidRPr="00C970DE">
              <w:rPr>
                <w:szCs w:val="18"/>
              </w:rPr>
              <w:t>illégal</w:t>
            </w:r>
            <w:proofErr w:type="spellEnd"/>
          </w:p>
          <w:p w14:paraId="4AFD9F6B" w14:textId="77777777" w:rsidR="00C970DE" w:rsidRPr="00C970DE" w:rsidRDefault="00C970DE" w:rsidP="00C970DE">
            <w:pPr>
              <w:pStyle w:val="bul1"/>
              <w:numPr>
                <w:ilvl w:val="0"/>
                <w:numId w:val="0"/>
              </w:numPr>
              <w:ind w:left="1016"/>
              <w:rPr>
                <w:szCs w:val="18"/>
              </w:rPr>
            </w:pPr>
            <w:r w:rsidRPr="00C970DE">
              <w:rPr>
                <w:szCs w:val="18"/>
              </w:rPr>
              <w:t xml:space="preserve">b) </w:t>
            </w:r>
            <w:proofErr w:type="spellStart"/>
            <w:r w:rsidRPr="00C970DE">
              <w:rPr>
                <w:szCs w:val="18"/>
              </w:rPr>
              <w:t>d'interception</w:t>
            </w:r>
            <w:proofErr w:type="spellEnd"/>
            <w:r w:rsidRPr="00C970DE">
              <w:rPr>
                <w:szCs w:val="18"/>
              </w:rPr>
              <w:t xml:space="preserve"> </w:t>
            </w:r>
            <w:proofErr w:type="spellStart"/>
            <w:r w:rsidRPr="00C970DE">
              <w:rPr>
                <w:szCs w:val="18"/>
              </w:rPr>
              <w:t>illégale</w:t>
            </w:r>
            <w:proofErr w:type="spellEnd"/>
          </w:p>
          <w:p w14:paraId="7ED9A029" w14:textId="77777777" w:rsidR="00C970DE" w:rsidRPr="00C970DE" w:rsidRDefault="00C970DE" w:rsidP="00C970DE">
            <w:pPr>
              <w:pStyle w:val="bul1"/>
              <w:numPr>
                <w:ilvl w:val="0"/>
                <w:numId w:val="0"/>
              </w:numPr>
              <w:ind w:left="1016"/>
              <w:rPr>
                <w:szCs w:val="18"/>
              </w:rPr>
            </w:pPr>
            <w:r w:rsidRPr="00C970DE">
              <w:rPr>
                <w:szCs w:val="18"/>
              </w:rPr>
              <w:t xml:space="preserve">c) </w:t>
            </w:r>
            <w:proofErr w:type="spellStart"/>
            <w:r w:rsidRPr="00C970DE">
              <w:rPr>
                <w:szCs w:val="18"/>
              </w:rPr>
              <w:t>l'interférence</w:t>
            </w:r>
            <w:proofErr w:type="spellEnd"/>
            <w:r w:rsidRPr="00C970DE">
              <w:rPr>
                <w:szCs w:val="18"/>
              </w:rPr>
              <w:t xml:space="preserve"> de </w:t>
            </w:r>
            <w:proofErr w:type="spellStart"/>
            <w:r w:rsidRPr="00C970DE">
              <w:rPr>
                <w:szCs w:val="18"/>
              </w:rPr>
              <w:t>données</w:t>
            </w:r>
            <w:proofErr w:type="spellEnd"/>
            <w:r w:rsidRPr="00C970DE">
              <w:rPr>
                <w:szCs w:val="18"/>
              </w:rPr>
              <w:t xml:space="preserve"> </w:t>
            </w:r>
          </w:p>
          <w:p w14:paraId="7DE2525B" w14:textId="77777777" w:rsidR="00C970DE" w:rsidRPr="00C970DE" w:rsidRDefault="00C970DE" w:rsidP="00C970DE">
            <w:pPr>
              <w:pStyle w:val="bul1"/>
              <w:numPr>
                <w:ilvl w:val="0"/>
                <w:numId w:val="0"/>
              </w:numPr>
              <w:ind w:left="1016"/>
              <w:rPr>
                <w:szCs w:val="18"/>
              </w:rPr>
            </w:pPr>
            <w:r w:rsidRPr="00C970DE">
              <w:rPr>
                <w:szCs w:val="18"/>
              </w:rPr>
              <w:t xml:space="preserve">d) </w:t>
            </w:r>
            <w:proofErr w:type="spellStart"/>
            <w:r w:rsidRPr="00C970DE">
              <w:rPr>
                <w:szCs w:val="18"/>
              </w:rPr>
              <w:t>atteinte</w:t>
            </w:r>
            <w:proofErr w:type="spellEnd"/>
            <w:r w:rsidRPr="00C970DE">
              <w:rPr>
                <w:szCs w:val="18"/>
              </w:rPr>
              <w:t xml:space="preserve"> au </w:t>
            </w:r>
            <w:proofErr w:type="spellStart"/>
            <w:r w:rsidRPr="00C970DE">
              <w:rPr>
                <w:szCs w:val="18"/>
              </w:rPr>
              <w:t>système</w:t>
            </w:r>
            <w:proofErr w:type="spellEnd"/>
            <w:r w:rsidRPr="00C970DE">
              <w:rPr>
                <w:szCs w:val="18"/>
              </w:rPr>
              <w:t xml:space="preserve"> </w:t>
            </w:r>
          </w:p>
          <w:p w14:paraId="61ABEAC5" w14:textId="12231EC5" w:rsidR="00C970DE" w:rsidRPr="008109E9" w:rsidRDefault="00C970DE" w:rsidP="00C970DE">
            <w:pPr>
              <w:pStyle w:val="bul1"/>
            </w:pPr>
            <w:r w:rsidRPr="00C970DE">
              <w:t xml:space="preserve">l'utilisation abusive de </w:t>
            </w:r>
            <w:proofErr w:type="spellStart"/>
            <w:r w:rsidRPr="00C970DE">
              <w:t>dispositifs</w:t>
            </w:r>
            <w:proofErr w:type="spellEnd"/>
          </w:p>
        </w:tc>
      </w:tr>
      <w:tr w:rsidR="005703B7" w:rsidRPr="00E65C47" w14:paraId="03110757" w14:textId="77777777" w:rsidTr="006E7FBC">
        <w:trPr>
          <w:trHeight w:val="58"/>
        </w:trPr>
        <w:tc>
          <w:tcPr>
            <w:tcW w:w="9010" w:type="dxa"/>
            <w:gridSpan w:val="3"/>
            <w:tcBorders>
              <w:bottom w:val="single" w:sz="4" w:space="0" w:color="auto"/>
            </w:tcBorders>
            <w:vAlign w:val="center"/>
          </w:tcPr>
          <w:p w14:paraId="1DEC85AD" w14:textId="77777777" w:rsidR="00C970DE" w:rsidRPr="00C970DE" w:rsidRDefault="00C970DE" w:rsidP="00C970DE">
            <w:pPr>
              <w:spacing w:before="120" w:after="120" w:line="280" w:lineRule="exact"/>
              <w:jc w:val="both"/>
              <w:rPr>
                <w:rFonts w:ascii="Verdana" w:hAnsi="Verdana"/>
                <w:b/>
                <w:bCs/>
                <w:sz w:val="22"/>
                <w:szCs w:val="22"/>
                <w:lang w:val="fr-FR"/>
              </w:rPr>
            </w:pPr>
            <w:r w:rsidRPr="00C970DE">
              <w:rPr>
                <w:rFonts w:ascii="Verdana" w:hAnsi="Verdana"/>
                <w:b/>
                <w:bCs/>
                <w:sz w:val="22"/>
                <w:szCs w:val="22"/>
                <w:lang w:val="fr-FR"/>
              </w:rPr>
              <w:t>Orientation des formateurs</w:t>
            </w:r>
          </w:p>
          <w:p w14:paraId="15D0F8D2" w14:textId="392C786F" w:rsidR="00C970DE" w:rsidRPr="00C970DE" w:rsidRDefault="00C970DE" w:rsidP="00C970DE">
            <w:pPr>
              <w:spacing w:before="120" w:after="120" w:line="280" w:lineRule="exact"/>
              <w:jc w:val="both"/>
              <w:rPr>
                <w:rFonts w:ascii="Verdana" w:hAnsi="Verdana"/>
                <w:sz w:val="18"/>
                <w:szCs w:val="18"/>
                <w:lang w:val="fr-FR"/>
              </w:rPr>
            </w:pPr>
            <w:r w:rsidRPr="00C970DE">
              <w:rPr>
                <w:rFonts w:ascii="Verdana" w:hAnsi="Verdana"/>
                <w:sz w:val="18"/>
                <w:szCs w:val="18"/>
                <w:lang w:val="fr-FR"/>
              </w:rPr>
              <w:t xml:space="preserve">Cette session a été préparée pour fournir aux délégués une </w:t>
            </w:r>
            <w:r w:rsidR="0062003C">
              <w:rPr>
                <w:rFonts w:ascii="Verdana" w:hAnsi="Verdana"/>
                <w:sz w:val="18"/>
                <w:szCs w:val="18"/>
                <w:lang w:val="fr-FR"/>
              </w:rPr>
              <w:t xml:space="preserve">bonne </w:t>
            </w:r>
            <w:r w:rsidRPr="00C970DE">
              <w:rPr>
                <w:rFonts w:ascii="Verdana" w:hAnsi="Verdana"/>
                <w:sz w:val="18"/>
                <w:szCs w:val="18"/>
                <w:lang w:val="fr-FR"/>
              </w:rPr>
              <w:t xml:space="preserve">compréhension des définitions du Chapitre I de la Convention de Budapest et des dispositions de droit matériel décrites au Titre 1 du Chapitre II Section 1 de la Convention de Budapest (Infractions contre la confidentialité, l'intégrité et la disponibilité des données et systèmes informatiques). Cette session a été divisée en six parties, en plus d'une introduction et d'une conclusion. La première partie couvre les définitions de système informatique, de données informatiques, de données relatives au trafic et de fournisseur de services. La deuxième partie traite de l'infraction d'accès illégal. La troisième partie traite de l'infraction d'interception illégale. La quatrième partie traite de l'infraction d'interférence des données. La cinquième partie couvre l'infraction d'interférence avec le système. La sixième partie couvre l'infraction d'utilisation abusive de dispositifs. </w:t>
            </w:r>
          </w:p>
          <w:p w14:paraId="0CE641E5" w14:textId="298818CC" w:rsidR="00C970DE" w:rsidRPr="00C970DE" w:rsidRDefault="00C970DE" w:rsidP="00C970DE">
            <w:pPr>
              <w:spacing w:before="120" w:after="120" w:line="280" w:lineRule="exact"/>
              <w:jc w:val="both"/>
              <w:rPr>
                <w:rFonts w:ascii="Verdana" w:hAnsi="Verdana"/>
                <w:sz w:val="18"/>
                <w:szCs w:val="18"/>
                <w:lang w:val="fr-FR"/>
              </w:rPr>
            </w:pPr>
            <w:r w:rsidRPr="00C970DE">
              <w:rPr>
                <w:rFonts w:ascii="Verdana" w:hAnsi="Verdana"/>
                <w:sz w:val="18"/>
                <w:szCs w:val="18"/>
                <w:lang w:val="fr-FR"/>
              </w:rPr>
              <w:lastRenderedPageBreak/>
              <w:t>Avant de présenter cette session, il est recommandé au formateur d'examiner les paragraphes 22 à 78 du Rapport explicatif de la Convention sur la cybercriminalité.</w:t>
            </w:r>
            <w:r w:rsidRPr="00C970DE">
              <w:rPr>
                <w:lang w:val="fr-FR"/>
              </w:rPr>
              <w:t xml:space="preserve"> </w:t>
            </w:r>
            <w:hyperlink r:id="rId5" w:history="1">
              <w:proofErr w:type="spellStart"/>
              <w:r w:rsidRPr="0062003C">
                <w:rPr>
                  <w:rStyle w:val="Hyperlink"/>
                  <w:rFonts w:ascii="Verdana" w:hAnsi="Verdana"/>
                  <w:sz w:val="18"/>
                  <w:szCs w:val="18"/>
                  <w:lang w:val="fr-CA"/>
                </w:rPr>
                <w:t>Explanatory</w:t>
              </w:r>
              <w:proofErr w:type="spellEnd"/>
              <w:r w:rsidRPr="0062003C">
                <w:rPr>
                  <w:rStyle w:val="Hyperlink"/>
                  <w:rFonts w:ascii="Verdana" w:hAnsi="Verdana"/>
                  <w:sz w:val="18"/>
                  <w:szCs w:val="18"/>
                  <w:lang w:val="fr-CA"/>
                </w:rPr>
                <w:t xml:space="preserve"> Report to the Convention on </w:t>
              </w:r>
              <w:proofErr w:type="spellStart"/>
              <w:r w:rsidRPr="0062003C">
                <w:rPr>
                  <w:rStyle w:val="Hyperlink"/>
                  <w:rFonts w:ascii="Verdana" w:hAnsi="Verdana"/>
                  <w:sz w:val="18"/>
                  <w:szCs w:val="18"/>
                  <w:lang w:val="fr-CA"/>
                </w:rPr>
                <w:t>Cybercrime</w:t>
              </w:r>
              <w:proofErr w:type="spellEnd"/>
            </w:hyperlink>
            <w:r w:rsidRPr="0062003C">
              <w:rPr>
                <w:rFonts w:ascii="Verdana" w:hAnsi="Verdana"/>
                <w:sz w:val="18"/>
                <w:szCs w:val="18"/>
                <w:lang w:val="fr-CA"/>
              </w:rPr>
              <w:t>.</w:t>
            </w:r>
          </w:p>
          <w:p w14:paraId="5EFF4BEF" w14:textId="787AAB1B" w:rsidR="00C970DE" w:rsidRPr="00C970DE" w:rsidRDefault="00C970DE" w:rsidP="00C970DE">
            <w:pPr>
              <w:spacing w:before="120" w:after="120" w:line="280" w:lineRule="exact"/>
              <w:jc w:val="both"/>
              <w:rPr>
                <w:rFonts w:ascii="Verdana" w:hAnsi="Verdana"/>
                <w:sz w:val="18"/>
                <w:szCs w:val="18"/>
                <w:lang w:val="fr-FR"/>
              </w:rPr>
            </w:pPr>
            <w:r w:rsidRPr="00C970DE">
              <w:rPr>
                <w:rFonts w:ascii="Verdana" w:hAnsi="Verdana"/>
                <w:sz w:val="18"/>
                <w:szCs w:val="18"/>
                <w:lang w:val="fr-FR"/>
              </w:rPr>
              <w:t>Le formateur peut souhaiter encourager une discussion sur la manière dont chacune des dispositions couvertes dans cette session a été établie en droit national.</w:t>
            </w:r>
          </w:p>
        </w:tc>
      </w:tr>
      <w:tr w:rsidR="005A4E47" w:rsidRPr="00E65C47"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90CB80B" w:rsidR="00C970DE" w:rsidRPr="0062003C" w:rsidRDefault="00C970DE" w:rsidP="00CB3026">
            <w:pPr>
              <w:rPr>
                <w:rFonts w:ascii="Verdana" w:hAnsi="Verdana"/>
                <w:b/>
                <w:sz w:val="28"/>
                <w:szCs w:val="28"/>
                <w:lang w:val="fr-CA"/>
              </w:rPr>
            </w:pPr>
            <w:r w:rsidRPr="0062003C">
              <w:rPr>
                <w:rFonts w:ascii="Verdana" w:hAnsi="Verdana"/>
                <w:b/>
                <w:sz w:val="28"/>
                <w:szCs w:val="28"/>
                <w:lang w:val="fr-CA"/>
              </w:rPr>
              <w:lastRenderedPageBreak/>
              <w:t>Contenu de la leçon</w:t>
            </w:r>
          </w:p>
        </w:tc>
      </w:tr>
      <w:tr w:rsidR="00F1574D" w:rsidRPr="00D82C18" w14:paraId="57CC7AA4" w14:textId="77777777" w:rsidTr="00C970DE">
        <w:trPr>
          <w:trHeight w:val="629"/>
        </w:trPr>
        <w:tc>
          <w:tcPr>
            <w:tcW w:w="1838" w:type="dxa"/>
            <w:shd w:val="clear" w:color="auto" w:fill="D9E2F3" w:themeFill="accent1" w:themeFillTint="33"/>
            <w:vAlign w:val="center"/>
          </w:tcPr>
          <w:p w14:paraId="38C6E51C" w14:textId="77777777" w:rsidR="00C970DE" w:rsidRPr="0062003C" w:rsidRDefault="00C970DE" w:rsidP="00CB3026">
            <w:pPr>
              <w:jc w:val="center"/>
              <w:rPr>
                <w:rFonts w:ascii="Verdana" w:hAnsi="Verdana"/>
                <w:b/>
                <w:sz w:val="22"/>
                <w:szCs w:val="22"/>
                <w:lang w:val="fr-CA"/>
              </w:rPr>
            </w:pPr>
          </w:p>
          <w:p w14:paraId="4538C338" w14:textId="21C3DB18" w:rsidR="00C970DE" w:rsidRPr="0062003C" w:rsidRDefault="00C970DE" w:rsidP="00E65C47">
            <w:pPr>
              <w:rPr>
                <w:rFonts w:ascii="Verdana" w:hAnsi="Verdana"/>
                <w:b/>
                <w:sz w:val="22"/>
                <w:szCs w:val="22"/>
                <w:lang w:val="fr-CA"/>
              </w:rPr>
            </w:pPr>
            <w:r w:rsidRPr="0062003C">
              <w:rPr>
                <w:rFonts w:ascii="Verdana" w:hAnsi="Verdana"/>
                <w:b/>
                <w:sz w:val="22"/>
                <w:szCs w:val="22"/>
                <w:lang w:val="fr-CA"/>
              </w:rPr>
              <w:t>Numéros de diapositives</w:t>
            </w:r>
          </w:p>
        </w:tc>
        <w:tc>
          <w:tcPr>
            <w:tcW w:w="7172" w:type="dxa"/>
            <w:gridSpan w:val="2"/>
            <w:shd w:val="clear" w:color="auto" w:fill="D9E2F3" w:themeFill="accent1" w:themeFillTint="33"/>
            <w:vAlign w:val="center"/>
          </w:tcPr>
          <w:p w14:paraId="2DA616FC" w14:textId="7C70334F" w:rsidR="00C970DE" w:rsidRPr="00E13BE7" w:rsidRDefault="00C970DE">
            <w:pPr>
              <w:rPr>
                <w:rFonts w:ascii="Verdana" w:hAnsi="Verdana"/>
                <w:b/>
                <w:sz w:val="22"/>
                <w:szCs w:val="22"/>
              </w:rPr>
            </w:pPr>
            <w:proofErr w:type="spellStart"/>
            <w:r>
              <w:rPr>
                <w:rFonts w:ascii="Verdana" w:hAnsi="Verdana"/>
                <w:b/>
                <w:sz w:val="22"/>
                <w:szCs w:val="22"/>
              </w:rPr>
              <w:t>Contenu</w:t>
            </w:r>
            <w:proofErr w:type="spellEnd"/>
          </w:p>
        </w:tc>
      </w:tr>
      <w:tr w:rsidR="00F1574D" w:rsidRPr="00E65C47" w14:paraId="11A12D7E" w14:textId="77777777" w:rsidTr="00C970DE">
        <w:trPr>
          <w:trHeight w:val="591"/>
        </w:trPr>
        <w:tc>
          <w:tcPr>
            <w:tcW w:w="1838" w:type="dxa"/>
            <w:vAlign w:val="center"/>
          </w:tcPr>
          <w:p w14:paraId="7C7D0BAF" w14:textId="77777777" w:rsidR="00E20651" w:rsidRPr="0062003C" w:rsidRDefault="00E20651" w:rsidP="00E65C47">
            <w:pPr>
              <w:spacing w:before="120" w:after="120" w:line="280" w:lineRule="exact"/>
              <w:jc w:val="center"/>
              <w:rPr>
                <w:rFonts w:ascii="Verdana" w:hAnsi="Verdana"/>
                <w:sz w:val="18"/>
                <w:szCs w:val="18"/>
                <w:lang w:val="fr-CA"/>
              </w:rPr>
            </w:pPr>
            <w:r w:rsidRPr="0062003C">
              <w:rPr>
                <w:rFonts w:ascii="Verdana" w:hAnsi="Verdana"/>
                <w:sz w:val="18"/>
                <w:szCs w:val="18"/>
                <w:lang w:val="fr-CA"/>
              </w:rPr>
              <w:t>1 à 4</w:t>
            </w:r>
          </w:p>
          <w:p w14:paraId="5A89CF27" w14:textId="64363EC5"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36345B59" w14:textId="60994837" w:rsidR="00E20651" w:rsidRPr="00E20651" w:rsidRDefault="00E20651" w:rsidP="00314D32">
            <w:pPr>
              <w:spacing w:before="120" w:after="120" w:line="360" w:lineRule="auto"/>
              <w:jc w:val="both"/>
              <w:rPr>
                <w:rFonts w:ascii="Verdana" w:hAnsi="Verdana"/>
                <w:color w:val="000000" w:themeColor="text1"/>
                <w:sz w:val="18"/>
                <w:szCs w:val="18"/>
                <w:lang w:val="fr-FR"/>
              </w:rPr>
            </w:pPr>
            <w:r w:rsidRPr="00E20651">
              <w:rPr>
                <w:rFonts w:ascii="Verdana" w:hAnsi="Verdana"/>
                <w:color w:val="000000" w:themeColor="text1"/>
                <w:sz w:val="18"/>
                <w:szCs w:val="18"/>
                <w:lang w:val="fr-FR"/>
              </w:rPr>
              <w:t>Les premières diapositives constituent l'introduction à la session et comprennent l'ordre du jour ainsi que les buts et objectifs de la session.</w:t>
            </w:r>
          </w:p>
        </w:tc>
      </w:tr>
      <w:tr w:rsidR="00F1574D" w:rsidRPr="00E65C47" w14:paraId="65F07CB5" w14:textId="77777777" w:rsidTr="00C970DE">
        <w:trPr>
          <w:trHeight w:val="1880"/>
        </w:trPr>
        <w:tc>
          <w:tcPr>
            <w:tcW w:w="1838" w:type="dxa"/>
            <w:vAlign w:val="center"/>
          </w:tcPr>
          <w:p w14:paraId="17FDCE63" w14:textId="77777777" w:rsidR="00E20651" w:rsidRPr="0062003C" w:rsidRDefault="00E20651" w:rsidP="00E65C47">
            <w:pPr>
              <w:spacing w:before="120" w:after="120" w:line="280" w:lineRule="exact"/>
              <w:rPr>
                <w:rFonts w:ascii="Verdana" w:hAnsi="Verdana"/>
                <w:sz w:val="18"/>
                <w:szCs w:val="18"/>
                <w:lang w:val="fr-CA"/>
              </w:rPr>
            </w:pPr>
          </w:p>
          <w:p w14:paraId="7A74E98B" w14:textId="77777777"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5 à 9</w:t>
            </w:r>
          </w:p>
          <w:p w14:paraId="6F5AEB2D" w14:textId="723068D6"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35D51646" w14:textId="77777777"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 xml:space="preserve">Ces diapositives expliquent les définitions des termes du chapitre I de la Convention de Budapest, à savoir "système informatique", "données informatiques", "fournisseur de services" et "données relatives au trafic". </w:t>
            </w:r>
          </w:p>
          <w:p w14:paraId="649FEA68" w14:textId="4AC4539F"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Chaque diapositive a été divisée en deux colonnes. La colonne de gauche reproduit le texte de la Convention de Budapest, tandis que la colonne de droite fournit une explication de la définition.</w:t>
            </w:r>
          </w:p>
        </w:tc>
      </w:tr>
      <w:tr w:rsidR="00F1574D" w:rsidRPr="00E65C47" w14:paraId="15587DD6" w14:textId="77777777" w:rsidTr="00E20651">
        <w:trPr>
          <w:trHeight w:val="1408"/>
        </w:trPr>
        <w:tc>
          <w:tcPr>
            <w:tcW w:w="1838" w:type="dxa"/>
            <w:vAlign w:val="center"/>
          </w:tcPr>
          <w:p w14:paraId="782FE2C9" w14:textId="77777777" w:rsidR="0062003C" w:rsidRDefault="0062003C" w:rsidP="00E65C47">
            <w:pPr>
              <w:spacing w:before="120" w:after="120" w:line="280" w:lineRule="exact"/>
              <w:rPr>
                <w:rFonts w:ascii="Verdana" w:hAnsi="Verdana"/>
                <w:sz w:val="18"/>
                <w:szCs w:val="18"/>
                <w:lang w:val="fr-CA"/>
              </w:rPr>
            </w:pPr>
          </w:p>
          <w:p w14:paraId="7DE9D230" w14:textId="68EA1B8D"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10 à 20</w:t>
            </w:r>
          </w:p>
          <w:p w14:paraId="65C32028" w14:textId="0E316A43"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3E55A30A" w14:textId="77777777"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 xml:space="preserve">Ces diapositives expliquent le délit d'accès illicite, tel que prévu à l'article 2 de la Convention de Budapest. </w:t>
            </w:r>
          </w:p>
          <w:p w14:paraId="765C8288" w14:textId="77777777"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La première série de diapositives présente un résumé des principaux éléments de l'article 2 de la Convention de Budapest. Elle présente également deux études de cas sur le délit d'accès illicite dans différents pays.</w:t>
            </w:r>
          </w:p>
          <w:p w14:paraId="09B58FC0" w14:textId="56089BAF"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Les autres diapositives ont été divisées en deux colonnes. La colonne de gauche reproduit le texte de l'article 2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2 de la Convention de Budapest.</w:t>
            </w:r>
          </w:p>
        </w:tc>
      </w:tr>
      <w:tr w:rsidR="00F1574D" w:rsidRPr="00E65C47" w14:paraId="4F010995" w14:textId="77777777" w:rsidTr="00C970DE">
        <w:trPr>
          <w:trHeight w:val="791"/>
        </w:trPr>
        <w:tc>
          <w:tcPr>
            <w:tcW w:w="1838" w:type="dxa"/>
            <w:vAlign w:val="center"/>
          </w:tcPr>
          <w:p w14:paraId="309D33B1" w14:textId="77777777" w:rsidR="00E20651" w:rsidRPr="0062003C" w:rsidRDefault="00E20651" w:rsidP="00E65C47">
            <w:pPr>
              <w:spacing w:before="120" w:after="120" w:line="280" w:lineRule="exact"/>
              <w:rPr>
                <w:rFonts w:ascii="Verdana" w:hAnsi="Verdana"/>
                <w:sz w:val="18"/>
                <w:szCs w:val="18"/>
                <w:lang w:val="fr-CA"/>
              </w:rPr>
            </w:pPr>
          </w:p>
          <w:p w14:paraId="66C560D9" w14:textId="32DF330B"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 xml:space="preserve">21 à 31 </w:t>
            </w:r>
          </w:p>
          <w:p w14:paraId="48504862" w14:textId="3D216170"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4430462F" w14:textId="77777777" w:rsidR="00E20651" w:rsidRPr="00E20651" w:rsidRDefault="00E20651" w:rsidP="00E20651">
            <w:pPr>
              <w:spacing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 xml:space="preserve">Ces diapositives expliquent le délit d'interception illégale, tel que prévu par l'article 3 de la Convention de Budapest. </w:t>
            </w:r>
          </w:p>
          <w:p w14:paraId="0B0140EF" w14:textId="77777777" w:rsidR="00E20651" w:rsidRPr="00E20651" w:rsidRDefault="00E20651" w:rsidP="00E20651">
            <w:pPr>
              <w:spacing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La première série de diapositives présente un résumé des principaux éléments de l'article 3 de la Convention de Budapest. Elle présente également deux études de cas sur l'infraction d'interception illégale dans différents pays.</w:t>
            </w:r>
          </w:p>
          <w:p w14:paraId="4AF5B3D7" w14:textId="4A24CBB8" w:rsidR="00E20651" w:rsidRPr="00E20651" w:rsidRDefault="00E20651" w:rsidP="00E20651">
            <w:pPr>
              <w:spacing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Les autres diapositives ont été divisées en deux colonnes. La colonne de gauche reproduit le texte de l'article 3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3 de la Convention de Budapest.</w:t>
            </w:r>
          </w:p>
        </w:tc>
      </w:tr>
      <w:tr w:rsidR="00F1574D" w:rsidRPr="00E65C47" w14:paraId="3C4A313A" w14:textId="77777777" w:rsidTr="00C970DE">
        <w:trPr>
          <w:trHeight w:val="890"/>
        </w:trPr>
        <w:tc>
          <w:tcPr>
            <w:tcW w:w="1838" w:type="dxa"/>
            <w:vAlign w:val="center"/>
          </w:tcPr>
          <w:p w14:paraId="29EE4F7E" w14:textId="77777777" w:rsidR="00E20651" w:rsidRPr="0062003C" w:rsidRDefault="00E20651" w:rsidP="00E65C47">
            <w:pPr>
              <w:spacing w:before="120" w:after="120" w:line="280" w:lineRule="exact"/>
              <w:jc w:val="center"/>
              <w:rPr>
                <w:rFonts w:ascii="Verdana" w:hAnsi="Verdana"/>
                <w:sz w:val="18"/>
                <w:szCs w:val="18"/>
                <w:lang w:val="fr-CA"/>
              </w:rPr>
            </w:pPr>
            <w:r w:rsidRPr="0062003C">
              <w:rPr>
                <w:rFonts w:ascii="Verdana" w:hAnsi="Verdana"/>
                <w:sz w:val="18"/>
                <w:szCs w:val="18"/>
                <w:lang w:val="fr-CA"/>
              </w:rPr>
              <w:t>32 à 41</w:t>
            </w:r>
          </w:p>
          <w:p w14:paraId="00098EC4" w14:textId="366C507E"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2298889C" w14:textId="77777777"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t xml:space="preserve">Ces diapositives expliquent le délit d'ingérence dans les données, tel que prévu à l'article 4 de la Convention de Budapest. </w:t>
            </w:r>
          </w:p>
          <w:p w14:paraId="50BD927A" w14:textId="77777777"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lastRenderedPageBreak/>
              <w:t>La première série de diapositives présente un résumé des principaux éléments de l'article 4 de la Convention de Budapest. Ces diapositives présentent également une étude de cas d'un homme australien qui a été jugé pour avoir prétendument commis l'infraction d'ingérence dans les données. Les diapositives contiennent également une photo d'un cheval de Troie, qui peut être utilisée par le formateur pour expliquer comment les chevaux de Troie peuvent être utilisés pour commettre l'infraction d'interférence des données.</w:t>
            </w:r>
          </w:p>
          <w:p w14:paraId="09B693A1" w14:textId="13A928F1"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t>Les autres diapositives ont été divisées en deux colonnes. La colonne de gauche reproduit le texte de l'article 4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4 de la Convention de Budapest.</w:t>
            </w:r>
          </w:p>
        </w:tc>
      </w:tr>
      <w:tr w:rsidR="006B3820" w:rsidRPr="00E65C47" w14:paraId="7889FCA6" w14:textId="77777777" w:rsidTr="00E20651">
        <w:trPr>
          <w:trHeight w:val="557"/>
        </w:trPr>
        <w:tc>
          <w:tcPr>
            <w:tcW w:w="1838" w:type="dxa"/>
            <w:vAlign w:val="center"/>
          </w:tcPr>
          <w:p w14:paraId="354F6814" w14:textId="77777777" w:rsidR="00E20651" w:rsidRPr="0062003C" w:rsidRDefault="00E20651" w:rsidP="00E65C47">
            <w:pPr>
              <w:spacing w:before="120" w:after="120" w:line="280" w:lineRule="exact"/>
              <w:rPr>
                <w:rFonts w:ascii="Verdana" w:hAnsi="Verdana"/>
                <w:sz w:val="18"/>
                <w:szCs w:val="18"/>
                <w:lang w:val="fr-CA"/>
              </w:rPr>
            </w:pPr>
          </w:p>
          <w:p w14:paraId="470997D6" w14:textId="77777777"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42 à 52</w:t>
            </w:r>
          </w:p>
          <w:p w14:paraId="49D80A1F" w14:textId="5612CDEC"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7748DBFA" w14:textId="77777777" w:rsidR="00E20651" w:rsidRPr="00E20651" w:rsidRDefault="00E20651" w:rsidP="00E20651">
            <w:pPr>
              <w:spacing w:after="120"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 xml:space="preserve">Ces diapositives expliquent le délit d'ingérence dans le système, tel que prévu à l'article 5 de la Convention de Budapest. </w:t>
            </w:r>
          </w:p>
          <w:p w14:paraId="412C069F" w14:textId="77777777" w:rsidR="00E20651" w:rsidRPr="00E20651" w:rsidRDefault="00E20651" w:rsidP="00E20651">
            <w:pPr>
              <w:spacing w:after="120"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 xml:space="preserve">La première série de diapositives présente un résumé des principaux éléments de l'article 5 de la Convention de Budapest. Ces diapositives comprennent quelques images qui peuvent être utilisées pour susciter l'intérêt des délégués - qui cherchent à comparer les systèmes de télécommunication avec l'Internet, pour fournir un certain contexte sur les attaques DDOS - un type d'interférence de système. Ces diapositives comprennent également une étude de cas d'un homme condamné à six ans de prison pour avoir commis une interférence de système. </w:t>
            </w:r>
          </w:p>
          <w:p w14:paraId="00091C29" w14:textId="1F6BB57A" w:rsidR="00E20651" w:rsidRPr="00E20651" w:rsidRDefault="00E20651" w:rsidP="00EF6868">
            <w:pPr>
              <w:spacing w:after="120" w:line="360" w:lineRule="auto"/>
              <w:jc w:val="both"/>
              <w:rPr>
                <w:rFonts w:ascii="Verdana" w:eastAsia="Times New Roman" w:hAnsi="Verdana" w:cstheme="majorBidi"/>
                <w:iCs/>
                <w:color w:val="000000" w:themeColor="text1"/>
                <w:sz w:val="18"/>
                <w:lang w:val="fr-FR"/>
              </w:rPr>
            </w:pPr>
            <w:r w:rsidRPr="00E20651">
              <w:rPr>
                <w:rFonts w:ascii="Verdana" w:eastAsia="Times New Roman" w:hAnsi="Verdana" w:cstheme="majorBidi"/>
                <w:iCs/>
                <w:color w:val="000000" w:themeColor="text1"/>
                <w:sz w:val="18"/>
                <w:lang w:val="fr-FR"/>
              </w:rPr>
              <w:t>Les autres diapositives ont été divisées en deux colonnes. La colonne de gauche reproduit le texte de l'article 5 de la Convention de Budapest avec un élément spécifique mis en évidence, tandis que la colonne de droite fournit une explication de l'élément mis en évidence. Le formateur doit passer en revue chaque élément, afin de fournir aux délégués une compréhension complète de l'article 5 de la Convention de Budapest.</w:t>
            </w:r>
          </w:p>
        </w:tc>
      </w:tr>
      <w:tr w:rsidR="006B3820" w:rsidRPr="00E65C47" w14:paraId="22522EB3" w14:textId="77777777" w:rsidTr="00C970DE">
        <w:trPr>
          <w:trHeight w:val="890"/>
        </w:trPr>
        <w:tc>
          <w:tcPr>
            <w:tcW w:w="1838" w:type="dxa"/>
            <w:vAlign w:val="center"/>
          </w:tcPr>
          <w:p w14:paraId="6781A3E1" w14:textId="77777777" w:rsidR="0062003C" w:rsidRDefault="0062003C" w:rsidP="0062003C">
            <w:pPr>
              <w:spacing w:before="120" w:after="120" w:line="280" w:lineRule="exact"/>
              <w:rPr>
                <w:rFonts w:ascii="Verdana" w:hAnsi="Verdana"/>
                <w:sz w:val="18"/>
                <w:szCs w:val="18"/>
                <w:lang w:val="fr-CA"/>
              </w:rPr>
            </w:pPr>
          </w:p>
          <w:p w14:paraId="2FB97D44" w14:textId="410E9547" w:rsidR="0062003C" w:rsidRDefault="00E20651" w:rsidP="00E65C47">
            <w:pPr>
              <w:spacing w:before="120" w:after="120" w:line="280" w:lineRule="exact"/>
              <w:jc w:val="center"/>
              <w:rPr>
                <w:rFonts w:ascii="Verdana" w:hAnsi="Verdana"/>
                <w:sz w:val="18"/>
                <w:szCs w:val="18"/>
                <w:lang w:val="fr-CA"/>
              </w:rPr>
            </w:pPr>
            <w:r w:rsidRPr="0062003C">
              <w:rPr>
                <w:rFonts w:ascii="Verdana" w:hAnsi="Verdana"/>
                <w:sz w:val="18"/>
                <w:szCs w:val="18"/>
                <w:lang w:val="fr-CA"/>
              </w:rPr>
              <w:t>53 à 66</w:t>
            </w:r>
          </w:p>
          <w:p w14:paraId="40F04CE8" w14:textId="6DE971A3" w:rsidR="00E20651" w:rsidRPr="0062003C" w:rsidRDefault="00E20651" w:rsidP="00E65C47">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obligatoires</w:t>
            </w:r>
          </w:p>
        </w:tc>
        <w:tc>
          <w:tcPr>
            <w:tcW w:w="7172" w:type="dxa"/>
            <w:gridSpan w:val="2"/>
            <w:vAlign w:val="center"/>
          </w:tcPr>
          <w:p w14:paraId="7B6F43E5" w14:textId="1C78CF8B"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t xml:space="preserve">Ces diapositives expliquent l'infraction d'utilisation abusive de dispositifs, telle que prévue à l'article 6 de la Convention de Budapest. </w:t>
            </w:r>
          </w:p>
          <w:p w14:paraId="768CAD56" w14:textId="77777777"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t xml:space="preserve">La première série de diapositives présente un résumé des principaux éléments de l'article 6 de la Convention de Budapest. Ces diapositives comprennent quelques images de dispositifs d'écrémage qui sont une manifestation commune de l'infraction d'utilisation abusive de dispositifs. Ces diapositives présentent également deux études de cas de l'infraction d'utilisation abusive de dispositifs. </w:t>
            </w:r>
          </w:p>
          <w:p w14:paraId="5DC3243D" w14:textId="0DE2B3E8" w:rsidR="00E20651" w:rsidRPr="00E20651" w:rsidRDefault="00E20651" w:rsidP="00E20651">
            <w:pPr>
              <w:spacing w:after="120" w:line="360" w:lineRule="auto"/>
              <w:jc w:val="both"/>
              <w:rPr>
                <w:rFonts w:ascii="Verdana" w:hAnsi="Verdana"/>
                <w:sz w:val="18"/>
                <w:szCs w:val="18"/>
                <w:lang w:val="fr-FR"/>
              </w:rPr>
            </w:pPr>
            <w:r w:rsidRPr="00E20651">
              <w:rPr>
                <w:rFonts w:ascii="Verdana" w:hAnsi="Verdana"/>
                <w:sz w:val="18"/>
                <w:szCs w:val="18"/>
                <w:lang w:val="fr-FR"/>
              </w:rPr>
              <w:t xml:space="preserve">Les autres diapositives ont été divisées en deux colonnes. La colonne de gauche reproduit le texte de l'article 6 de la Convention de Budapest avec un élément spécifique mis en évidence, tandis que la colonne de droite fournit une explication de l'élément mis en évidence. Le formateur doit passer en </w:t>
            </w:r>
            <w:r w:rsidRPr="00E20651">
              <w:rPr>
                <w:rFonts w:ascii="Verdana" w:hAnsi="Verdana"/>
                <w:sz w:val="18"/>
                <w:szCs w:val="18"/>
                <w:lang w:val="fr-FR"/>
              </w:rPr>
              <w:lastRenderedPageBreak/>
              <w:t>revue chaque élément, afin de fournir aux délégués une compréhension complète de l'article 6 de la Convention de Budapest.</w:t>
            </w:r>
          </w:p>
        </w:tc>
      </w:tr>
      <w:tr w:rsidR="00F1574D" w:rsidRPr="00E65C47" w14:paraId="35503B3F" w14:textId="77777777" w:rsidTr="00C970DE">
        <w:trPr>
          <w:trHeight w:val="1259"/>
        </w:trPr>
        <w:tc>
          <w:tcPr>
            <w:tcW w:w="1838" w:type="dxa"/>
            <w:vAlign w:val="center"/>
          </w:tcPr>
          <w:p w14:paraId="5AD4C2C2" w14:textId="77777777" w:rsidR="00E20651" w:rsidRPr="0062003C" w:rsidRDefault="00E20651" w:rsidP="00E65C47">
            <w:pPr>
              <w:spacing w:before="120" w:after="120" w:line="280" w:lineRule="exact"/>
              <w:jc w:val="center"/>
              <w:rPr>
                <w:rFonts w:ascii="Verdana" w:hAnsi="Verdana"/>
                <w:sz w:val="18"/>
                <w:szCs w:val="18"/>
                <w:lang w:val="fr-CA"/>
              </w:rPr>
            </w:pPr>
            <w:r w:rsidRPr="0062003C">
              <w:rPr>
                <w:rFonts w:ascii="Verdana" w:hAnsi="Verdana"/>
                <w:sz w:val="18"/>
                <w:szCs w:val="18"/>
                <w:lang w:val="fr-CA"/>
              </w:rPr>
              <w:lastRenderedPageBreak/>
              <w:t>67 à 68</w:t>
            </w:r>
          </w:p>
          <w:p w14:paraId="5DE9D224" w14:textId="2F406A4A" w:rsidR="00E20651" w:rsidRPr="0062003C" w:rsidRDefault="00E20651" w:rsidP="00E20651">
            <w:pPr>
              <w:spacing w:before="120" w:after="120" w:line="280" w:lineRule="exact"/>
              <w:jc w:val="center"/>
              <w:rPr>
                <w:rFonts w:ascii="Verdana" w:hAnsi="Verdana"/>
                <w:sz w:val="18"/>
                <w:szCs w:val="18"/>
                <w:lang w:val="fr-CA"/>
              </w:rPr>
            </w:pPr>
            <w:r w:rsidRPr="0062003C">
              <w:rPr>
                <w:rFonts w:ascii="Verdana" w:hAnsi="Verdana"/>
                <w:sz w:val="18"/>
                <w:szCs w:val="18"/>
                <w:lang w:val="fr-CA"/>
              </w:rPr>
              <w:t>Diapositives importantes</w:t>
            </w:r>
          </w:p>
        </w:tc>
        <w:tc>
          <w:tcPr>
            <w:tcW w:w="7172" w:type="dxa"/>
            <w:gridSpan w:val="2"/>
            <w:vAlign w:val="center"/>
          </w:tcPr>
          <w:p w14:paraId="6E2FA816" w14:textId="705F0E5D" w:rsidR="00E20651" w:rsidRPr="00E20651" w:rsidRDefault="00E20651" w:rsidP="00E20651">
            <w:pPr>
              <w:spacing w:line="360" w:lineRule="auto"/>
              <w:jc w:val="both"/>
              <w:rPr>
                <w:rFonts w:ascii="Verdana" w:hAnsi="Verdana"/>
                <w:sz w:val="18"/>
                <w:szCs w:val="18"/>
                <w:lang w:val="fr-FR"/>
              </w:rPr>
            </w:pPr>
            <w:r w:rsidRPr="00E20651">
              <w:rPr>
                <w:rFonts w:ascii="Verdana" w:hAnsi="Verdana"/>
                <w:sz w:val="18"/>
                <w:szCs w:val="18"/>
                <w:lang w:val="fr-FR"/>
              </w:rPr>
              <w:t>Ces diapositives clôturent la session en récapitulant le contenu et en donnant l'occasion aux délégués de poser des questions pour obtenir des éclaircissements.</w:t>
            </w:r>
          </w:p>
        </w:tc>
      </w:tr>
      <w:tr w:rsidR="00CB3026" w:rsidRPr="00E65C47" w14:paraId="2ECF09B7" w14:textId="77777777" w:rsidTr="00F1574D">
        <w:trPr>
          <w:trHeight w:val="890"/>
        </w:trPr>
        <w:tc>
          <w:tcPr>
            <w:tcW w:w="9010" w:type="dxa"/>
            <w:gridSpan w:val="3"/>
            <w:vAlign w:val="center"/>
          </w:tcPr>
          <w:p w14:paraId="0784AB77" w14:textId="77777777" w:rsidR="00D53D9E" w:rsidRPr="00D53D9E" w:rsidRDefault="00D53D9E" w:rsidP="00D53D9E">
            <w:pPr>
              <w:spacing w:before="120" w:after="120" w:line="280" w:lineRule="exact"/>
              <w:rPr>
                <w:rFonts w:ascii="Verdana" w:hAnsi="Verdana"/>
                <w:b/>
                <w:bCs/>
                <w:sz w:val="22"/>
                <w:szCs w:val="22"/>
                <w:lang w:val="fr-FR"/>
              </w:rPr>
            </w:pPr>
            <w:r w:rsidRPr="00D53D9E">
              <w:rPr>
                <w:rFonts w:ascii="Verdana" w:hAnsi="Verdana"/>
                <w:b/>
                <w:bCs/>
                <w:sz w:val="22"/>
                <w:szCs w:val="22"/>
                <w:lang w:val="fr-FR"/>
              </w:rPr>
              <w:t>Exercices pratiques</w:t>
            </w:r>
          </w:p>
          <w:p w14:paraId="04D65D89" w14:textId="07B2AF34" w:rsidR="00E20651" w:rsidRPr="00D53D9E" w:rsidRDefault="00D53D9E" w:rsidP="00D53D9E">
            <w:pPr>
              <w:spacing w:before="120" w:after="120" w:line="280" w:lineRule="exact"/>
              <w:rPr>
                <w:rFonts w:ascii="Verdana" w:hAnsi="Verdana"/>
                <w:sz w:val="18"/>
                <w:szCs w:val="18"/>
                <w:lang w:val="fr-FR"/>
              </w:rPr>
            </w:pPr>
            <w:r w:rsidRPr="00D53D9E">
              <w:rPr>
                <w:rFonts w:ascii="Verdana" w:hAnsi="Verdana"/>
                <w:sz w:val="18"/>
                <w:szCs w:val="18"/>
                <w:lang w:val="fr-FR"/>
              </w:rPr>
              <w:t>Il n'y a pas d'exercices pratiques associés à cette leçon.</w:t>
            </w:r>
          </w:p>
        </w:tc>
      </w:tr>
      <w:tr w:rsidR="00CB3026" w:rsidRPr="00E65C47" w14:paraId="603967A2" w14:textId="77777777" w:rsidTr="00F1574D">
        <w:tc>
          <w:tcPr>
            <w:tcW w:w="9010" w:type="dxa"/>
            <w:gridSpan w:val="3"/>
            <w:vAlign w:val="center"/>
          </w:tcPr>
          <w:p w14:paraId="411E0B7B" w14:textId="77777777" w:rsidR="00D53D9E" w:rsidRPr="00D53D9E" w:rsidRDefault="00D53D9E" w:rsidP="00D53D9E">
            <w:pPr>
              <w:spacing w:before="120" w:after="120" w:line="280" w:lineRule="exact"/>
              <w:rPr>
                <w:rFonts w:ascii="Verdana" w:hAnsi="Verdana"/>
                <w:b/>
                <w:bCs/>
                <w:sz w:val="22"/>
                <w:szCs w:val="22"/>
                <w:lang w:val="fr-FR"/>
              </w:rPr>
            </w:pPr>
            <w:r w:rsidRPr="00D53D9E">
              <w:rPr>
                <w:rFonts w:ascii="Verdana" w:hAnsi="Verdana"/>
                <w:b/>
                <w:bCs/>
                <w:sz w:val="22"/>
                <w:szCs w:val="22"/>
                <w:lang w:val="fr-FR"/>
              </w:rPr>
              <w:t>Évaluation/vérification des connaissances</w:t>
            </w:r>
          </w:p>
          <w:p w14:paraId="4496975B" w14:textId="38AB4606" w:rsidR="00D53D9E" w:rsidRPr="00D53D9E" w:rsidRDefault="00D53D9E" w:rsidP="00D53D9E">
            <w:pPr>
              <w:spacing w:before="120" w:after="120" w:line="280" w:lineRule="exact"/>
              <w:rPr>
                <w:rFonts w:ascii="Verdana" w:hAnsi="Verdana"/>
                <w:sz w:val="18"/>
                <w:szCs w:val="18"/>
                <w:lang w:val="fr-FR"/>
              </w:rPr>
            </w:pPr>
            <w:r w:rsidRPr="00D53D9E">
              <w:rPr>
                <w:rFonts w:ascii="Verdana" w:hAnsi="Verdana"/>
                <w:sz w:val="18"/>
                <w:szCs w:val="18"/>
                <w:lang w:val="fr-FR"/>
              </w:rPr>
              <w:t>Aucune vérification ou évaluation des connaissances n'a été demandée pour cette session.</w:t>
            </w:r>
          </w:p>
        </w:tc>
      </w:tr>
    </w:tbl>
    <w:p w14:paraId="15498912" w14:textId="77777777" w:rsidR="00D82C18" w:rsidRPr="00D53D9E" w:rsidRDefault="00D82C18">
      <w:pPr>
        <w:rPr>
          <w:rFonts w:ascii="Verdana" w:hAnsi="Verdana"/>
          <w:lang w:val="fr-FR"/>
        </w:rPr>
      </w:pPr>
    </w:p>
    <w:sectPr w:rsidR="00D82C18" w:rsidRPr="00D53D9E"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60402020202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53065FD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0466"/>
    <w:rsid w:val="00051376"/>
    <w:rsid w:val="000C40EE"/>
    <w:rsid w:val="000D0409"/>
    <w:rsid w:val="000F04E4"/>
    <w:rsid w:val="000F1EC1"/>
    <w:rsid w:val="000F7896"/>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B1CB0"/>
    <w:rsid w:val="004B7351"/>
    <w:rsid w:val="00514FE0"/>
    <w:rsid w:val="00556D69"/>
    <w:rsid w:val="005703B7"/>
    <w:rsid w:val="005A4E47"/>
    <w:rsid w:val="005D4432"/>
    <w:rsid w:val="0062003C"/>
    <w:rsid w:val="006527C6"/>
    <w:rsid w:val="00671ADF"/>
    <w:rsid w:val="006B0B52"/>
    <w:rsid w:val="006B1F8C"/>
    <w:rsid w:val="006B3820"/>
    <w:rsid w:val="006B4429"/>
    <w:rsid w:val="006E7FBC"/>
    <w:rsid w:val="0075334E"/>
    <w:rsid w:val="007678A6"/>
    <w:rsid w:val="007D7A7C"/>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B3608C"/>
    <w:rsid w:val="00B73389"/>
    <w:rsid w:val="00B95935"/>
    <w:rsid w:val="00BA7368"/>
    <w:rsid w:val="00BF19D0"/>
    <w:rsid w:val="00C115FC"/>
    <w:rsid w:val="00C338F6"/>
    <w:rsid w:val="00C541A2"/>
    <w:rsid w:val="00C70C5C"/>
    <w:rsid w:val="00C970DE"/>
    <w:rsid w:val="00CB02C4"/>
    <w:rsid w:val="00CB3026"/>
    <w:rsid w:val="00CC1F79"/>
    <w:rsid w:val="00CE2BCA"/>
    <w:rsid w:val="00D53D9E"/>
    <w:rsid w:val="00D82C18"/>
    <w:rsid w:val="00DE351B"/>
    <w:rsid w:val="00E10D1F"/>
    <w:rsid w:val="00E13BE7"/>
    <w:rsid w:val="00E20651"/>
    <w:rsid w:val="00E65C47"/>
    <w:rsid w:val="00E7344B"/>
    <w:rsid w:val="00E95703"/>
    <w:rsid w:val="00EF6868"/>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Evelyne Barry</cp:lastModifiedBy>
  <cp:revision>3</cp:revision>
  <dcterms:created xsi:type="dcterms:W3CDTF">2021-01-25T10:24:00Z</dcterms:created>
  <dcterms:modified xsi:type="dcterms:W3CDTF">2021-01-25T10:30:00Z</dcterms:modified>
</cp:coreProperties>
</file>