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A0071C" w14:textId="773B2141" w:rsidR="00A14451" w:rsidRDefault="00A14451" w:rsidP="00A14451">
      <w:pPr>
        <w:rPr>
          <w:rFonts w:ascii="Verdana" w:hAnsi="Verdana"/>
          <w:lang w:val="fr-FR"/>
        </w:rPr>
      </w:pPr>
      <w:r w:rsidRPr="00A14451">
        <w:rPr>
          <w:rFonts w:ascii="Verdana" w:hAnsi="Verdana"/>
          <w:lang w:val="fr-FR"/>
        </w:rPr>
        <w:t>Leçon 2.4 (Pouvoirs procéduraux en application de la Convention de Budapest - Partie 1 - version en ligne)</w:t>
      </w:r>
    </w:p>
    <w:p w14:paraId="3277B280" w14:textId="77777777" w:rsidR="00A14451" w:rsidRPr="00A14451" w:rsidRDefault="00A14451" w:rsidP="00A14451">
      <w:pPr>
        <w:rPr>
          <w:rFonts w:ascii="Verdana" w:hAnsi="Verdana"/>
          <w:lang w:val="fr-FR"/>
        </w:rPr>
      </w:pPr>
    </w:p>
    <w:tbl>
      <w:tblPr>
        <w:tblStyle w:val="TableGrid"/>
        <w:tblW w:w="0" w:type="auto"/>
        <w:tblLayout w:type="fixed"/>
        <w:tblLook w:val="04A0" w:firstRow="1" w:lastRow="0" w:firstColumn="1" w:lastColumn="0" w:noHBand="0" w:noVBand="1"/>
      </w:tblPr>
      <w:tblGrid>
        <w:gridCol w:w="1838"/>
        <w:gridCol w:w="5007"/>
        <w:gridCol w:w="2165"/>
      </w:tblGrid>
      <w:tr w:rsidR="00C115FC" w:rsidRPr="009C73DF" w14:paraId="58A3485E" w14:textId="77777777" w:rsidTr="00F1574D">
        <w:trPr>
          <w:trHeight w:val="872"/>
        </w:trPr>
        <w:tc>
          <w:tcPr>
            <w:tcW w:w="6845" w:type="dxa"/>
            <w:gridSpan w:val="2"/>
            <w:shd w:val="clear" w:color="auto" w:fill="DEEAF6" w:themeFill="accent5" w:themeFillTint="33"/>
            <w:vAlign w:val="center"/>
          </w:tcPr>
          <w:p w14:paraId="0067FF35" w14:textId="7B20885E" w:rsidR="00D82C18" w:rsidRPr="009C73DF" w:rsidRDefault="00A14451" w:rsidP="00C115FC">
            <w:pPr>
              <w:rPr>
                <w:rFonts w:cstheme="minorHAnsi"/>
                <w:lang w:val="fr-FR"/>
              </w:rPr>
            </w:pPr>
            <w:r w:rsidRPr="009C73DF">
              <w:rPr>
                <w:rFonts w:cstheme="minorHAnsi"/>
                <w:lang w:val="fr-FR"/>
              </w:rPr>
              <w:t>Leçon 2.4 (Pouvoirs procéduraux en application de la Convention de Budapest - Partie 1 - version en ligne)</w:t>
            </w:r>
          </w:p>
        </w:tc>
        <w:tc>
          <w:tcPr>
            <w:tcW w:w="2165" w:type="dxa"/>
            <w:shd w:val="clear" w:color="auto" w:fill="DEEAF6" w:themeFill="accent5" w:themeFillTint="33"/>
            <w:vAlign w:val="center"/>
          </w:tcPr>
          <w:p w14:paraId="30B631DA" w14:textId="489B282B" w:rsidR="00D82C18" w:rsidRPr="009C73DF" w:rsidRDefault="00D82C18" w:rsidP="00C115FC">
            <w:pPr>
              <w:rPr>
                <w:rFonts w:cstheme="minorHAnsi"/>
              </w:rPr>
            </w:pPr>
            <w:r w:rsidRPr="009C73DF">
              <w:rPr>
                <w:rFonts w:cstheme="minorHAnsi"/>
              </w:rPr>
              <w:t>Dur</w:t>
            </w:r>
            <w:r w:rsidR="00594204" w:rsidRPr="009C73DF">
              <w:rPr>
                <w:rFonts w:cstheme="minorHAnsi"/>
              </w:rPr>
              <w:t>ée</w:t>
            </w:r>
            <w:r w:rsidRPr="009C73DF">
              <w:rPr>
                <w:rFonts w:cstheme="minorHAnsi"/>
              </w:rPr>
              <w:t xml:space="preserve">: </w:t>
            </w:r>
            <w:r w:rsidR="006B3820" w:rsidRPr="009C73DF">
              <w:rPr>
                <w:rFonts w:cstheme="minorHAnsi"/>
                <w:color w:val="000000" w:themeColor="text1"/>
              </w:rPr>
              <w:t xml:space="preserve">90 </w:t>
            </w:r>
            <w:r w:rsidR="00C115FC" w:rsidRPr="009C73DF">
              <w:rPr>
                <w:rFonts w:cstheme="minorHAnsi"/>
                <w:color w:val="000000" w:themeColor="text1"/>
              </w:rPr>
              <w:t>minutes</w:t>
            </w:r>
            <w:r w:rsidR="00E13BE7" w:rsidRPr="009C73DF">
              <w:rPr>
                <w:rFonts w:cstheme="minorHAnsi"/>
                <w:color w:val="000000" w:themeColor="text1"/>
              </w:rPr>
              <w:t xml:space="preserve"> </w:t>
            </w:r>
          </w:p>
        </w:tc>
      </w:tr>
      <w:tr w:rsidR="00E7344B" w:rsidRPr="009C73DF" w14:paraId="7C1107AB" w14:textId="77777777" w:rsidTr="00A439ED">
        <w:trPr>
          <w:trHeight w:val="1727"/>
        </w:trPr>
        <w:tc>
          <w:tcPr>
            <w:tcW w:w="9010" w:type="dxa"/>
            <w:gridSpan w:val="3"/>
            <w:vAlign w:val="center"/>
          </w:tcPr>
          <w:p w14:paraId="437021DA" w14:textId="51B47072" w:rsidR="00594204" w:rsidRPr="009C73DF" w:rsidRDefault="00594204" w:rsidP="00594204">
            <w:pPr>
              <w:spacing w:after="120" w:line="280" w:lineRule="exact"/>
              <w:rPr>
                <w:rFonts w:cstheme="minorHAnsi"/>
                <w:b/>
                <w:lang w:val="fr-FR"/>
              </w:rPr>
            </w:pPr>
            <w:r w:rsidRPr="009C73DF">
              <w:rPr>
                <w:rFonts w:cstheme="minorHAnsi"/>
                <w:b/>
                <w:lang w:val="fr-FR"/>
              </w:rPr>
              <w:t xml:space="preserve">Ressources nécessaires : </w:t>
            </w:r>
          </w:p>
          <w:p w14:paraId="3FCF7DD7" w14:textId="3F0F0E7A" w:rsidR="00594204" w:rsidRPr="009C73DF" w:rsidRDefault="00594204" w:rsidP="00594204">
            <w:pPr>
              <w:spacing w:after="120" w:line="280" w:lineRule="exact"/>
              <w:rPr>
                <w:rFonts w:cstheme="minorHAnsi"/>
                <w:bCs/>
                <w:lang w:val="fr-FR"/>
              </w:rPr>
            </w:pPr>
            <w:r w:rsidRPr="009C73DF">
              <w:rPr>
                <w:rFonts w:cstheme="minorHAnsi"/>
                <w:bCs/>
                <w:lang w:val="fr-FR"/>
              </w:rPr>
              <w:t xml:space="preserve">- PC/ordinateur portable </w:t>
            </w:r>
            <w:r w:rsidR="009C73DF">
              <w:rPr>
                <w:rFonts w:cstheme="minorHAnsi"/>
                <w:bCs/>
                <w:lang w:val="fr-FR"/>
              </w:rPr>
              <w:t>dot</w:t>
            </w:r>
            <w:r w:rsidRPr="009C73DF">
              <w:rPr>
                <w:rFonts w:cstheme="minorHAnsi"/>
                <w:bCs/>
                <w:lang w:val="fr-FR"/>
              </w:rPr>
              <w:t>é des versions de logiciel compatibles avec les matéri</w:t>
            </w:r>
            <w:r w:rsidR="009C73DF">
              <w:rPr>
                <w:rFonts w:cstheme="minorHAnsi"/>
                <w:bCs/>
                <w:lang w:val="fr-FR"/>
              </w:rPr>
              <w:t>els</w:t>
            </w:r>
            <w:r w:rsidRPr="009C73DF">
              <w:rPr>
                <w:rFonts w:cstheme="minorHAnsi"/>
                <w:bCs/>
                <w:lang w:val="fr-FR"/>
              </w:rPr>
              <w:t xml:space="preserve"> préparés</w:t>
            </w:r>
          </w:p>
          <w:p w14:paraId="161B6C30" w14:textId="2728C2AF" w:rsidR="00594204" w:rsidRPr="009C73DF" w:rsidRDefault="00594204" w:rsidP="00594204">
            <w:pPr>
              <w:spacing w:after="120" w:line="280" w:lineRule="exact"/>
              <w:rPr>
                <w:rFonts w:cstheme="minorHAnsi"/>
                <w:bCs/>
                <w:lang w:val="fr-FR"/>
              </w:rPr>
            </w:pPr>
            <w:r w:rsidRPr="009C73DF">
              <w:rPr>
                <w:rFonts w:cstheme="minorHAnsi"/>
                <w:bCs/>
                <w:lang w:val="fr-FR"/>
              </w:rPr>
              <w:t>- Accès au logiciel/plateforme de conférence en ligne</w:t>
            </w:r>
          </w:p>
          <w:p w14:paraId="35122110" w14:textId="6920B766" w:rsidR="00594204" w:rsidRPr="009C73DF" w:rsidRDefault="00594204" w:rsidP="00594204">
            <w:pPr>
              <w:spacing w:after="120" w:line="280" w:lineRule="exact"/>
              <w:rPr>
                <w:rFonts w:cstheme="minorHAnsi"/>
                <w:bCs/>
                <w:lang w:val="fr-FR"/>
              </w:rPr>
            </w:pPr>
            <w:r w:rsidRPr="009C73DF">
              <w:rPr>
                <w:rFonts w:cstheme="minorHAnsi"/>
                <w:bCs/>
                <w:lang w:val="fr-FR"/>
              </w:rPr>
              <w:t xml:space="preserve">- Accès à l'Internet </w:t>
            </w:r>
          </w:p>
          <w:p w14:paraId="138B426D" w14:textId="44B2A112" w:rsidR="00594204" w:rsidRPr="009C73DF" w:rsidRDefault="00594204" w:rsidP="00594204">
            <w:pPr>
              <w:spacing w:after="120" w:line="280" w:lineRule="exact"/>
              <w:rPr>
                <w:rFonts w:cstheme="minorHAnsi"/>
                <w:bCs/>
                <w:lang w:val="fr-FR"/>
              </w:rPr>
            </w:pPr>
            <w:r w:rsidRPr="009C73DF">
              <w:rPr>
                <w:rFonts w:cstheme="minorHAnsi"/>
                <w:bCs/>
                <w:lang w:val="fr-FR"/>
              </w:rPr>
              <w:t xml:space="preserve">- Papier et stylos </w:t>
            </w:r>
            <w:r w:rsidR="009C73DF">
              <w:rPr>
                <w:rFonts w:cstheme="minorHAnsi"/>
                <w:bCs/>
                <w:lang w:val="fr-FR"/>
              </w:rPr>
              <w:t>pour l</w:t>
            </w:r>
            <w:r w:rsidRPr="009C73DF">
              <w:rPr>
                <w:rFonts w:cstheme="minorHAnsi"/>
                <w:bCs/>
                <w:lang w:val="fr-FR"/>
              </w:rPr>
              <w:t xml:space="preserve">es </w:t>
            </w:r>
            <w:r w:rsidR="009C73DF" w:rsidRPr="009C73DF">
              <w:rPr>
                <w:rFonts w:cstheme="minorHAnsi"/>
                <w:bCs/>
                <w:lang w:val="fr-FR"/>
              </w:rPr>
              <w:t>délégués</w:t>
            </w:r>
          </w:p>
          <w:p w14:paraId="14CF9EF0" w14:textId="28B55094" w:rsidR="000F7896" w:rsidRPr="009C73DF" w:rsidRDefault="00594204" w:rsidP="00594204">
            <w:pPr>
              <w:pStyle w:val="bul1"/>
              <w:numPr>
                <w:ilvl w:val="0"/>
                <w:numId w:val="0"/>
              </w:numPr>
              <w:spacing w:line="280" w:lineRule="exact"/>
              <w:ind w:left="851" w:hanging="851"/>
              <w:rPr>
                <w:rFonts w:asciiTheme="minorHAnsi" w:hAnsiTheme="minorHAnsi" w:cstheme="minorHAnsi"/>
                <w:sz w:val="24"/>
                <w:lang w:val="fr-FR"/>
              </w:rPr>
            </w:pPr>
            <w:r w:rsidRPr="009C73DF">
              <w:rPr>
                <w:rFonts w:asciiTheme="minorHAnsi" w:hAnsiTheme="minorHAnsi" w:cstheme="minorHAnsi"/>
                <w:bCs/>
                <w:sz w:val="24"/>
                <w:lang w:val="fr-FR"/>
              </w:rPr>
              <w:t>- Copie de la Convention de Budapest</w:t>
            </w:r>
          </w:p>
        </w:tc>
      </w:tr>
      <w:tr w:rsidR="00E7344B" w:rsidRPr="009C73DF" w14:paraId="635F2EFD" w14:textId="77777777" w:rsidTr="00F1574D">
        <w:trPr>
          <w:trHeight w:val="2879"/>
        </w:trPr>
        <w:tc>
          <w:tcPr>
            <w:tcW w:w="9010" w:type="dxa"/>
            <w:gridSpan w:val="3"/>
            <w:vAlign w:val="center"/>
          </w:tcPr>
          <w:p w14:paraId="4C449E51" w14:textId="77777777" w:rsidR="00A639EB" w:rsidRPr="009C73DF" w:rsidRDefault="00A639EB" w:rsidP="00A639EB">
            <w:pPr>
              <w:spacing w:before="120" w:after="120" w:line="280" w:lineRule="exact"/>
              <w:rPr>
                <w:rFonts w:cstheme="minorHAnsi"/>
                <w:b/>
                <w:lang w:val="fr-FR"/>
              </w:rPr>
            </w:pPr>
            <w:r w:rsidRPr="009C73DF">
              <w:rPr>
                <w:rFonts w:cstheme="minorHAnsi"/>
                <w:b/>
                <w:lang w:val="fr-FR"/>
              </w:rPr>
              <w:t xml:space="preserve">Objectif de la session :  </w:t>
            </w:r>
          </w:p>
          <w:p w14:paraId="3FE58655" w14:textId="51209495" w:rsidR="00A03CF0" w:rsidRPr="009C73DF" w:rsidRDefault="00A639EB" w:rsidP="00A639EB">
            <w:pPr>
              <w:spacing w:before="120" w:after="120" w:line="280" w:lineRule="exact"/>
              <w:rPr>
                <w:rFonts w:cstheme="minorHAnsi"/>
                <w:bCs/>
                <w:lang w:val="fr-FR"/>
              </w:rPr>
            </w:pPr>
            <w:r w:rsidRPr="009C73DF">
              <w:rPr>
                <w:rFonts w:cstheme="minorHAnsi"/>
                <w:bCs/>
                <w:lang w:val="fr-FR"/>
              </w:rPr>
              <w:t xml:space="preserve">L'objectif de cette session est de permettre aux délégués de </w:t>
            </w:r>
            <w:r w:rsidR="00DC51B0" w:rsidRPr="009C73DF">
              <w:rPr>
                <w:rFonts w:cstheme="minorHAnsi"/>
                <w:bCs/>
                <w:lang w:val="fr-FR"/>
              </w:rPr>
              <w:t xml:space="preserve">bien se familiariser avec </w:t>
            </w:r>
            <w:r w:rsidRPr="009C73DF">
              <w:rPr>
                <w:rFonts w:cstheme="minorHAnsi"/>
                <w:bCs/>
                <w:lang w:val="fr-FR"/>
              </w:rPr>
              <w:t>les éléments des pouvoirs procéduraux liés à la conservation des données informatiques stockées, à la divulgation partielle des données relatives au trafic et aux ordonnances de production, à l'étendue des pouvoirs procéduraux et aux conditions et garanties liées à leur application. La session couvre, en détail, chaque élément de l'article 14 (portée des dispositions procédurales), de l'article 15 (conditions et garanties), de l'article 16 (conservation rapide des données informatiques stockées), de l'article 17 (conservation rapide et divulgation partielle des données relatives au trafic), de l'article 18 (injonction de produire) de la Convention de Budapest.</w:t>
            </w:r>
          </w:p>
        </w:tc>
      </w:tr>
      <w:tr w:rsidR="00A03CF0" w:rsidRPr="009C73DF" w14:paraId="1B5A80A7" w14:textId="77777777" w:rsidTr="00325B4C">
        <w:trPr>
          <w:trHeight w:val="890"/>
        </w:trPr>
        <w:tc>
          <w:tcPr>
            <w:tcW w:w="9010" w:type="dxa"/>
            <w:gridSpan w:val="3"/>
            <w:vAlign w:val="center"/>
          </w:tcPr>
          <w:p w14:paraId="670AD033" w14:textId="77777777" w:rsidR="00DC51B0" w:rsidRPr="009C73DF" w:rsidRDefault="00DC51B0" w:rsidP="00DC51B0">
            <w:pPr>
              <w:spacing w:before="120" w:after="120" w:line="280" w:lineRule="exact"/>
              <w:contextualSpacing/>
              <w:rPr>
                <w:rFonts w:cstheme="minorHAnsi"/>
                <w:b/>
                <w:lang w:val="fr-FR"/>
              </w:rPr>
            </w:pPr>
            <w:r w:rsidRPr="009C73DF">
              <w:rPr>
                <w:rFonts w:cstheme="minorHAnsi"/>
                <w:b/>
                <w:lang w:val="fr-FR"/>
              </w:rPr>
              <w:t>Objectifs :</w:t>
            </w:r>
          </w:p>
          <w:p w14:paraId="24E22EF6" w14:textId="77777777" w:rsidR="00DC51B0" w:rsidRPr="009C73DF" w:rsidRDefault="00DC51B0" w:rsidP="00DC51B0">
            <w:pPr>
              <w:spacing w:before="120" w:after="120" w:line="280" w:lineRule="exact"/>
              <w:contextualSpacing/>
              <w:rPr>
                <w:rFonts w:cstheme="minorHAnsi"/>
                <w:bCs/>
                <w:lang w:val="fr-FR"/>
              </w:rPr>
            </w:pPr>
            <w:r w:rsidRPr="009C73DF">
              <w:rPr>
                <w:rFonts w:cstheme="minorHAnsi"/>
                <w:bCs/>
                <w:lang w:val="fr-FR"/>
              </w:rPr>
              <w:t>À la fin de cette session, les délégués pourront</w:t>
            </w:r>
          </w:p>
          <w:p w14:paraId="14306591" w14:textId="77777777" w:rsidR="00DC51B0" w:rsidRPr="009C73DF" w:rsidRDefault="00DC51B0" w:rsidP="00DC51B0">
            <w:pPr>
              <w:spacing w:before="120" w:after="120" w:line="280" w:lineRule="exact"/>
              <w:contextualSpacing/>
              <w:rPr>
                <w:rFonts w:cstheme="minorHAnsi"/>
                <w:bCs/>
                <w:lang w:val="fr-FR"/>
              </w:rPr>
            </w:pPr>
            <w:r w:rsidRPr="009C73DF">
              <w:rPr>
                <w:rFonts w:cstheme="minorHAnsi"/>
                <w:bCs/>
                <w:lang w:val="fr-FR"/>
              </w:rPr>
              <w:t xml:space="preserve">- Identifier les éléments des pouvoirs procéduraux en matière de :  </w:t>
            </w:r>
          </w:p>
          <w:p w14:paraId="1FB5291F" w14:textId="77777777" w:rsidR="00DC51B0" w:rsidRPr="009C73DF" w:rsidRDefault="00DC51B0" w:rsidP="00DC51B0">
            <w:pPr>
              <w:spacing w:before="120" w:after="120" w:line="280" w:lineRule="exact"/>
              <w:ind w:left="720"/>
              <w:contextualSpacing/>
              <w:rPr>
                <w:rFonts w:cstheme="minorHAnsi"/>
                <w:bCs/>
                <w:lang w:val="fr-FR"/>
              </w:rPr>
            </w:pPr>
            <w:r w:rsidRPr="009C73DF">
              <w:rPr>
                <w:rFonts w:cstheme="minorHAnsi"/>
                <w:bCs/>
                <w:lang w:val="fr-FR"/>
              </w:rPr>
              <w:t xml:space="preserve">a) Perquisition et saisie de données informatiques stockées </w:t>
            </w:r>
          </w:p>
          <w:p w14:paraId="03F73BA5" w14:textId="77777777" w:rsidR="00DC51B0" w:rsidRPr="009C73DF" w:rsidRDefault="00DC51B0" w:rsidP="00DC51B0">
            <w:pPr>
              <w:spacing w:before="120" w:after="120" w:line="280" w:lineRule="exact"/>
              <w:ind w:left="720"/>
              <w:contextualSpacing/>
              <w:rPr>
                <w:rFonts w:cstheme="minorHAnsi"/>
                <w:bCs/>
                <w:lang w:val="fr-FR"/>
              </w:rPr>
            </w:pPr>
            <w:r w:rsidRPr="009C73DF">
              <w:rPr>
                <w:rFonts w:cstheme="minorHAnsi"/>
                <w:bCs/>
                <w:lang w:val="fr-FR"/>
              </w:rPr>
              <w:t>b) Collecte en temps réel des données relatives au trafic</w:t>
            </w:r>
          </w:p>
          <w:p w14:paraId="3EB7D0F4" w14:textId="77777777" w:rsidR="00DC51B0" w:rsidRPr="009C73DF" w:rsidRDefault="00DC51B0" w:rsidP="00DC51B0">
            <w:pPr>
              <w:spacing w:before="120" w:after="120" w:line="280" w:lineRule="exact"/>
              <w:ind w:left="720"/>
              <w:contextualSpacing/>
              <w:rPr>
                <w:rFonts w:cstheme="minorHAnsi"/>
                <w:bCs/>
                <w:lang w:val="fr-FR"/>
              </w:rPr>
            </w:pPr>
            <w:r w:rsidRPr="009C73DF">
              <w:rPr>
                <w:rFonts w:cstheme="minorHAnsi"/>
                <w:bCs/>
                <w:lang w:val="fr-FR"/>
              </w:rPr>
              <w:t>c) Interception des données relatives au contenu</w:t>
            </w:r>
          </w:p>
          <w:p w14:paraId="3B8FB8C9" w14:textId="77777777" w:rsidR="00192BC7" w:rsidRDefault="00DC51B0" w:rsidP="00DC51B0">
            <w:pPr>
              <w:pStyle w:val="bul1"/>
              <w:numPr>
                <w:ilvl w:val="0"/>
                <w:numId w:val="0"/>
              </w:numPr>
              <w:ind w:left="314" w:hanging="314"/>
              <w:rPr>
                <w:rFonts w:asciiTheme="minorHAnsi" w:hAnsiTheme="minorHAnsi" w:cstheme="minorHAnsi"/>
                <w:bCs/>
                <w:sz w:val="24"/>
              </w:rPr>
            </w:pPr>
            <w:r w:rsidRPr="009C73DF">
              <w:rPr>
                <w:rFonts w:asciiTheme="minorHAnsi" w:hAnsiTheme="minorHAnsi" w:cstheme="minorHAnsi"/>
                <w:bCs/>
                <w:sz w:val="24"/>
              </w:rPr>
              <w:t>- Comprendre le champ d'application juridictionnel de la Convention de Budapest.</w:t>
            </w:r>
          </w:p>
          <w:p w14:paraId="61ABEAC5" w14:textId="1845746A" w:rsidR="009C73DF" w:rsidRPr="009C73DF" w:rsidRDefault="009C73DF" w:rsidP="00DC51B0">
            <w:pPr>
              <w:pStyle w:val="bul1"/>
              <w:numPr>
                <w:ilvl w:val="0"/>
                <w:numId w:val="0"/>
              </w:numPr>
              <w:ind w:left="314" w:hanging="314"/>
              <w:rPr>
                <w:rFonts w:asciiTheme="minorHAnsi" w:hAnsiTheme="minorHAnsi" w:cstheme="minorHAnsi"/>
                <w:sz w:val="24"/>
              </w:rPr>
            </w:pPr>
          </w:p>
        </w:tc>
      </w:tr>
      <w:tr w:rsidR="005703B7" w:rsidRPr="009C73DF" w14:paraId="03110757" w14:textId="77777777" w:rsidTr="00AC45A8">
        <w:trPr>
          <w:trHeight w:val="5802"/>
        </w:trPr>
        <w:tc>
          <w:tcPr>
            <w:tcW w:w="9010" w:type="dxa"/>
            <w:gridSpan w:val="3"/>
            <w:tcBorders>
              <w:bottom w:val="single" w:sz="4" w:space="0" w:color="auto"/>
            </w:tcBorders>
            <w:vAlign w:val="center"/>
          </w:tcPr>
          <w:p w14:paraId="088C9982" w14:textId="77777777" w:rsidR="00DC51B0" w:rsidRPr="009C73DF" w:rsidRDefault="00DC51B0" w:rsidP="00DC51B0">
            <w:pPr>
              <w:spacing w:before="120" w:after="120" w:line="280" w:lineRule="exact"/>
              <w:rPr>
                <w:rFonts w:cstheme="minorHAnsi"/>
                <w:b/>
                <w:color w:val="000000" w:themeColor="text1"/>
                <w:lang w:val="fr-FR"/>
              </w:rPr>
            </w:pPr>
            <w:r w:rsidRPr="009C73DF">
              <w:rPr>
                <w:rFonts w:cstheme="minorHAnsi"/>
                <w:b/>
                <w:color w:val="000000" w:themeColor="text1"/>
                <w:lang w:val="fr-FR"/>
              </w:rPr>
              <w:lastRenderedPageBreak/>
              <w:t>Orientation des formateurs</w:t>
            </w:r>
          </w:p>
          <w:p w14:paraId="14E9C6B4" w14:textId="77777777" w:rsidR="00DC51B0" w:rsidRPr="009C73DF" w:rsidRDefault="00DC51B0" w:rsidP="00DC51B0">
            <w:pPr>
              <w:spacing w:before="120" w:after="120" w:line="280" w:lineRule="exact"/>
              <w:rPr>
                <w:rFonts w:cstheme="minorHAnsi"/>
                <w:bCs/>
                <w:color w:val="000000" w:themeColor="text1"/>
                <w:lang w:val="fr-FR"/>
              </w:rPr>
            </w:pPr>
            <w:r w:rsidRPr="009C73DF">
              <w:rPr>
                <w:rFonts w:cstheme="minorHAnsi"/>
                <w:bCs/>
                <w:color w:val="000000" w:themeColor="text1"/>
                <w:lang w:val="fr-FR"/>
              </w:rPr>
              <w:t xml:space="preserve">Cette session a été préparée pour permettre aux délégués d'avoir une compréhension complète des dispositions de droit procédural décrites au chapitre II, section 2. Cette session a été divisée en quatre parties, en plus d'une introduction et d'une conclusion. La première partie couvre le champ d'application des dispositions procédurales. La deuxième partie porte sur les conditions et garanties associées. La troisième partie porte sur la conservation accélérée des données informatiques stockées et la divulgation partielle des données relatives au trafic. La quatrième partie couvre les ordres de production. </w:t>
            </w:r>
          </w:p>
          <w:p w14:paraId="67789CE3" w14:textId="5875D2B7" w:rsidR="00DC51B0" w:rsidRPr="009C73DF" w:rsidRDefault="00DC51B0" w:rsidP="006B5302">
            <w:pPr>
              <w:spacing w:before="120" w:after="120" w:line="280" w:lineRule="exact"/>
              <w:jc w:val="both"/>
              <w:rPr>
                <w:rFonts w:cstheme="minorHAnsi"/>
                <w:bCs/>
                <w:lang w:val="fr-FR"/>
              </w:rPr>
            </w:pPr>
            <w:r w:rsidRPr="009C73DF">
              <w:rPr>
                <w:rFonts w:cstheme="minorHAnsi"/>
                <w:bCs/>
                <w:color w:val="000000" w:themeColor="text1"/>
                <w:lang w:val="fr-FR"/>
              </w:rPr>
              <w:t>Avant la tenue de cette session, il est recommandé que le formateur examine les paragraphes 131 - 183 du Rapport explicatif de la Convention sur la cybercriminalité</w:t>
            </w:r>
            <w:r w:rsidR="006B5302" w:rsidRPr="009C73DF">
              <w:rPr>
                <w:rFonts w:cstheme="minorHAnsi"/>
                <w:bCs/>
                <w:lang w:val="fr-FR"/>
              </w:rPr>
              <w:t xml:space="preserve"> </w:t>
            </w:r>
            <w:hyperlink r:id="rId5" w:history="1">
              <w:proofErr w:type="spellStart"/>
              <w:r w:rsidR="006B5302" w:rsidRPr="009C73DF">
                <w:rPr>
                  <w:rStyle w:val="Hyperlink"/>
                  <w:rFonts w:cstheme="minorHAnsi"/>
                  <w:bCs/>
                  <w:lang w:val="fr-FR"/>
                </w:rPr>
                <w:t>Explanatory</w:t>
              </w:r>
              <w:proofErr w:type="spellEnd"/>
              <w:r w:rsidR="006B5302" w:rsidRPr="009C73DF">
                <w:rPr>
                  <w:rStyle w:val="Hyperlink"/>
                  <w:rFonts w:cstheme="minorHAnsi"/>
                  <w:bCs/>
                  <w:lang w:val="fr-FR"/>
                </w:rPr>
                <w:t xml:space="preserve"> Report to the Convention on Cybercrime</w:t>
              </w:r>
            </w:hyperlink>
            <w:r w:rsidR="006B5302" w:rsidRPr="009C73DF">
              <w:rPr>
                <w:rFonts w:cstheme="minorHAnsi"/>
                <w:bCs/>
                <w:lang w:val="fr-FR"/>
              </w:rPr>
              <w:t>.</w:t>
            </w:r>
          </w:p>
          <w:p w14:paraId="5EFF4BEF" w14:textId="6CE4104C" w:rsidR="00166AE7" w:rsidRPr="009C73DF" w:rsidRDefault="00DC51B0" w:rsidP="009C73DF">
            <w:pPr>
              <w:spacing w:before="120" w:after="120" w:line="280" w:lineRule="exact"/>
              <w:rPr>
                <w:rFonts w:cstheme="minorHAnsi"/>
                <w:bCs/>
                <w:color w:val="000000" w:themeColor="text1"/>
                <w:lang w:val="fr-FR"/>
              </w:rPr>
            </w:pPr>
            <w:r w:rsidRPr="009C73DF">
              <w:rPr>
                <w:rFonts w:cstheme="minorHAnsi"/>
                <w:bCs/>
                <w:color w:val="000000" w:themeColor="text1"/>
                <w:lang w:val="fr-FR"/>
              </w:rPr>
              <w:t xml:space="preserve">Le formateur </w:t>
            </w:r>
            <w:r w:rsidR="006B5302" w:rsidRPr="009C73DF">
              <w:rPr>
                <w:rFonts w:cstheme="minorHAnsi"/>
                <w:bCs/>
                <w:color w:val="000000" w:themeColor="text1"/>
                <w:lang w:val="fr-FR"/>
              </w:rPr>
              <w:t>pourrait vouloir</w:t>
            </w:r>
            <w:r w:rsidRPr="009C73DF">
              <w:rPr>
                <w:rFonts w:cstheme="minorHAnsi"/>
                <w:bCs/>
                <w:color w:val="000000" w:themeColor="text1"/>
                <w:lang w:val="fr-FR"/>
              </w:rPr>
              <w:t xml:space="preserve"> encourager une discussion sur la manière dont chacune des dispositions couvertes dans cette session a été établie en droit national.</w:t>
            </w:r>
          </w:p>
        </w:tc>
      </w:tr>
      <w:tr w:rsidR="005A4E47" w:rsidRPr="009C73DF"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6EF99D9" w:rsidR="005A4E47" w:rsidRPr="009C73DF" w:rsidRDefault="005A4E47" w:rsidP="00CB3026">
            <w:pPr>
              <w:rPr>
                <w:rFonts w:cstheme="minorHAnsi"/>
                <w:b/>
                <w:lang w:val="fr-FR"/>
              </w:rPr>
            </w:pPr>
            <w:r w:rsidRPr="009C73DF">
              <w:rPr>
                <w:rFonts w:cstheme="minorHAnsi"/>
                <w:b/>
                <w:lang w:val="fr-FR"/>
              </w:rPr>
              <w:t>Conten</w:t>
            </w:r>
            <w:r w:rsidR="006B5302" w:rsidRPr="009C73DF">
              <w:rPr>
                <w:rFonts w:cstheme="minorHAnsi"/>
                <w:b/>
                <w:lang w:val="fr-FR"/>
              </w:rPr>
              <w:t>u de la leçon</w:t>
            </w:r>
          </w:p>
        </w:tc>
      </w:tr>
      <w:tr w:rsidR="00F1574D" w:rsidRPr="009C73DF" w14:paraId="57CC7AA4" w14:textId="77777777" w:rsidTr="006B5302">
        <w:trPr>
          <w:trHeight w:val="629"/>
        </w:trPr>
        <w:tc>
          <w:tcPr>
            <w:tcW w:w="1838" w:type="dxa"/>
            <w:shd w:val="clear" w:color="auto" w:fill="D9E2F3" w:themeFill="accent1" w:themeFillTint="33"/>
            <w:vAlign w:val="center"/>
          </w:tcPr>
          <w:p w14:paraId="4538C338" w14:textId="0FA0270E" w:rsidR="00D82C18" w:rsidRPr="009C73DF" w:rsidRDefault="00E13BE7" w:rsidP="00CB3026">
            <w:pPr>
              <w:jc w:val="center"/>
              <w:rPr>
                <w:rFonts w:cstheme="minorHAnsi"/>
                <w:b/>
              </w:rPr>
            </w:pPr>
            <w:proofErr w:type="spellStart"/>
            <w:r w:rsidRPr="009C73DF">
              <w:rPr>
                <w:rFonts w:cstheme="minorHAnsi"/>
                <w:b/>
              </w:rPr>
              <w:t>Num</w:t>
            </w:r>
            <w:r w:rsidR="006B5302" w:rsidRPr="009C73DF">
              <w:rPr>
                <w:rFonts w:cstheme="minorHAnsi"/>
                <w:b/>
              </w:rPr>
              <w:t>éros</w:t>
            </w:r>
            <w:proofErr w:type="spellEnd"/>
            <w:r w:rsidR="006B5302" w:rsidRPr="009C73DF">
              <w:rPr>
                <w:rFonts w:cstheme="minorHAnsi"/>
                <w:b/>
              </w:rPr>
              <w:t xml:space="preserve"> des Diapositives</w:t>
            </w:r>
          </w:p>
        </w:tc>
        <w:tc>
          <w:tcPr>
            <w:tcW w:w="7172" w:type="dxa"/>
            <w:gridSpan w:val="2"/>
            <w:shd w:val="clear" w:color="auto" w:fill="D9E2F3" w:themeFill="accent1" w:themeFillTint="33"/>
            <w:vAlign w:val="center"/>
          </w:tcPr>
          <w:p w14:paraId="2DA616FC" w14:textId="310BA5EF" w:rsidR="00D82C18" w:rsidRPr="009C73DF" w:rsidRDefault="00E13BE7">
            <w:pPr>
              <w:rPr>
                <w:rFonts w:cstheme="minorHAnsi"/>
                <w:b/>
              </w:rPr>
            </w:pPr>
            <w:proofErr w:type="spellStart"/>
            <w:r w:rsidRPr="009C73DF">
              <w:rPr>
                <w:rFonts w:cstheme="minorHAnsi"/>
                <w:b/>
              </w:rPr>
              <w:t>Conten</w:t>
            </w:r>
            <w:r w:rsidR="006B5302" w:rsidRPr="009C73DF">
              <w:rPr>
                <w:rFonts w:cstheme="minorHAnsi"/>
                <w:b/>
              </w:rPr>
              <w:t>u</w:t>
            </w:r>
            <w:proofErr w:type="spellEnd"/>
          </w:p>
        </w:tc>
      </w:tr>
      <w:tr w:rsidR="00F1574D" w:rsidRPr="009C73DF" w14:paraId="11A12D7E" w14:textId="77777777" w:rsidTr="006B5302">
        <w:trPr>
          <w:trHeight w:val="591"/>
        </w:trPr>
        <w:tc>
          <w:tcPr>
            <w:tcW w:w="1838" w:type="dxa"/>
            <w:vAlign w:val="center"/>
          </w:tcPr>
          <w:p w14:paraId="67083237" w14:textId="135B5854" w:rsidR="00D82C18" w:rsidRPr="009C73DF" w:rsidRDefault="003630ED" w:rsidP="00F1574D">
            <w:pPr>
              <w:spacing w:before="120" w:after="120" w:line="280" w:lineRule="exact"/>
              <w:jc w:val="center"/>
              <w:rPr>
                <w:rFonts w:cstheme="minorHAnsi"/>
              </w:rPr>
            </w:pPr>
            <w:r w:rsidRPr="009C73DF">
              <w:rPr>
                <w:rFonts w:cstheme="minorHAnsi"/>
              </w:rPr>
              <w:t xml:space="preserve">1 </w:t>
            </w:r>
            <w:r w:rsidR="006B5302" w:rsidRPr="009C73DF">
              <w:rPr>
                <w:rFonts w:cstheme="minorHAnsi"/>
              </w:rPr>
              <w:t>à</w:t>
            </w:r>
            <w:r w:rsidRPr="009C73DF">
              <w:rPr>
                <w:rFonts w:cstheme="minorHAnsi"/>
              </w:rPr>
              <w:t xml:space="preserve"> </w:t>
            </w:r>
            <w:r w:rsidR="00C70C5C" w:rsidRPr="009C73DF">
              <w:rPr>
                <w:rFonts w:cstheme="minorHAnsi"/>
              </w:rPr>
              <w:t>4</w:t>
            </w:r>
          </w:p>
          <w:p w14:paraId="5A89CF27" w14:textId="313C2255" w:rsidR="00F1574D" w:rsidRPr="009C73DF" w:rsidRDefault="006B5302" w:rsidP="00F1574D">
            <w:pPr>
              <w:spacing w:before="120" w:after="120" w:line="280" w:lineRule="exact"/>
              <w:jc w:val="center"/>
              <w:rPr>
                <w:rFonts w:cstheme="minorHAnsi"/>
              </w:rPr>
            </w:pPr>
            <w:r w:rsidRPr="009C73DF">
              <w:rPr>
                <w:rFonts w:cstheme="minorHAnsi"/>
              </w:rPr>
              <w:t xml:space="preserve">Diapositives </w:t>
            </w:r>
            <w:proofErr w:type="spellStart"/>
            <w:r w:rsidRPr="009C73DF">
              <w:rPr>
                <w:rFonts w:cstheme="minorHAnsi"/>
              </w:rPr>
              <w:t>obligatoires</w:t>
            </w:r>
            <w:proofErr w:type="spellEnd"/>
          </w:p>
        </w:tc>
        <w:tc>
          <w:tcPr>
            <w:tcW w:w="7172" w:type="dxa"/>
            <w:gridSpan w:val="2"/>
            <w:vAlign w:val="center"/>
          </w:tcPr>
          <w:p w14:paraId="36345B59" w14:textId="6C65C552" w:rsidR="00556D69" w:rsidRPr="009C73DF" w:rsidRDefault="006B5302" w:rsidP="009C73DF">
            <w:pPr>
              <w:jc w:val="both"/>
              <w:rPr>
                <w:rFonts w:cstheme="minorHAnsi"/>
                <w:color w:val="000000" w:themeColor="text1"/>
                <w:lang w:val="fr-FR"/>
              </w:rPr>
            </w:pPr>
            <w:r w:rsidRPr="009C73DF">
              <w:rPr>
                <w:rFonts w:cstheme="minorHAnsi"/>
                <w:color w:val="000000" w:themeColor="text1"/>
                <w:lang w:val="fr-FR"/>
              </w:rPr>
              <w:t>Les premières diapositives constituent l'introduction à la session et incluent l'ordre du jour ainsi que les buts et objectifs de la session.</w:t>
            </w:r>
          </w:p>
        </w:tc>
      </w:tr>
      <w:tr w:rsidR="00F1574D" w:rsidRPr="009C73DF" w14:paraId="65F07CB5" w14:textId="77777777" w:rsidTr="006B5302">
        <w:trPr>
          <w:trHeight w:val="1880"/>
        </w:trPr>
        <w:tc>
          <w:tcPr>
            <w:tcW w:w="1838" w:type="dxa"/>
            <w:vAlign w:val="center"/>
          </w:tcPr>
          <w:p w14:paraId="56AF6365" w14:textId="72460BB4" w:rsidR="00D82C18" w:rsidRPr="009C73DF" w:rsidRDefault="00C70C5C" w:rsidP="00F1574D">
            <w:pPr>
              <w:spacing w:before="120" w:after="120" w:line="280" w:lineRule="exact"/>
              <w:jc w:val="center"/>
              <w:rPr>
                <w:rFonts w:cstheme="minorHAnsi"/>
              </w:rPr>
            </w:pPr>
            <w:r w:rsidRPr="009C73DF">
              <w:rPr>
                <w:rFonts w:cstheme="minorHAnsi"/>
              </w:rPr>
              <w:t>5</w:t>
            </w:r>
            <w:r w:rsidR="003630ED" w:rsidRPr="009C73DF">
              <w:rPr>
                <w:rFonts w:cstheme="minorHAnsi"/>
              </w:rPr>
              <w:t xml:space="preserve"> </w:t>
            </w:r>
            <w:r w:rsidR="006B5302" w:rsidRPr="009C73DF">
              <w:rPr>
                <w:rFonts w:cstheme="minorHAnsi"/>
              </w:rPr>
              <w:t>à</w:t>
            </w:r>
            <w:r w:rsidR="003630ED" w:rsidRPr="009C73DF">
              <w:rPr>
                <w:rFonts w:cstheme="minorHAnsi"/>
              </w:rPr>
              <w:t xml:space="preserve"> </w:t>
            </w:r>
            <w:r w:rsidR="00D71080" w:rsidRPr="009C73DF">
              <w:rPr>
                <w:rFonts w:cstheme="minorHAnsi"/>
              </w:rPr>
              <w:t>7</w:t>
            </w:r>
          </w:p>
          <w:p w14:paraId="6F5AEB2D" w14:textId="4D1AD69A" w:rsidR="00F1574D" w:rsidRPr="009C73DF" w:rsidRDefault="006B5302" w:rsidP="00F1574D">
            <w:pPr>
              <w:spacing w:before="120" w:after="120" w:line="280" w:lineRule="exact"/>
              <w:jc w:val="center"/>
              <w:rPr>
                <w:rFonts w:cstheme="minorHAnsi"/>
              </w:rPr>
            </w:pPr>
            <w:r w:rsidRPr="009C73DF">
              <w:rPr>
                <w:rFonts w:cstheme="minorHAnsi"/>
              </w:rPr>
              <w:t xml:space="preserve">Diapositives </w:t>
            </w:r>
            <w:proofErr w:type="spellStart"/>
            <w:r w:rsidRPr="009C73DF">
              <w:rPr>
                <w:rFonts w:cstheme="minorHAnsi"/>
              </w:rPr>
              <w:t>obligatoires</w:t>
            </w:r>
            <w:proofErr w:type="spellEnd"/>
          </w:p>
        </w:tc>
        <w:tc>
          <w:tcPr>
            <w:tcW w:w="7172" w:type="dxa"/>
            <w:gridSpan w:val="2"/>
            <w:vAlign w:val="center"/>
          </w:tcPr>
          <w:p w14:paraId="31B48CE3" w14:textId="77777777" w:rsidR="006B5302" w:rsidRPr="009C73DF" w:rsidRDefault="006B5302" w:rsidP="009C73DF">
            <w:pPr>
              <w:pStyle w:val="Subtitle"/>
              <w:spacing w:before="0" w:after="0" w:line="240" w:lineRule="auto"/>
              <w:rPr>
                <w:rFonts w:asciiTheme="minorHAnsi" w:eastAsia="Times New Roman" w:hAnsiTheme="minorHAnsi" w:cstheme="minorHAnsi"/>
                <w:sz w:val="24"/>
                <w:lang w:val="fr-FR"/>
              </w:rPr>
            </w:pPr>
            <w:r w:rsidRPr="009C73DF">
              <w:rPr>
                <w:rFonts w:asciiTheme="minorHAnsi" w:eastAsia="Times New Roman" w:hAnsiTheme="minorHAnsi" w:cstheme="minorHAnsi"/>
                <w:sz w:val="24"/>
                <w:lang w:val="fr-FR"/>
              </w:rPr>
              <w:t xml:space="preserve">Ces diapositives expliquent la portée des dispositions procédurales, telles que prévues par l'article 14 de la Convention de Budapest. </w:t>
            </w:r>
          </w:p>
          <w:p w14:paraId="649FEA68" w14:textId="4D9F0260" w:rsidR="00254BD5" w:rsidRPr="009C73DF" w:rsidRDefault="006B5302" w:rsidP="009C73DF">
            <w:pPr>
              <w:pStyle w:val="Subtitle"/>
              <w:spacing w:before="0" w:after="0" w:line="240" w:lineRule="auto"/>
              <w:rPr>
                <w:rFonts w:asciiTheme="minorHAnsi" w:eastAsia="Times New Roman" w:hAnsiTheme="minorHAnsi" w:cstheme="minorHAnsi"/>
                <w:sz w:val="24"/>
                <w:lang w:val="fr-FR"/>
              </w:rPr>
            </w:pPr>
            <w:r w:rsidRPr="009C73DF">
              <w:rPr>
                <w:rFonts w:asciiTheme="minorHAnsi" w:eastAsia="Times New Roman" w:hAnsiTheme="minorHAnsi" w:cstheme="minorHAnsi"/>
                <w:sz w:val="24"/>
                <w:lang w:val="fr-FR"/>
              </w:rPr>
              <w:t>Ces diapositives ont été divisées en deux colonnes. La colonne de gauche reproduit le texte de l'article 14 de la Convention de Budapest avec un élément spécifique mis en évidence, tandis que la colonne de droite fournit une explication de l'élément mis en évidence. Le formateur doit passer en revue chaque élément, afin de fournir aux délégués une compréhension complète de l'article 14 de la Convention de Budapest.</w:t>
            </w:r>
          </w:p>
        </w:tc>
      </w:tr>
      <w:tr w:rsidR="00D71080" w:rsidRPr="009C73DF" w14:paraId="48E7B16B" w14:textId="77777777" w:rsidTr="006B5302">
        <w:trPr>
          <w:trHeight w:val="1880"/>
        </w:trPr>
        <w:tc>
          <w:tcPr>
            <w:tcW w:w="1838" w:type="dxa"/>
            <w:vAlign w:val="center"/>
          </w:tcPr>
          <w:p w14:paraId="1CA37158" w14:textId="29621FA3" w:rsidR="00D71080" w:rsidRPr="009C73DF" w:rsidRDefault="00D71080" w:rsidP="00D71080">
            <w:pPr>
              <w:spacing w:before="120" w:after="120" w:line="280" w:lineRule="exact"/>
              <w:jc w:val="center"/>
              <w:rPr>
                <w:rFonts w:cstheme="minorHAnsi"/>
              </w:rPr>
            </w:pPr>
            <w:r w:rsidRPr="009C73DF">
              <w:rPr>
                <w:rFonts w:cstheme="minorHAnsi"/>
              </w:rPr>
              <w:t xml:space="preserve">8 </w:t>
            </w:r>
            <w:r w:rsidR="006B5302" w:rsidRPr="009C73DF">
              <w:rPr>
                <w:rFonts w:cstheme="minorHAnsi"/>
              </w:rPr>
              <w:t>à</w:t>
            </w:r>
            <w:r w:rsidRPr="009C73DF">
              <w:rPr>
                <w:rFonts w:cstheme="minorHAnsi"/>
              </w:rPr>
              <w:t xml:space="preserve"> 13</w:t>
            </w:r>
          </w:p>
          <w:p w14:paraId="529370FD" w14:textId="33812B8B" w:rsidR="00D71080" w:rsidRPr="009C73DF" w:rsidRDefault="006B5302" w:rsidP="00D71080">
            <w:pPr>
              <w:spacing w:before="120" w:after="120" w:line="280" w:lineRule="exact"/>
              <w:jc w:val="center"/>
              <w:rPr>
                <w:rFonts w:cstheme="minorHAnsi"/>
              </w:rPr>
            </w:pPr>
            <w:r w:rsidRPr="009C73DF">
              <w:rPr>
                <w:rFonts w:cstheme="minorHAnsi"/>
              </w:rPr>
              <w:t xml:space="preserve">Diapositives </w:t>
            </w:r>
            <w:proofErr w:type="spellStart"/>
            <w:r w:rsidRPr="009C73DF">
              <w:rPr>
                <w:rFonts w:cstheme="minorHAnsi"/>
              </w:rPr>
              <w:t>obligatoires</w:t>
            </w:r>
            <w:proofErr w:type="spellEnd"/>
          </w:p>
        </w:tc>
        <w:tc>
          <w:tcPr>
            <w:tcW w:w="7172" w:type="dxa"/>
            <w:gridSpan w:val="2"/>
            <w:vAlign w:val="center"/>
          </w:tcPr>
          <w:p w14:paraId="76FFBF5C" w14:textId="77777777" w:rsidR="006B5302" w:rsidRPr="009C73DF" w:rsidRDefault="006B5302" w:rsidP="009C73DF">
            <w:pPr>
              <w:pStyle w:val="Subtitle"/>
              <w:spacing w:before="0" w:after="0" w:line="240" w:lineRule="auto"/>
              <w:rPr>
                <w:rFonts w:asciiTheme="minorHAnsi" w:eastAsia="Times New Roman" w:hAnsiTheme="minorHAnsi" w:cstheme="minorHAnsi"/>
                <w:sz w:val="24"/>
                <w:lang w:val="fr-FR"/>
              </w:rPr>
            </w:pPr>
            <w:r w:rsidRPr="009C73DF">
              <w:rPr>
                <w:rFonts w:asciiTheme="minorHAnsi" w:eastAsia="Times New Roman" w:hAnsiTheme="minorHAnsi" w:cstheme="minorHAnsi"/>
                <w:sz w:val="24"/>
                <w:lang w:val="fr-FR"/>
              </w:rPr>
              <w:t xml:space="preserve">Ces diapositives expliquent les conditions et les garanties prévues par l'article 15 de la Convention de Budapest. </w:t>
            </w:r>
          </w:p>
          <w:p w14:paraId="7D628DD2" w14:textId="189D4CD5" w:rsidR="00EB0182" w:rsidRPr="009C73DF" w:rsidRDefault="006B5302" w:rsidP="009C73DF">
            <w:pPr>
              <w:pStyle w:val="Subtitle"/>
              <w:spacing w:before="0" w:after="0" w:line="240" w:lineRule="auto"/>
              <w:rPr>
                <w:rFonts w:asciiTheme="minorHAnsi" w:eastAsia="Times New Roman" w:hAnsiTheme="minorHAnsi" w:cstheme="minorHAnsi"/>
                <w:sz w:val="24"/>
                <w:lang w:val="fr-FR"/>
              </w:rPr>
            </w:pPr>
            <w:r w:rsidRPr="009C73DF">
              <w:rPr>
                <w:rFonts w:asciiTheme="minorHAnsi" w:eastAsia="Times New Roman" w:hAnsiTheme="minorHAnsi" w:cstheme="minorHAnsi"/>
                <w:sz w:val="24"/>
                <w:lang w:val="fr-FR"/>
              </w:rPr>
              <w:t xml:space="preserve">Ces diapositives ont été divisées en deux colonnes. La colonne de gauche reproduit le texte de l'article 15 de la Convention de Budapest avec un élément spécifique mis en évidence, tandis que la colonne de droite fournit une explication de l'élément mis en évidence. Le formateur doit passer en revue chaque élément, afin de permettre aux délégués de bien comprendre l'article 15 de la Convention de Budapest. </w:t>
            </w:r>
            <w:r w:rsidRPr="009C73DF">
              <w:rPr>
                <w:rFonts w:asciiTheme="minorHAnsi" w:hAnsiTheme="minorHAnsi" w:cstheme="minorHAnsi"/>
                <w:sz w:val="24"/>
                <w:lang w:val="fr-FR"/>
              </w:rPr>
              <w:t>Le formateur peut demander aux délégués des exemples de la manière dont leur pays met en œuvre les conditions et les garanties.</w:t>
            </w:r>
          </w:p>
        </w:tc>
      </w:tr>
      <w:tr w:rsidR="006D4EB9" w:rsidRPr="009C73DF" w14:paraId="55B240E0" w14:textId="77777777" w:rsidTr="006B5302">
        <w:trPr>
          <w:trHeight w:val="416"/>
        </w:trPr>
        <w:tc>
          <w:tcPr>
            <w:tcW w:w="1838" w:type="dxa"/>
            <w:vAlign w:val="center"/>
          </w:tcPr>
          <w:p w14:paraId="3DA92373" w14:textId="5BE0853A" w:rsidR="00D71080" w:rsidRPr="009C73DF" w:rsidRDefault="00D71080" w:rsidP="00D71080">
            <w:pPr>
              <w:spacing w:before="120" w:after="120" w:line="280" w:lineRule="exact"/>
              <w:jc w:val="center"/>
              <w:rPr>
                <w:rFonts w:cstheme="minorHAnsi"/>
              </w:rPr>
            </w:pPr>
            <w:r w:rsidRPr="009C73DF">
              <w:rPr>
                <w:rFonts w:cstheme="minorHAnsi"/>
              </w:rPr>
              <w:t xml:space="preserve">14 </w:t>
            </w:r>
            <w:r w:rsidR="006B5302" w:rsidRPr="009C73DF">
              <w:rPr>
                <w:rFonts w:cstheme="minorHAnsi"/>
              </w:rPr>
              <w:t>à</w:t>
            </w:r>
            <w:r w:rsidRPr="009C73DF">
              <w:rPr>
                <w:rFonts w:cstheme="minorHAnsi"/>
              </w:rPr>
              <w:t xml:space="preserve"> 27</w:t>
            </w:r>
          </w:p>
          <w:p w14:paraId="6DF39AAE" w14:textId="556E0D45" w:rsidR="006D4EB9" w:rsidRPr="009C73DF" w:rsidRDefault="006B5302" w:rsidP="00D71080">
            <w:pPr>
              <w:spacing w:before="120" w:after="120" w:line="280" w:lineRule="exact"/>
              <w:jc w:val="center"/>
              <w:rPr>
                <w:rFonts w:cstheme="minorHAnsi"/>
              </w:rPr>
            </w:pPr>
            <w:r w:rsidRPr="009C73DF">
              <w:rPr>
                <w:rFonts w:cstheme="minorHAnsi"/>
              </w:rPr>
              <w:lastRenderedPageBreak/>
              <w:t xml:space="preserve">Diapositives </w:t>
            </w:r>
            <w:proofErr w:type="spellStart"/>
            <w:r w:rsidRPr="009C73DF">
              <w:rPr>
                <w:rFonts w:cstheme="minorHAnsi"/>
              </w:rPr>
              <w:t>obligatoires</w:t>
            </w:r>
            <w:proofErr w:type="spellEnd"/>
          </w:p>
        </w:tc>
        <w:tc>
          <w:tcPr>
            <w:tcW w:w="7172" w:type="dxa"/>
            <w:gridSpan w:val="2"/>
            <w:vAlign w:val="center"/>
          </w:tcPr>
          <w:p w14:paraId="691AC3C6" w14:textId="77777777" w:rsidR="006B5302" w:rsidRPr="009C73DF" w:rsidRDefault="006B5302" w:rsidP="009C73DF">
            <w:pPr>
              <w:pStyle w:val="Subtitle"/>
              <w:spacing w:before="0" w:after="0" w:line="240" w:lineRule="auto"/>
              <w:rPr>
                <w:rFonts w:asciiTheme="minorHAnsi" w:eastAsia="Times New Roman" w:hAnsiTheme="minorHAnsi" w:cstheme="minorHAnsi"/>
                <w:sz w:val="24"/>
                <w:lang w:val="fr-FR"/>
              </w:rPr>
            </w:pPr>
            <w:r w:rsidRPr="009C73DF">
              <w:rPr>
                <w:rFonts w:asciiTheme="minorHAnsi" w:eastAsia="Times New Roman" w:hAnsiTheme="minorHAnsi" w:cstheme="minorHAnsi"/>
                <w:sz w:val="24"/>
                <w:lang w:val="fr-FR"/>
              </w:rPr>
              <w:lastRenderedPageBreak/>
              <w:t xml:space="preserve">Ces diapositives expliquent les dispositions du droit procédural relatives à la conservation rapide des données informatiques stockées en vertu </w:t>
            </w:r>
            <w:r w:rsidRPr="009C73DF">
              <w:rPr>
                <w:rFonts w:asciiTheme="minorHAnsi" w:eastAsia="Times New Roman" w:hAnsiTheme="minorHAnsi" w:cstheme="minorHAnsi"/>
                <w:sz w:val="24"/>
                <w:lang w:val="fr-FR"/>
              </w:rPr>
              <w:lastRenderedPageBreak/>
              <w:t xml:space="preserve">de l'article 16 de la Convention de Budapest et à la conservation rapide et à la divulgation partielle des données relatives au trafic en vertu de l'article 17 de la Convention de Budapest. </w:t>
            </w:r>
          </w:p>
          <w:p w14:paraId="42D583CE" w14:textId="77777777" w:rsidR="006B5302" w:rsidRPr="009C73DF" w:rsidRDefault="006B5302" w:rsidP="009C73DF">
            <w:pPr>
              <w:pStyle w:val="Subtitle"/>
              <w:spacing w:before="0" w:after="0" w:line="240" w:lineRule="auto"/>
              <w:rPr>
                <w:rFonts w:asciiTheme="minorHAnsi" w:eastAsia="Times New Roman" w:hAnsiTheme="minorHAnsi" w:cstheme="minorHAnsi"/>
                <w:sz w:val="24"/>
                <w:lang w:val="fr-FR"/>
              </w:rPr>
            </w:pPr>
            <w:r w:rsidRPr="009C73DF">
              <w:rPr>
                <w:rFonts w:asciiTheme="minorHAnsi" w:eastAsia="Times New Roman" w:hAnsiTheme="minorHAnsi" w:cstheme="minorHAnsi"/>
                <w:sz w:val="24"/>
                <w:lang w:val="fr-FR"/>
              </w:rPr>
              <w:t xml:space="preserve">La première série de diapositives présente un résumé des pouvoirs conférés par l'article 16 de la Convention de Budapest. Elle présente également une étude de cas sur la manière dont le tribunal a interprété une ordonnance de conservation. </w:t>
            </w:r>
          </w:p>
          <w:p w14:paraId="142E5FDD" w14:textId="77777777" w:rsidR="006B5302" w:rsidRPr="009C73DF" w:rsidRDefault="006B5302" w:rsidP="009C73DF">
            <w:pPr>
              <w:pStyle w:val="Subtitle"/>
              <w:spacing w:before="0" w:after="0" w:line="240" w:lineRule="auto"/>
              <w:rPr>
                <w:rFonts w:asciiTheme="minorHAnsi" w:eastAsia="Times New Roman" w:hAnsiTheme="minorHAnsi" w:cstheme="minorHAnsi"/>
                <w:sz w:val="24"/>
                <w:lang w:val="fr-FR"/>
              </w:rPr>
            </w:pPr>
            <w:r w:rsidRPr="009C73DF">
              <w:rPr>
                <w:rFonts w:asciiTheme="minorHAnsi" w:eastAsia="Times New Roman" w:hAnsiTheme="minorHAnsi" w:cstheme="minorHAnsi"/>
                <w:sz w:val="24"/>
                <w:lang w:val="fr-FR"/>
              </w:rPr>
              <w:t>La série suivante de diapositives a été divisée en deux colonnes. La colonne de gauche reproduit le texte de l'article 16 de la Convention de Budapest avec un élément spécifique mis en évidence, tandis que la colonne de droite fournit une explication de l'élément mis en évidence. Le formateur doit passer en revue chaque élément, afin de permettre aux délégués de bien comprendre l'article 16 de la Convention de Budapest.</w:t>
            </w:r>
          </w:p>
          <w:p w14:paraId="52205596" w14:textId="77777777" w:rsidR="006B5302" w:rsidRPr="009C73DF" w:rsidRDefault="006B5302" w:rsidP="009C73DF">
            <w:pPr>
              <w:pStyle w:val="Subtitle"/>
              <w:spacing w:before="0" w:after="0" w:line="240" w:lineRule="auto"/>
              <w:rPr>
                <w:rFonts w:asciiTheme="minorHAnsi" w:eastAsia="Times New Roman" w:hAnsiTheme="minorHAnsi" w:cstheme="minorHAnsi"/>
                <w:sz w:val="24"/>
                <w:lang w:val="fr-FR"/>
              </w:rPr>
            </w:pPr>
            <w:r w:rsidRPr="009C73DF">
              <w:rPr>
                <w:rFonts w:asciiTheme="minorHAnsi" w:eastAsia="Times New Roman" w:hAnsiTheme="minorHAnsi" w:cstheme="minorHAnsi"/>
                <w:sz w:val="24"/>
                <w:lang w:val="fr-FR"/>
              </w:rPr>
              <w:t xml:space="preserve">La série de diapositives suivante présente un résumé du pouvoir conféré par l'article 17 de la Convention de Budapest. </w:t>
            </w:r>
          </w:p>
          <w:p w14:paraId="3D802D17" w14:textId="77777777" w:rsidR="006B5302" w:rsidRPr="009C73DF" w:rsidRDefault="006B5302" w:rsidP="009C73DF">
            <w:pPr>
              <w:pStyle w:val="Subtitle"/>
              <w:spacing w:before="0" w:after="0" w:line="240" w:lineRule="auto"/>
              <w:rPr>
                <w:rFonts w:asciiTheme="minorHAnsi" w:eastAsia="Times New Roman" w:hAnsiTheme="minorHAnsi" w:cstheme="minorHAnsi"/>
                <w:sz w:val="24"/>
                <w:lang w:val="fr-FR"/>
              </w:rPr>
            </w:pPr>
            <w:r w:rsidRPr="009C73DF">
              <w:rPr>
                <w:rFonts w:asciiTheme="minorHAnsi" w:eastAsia="Times New Roman" w:hAnsiTheme="minorHAnsi" w:cstheme="minorHAnsi"/>
                <w:sz w:val="24"/>
                <w:lang w:val="fr-FR"/>
              </w:rPr>
              <w:t>La dernière série de diapositives a été divisée en deux colonnes. La colonne de gauche reproduit le texte de l'article 17 de la Convention de Budapest avec un élément spécifique mis en évidence, tandis que la colonne de droite fournit une explication de l'élément mis en évidence. Le formateur doit passer en revue chaque élément, afin de permettre aux délégués de bien comprendre l'article 17 de la Convention de Budapest.</w:t>
            </w:r>
          </w:p>
          <w:p w14:paraId="3581F574" w14:textId="794E9DC6" w:rsidR="00EB0182" w:rsidRPr="009C73DF" w:rsidRDefault="006B5302" w:rsidP="009C73DF">
            <w:pPr>
              <w:pStyle w:val="Subtitle"/>
              <w:spacing w:before="0" w:after="0" w:line="240" w:lineRule="auto"/>
              <w:rPr>
                <w:rFonts w:asciiTheme="minorHAnsi" w:eastAsia="Times New Roman" w:hAnsiTheme="minorHAnsi" w:cstheme="minorHAnsi"/>
                <w:sz w:val="24"/>
                <w:lang w:val="fr-FR"/>
              </w:rPr>
            </w:pPr>
            <w:r w:rsidRPr="009C73DF">
              <w:rPr>
                <w:rFonts w:asciiTheme="minorHAnsi" w:eastAsia="Times New Roman" w:hAnsiTheme="minorHAnsi" w:cstheme="minorHAnsi"/>
                <w:sz w:val="24"/>
                <w:lang w:val="fr-FR"/>
              </w:rPr>
              <w:t>Le formateur peut demander aux délégués des exemples de la manière dont leur pays met en œuvre les pouvoirs procéduraux liés à la conservation accélérée des données informatiques stockées et à la conservation accélérée et à la divulgation partielle des données relatives au trafic.</w:t>
            </w:r>
          </w:p>
        </w:tc>
      </w:tr>
      <w:tr w:rsidR="00F1574D" w:rsidRPr="009C73DF" w14:paraId="4F010995" w14:textId="77777777" w:rsidTr="006B5302">
        <w:trPr>
          <w:trHeight w:val="791"/>
        </w:trPr>
        <w:tc>
          <w:tcPr>
            <w:tcW w:w="1838" w:type="dxa"/>
            <w:vAlign w:val="center"/>
          </w:tcPr>
          <w:p w14:paraId="15E808BA" w14:textId="0A6C2DF9" w:rsidR="00556D69" w:rsidRPr="009C73DF" w:rsidRDefault="00956062" w:rsidP="00F1574D">
            <w:pPr>
              <w:spacing w:before="120" w:after="120" w:line="280" w:lineRule="exact"/>
              <w:jc w:val="center"/>
              <w:rPr>
                <w:rFonts w:cstheme="minorHAnsi"/>
              </w:rPr>
            </w:pPr>
            <w:r w:rsidRPr="009C73DF">
              <w:rPr>
                <w:rFonts w:cstheme="minorHAnsi"/>
              </w:rPr>
              <w:lastRenderedPageBreak/>
              <w:t xml:space="preserve">28 </w:t>
            </w:r>
            <w:r w:rsidR="006B5302" w:rsidRPr="009C73DF">
              <w:rPr>
                <w:rFonts w:cstheme="minorHAnsi"/>
              </w:rPr>
              <w:t>à</w:t>
            </w:r>
            <w:r w:rsidR="00844FBF" w:rsidRPr="009C73DF">
              <w:rPr>
                <w:rFonts w:cstheme="minorHAnsi"/>
              </w:rPr>
              <w:t xml:space="preserve"> </w:t>
            </w:r>
            <w:r w:rsidRPr="009C73DF">
              <w:rPr>
                <w:rFonts w:cstheme="minorHAnsi"/>
              </w:rPr>
              <w:t>39</w:t>
            </w:r>
          </w:p>
          <w:p w14:paraId="48504862" w14:textId="4F5C03F1" w:rsidR="00C70C5C" w:rsidRPr="009C73DF" w:rsidRDefault="006B5302" w:rsidP="00F1574D">
            <w:pPr>
              <w:spacing w:before="120" w:after="120" w:line="280" w:lineRule="exact"/>
              <w:jc w:val="center"/>
              <w:rPr>
                <w:rFonts w:cstheme="minorHAnsi"/>
              </w:rPr>
            </w:pPr>
            <w:r w:rsidRPr="009C73DF">
              <w:rPr>
                <w:rFonts w:cstheme="minorHAnsi"/>
              </w:rPr>
              <w:t xml:space="preserve">Diapositives </w:t>
            </w:r>
            <w:proofErr w:type="spellStart"/>
            <w:r w:rsidRPr="009C73DF">
              <w:rPr>
                <w:rFonts w:cstheme="minorHAnsi"/>
              </w:rPr>
              <w:t>obligatoires</w:t>
            </w:r>
            <w:proofErr w:type="spellEnd"/>
          </w:p>
        </w:tc>
        <w:tc>
          <w:tcPr>
            <w:tcW w:w="7172" w:type="dxa"/>
            <w:gridSpan w:val="2"/>
            <w:vAlign w:val="center"/>
          </w:tcPr>
          <w:p w14:paraId="22862ACC" w14:textId="77777777" w:rsidR="006B5302" w:rsidRPr="009C73DF" w:rsidRDefault="006B5302" w:rsidP="009C73DF">
            <w:pPr>
              <w:pStyle w:val="Subtitle"/>
              <w:spacing w:before="0" w:after="0" w:line="240" w:lineRule="auto"/>
              <w:rPr>
                <w:rFonts w:asciiTheme="minorHAnsi" w:eastAsia="Times New Roman" w:hAnsiTheme="minorHAnsi" w:cstheme="minorHAnsi"/>
                <w:sz w:val="24"/>
                <w:lang w:val="fr-FR"/>
              </w:rPr>
            </w:pPr>
            <w:r w:rsidRPr="009C73DF">
              <w:rPr>
                <w:rFonts w:asciiTheme="minorHAnsi" w:eastAsia="Times New Roman" w:hAnsiTheme="minorHAnsi" w:cstheme="minorHAnsi"/>
                <w:sz w:val="24"/>
                <w:lang w:val="fr-FR"/>
              </w:rPr>
              <w:t xml:space="preserve">Ces diapositives expliquent les dispositions de droit procédural relatives à l'injonction de production en vertu de l'article 18 de la Convention de Budapest. </w:t>
            </w:r>
          </w:p>
          <w:p w14:paraId="10248B2F" w14:textId="77777777" w:rsidR="006B5302" w:rsidRPr="009C73DF" w:rsidRDefault="006B5302" w:rsidP="009C73DF">
            <w:pPr>
              <w:pStyle w:val="Subtitle"/>
              <w:spacing w:before="0" w:after="0" w:line="240" w:lineRule="auto"/>
              <w:rPr>
                <w:rFonts w:asciiTheme="minorHAnsi" w:eastAsia="Times New Roman" w:hAnsiTheme="minorHAnsi" w:cstheme="minorHAnsi"/>
                <w:sz w:val="24"/>
                <w:lang w:val="fr-FR"/>
              </w:rPr>
            </w:pPr>
            <w:r w:rsidRPr="009C73DF">
              <w:rPr>
                <w:rFonts w:asciiTheme="minorHAnsi" w:eastAsia="Times New Roman" w:hAnsiTheme="minorHAnsi" w:cstheme="minorHAnsi"/>
                <w:sz w:val="24"/>
                <w:lang w:val="fr-FR"/>
              </w:rPr>
              <w:t xml:space="preserve">La première série de diapositives présente un résumé du pouvoir prévu par l'article 18 de la Convention de Budapest. Elle présente également une étude de cas de l'affaire Yahoo ! en Belgique qui illustre la mise en œuvre de l'article 18 de la Convention de Budapest par un pays. </w:t>
            </w:r>
          </w:p>
          <w:p w14:paraId="4AF5B3D7" w14:textId="64FC50F4" w:rsidR="00C70C5C" w:rsidRPr="009C73DF" w:rsidRDefault="006B5302" w:rsidP="009C73DF">
            <w:pPr>
              <w:pStyle w:val="Subtitle"/>
              <w:spacing w:before="0" w:after="0" w:line="240" w:lineRule="auto"/>
              <w:rPr>
                <w:rFonts w:asciiTheme="minorHAnsi" w:eastAsia="Times New Roman" w:hAnsiTheme="minorHAnsi" w:cstheme="minorHAnsi"/>
                <w:sz w:val="24"/>
                <w:lang w:val="fr-FR"/>
              </w:rPr>
            </w:pPr>
            <w:r w:rsidRPr="009C73DF">
              <w:rPr>
                <w:rFonts w:asciiTheme="minorHAnsi" w:eastAsia="Times New Roman" w:hAnsiTheme="minorHAnsi" w:cstheme="minorHAnsi"/>
                <w:sz w:val="24"/>
                <w:lang w:val="fr-FR"/>
              </w:rPr>
              <w:t>La série suivante de diapositives a été divisée en deux colonnes. La colonne de gauche reproduit le texte de l'article 18 de la Convention de Budapest avec un élément spécifique mis en évidence, tandis que la colonne de droite fournit une explication de l'élément mis en évidence. Le formateur doit passer en revue chaque élément, afin de permettre aux délégués de bien comprendre l'article 18 de la Convention de Budapest.</w:t>
            </w:r>
          </w:p>
        </w:tc>
      </w:tr>
      <w:tr w:rsidR="00F1574D" w:rsidRPr="009C73DF" w14:paraId="35503B3F" w14:textId="77777777" w:rsidTr="006B5302">
        <w:trPr>
          <w:trHeight w:val="1259"/>
        </w:trPr>
        <w:tc>
          <w:tcPr>
            <w:tcW w:w="1838" w:type="dxa"/>
            <w:vAlign w:val="center"/>
          </w:tcPr>
          <w:p w14:paraId="5A87A945" w14:textId="11E606B2" w:rsidR="00556D69" w:rsidRPr="009C73DF" w:rsidRDefault="00956062" w:rsidP="00F1574D">
            <w:pPr>
              <w:spacing w:before="120" w:after="120" w:line="280" w:lineRule="exact"/>
              <w:jc w:val="center"/>
              <w:rPr>
                <w:rFonts w:cstheme="minorHAnsi"/>
              </w:rPr>
            </w:pPr>
            <w:r w:rsidRPr="009C73DF">
              <w:rPr>
                <w:rFonts w:cstheme="minorHAnsi"/>
              </w:rPr>
              <w:t xml:space="preserve">40 </w:t>
            </w:r>
            <w:r w:rsidR="006B5302" w:rsidRPr="009C73DF">
              <w:rPr>
                <w:rFonts w:cstheme="minorHAnsi"/>
              </w:rPr>
              <w:t>à</w:t>
            </w:r>
            <w:r w:rsidR="006527C6" w:rsidRPr="009C73DF">
              <w:rPr>
                <w:rFonts w:cstheme="minorHAnsi"/>
              </w:rPr>
              <w:t xml:space="preserve"> </w:t>
            </w:r>
            <w:r w:rsidRPr="009C73DF">
              <w:rPr>
                <w:rFonts w:cstheme="minorHAnsi"/>
              </w:rPr>
              <w:t>41</w:t>
            </w:r>
          </w:p>
          <w:p w14:paraId="5DE9D224" w14:textId="78EE83DD" w:rsidR="00F1574D" w:rsidRPr="009C73DF" w:rsidRDefault="006B5302" w:rsidP="00F1574D">
            <w:pPr>
              <w:spacing w:before="120" w:after="120" w:line="280" w:lineRule="exact"/>
              <w:jc w:val="center"/>
              <w:rPr>
                <w:rFonts w:cstheme="minorHAnsi"/>
              </w:rPr>
            </w:pPr>
            <w:r w:rsidRPr="009C73DF">
              <w:rPr>
                <w:rFonts w:cstheme="minorHAnsi"/>
              </w:rPr>
              <w:t xml:space="preserve">Diapositives </w:t>
            </w:r>
            <w:proofErr w:type="spellStart"/>
            <w:r w:rsidRPr="009C73DF">
              <w:rPr>
                <w:rFonts w:cstheme="minorHAnsi"/>
              </w:rPr>
              <w:t>importantes</w:t>
            </w:r>
            <w:proofErr w:type="spellEnd"/>
          </w:p>
        </w:tc>
        <w:tc>
          <w:tcPr>
            <w:tcW w:w="7172" w:type="dxa"/>
            <w:gridSpan w:val="2"/>
            <w:vAlign w:val="center"/>
          </w:tcPr>
          <w:p w14:paraId="6E2FA816" w14:textId="49E37F2D" w:rsidR="00314D32" w:rsidRPr="009C73DF" w:rsidRDefault="009C73DF" w:rsidP="009C73DF">
            <w:pPr>
              <w:pStyle w:val="Subtitle"/>
              <w:spacing w:before="0" w:after="0" w:line="240" w:lineRule="auto"/>
              <w:rPr>
                <w:rFonts w:asciiTheme="minorHAnsi" w:hAnsiTheme="minorHAnsi" w:cstheme="minorHAnsi"/>
                <w:sz w:val="24"/>
                <w:lang w:val="fr-FR"/>
              </w:rPr>
            </w:pPr>
            <w:r w:rsidRPr="009C73DF">
              <w:rPr>
                <w:rFonts w:asciiTheme="minorHAnsi" w:eastAsia="Times New Roman" w:hAnsiTheme="minorHAnsi" w:cstheme="minorHAnsi"/>
                <w:sz w:val="24"/>
                <w:lang w:val="fr-FR"/>
              </w:rPr>
              <w:t>Le formateur doit récapituler les objectifs de la session avec les délégués et leur donner la possibilité de poser toutes les questions relatives aux matières abordées dans ce module.</w:t>
            </w:r>
          </w:p>
        </w:tc>
      </w:tr>
      <w:tr w:rsidR="00CB3026" w:rsidRPr="009C73DF" w14:paraId="2ECF09B7" w14:textId="77777777" w:rsidTr="00F1574D">
        <w:trPr>
          <w:trHeight w:val="890"/>
        </w:trPr>
        <w:tc>
          <w:tcPr>
            <w:tcW w:w="9010" w:type="dxa"/>
            <w:gridSpan w:val="3"/>
            <w:vAlign w:val="center"/>
          </w:tcPr>
          <w:p w14:paraId="55ED1F4B" w14:textId="5A23C514" w:rsidR="00CB3026" w:rsidRPr="009C73DF" w:rsidRDefault="00CB3026" w:rsidP="00CB3026">
            <w:pPr>
              <w:spacing w:before="120" w:after="120" w:line="280" w:lineRule="exact"/>
              <w:rPr>
                <w:rFonts w:cstheme="minorHAnsi"/>
                <w:b/>
                <w:lang w:val="fr-FR"/>
              </w:rPr>
            </w:pPr>
            <w:r w:rsidRPr="009C73DF">
              <w:rPr>
                <w:rFonts w:cstheme="minorHAnsi"/>
                <w:b/>
                <w:lang w:val="fr-FR"/>
              </w:rPr>
              <w:t>Exerci</w:t>
            </w:r>
            <w:r w:rsidR="009C73DF" w:rsidRPr="009C73DF">
              <w:rPr>
                <w:rFonts w:cstheme="minorHAnsi"/>
                <w:b/>
                <w:lang w:val="fr-FR"/>
              </w:rPr>
              <w:t>c</w:t>
            </w:r>
            <w:r w:rsidRPr="009C73DF">
              <w:rPr>
                <w:rFonts w:cstheme="minorHAnsi"/>
                <w:b/>
                <w:lang w:val="fr-FR"/>
              </w:rPr>
              <w:t>es</w:t>
            </w:r>
            <w:r w:rsidR="009C73DF" w:rsidRPr="009C73DF">
              <w:rPr>
                <w:rFonts w:cstheme="minorHAnsi"/>
                <w:b/>
                <w:lang w:val="fr-FR"/>
              </w:rPr>
              <w:t xml:space="preserve"> Pratiques</w:t>
            </w:r>
          </w:p>
          <w:p w14:paraId="04D65D89" w14:textId="3FC45A04" w:rsidR="00CB3026" w:rsidRPr="009C73DF" w:rsidRDefault="009C73DF" w:rsidP="00B3608C">
            <w:pPr>
              <w:spacing w:before="120" w:after="120" w:line="280" w:lineRule="exact"/>
              <w:rPr>
                <w:rFonts w:cstheme="minorHAnsi"/>
                <w:lang w:val="fr-FR"/>
              </w:rPr>
            </w:pPr>
            <w:r w:rsidRPr="009C73DF">
              <w:rPr>
                <w:rFonts w:cstheme="minorHAnsi"/>
                <w:color w:val="000000" w:themeColor="text1"/>
                <w:lang w:val="fr-FR"/>
              </w:rPr>
              <w:t>Il n'y a pas d'exercices pratiques associés à cette leçon.</w:t>
            </w:r>
          </w:p>
        </w:tc>
      </w:tr>
      <w:tr w:rsidR="00CB3026" w:rsidRPr="009C73DF" w14:paraId="603967A2" w14:textId="77777777" w:rsidTr="00F1574D">
        <w:tc>
          <w:tcPr>
            <w:tcW w:w="9010" w:type="dxa"/>
            <w:gridSpan w:val="3"/>
            <w:vAlign w:val="center"/>
          </w:tcPr>
          <w:p w14:paraId="0A0E6623" w14:textId="77777777" w:rsidR="009C73DF" w:rsidRPr="009C73DF" w:rsidRDefault="009C73DF" w:rsidP="009C73DF">
            <w:pPr>
              <w:spacing w:before="120" w:after="120" w:line="280" w:lineRule="exact"/>
              <w:rPr>
                <w:rFonts w:cstheme="minorHAnsi"/>
                <w:b/>
                <w:lang w:val="fr-FR"/>
              </w:rPr>
            </w:pPr>
            <w:r w:rsidRPr="009C73DF">
              <w:rPr>
                <w:rFonts w:cstheme="minorHAnsi"/>
                <w:b/>
                <w:lang w:val="fr-FR"/>
              </w:rPr>
              <w:lastRenderedPageBreak/>
              <w:t>Évaluation/vérification des connaissances</w:t>
            </w:r>
          </w:p>
          <w:p w14:paraId="4496975B" w14:textId="2B2A7E8B" w:rsidR="00CB3026" w:rsidRPr="009C73DF" w:rsidRDefault="009C73DF" w:rsidP="00B3608C">
            <w:pPr>
              <w:spacing w:before="120" w:after="120" w:line="280" w:lineRule="exact"/>
              <w:rPr>
                <w:rFonts w:cstheme="minorHAnsi"/>
                <w:bCs/>
                <w:lang w:val="fr-FR"/>
              </w:rPr>
            </w:pPr>
            <w:r w:rsidRPr="009C73DF">
              <w:rPr>
                <w:rFonts w:cstheme="minorHAnsi"/>
                <w:bCs/>
                <w:lang w:val="fr-FR"/>
              </w:rPr>
              <w:t>Aucune vérification ou évaluation des connaissances n'a été demandée pour cette session.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848348D"/>
    <w:multiLevelType w:val="hybridMultilevel"/>
    <w:tmpl w:val="A1FA8F48"/>
    <w:lvl w:ilvl="0" w:tplc="289649DA">
      <w:start w:val="1"/>
      <w:numFmt w:val="bullet"/>
      <w:lvlText w:val="•"/>
      <w:lvlJc w:val="left"/>
      <w:pPr>
        <w:tabs>
          <w:tab w:val="num" w:pos="720"/>
        </w:tabs>
        <w:ind w:left="720" w:hanging="360"/>
      </w:pPr>
      <w:rPr>
        <w:rFonts w:ascii="Arial" w:hAnsi="Arial" w:hint="default"/>
      </w:rPr>
    </w:lvl>
    <w:lvl w:ilvl="1" w:tplc="92D47924">
      <w:numFmt w:val="none"/>
      <w:lvlText w:val=""/>
      <w:lvlJc w:val="left"/>
      <w:pPr>
        <w:tabs>
          <w:tab w:val="num" w:pos="360"/>
        </w:tabs>
      </w:pPr>
    </w:lvl>
    <w:lvl w:ilvl="2" w:tplc="BCA2276A" w:tentative="1">
      <w:start w:val="1"/>
      <w:numFmt w:val="bullet"/>
      <w:lvlText w:val="•"/>
      <w:lvlJc w:val="left"/>
      <w:pPr>
        <w:tabs>
          <w:tab w:val="num" w:pos="2160"/>
        </w:tabs>
        <w:ind w:left="2160" w:hanging="360"/>
      </w:pPr>
      <w:rPr>
        <w:rFonts w:ascii="Arial" w:hAnsi="Arial" w:hint="default"/>
      </w:rPr>
    </w:lvl>
    <w:lvl w:ilvl="3" w:tplc="960A76CA" w:tentative="1">
      <w:start w:val="1"/>
      <w:numFmt w:val="bullet"/>
      <w:lvlText w:val="•"/>
      <w:lvlJc w:val="left"/>
      <w:pPr>
        <w:tabs>
          <w:tab w:val="num" w:pos="2880"/>
        </w:tabs>
        <w:ind w:left="2880" w:hanging="360"/>
      </w:pPr>
      <w:rPr>
        <w:rFonts w:ascii="Arial" w:hAnsi="Arial" w:hint="default"/>
      </w:rPr>
    </w:lvl>
    <w:lvl w:ilvl="4" w:tplc="C32E3644" w:tentative="1">
      <w:start w:val="1"/>
      <w:numFmt w:val="bullet"/>
      <w:lvlText w:val="•"/>
      <w:lvlJc w:val="left"/>
      <w:pPr>
        <w:tabs>
          <w:tab w:val="num" w:pos="3600"/>
        </w:tabs>
        <w:ind w:left="3600" w:hanging="360"/>
      </w:pPr>
      <w:rPr>
        <w:rFonts w:ascii="Arial" w:hAnsi="Arial" w:hint="default"/>
      </w:rPr>
    </w:lvl>
    <w:lvl w:ilvl="5" w:tplc="57D4F21C" w:tentative="1">
      <w:start w:val="1"/>
      <w:numFmt w:val="bullet"/>
      <w:lvlText w:val="•"/>
      <w:lvlJc w:val="left"/>
      <w:pPr>
        <w:tabs>
          <w:tab w:val="num" w:pos="4320"/>
        </w:tabs>
        <w:ind w:left="4320" w:hanging="360"/>
      </w:pPr>
      <w:rPr>
        <w:rFonts w:ascii="Arial" w:hAnsi="Arial" w:hint="default"/>
      </w:rPr>
    </w:lvl>
    <w:lvl w:ilvl="6" w:tplc="A9D033E2" w:tentative="1">
      <w:start w:val="1"/>
      <w:numFmt w:val="bullet"/>
      <w:lvlText w:val="•"/>
      <w:lvlJc w:val="left"/>
      <w:pPr>
        <w:tabs>
          <w:tab w:val="num" w:pos="5040"/>
        </w:tabs>
        <w:ind w:left="5040" w:hanging="360"/>
      </w:pPr>
      <w:rPr>
        <w:rFonts w:ascii="Arial" w:hAnsi="Arial" w:hint="default"/>
      </w:rPr>
    </w:lvl>
    <w:lvl w:ilvl="7" w:tplc="DE9A7116" w:tentative="1">
      <w:start w:val="1"/>
      <w:numFmt w:val="bullet"/>
      <w:lvlText w:val="•"/>
      <w:lvlJc w:val="left"/>
      <w:pPr>
        <w:tabs>
          <w:tab w:val="num" w:pos="5760"/>
        </w:tabs>
        <w:ind w:left="5760" w:hanging="360"/>
      </w:pPr>
      <w:rPr>
        <w:rFonts w:ascii="Arial" w:hAnsi="Arial" w:hint="default"/>
      </w:rPr>
    </w:lvl>
    <w:lvl w:ilvl="8" w:tplc="E91C5FA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8E26929"/>
    <w:multiLevelType w:val="hybridMultilevel"/>
    <w:tmpl w:val="8EC0BE0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6"/>
  </w:num>
  <w:num w:numId="4">
    <w:abstractNumId w:val="4"/>
  </w:num>
  <w:num w:numId="5">
    <w:abstractNumId w:val="5"/>
  </w:num>
  <w:num w:numId="6">
    <w:abstractNumId w:val="12"/>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1"/>
  </w:num>
  <w:num w:numId="10">
    <w:abstractNumId w:val="1"/>
  </w:num>
  <w:num w:numId="11">
    <w:abstractNumId w:val="10"/>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04EF1"/>
    <w:rsid w:val="00027F4D"/>
    <w:rsid w:val="00051376"/>
    <w:rsid w:val="000569D3"/>
    <w:rsid w:val="000C40EE"/>
    <w:rsid w:val="000D0409"/>
    <w:rsid w:val="000F04E4"/>
    <w:rsid w:val="000F7896"/>
    <w:rsid w:val="00166AE7"/>
    <w:rsid w:val="00192BC7"/>
    <w:rsid w:val="001A1F68"/>
    <w:rsid w:val="001D2D02"/>
    <w:rsid w:val="001D603D"/>
    <w:rsid w:val="001E7389"/>
    <w:rsid w:val="00207B05"/>
    <w:rsid w:val="0025063A"/>
    <w:rsid w:val="00254BD5"/>
    <w:rsid w:val="00271010"/>
    <w:rsid w:val="002E3ECE"/>
    <w:rsid w:val="002F3B54"/>
    <w:rsid w:val="00312734"/>
    <w:rsid w:val="00314D32"/>
    <w:rsid w:val="00325B4C"/>
    <w:rsid w:val="0034224C"/>
    <w:rsid w:val="00342639"/>
    <w:rsid w:val="003453F7"/>
    <w:rsid w:val="003630ED"/>
    <w:rsid w:val="00372572"/>
    <w:rsid w:val="00394E20"/>
    <w:rsid w:val="003A435F"/>
    <w:rsid w:val="003F6587"/>
    <w:rsid w:val="00437AF3"/>
    <w:rsid w:val="00450007"/>
    <w:rsid w:val="00457DD3"/>
    <w:rsid w:val="00491C99"/>
    <w:rsid w:val="004B7351"/>
    <w:rsid w:val="00514FE0"/>
    <w:rsid w:val="00556D69"/>
    <w:rsid w:val="005703B7"/>
    <w:rsid w:val="00594204"/>
    <w:rsid w:val="005A4E47"/>
    <w:rsid w:val="005D4432"/>
    <w:rsid w:val="006527C6"/>
    <w:rsid w:val="00671ADF"/>
    <w:rsid w:val="006B0B52"/>
    <w:rsid w:val="006B3820"/>
    <w:rsid w:val="006B5302"/>
    <w:rsid w:val="006D4EB9"/>
    <w:rsid w:val="006E314A"/>
    <w:rsid w:val="006F5E5F"/>
    <w:rsid w:val="0075334E"/>
    <w:rsid w:val="007678A6"/>
    <w:rsid w:val="00775CE6"/>
    <w:rsid w:val="007E3B3E"/>
    <w:rsid w:val="007E44F7"/>
    <w:rsid w:val="00844FBF"/>
    <w:rsid w:val="008817F1"/>
    <w:rsid w:val="008A4C93"/>
    <w:rsid w:val="008C3900"/>
    <w:rsid w:val="008E3FE7"/>
    <w:rsid w:val="00906F18"/>
    <w:rsid w:val="00951791"/>
    <w:rsid w:val="00956062"/>
    <w:rsid w:val="009B4375"/>
    <w:rsid w:val="009C73DF"/>
    <w:rsid w:val="009D1DB1"/>
    <w:rsid w:val="009E1390"/>
    <w:rsid w:val="009E3827"/>
    <w:rsid w:val="009F336B"/>
    <w:rsid w:val="00A03CF0"/>
    <w:rsid w:val="00A14451"/>
    <w:rsid w:val="00A31A58"/>
    <w:rsid w:val="00A342ED"/>
    <w:rsid w:val="00A4110D"/>
    <w:rsid w:val="00A439ED"/>
    <w:rsid w:val="00A55067"/>
    <w:rsid w:val="00A639EB"/>
    <w:rsid w:val="00A734A5"/>
    <w:rsid w:val="00A76996"/>
    <w:rsid w:val="00A94D8B"/>
    <w:rsid w:val="00AA5742"/>
    <w:rsid w:val="00AC1380"/>
    <w:rsid w:val="00AC45A8"/>
    <w:rsid w:val="00B3608C"/>
    <w:rsid w:val="00BA7368"/>
    <w:rsid w:val="00BD2406"/>
    <w:rsid w:val="00BF2657"/>
    <w:rsid w:val="00C115FC"/>
    <w:rsid w:val="00C541A2"/>
    <w:rsid w:val="00C70C5C"/>
    <w:rsid w:val="00C83397"/>
    <w:rsid w:val="00CB02C4"/>
    <w:rsid w:val="00CB3026"/>
    <w:rsid w:val="00CC1F79"/>
    <w:rsid w:val="00D01845"/>
    <w:rsid w:val="00D71080"/>
    <w:rsid w:val="00D82C18"/>
    <w:rsid w:val="00DC51B0"/>
    <w:rsid w:val="00E13BE7"/>
    <w:rsid w:val="00E7344B"/>
    <w:rsid w:val="00E95703"/>
    <w:rsid w:val="00EB0182"/>
    <w:rsid w:val="00F1574D"/>
    <w:rsid w:val="00F504D6"/>
    <w:rsid w:val="00F62A15"/>
    <w:rsid w:val="00F955B5"/>
    <w:rsid w:val="00FA5D5D"/>
    <w:rsid w:val="00FB24E8"/>
    <w:rsid w:val="00FB6DE5"/>
    <w:rsid w:val="00FC3D65"/>
    <w:rsid w:val="00FE45CA"/>
    <w:rsid w:val="00FF0836"/>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 w:type="paragraph" w:styleId="BalloonText">
    <w:name w:val="Balloon Text"/>
    <w:basedOn w:val="Normal"/>
    <w:link w:val="BalloonTextChar"/>
    <w:uiPriority w:val="99"/>
    <w:semiHidden/>
    <w:unhideWhenUsed/>
    <w:rsid w:val="00192B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2B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 w:id="1589388960">
      <w:bodyDiv w:val="1"/>
      <w:marLeft w:val="0"/>
      <w:marRight w:val="0"/>
      <w:marTop w:val="0"/>
      <w:marBottom w:val="0"/>
      <w:divBdr>
        <w:top w:val="none" w:sz="0" w:space="0" w:color="auto"/>
        <w:left w:val="none" w:sz="0" w:space="0" w:color="auto"/>
        <w:bottom w:val="none" w:sz="0" w:space="0" w:color="auto"/>
        <w:right w:val="none" w:sz="0" w:space="0" w:color="auto"/>
      </w:divBdr>
      <w:divsChild>
        <w:div w:id="1557819379">
          <w:marLeft w:val="547"/>
          <w:marRight w:val="0"/>
          <w:marTop w:val="120"/>
          <w:marBottom w:val="0"/>
          <w:divBdr>
            <w:top w:val="none" w:sz="0" w:space="0" w:color="auto"/>
            <w:left w:val="none" w:sz="0" w:space="0" w:color="auto"/>
            <w:bottom w:val="none" w:sz="0" w:space="0" w:color="auto"/>
            <w:right w:val="none" w:sz="0" w:space="0" w:color="auto"/>
          </w:divBdr>
        </w:div>
        <w:div w:id="2095929277">
          <w:marLeft w:val="547"/>
          <w:marRight w:val="0"/>
          <w:marTop w:val="120"/>
          <w:marBottom w:val="0"/>
          <w:divBdr>
            <w:top w:val="none" w:sz="0" w:space="0" w:color="auto"/>
            <w:left w:val="none" w:sz="0" w:space="0" w:color="auto"/>
            <w:bottom w:val="none" w:sz="0" w:space="0" w:color="auto"/>
            <w:right w:val="none" w:sz="0" w:space="0" w:color="auto"/>
          </w:divBdr>
        </w:div>
        <w:div w:id="1517882161">
          <w:marLeft w:val="547"/>
          <w:marRight w:val="0"/>
          <w:marTop w:val="120"/>
          <w:marBottom w:val="0"/>
          <w:divBdr>
            <w:top w:val="none" w:sz="0" w:space="0" w:color="auto"/>
            <w:left w:val="none" w:sz="0" w:space="0" w:color="auto"/>
            <w:bottom w:val="none" w:sz="0" w:space="0" w:color="auto"/>
            <w:right w:val="none" w:sz="0" w:space="0" w:color="auto"/>
          </w:divBdr>
        </w:div>
        <w:div w:id="1241141788">
          <w:marLeft w:val="1166"/>
          <w:marRight w:val="0"/>
          <w:marTop w:val="115"/>
          <w:marBottom w:val="0"/>
          <w:divBdr>
            <w:top w:val="none" w:sz="0" w:space="0" w:color="auto"/>
            <w:left w:val="none" w:sz="0" w:space="0" w:color="auto"/>
            <w:bottom w:val="none" w:sz="0" w:space="0" w:color="auto"/>
            <w:right w:val="none" w:sz="0" w:space="0" w:color="auto"/>
          </w:divBdr>
        </w:div>
        <w:div w:id="41442154">
          <w:marLeft w:val="1166"/>
          <w:marRight w:val="0"/>
          <w:marTop w:val="115"/>
          <w:marBottom w:val="0"/>
          <w:divBdr>
            <w:top w:val="none" w:sz="0" w:space="0" w:color="auto"/>
            <w:left w:val="none" w:sz="0" w:space="0" w:color="auto"/>
            <w:bottom w:val="none" w:sz="0" w:space="0" w:color="auto"/>
            <w:right w:val="none" w:sz="0" w:space="0" w:color="auto"/>
          </w:divBdr>
        </w:div>
        <w:div w:id="1170487346">
          <w:marLeft w:val="1166"/>
          <w:marRight w:val="0"/>
          <w:marTop w:val="115"/>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1110</Words>
  <Characters>6327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Coumba Mathurin Diop</cp:lastModifiedBy>
  <cp:revision>2</cp:revision>
  <dcterms:created xsi:type="dcterms:W3CDTF">2021-02-28T22:49:00Z</dcterms:created>
  <dcterms:modified xsi:type="dcterms:W3CDTF">2021-02-28T22:49:00Z</dcterms:modified>
</cp:coreProperties>
</file>