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CCC12" w14:textId="3E27CA8A" w:rsidR="004028F3" w:rsidRPr="004028F3" w:rsidRDefault="004028F3" w:rsidP="00BA319A">
      <w:pPr>
        <w:rPr>
          <w:rFonts w:ascii="Verdana" w:hAnsi="Verdana"/>
          <w:b/>
          <w:bCs/>
          <w:color w:val="000000" w:themeColor="text1"/>
          <w:sz w:val="28"/>
          <w:szCs w:val="28"/>
          <w:lang w:val="fr-FR"/>
        </w:rPr>
      </w:pPr>
      <w:r w:rsidRPr="004028F3">
        <w:rPr>
          <w:rFonts w:ascii="Verdana" w:hAnsi="Verdana"/>
          <w:b/>
          <w:bCs/>
          <w:color w:val="000000" w:themeColor="text1"/>
          <w:sz w:val="28"/>
          <w:szCs w:val="28"/>
          <w:lang w:val="fr-FR"/>
        </w:rPr>
        <w:t>Leçon 3.x Renforcement des compétences en matière de cybercriminalité</w:t>
      </w:r>
    </w:p>
    <w:p w14:paraId="1D0E3DC5" w14:textId="14C23F0E" w:rsidR="00C115FC" w:rsidRPr="004028F3" w:rsidRDefault="00C115FC" w:rsidP="00BA319A">
      <w:pPr>
        <w:rPr>
          <w:rFonts w:ascii="Verdana" w:hAnsi="Verdana"/>
          <w:lang w:val="fr-FR"/>
        </w:rPr>
      </w:pPr>
    </w:p>
    <w:tbl>
      <w:tblPr>
        <w:tblStyle w:val="TableGrid"/>
        <w:tblW w:w="0" w:type="auto"/>
        <w:tblLayout w:type="fixed"/>
        <w:tblLook w:val="04A0" w:firstRow="1" w:lastRow="0" w:firstColumn="1" w:lastColumn="0" w:noHBand="0" w:noVBand="1"/>
      </w:tblPr>
      <w:tblGrid>
        <w:gridCol w:w="1838"/>
        <w:gridCol w:w="5007"/>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55A9D188" w14:textId="7A2400AD" w:rsidR="004028F3" w:rsidRPr="004028F3" w:rsidRDefault="004028F3" w:rsidP="00BA319A">
            <w:pPr>
              <w:rPr>
                <w:rFonts w:ascii="Verdana" w:hAnsi="Verdana"/>
                <w:color w:val="000000" w:themeColor="text1"/>
                <w:sz w:val="22"/>
                <w:szCs w:val="22"/>
                <w:lang w:val="fr-FR"/>
              </w:rPr>
            </w:pPr>
            <w:r w:rsidRPr="004028F3">
              <w:rPr>
                <w:rFonts w:ascii="Verdana" w:hAnsi="Verdana"/>
                <w:color w:val="000000" w:themeColor="text1"/>
                <w:sz w:val="22"/>
                <w:szCs w:val="22"/>
                <w:lang w:val="fr-FR"/>
              </w:rPr>
              <w:t>Leçon 3.x Renforcement des compétences en matière de cybercriminalité</w:t>
            </w:r>
          </w:p>
          <w:p w14:paraId="0067FF35" w14:textId="37B9BDEC" w:rsidR="00D82C18" w:rsidRPr="004028F3" w:rsidRDefault="00D82C18" w:rsidP="00C115FC">
            <w:pPr>
              <w:rPr>
                <w:rFonts w:ascii="Verdana" w:hAnsi="Verdana"/>
                <w:sz w:val="22"/>
                <w:szCs w:val="22"/>
                <w:lang w:val="fr-FR"/>
              </w:rPr>
            </w:pPr>
          </w:p>
        </w:tc>
        <w:tc>
          <w:tcPr>
            <w:tcW w:w="2165" w:type="dxa"/>
            <w:shd w:val="clear" w:color="auto" w:fill="DEEAF6" w:themeFill="accent5" w:themeFillTint="33"/>
            <w:vAlign w:val="center"/>
          </w:tcPr>
          <w:p w14:paraId="30B631DA" w14:textId="1C8813B8" w:rsidR="004028F3" w:rsidRPr="00D82C18" w:rsidRDefault="004028F3" w:rsidP="00C115FC">
            <w:pPr>
              <w:rPr>
                <w:rFonts w:ascii="Verdana" w:hAnsi="Verdana"/>
                <w:sz w:val="22"/>
                <w:szCs w:val="22"/>
              </w:rPr>
            </w:pPr>
            <w:r w:rsidRPr="004028F3">
              <w:rPr>
                <w:rFonts w:ascii="Verdana" w:hAnsi="Verdana"/>
                <w:sz w:val="22"/>
                <w:szCs w:val="22"/>
              </w:rPr>
              <w:t>Durée: 130 minutes</w:t>
            </w:r>
          </w:p>
        </w:tc>
      </w:tr>
      <w:tr w:rsidR="00E7344B" w:rsidRPr="00083826" w14:paraId="7C1107AB" w14:textId="77777777" w:rsidTr="00B56791">
        <w:trPr>
          <w:trHeight w:val="1376"/>
        </w:trPr>
        <w:tc>
          <w:tcPr>
            <w:tcW w:w="9010" w:type="dxa"/>
            <w:gridSpan w:val="3"/>
            <w:vAlign w:val="center"/>
          </w:tcPr>
          <w:p w14:paraId="1477B381" w14:textId="4F2E121C" w:rsidR="004028F3" w:rsidRDefault="004028F3" w:rsidP="004028F3">
            <w:pPr>
              <w:pStyle w:val="bul1"/>
              <w:numPr>
                <w:ilvl w:val="0"/>
                <w:numId w:val="0"/>
              </w:numPr>
              <w:spacing w:line="280" w:lineRule="exact"/>
              <w:ind w:left="851" w:hanging="851"/>
              <w:rPr>
                <w:lang w:val="en-GB"/>
              </w:rPr>
            </w:pPr>
          </w:p>
          <w:p w14:paraId="5C385C2B" w14:textId="5A0B6BA9" w:rsidR="004028F3" w:rsidRPr="004028F3" w:rsidRDefault="004028F3" w:rsidP="004028F3">
            <w:pPr>
              <w:pStyle w:val="bul1"/>
              <w:numPr>
                <w:ilvl w:val="0"/>
                <w:numId w:val="0"/>
              </w:numPr>
              <w:spacing w:line="280" w:lineRule="exact"/>
              <w:ind w:left="851" w:hanging="851"/>
              <w:rPr>
                <w:b/>
                <w:bCs/>
                <w:sz w:val="22"/>
                <w:szCs w:val="22"/>
                <w:lang w:val="en-GB"/>
              </w:rPr>
            </w:pPr>
            <w:proofErr w:type="spellStart"/>
            <w:r w:rsidRPr="004028F3">
              <w:rPr>
                <w:b/>
                <w:bCs/>
                <w:sz w:val="22"/>
                <w:szCs w:val="22"/>
                <w:lang w:val="en-GB"/>
              </w:rPr>
              <w:t>Ressources</w:t>
            </w:r>
            <w:proofErr w:type="spellEnd"/>
            <w:r w:rsidRPr="004028F3">
              <w:rPr>
                <w:b/>
                <w:bCs/>
                <w:sz w:val="22"/>
                <w:szCs w:val="22"/>
                <w:lang w:val="en-GB"/>
              </w:rPr>
              <w:t xml:space="preserve"> </w:t>
            </w:r>
            <w:proofErr w:type="spellStart"/>
            <w:proofErr w:type="gramStart"/>
            <w:r w:rsidRPr="004028F3">
              <w:rPr>
                <w:b/>
                <w:bCs/>
                <w:sz w:val="22"/>
                <w:szCs w:val="22"/>
                <w:lang w:val="en-GB"/>
              </w:rPr>
              <w:t>nécessaires</w:t>
            </w:r>
            <w:proofErr w:type="spellEnd"/>
            <w:r w:rsidR="00C0304C">
              <w:rPr>
                <w:b/>
                <w:bCs/>
                <w:sz w:val="22"/>
                <w:szCs w:val="22"/>
                <w:lang w:val="en-GB"/>
              </w:rPr>
              <w:t xml:space="preserve"> </w:t>
            </w:r>
            <w:r w:rsidRPr="004028F3">
              <w:rPr>
                <w:b/>
                <w:bCs/>
                <w:sz w:val="22"/>
                <w:szCs w:val="22"/>
                <w:lang w:val="en-GB"/>
              </w:rPr>
              <w:t>:</w:t>
            </w:r>
            <w:proofErr w:type="gramEnd"/>
            <w:r w:rsidRPr="004028F3">
              <w:rPr>
                <w:b/>
                <w:bCs/>
                <w:sz w:val="22"/>
                <w:szCs w:val="22"/>
                <w:lang w:val="en-GB"/>
              </w:rPr>
              <w:t xml:space="preserve"> </w:t>
            </w:r>
          </w:p>
          <w:p w14:paraId="7934C877" w14:textId="193B5E3A" w:rsidR="004028F3" w:rsidRPr="004028F3" w:rsidRDefault="004028F3" w:rsidP="004028F3">
            <w:pPr>
              <w:pStyle w:val="bul1"/>
              <w:spacing w:line="280" w:lineRule="exact"/>
              <w:ind w:left="733" w:hanging="425"/>
              <w:rPr>
                <w:lang w:val="fr-FR"/>
              </w:rPr>
            </w:pPr>
            <w:r w:rsidRPr="004028F3">
              <w:rPr>
                <w:lang w:val="fr-FR"/>
              </w:rPr>
              <w:t xml:space="preserve">PC/ordinateur portable chargé avec des versions de logiciel compatibles avec les matériaux préparés </w:t>
            </w:r>
          </w:p>
          <w:p w14:paraId="1167C7E0" w14:textId="64409459" w:rsidR="004028F3" w:rsidRPr="004028F3" w:rsidRDefault="004028F3" w:rsidP="004028F3">
            <w:pPr>
              <w:pStyle w:val="bul1"/>
              <w:spacing w:line="280" w:lineRule="exact"/>
              <w:ind w:left="733" w:hanging="425"/>
              <w:rPr>
                <w:lang w:val="fr-FR"/>
              </w:rPr>
            </w:pPr>
            <w:r w:rsidRPr="004028F3">
              <w:rPr>
                <w:lang w:val="fr-FR"/>
              </w:rPr>
              <w:t xml:space="preserve">Accès à Internet (si disponible) </w:t>
            </w:r>
          </w:p>
          <w:p w14:paraId="3579A97E" w14:textId="4B36D3CA" w:rsidR="004028F3" w:rsidRPr="004028F3" w:rsidRDefault="004028F3" w:rsidP="004028F3">
            <w:pPr>
              <w:pStyle w:val="bul1"/>
              <w:spacing w:line="280" w:lineRule="exact"/>
              <w:ind w:left="733" w:hanging="425"/>
              <w:rPr>
                <w:lang w:val="fr-FR"/>
              </w:rPr>
            </w:pPr>
            <w:r w:rsidRPr="004028F3">
              <w:rPr>
                <w:lang w:val="fr-FR"/>
              </w:rPr>
              <w:t>PowerPoint ou autre logiciel de présentation</w:t>
            </w:r>
          </w:p>
          <w:p w14:paraId="14CF9EF0" w14:textId="6F36593B" w:rsidR="000F7896" w:rsidRPr="004028F3" w:rsidRDefault="000F7896" w:rsidP="00471328">
            <w:pPr>
              <w:pStyle w:val="bul1"/>
              <w:numPr>
                <w:ilvl w:val="0"/>
                <w:numId w:val="0"/>
              </w:numPr>
              <w:spacing w:line="280" w:lineRule="exact"/>
              <w:ind w:left="720"/>
              <w:rPr>
                <w:lang w:val="fr-FR"/>
              </w:rPr>
            </w:pPr>
          </w:p>
        </w:tc>
      </w:tr>
      <w:tr w:rsidR="00E7344B" w:rsidRPr="00083826" w14:paraId="635F2EFD" w14:textId="77777777" w:rsidTr="000F2415">
        <w:trPr>
          <w:trHeight w:val="1403"/>
        </w:trPr>
        <w:tc>
          <w:tcPr>
            <w:tcW w:w="9010" w:type="dxa"/>
            <w:gridSpan w:val="3"/>
            <w:vAlign w:val="center"/>
          </w:tcPr>
          <w:p w14:paraId="50A03938" w14:textId="2DC00B76" w:rsidR="004028F3" w:rsidRPr="00083826" w:rsidRDefault="004028F3" w:rsidP="00BA319A">
            <w:pPr>
              <w:contextualSpacing/>
              <w:jc w:val="both"/>
              <w:rPr>
                <w:rFonts w:ascii="Verdana" w:eastAsia="Times New Roman" w:hAnsi="Verdana" w:cs="Arial"/>
                <w:color w:val="000000"/>
                <w:sz w:val="18"/>
                <w:szCs w:val="18"/>
                <w:lang w:val="fr-FR"/>
              </w:rPr>
            </w:pPr>
          </w:p>
          <w:p w14:paraId="7DD2549F" w14:textId="41544C99" w:rsidR="004028F3" w:rsidRDefault="004028F3" w:rsidP="004028F3">
            <w:pPr>
              <w:contextualSpacing/>
              <w:jc w:val="both"/>
              <w:rPr>
                <w:rFonts w:ascii="Verdana" w:eastAsia="Times New Roman" w:hAnsi="Verdana" w:cs="Arial"/>
                <w:b/>
                <w:bCs/>
                <w:color w:val="000000"/>
                <w:sz w:val="22"/>
                <w:szCs w:val="22"/>
                <w:lang w:val="fr-FR"/>
              </w:rPr>
            </w:pPr>
            <w:r w:rsidRPr="004028F3">
              <w:rPr>
                <w:rFonts w:ascii="Verdana" w:eastAsia="Times New Roman" w:hAnsi="Verdana" w:cs="Arial"/>
                <w:b/>
                <w:bCs/>
                <w:color w:val="000000"/>
                <w:sz w:val="22"/>
                <w:szCs w:val="22"/>
                <w:lang w:val="fr-FR"/>
              </w:rPr>
              <w:t>Objectif de la session</w:t>
            </w:r>
            <w:r w:rsidR="00C0304C">
              <w:rPr>
                <w:rFonts w:ascii="Verdana" w:eastAsia="Times New Roman" w:hAnsi="Verdana" w:cs="Arial"/>
                <w:b/>
                <w:bCs/>
                <w:color w:val="000000"/>
                <w:sz w:val="22"/>
                <w:szCs w:val="22"/>
                <w:lang w:val="fr-FR"/>
              </w:rPr>
              <w:t xml:space="preserve"> </w:t>
            </w:r>
            <w:r w:rsidRPr="004028F3">
              <w:rPr>
                <w:rFonts w:ascii="Verdana" w:eastAsia="Times New Roman" w:hAnsi="Verdana" w:cs="Arial"/>
                <w:b/>
                <w:bCs/>
                <w:color w:val="000000"/>
                <w:sz w:val="22"/>
                <w:szCs w:val="22"/>
                <w:lang w:val="fr-FR"/>
              </w:rPr>
              <w:t xml:space="preserve">:  </w:t>
            </w:r>
          </w:p>
          <w:p w14:paraId="76CC286D" w14:textId="77777777" w:rsidR="004028F3" w:rsidRPr="004028F3" w:rsidRDefault="004028F3" w:rsidP="004028F3">
            <w:pPr>
              <w:contextualSpacing/>
              <w:jc w:val="both"/>
              <w:rPr>
                <w:rFonts w:ascii="Verdana" w:eastAsia="Times New Roman" w:hAnsi="Verdana" w:cs="Arial"/>
                <w:b/>
                <w:bCs/>
                <w:color w:val="000000"/>
                <w:sz w:val="22"/>
                <w:szCs w:val="22"/>
                <w:lang w:val="fr-FR"/>
              </w:rPr>
            </w:pPr>
          </w:p>
          <w:p w14:paraId="3B8479D8" w14:textId="09054935" w:rsidR="004028F3" w:rsidRPr="004028F3" w:rsidRDefault="004028F3" w:rsidP="004028F3">
            <w:pPr>
              <w:contextualSpacing/>
              <w:jc w:val="both"/>
              <w:rPr>
                <w:rFonts w:ascii="Verdana" w:eastAsia="Times New Roman" w:hAnsi="Verdana" w:cs="Arial"/>
                <w:color w:val="000000"/>
                <w:sz w:val="18"/>
                <w:szCs w:val="18"/>
                <w:lang w:val="fr-FR"/>
              </w:rPr>
            </w:pPr>
            <w:r w:rsidRPr="004028F3">
              <w:rPr>
                <w:rFonts w:ascii="Verdana" w:eastAsia="Times New Roman" w:hAnsi="Verdana" w:cs="Arial"/>
                <w:color w:val="000000"/>
                <w:sz w:val="18"/>
                <w:szCs w:val="18"/>
                <w:lang w:val="fr-FR"/>
              </w:rPr>
              <w:t>L'objectif de cette session est de vérifier le niveau de compréhension des délégués sur les sujets présentés précédemment par l'analyse d'études de cas pratiques.</w:t>
            </w:r>
          </w:p>
          <w:p w14:paraId="3FE58655" w14:textId="04E941D8" w:rsidR="00A03CF0" w:rsidRPr="004028F3" w:rsidRDefault="00A03CF0" w:rsidP="00B56791">
            <w:pPr>
              <w:contextualSpacing/>
              <w:jc w:val="both"/>
              <w:rPr>
                <w:rFonts w:ascii="Verdana" w:eastAsia="Times New Roman" w:hAnsi="Verdana" w:cs="Times New Roman"/>
                <w:sz w:val="18"/>
                <w:szCs w:val="18"/>
                <w:lang w:val="fr-FR"/>
              </w:rPr>
            </w:pPr>
          </w:p>
        </w:tc>
      </w:tr>
      <w:tr w:rsidR="00A03CF0" w:rsidRPr="00083826" w14:paraId="1B5A80A7" w14:textId="77777777" w:rsidTr="000F2415">
        <w:trPr>
          <w:trHeight w:val="2690"/>
        </w:trPr>
        <w:tc>
          <w:tcPr>
            <w:tcW w:w="9010" w:type="dxa"/>
            <w:gridSpan w:val="3"/>
          </w:tcPr>
          <w:p w14:paraId="0AD206C9" w14:textId="77777777" w:rsidR="004028F3" w:rsidRPr="00083826" w:rsidRDefault="004028F3" w:rsidP="00C0304C">
            <w:pPr>
              <w:rPr>
                <w:rFonts w:ascii="Verdana" w:eastAsia="Times New Roman" w:hAnsi="Verdana" w:cs="Times New Roman"/>
                <w:sz w:val="18"/>
                <w:szCs w:val="18"/>
                <w:lang w:val="fr-FR"/>
              </w:rPr>
            </w:pPr>
          </w:p>
          <w:p w14:paraId="09053BA4" w14:textId="0088BF5C" w:rsidR="004028F3" w:rsidRPr="004028F3" w:rsidRDefault="004028F3" w:rsidP="004028F3">
            <w:pPr>
              <w:tabs>
                <w:tab w:val="left" w:pos="426"/>
                <w:tab w:val="left" w:pos="851"/>
              </w:tabs>
              <w:jc w:val="both"/>
              <w:rPr>
                <w:rFonts w:ascii="Verdana" w:eastAsia="Times New Roman" w:hAnsi="Verdana" w:cs="Times New Roman"/>
                <w:b/>
                <w:bCs/>
                <w:sz w:val="22"/>
                <w:szCs w:val="22"/>
                <w:lang w:val="en-US"/>
              </w:rPr>
            </w:pPr>
            <w:proofErr w:type="spellStart"/>
            <w:r w:rsidRPr="004028F3">
              <w:rPr>
                <w:rFonts w:ascii="Verdana" w:eastAsia="Times New Roman" w:hAnsi="Verdana" w:cs="Times New Roman"/>
                <w:b/>
                <w:bCs/>
                <w:sz w:val="22"/>
                <w:szCs w:val="22"/>
                <w:lang w:val="en-US"/>
              </w:rPr>
              <w:t>Objectifs</w:t>
            </w:r>
            <w:proofErr w:type="spellEnd"/>
            <w:r w:rsidRPr="004028F3">
              <w:rPr>
                <w:rFonts w:ascii="Verdana" w:eastAsia="Times New Roman" w:hAnsi="Verdana" w:cs="Times New Roman"/>
                <w:b/>
                <w:bCs/>
                <w:sz w:val="22"/>
                <w:szCs w:val="22"/>
                <w:lang w:val="en-US"/>
              </w:rPr>
              <w:t>:</w:t>
            </w:r>
          </w:p>
          <w:p w14:paraId="28CDAA97" w14:textId="42B820C1" w:rsidR="004028F3" w:rsidRPr="004028F3" w:rsidRDefault="004028F3" w:rsidP="004028F3">
            <w:pPr>
              <w:pStyle w:val="ListParagraph"/>
              <w:numPr>
                <w:ilvl w:val="0"/>
                <w:numId w:val="38"/>
              </w:numPr>
              <w:tabs>
                <w:tab w:val="left" w:pos="426"/>
                <w:tab w:val="left" w:pos="851"/>
              </w:tabs>
              <w:jc w:val="both"/>
              <w:rPr>
                <w:rFonts w:ascii="Verdana" w:eastAsia="Times New Roman" w:hAnsi="Verdana" w:cs="Times New Roman"/>
                <w:sz w:val="18"/>
                <w:szCs w:val="18"/>
                <w:lang w:val="fr-FR"/>
              </w:rPr>
            </w:pPr>
            <w:r w:rsidRPr="004028F3">
              <w:rPr>
                <w:rFonts w:ascii="Verdana" w:eastAsia="Times New Roman" w:hAnsi="Verdana" w:cs="Times New Roman"/>
                <w:sz w:val="18"/>
                <w:szCs w:val="18"/>
                <w:lang w:val="fr-FR"/>
              </w:rPr>
              <w:t>Analyser la synthèse des études de cas dans l'environnement de travail du groupe</w:t>
            </w:r>
          </w:p>
          <w:p w14:paraId="75163C8B" w14:textId="77777777" w:rsidR="004028F3" w:rsidRPr="004028F3" w:rsidRDefault="004028F3" w:rsidP="004028F3">
            <w:pPr>
              <w:tabs>
                <w:tab w:val="left" w:pos="426"/>
                <w:tab w:val="left" w:pos="851"/>
              </w:tabs>
              <w:jc w:val="both"/>
              <w:rPr>
                <w:rFonts w:ascii="Verdana" w:eastAsia="Times New Roman" w:hAnsi="Verdana" w:cs="Times New Roman"/>
                <w:sz w:val="18"/>
                <w:szCs w:val="18"/>
                <w:lang w:val="fr-FR"/>
              </w:rPr>
            </w:pPr>
          </w:p>
          <w:p w14:paraId="711D8A98" w14:textId="28CC4969" w:rsidR="004028F3" w:rsidRPr="004028F3" w:rsidRDefault="00465392" w:rsidP="004028F3">
            <w:pPr>
              <w:pStyle w:val="ListParagraph"/>
              <w:numPr>
                <w:ilvl w:val="0"/>
                <w:numId w:val="38"/>
              </w:numPr>
              <w:tabs>
                <w:tab w:val="left" w:pos="426"/>
                <w:tab w:val="left" w:pos="851"/>
              </w:tabs>
              <w:jc w:val="both"/>
              <w:rPr>
                <w:rFonts w:ascii="Verdana" w:eastAsia="Times New Roman" w:hAnsi="Verdana" w:cs="Times New Roman"/>
                <w:sz w:val="18"/>
                <w:szCs w:val="18"/>
                <w:lang w:val="fr-FR"/>
              </w:rPr>
            </w:pPr>
            <w:r>
              <w:rPr>
                <w:rFonts w:ascii="Verdana" w:eastAsia="Times New Roman" w:hAnsi="Verdana" w:cs="Times New Roman"/>
                <w:sz w:val="18"/>
                <w:szCs w:val="18"/>
                <w:lang w:val="fr-FR"/>
              </w:rPr>
              <w:t>A</w:t>
            </w:r>
            <w:r w:rsidR="004028F3" w:rsidRPr="004028F3">
              <w:rPr>
                <w:rFonts w:ascii="Verdana" w:eastAsia="Times New Roman" w:hAnsi="Verdana" w:cs="Times New Roman"/>
                <w:sz w:val="18"/>
                <w:szCs w:val="18"/>
                <w:lang w:val="fr-FR"/>
              </w:rPr>
              <w:t>ppliquer les connaissances acquises pendant la formation judiciaire de base sur la cybercriminalité et les preuves électroniques dans l'étude de cas</w:t>
            </w:r>
          </w:p>
          <w:p w14:paraId="155ACADA" w14:textId="77777777" w:rsidR="004028F3" w:rsidRPr="004028F3" w:rsidRDefault="004028F3" w:rsidP="004028F3">
            <w:pPr>
              <w:tabs>
                <w:tab w:val="left" w:pos="426"/>
                <w:tab w:val="left" w:pos="851"/>
              </w:tabs>
              <w:jc w:val="both"/>
              <w:rPr>
                <w:rFonts w:ascii="Verdana" w:eastAsia="Times New Roman" w:hAnsi="Verdana" w:cs="Times New Roman"/>
                <w:sz w:val="18"/>
                <w:szCs w:val="18"/>
                <w:lang w:val="fr-FR"/>
              </w:rPr>
            </w:pPr>
          </w:p>
          <w:p w14:paraId="5724DABF" w14:textId="501CF7F1" w:rsidR="004028F3" w:rsidRPr="004028F3" w:rsidRDefault="00465392" w:rsidP="004028F3">
            <w:pPr>
              <w:pStyle w:val="ListParagraph"/>
              <w:numPr>
                <w:ilvl w:val="0"/>
                <w:numId w:val="38"/>
              </w:numPr>
              <w:tabs>
                <w:tab w:val="left" w:pos="426"/>
                <w:tab w:val="left" w:pos="851"/>
              </w:tabs>
              <w:jc w:val="both"/>
              <w:rPr>
                <w:rFonts w:ascii="Verdana" w:eastAsia="Times New Roman" w:hAnsi="Verdana" w:cs="Times New Roman"/>
                <w:sz w:val="18"/>
                <w:szCs w:val="18"/>
                <w:lang w:val="fr-FR"/>
              </w:rPr>
            </w:pPr>
            <w:r>
              <w:rPr>
                <w:rFonts w:ascii="Verdana" w:eastAsia="Times New Roman" w:hAnsi="Verdana" w:cs="Times New Roman"/>
                <w:sz w:val="18"/>
                <w:szCs w:val="18"/>
                <w:lang w:val="fr-FR"/>
              </w:rPr>
              <w:t>R</w:t>
            </w:r>
            <w:r w:rsidR="004028F3" w:rsidRPr="004028F3">
              <w:rPr>
                <w:rFonts w:ascii="Verdana" w:eastAsia="Times New Roman" w:hAnsi="Verdana" w:cs="Times New Roman"/>
                <w:sz w:val="18"/>
                <w:szCs w:val="18"/>
                <w:lang w:val="fr-FR"/>
              </w:rPr>
              <w:t>endre compte des conclusions de l'étude de cas</w:t>
            </w:r>
          </w:p>
          <w:p w14:paraId="3BE8AB27" w14:textId="77777777" w:rsidR="004028F3" w:rsidRPr="004028F3" w:rsidRDefault="004028F3" w:rsidP="004028F3">
            <w:pPr>
              <w:tabs>
                <w:tab w:val="left" w:pos="426"/>
                <w:tab w:val="left" w:pos="851"/>
              </w:tabs>
              <w:jc w:val="both"/>
              <w:rPr>
                <w:rFonts w:ascii="Verdana" w:eastAsia="Times New Roman" w:hAnsi="Verdana" w:cs="Times New Roman"/>
                <w:sz w:val="18"/>
                <w:szCs w:val="18"/>
                <w:lang w:val="fr-FR"/>
              </w:rPr>
            </w:pPr>
          </w:p>
          <w:p w14:paraId="60B40A93" w14:textId="4F39590B" w:rsidR="004028F3" w:rsidRPr="004028F3" w:rsidRDefault="004028F3" w:rsidP="004028F3">
            <w:pPr>
              <w:pStyle w:val="ListParagraph"/>
              <w:numPr>
                <w:ilvl w:val="0"/>
                <w:numId w:val="38"/>
              </w:numPr>
              <w:tabs>
                <w:tab w:val="left" w:pos="426"/>
                <w:tab w:val="left" w:pos="851"/>
              </w:tabs>
              <w:jc w:val="both"/>
              <w:rPr>
                <w:rFonts w:ascii="Verdana" w:eastAsia="Times New Roman" w:hAnsi="Verdana" w:cs="Times New Roman"/>
                <w:sz w:val="18"/>
                <w:szCs w:val="18"/>
                <w:lang w:val="fr-FR"/>
              </w:rPr>
            </w:pPr>
            <w:r w:rsidRPr="004028F3">
              <w:rPr>
                <w:rFonts w:ascii="Verdana" w:eastAsia="Times New Roman" w:hAnsi="Verdana" w:cs="Times New Roman"/>
                <w:sz w:val="18"/>
                <w:szCs w:val="18"/>
                <w:lang w:val="fr-FR"/>
              </w:rPr>
              <w:t>Comprendre quelles devraient être les prochaines étapes pour développer les connaissances et les compétences en matière de cybercriminalité</w:t>
            </w:r>
          </w:p>
          <w:p w14:paraId="61ABEAC5" w14:textId="0D17AF7D" w:rsidR="004028F3" w:rsidRPr="004028F3" w:rsidRDefault="004028F3" w:rsidP="004028F3">
            <w:pPr>
              <w:tabs>
                <w:tab w:val="left" w:pos="426"/>
                <w:tab w:val="left" w:pos="851"/>
              </w:tabs>
              <w:jc w:val="both"/>
              <w:rPr>
                <w:rFonts w:ascii="Verdana" w:eastAsia="Times New Roman" w:hAnsi="Verdana" w:cs="Times New Roman"/>
                <w:sz w:val="18"/>
                <w:szCs w:val="18"/>
                <w:lang w:val="fr-FR"/>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0A214F5B" w14:textId="77777777" w:rsidR="004028F3" w:rsidRPr="004028F3" w:rsidRDefault="004028F3" w:rsidP="004028F3">
            <w:pPr>
              <w:widowControl w:val="0"/>
              <w:spacing w:beforeLines="20" w:before="48" w:afterLines="120" w:after="288" w:line="280" w:lineRule="atLeast"/>
              <w:jc w:val="both"/>
              <w:rPr>
                <w:rFonts w:ascii="Verdana" w:hAnsi="Verdana" w:cs="Arial"/>
                <w:b/>
                <w:bCs/>
                <w:sz w:val="22"/>
                <w:szCs w:val="22"/>
                <w:lang w:val="fr-FR"/>
              </w:rPr>
            </w:pPr>
            <w:r w:rsidRPr="004028F3">
              <w:rPr>
                <w:rFonts w:ascii="Verdana" w:hAnsi="Verdana" w:cs="Arial"/>
                <w:b/>
                <w:bCs/>
                <w:sz w:val="22"/>
                <w:szCs w:val="22"/>
                <w:lang w:val="fr-FR"/>
              </w:rPr>
              <w:t>Orientation des formateurs</w:t>
            </w:r>
          </w:p>
          <w:p w14:paraId="3AEE1573" w14:textId="11B532A6" w:rsidR="004028F3" w:rsidRPr="004028F3" w:rsidRDefault="004028F3" w:rsidP="004028F3">
            <w:pPr>
              <w:widowControl w:val="0"/>
              <w:spacing w:beforeLines="20" w:before="48" w:afterLines="120" w:after="288" w:line="280" w:lineRule="atLeast"/>
              <w:jc w:val="both"/>
              <w:rPr>
                <w:rFonts w:ascii="Verdana" w:hAnsi="Verdana" w:cs="Arial"/>
                <w:sz w:val="18"/>
                <w:szCs w:val="18"/>
                <w:lang w:val="fr-FR"/>
              </w:rPr>
            </w:pPr>
            <w:r w:rsidRPr="004028F3">
              <w:rPr>
                <w:rFonts w:ascii="Verdana" w:hAnsi="Verdana" w:cs="Arial"/>
                <w:sz w:val="18"/>
                <w:szCs w:val="18"/>
                <w:lang w:val="fr-FR"/>
              </w:rPr>
              <w:t xml:space="preserve">Au cours de la session, les sujets suivants doivent être </w:t>
            </w:r>
            <w:r w:rsidR="00465392">
              <w:rPr>
                <w:rFonts w:ascii="Verdana" w:hAnsi="Verdana" w:cs="Arial"/>
                <w:sz w:val="18"/>
                <w:szCs w:val="18"/>
                <w:lang w:val="fr-FR"/>
              </w:rPr>
              <w:t>pris en compte</w:t>
            </w:r>
            <w:r w:rsidR="00C0304C">
              <w:rPr>
                <w:rFonts w:ascii="Verdana" w:hAnsi="Verdana" w:cs="Arial"/>
                <w:sz w:val="18"/>
                <w:szCs w:val="18"/>
                <w:lang w:val="fr-FR"/>
              </w:rPr>
              <w:t xml:space="preserve"> </w:t>
            </w:r>
            <w:r w:rsidRPr="004028F3">
              <w:rPr>
                <w:rFonts w:ascii="Verdana" w:hAnsi="Verdana" w:cs="Arial"/>
                <w:sz w:val="18"/>
                <w:szCs w:val="18"/>
                <w:lang w:val="fr-FR"/>
              </w:rPr>
              <w:t>:</w:t>
            </w:r>
          </w:p>
          <w:p w14:paraId="5AB9A9E1" w14:textId="5E31D1C7" w:rsidR="004028F3" w:rsidRPr="004028F3" w:rsidRDefault="004028F3"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en-US"/>
              </w:rPr>
            </w:pPr>
            <w:r w:rsidRPr="004028F3">
              <w:rPr>
                <w:rFonts w:ascii="Verdana" w:hAnsi="Verdana" w:cs="Arial"/>
                <w:sz w:val="18"/>
                <w:szCs w:val="18"/>
                <w:lang w:val="en-US"/>
              </w:rPr>
              <w:t xml:space="preserve">Introduction à </w:t>
            </w:r>
            <w:proofErr w:type="spellStart"/>
            <w:r w:rsidRPr="004028F3">
              <w:rPr>
                <w:rFonts w:ascii="Verdana" w:hAnsi="Verdana" w:cs="Arial"/>
                <w:sz w:val="18"/>
                <w:szCs w:val="18"/>
                <w:lang w:val="en-US"/>
              </w:rPr>
              <w:t>l'étude</w:t>
            </w:r>
            <w:proofErr w:type="spellEnd"/>
            <w:r w:rsidRPr="004028F3">
              <w:rPr>
                <w:rFonts w:ascii="Verdana" w:hAnsi="Verdana" w:cs="Arial"/>
                <w:sz w:val="18"/>
                <w:szCs w:val="18"/>
                <w:lang w:val="en-US"/>
              </w:rPr>
              <w:t xml:space="preserve"> de </w:t>
            </w:r>
            <w:proofErr w:type="spellStart"/>
            <w:r w:rsidRPr="004028F3">
              <w:rPr>
                <w:rFonts w:ascii="Verdana" w:hAnsi="Verdana" w:cs="Arial"/>
                <w:sz w:val="18"/>
                <w:szCs w:val="18"/>
                <w:lang w:val="en-US"/>
              </w:rPr>
              <w:t>cas</w:t>
            </w:r>
            <w:proofErr w:type="spellEnd"/>
          </w:p>
          <w:p w14:paraId="1FB6F30F" w14:textId="1CDF14E1" w:rsidR="004028F3" w:rsidRPr="004028F3" w:rsidRDefault="004028F3"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en-US"/>
              </w:rPr>
            </w:pPr>
            <w:r w:rsidRPr="004028F3">
              <w:rPr>
                <w:rFonts w:ascii="Verdana" w:hAnsi="Verdana" w:cs="Arial"/>
                <w:sz w:val="18"/>
                <w:szCs w:val="18"/>
                <w:lang w:val="en-US"/>
              </w:rPr>
              <w:t xml:space="preserve">Division du </w:t>
            </w:r>
            <w:proofErr w:type="spellStart"/>
            <w:r w:rsidRPr="004028F3">
              <w:rPr>
                <w:rFonts w:ascii="Verdana" w:hAnsi="Verdana" w:cs="Arial"/>
                <w:sz w:val="18"/>
                <w:szCs w:val="18"/>
                <w:lang w:val="en-US"/>
              </w:rPr>
              <w:t>groupe</w:t>
            </w:r>
            <w:proofErr w:type="spellEnd"/>
          </w:p>
          <w:p w14:paraId="48974384" w14:textId="2D0E27F9" w:rsidR="004028F3" w:rsidRPr="004028F3" w:rsidRDefault="004028F3"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en-US"/>
              </w:rPr>
            </w:pPr>
            <w:proofErr w:type="spellStart"/>
            <w:r w:rsidRPr="004028F3">
              <w:rPr>
                <w:rFonts w:ascii="Verdana" w:hAnsi="Verdana" w:cs="Arial"/>
                <w:sz w:val="18"/>
                <w:szCs w:val="18"/>
                <w:lang w:val="en-US"/>
              </w:rPr>
              <w:t>Répartition</w:t>
            </w:r>
            <w:proofErr w:type="spellEnd"/>
            <w:r w:rsidRPr="004028F3">
              <w:rPr>
                <w:rFonts w:ascii="Verdana" w:hAnsi="Verdana" w:cs="Arial"/>
                <w:sz w:val="18"/>
                <w:szCs w:val="18"/>
                <w:lang w:val="en-US"/>
              </w:rPr>
              <w:t xml:space="preserve"> du temps pour </w:t>
            </w:r>
            <w:proofErr w:type="spellStart"/>
            <w:r w:rsidRPr="004028F3">
              <w:rPr>
                <w:rFonts w:ascii="Verdana" w:hAnsi="Verdana" w:cs="Arial"/>
                <w:sz w:val="18"/>
                <w:szCs w:val="18"/>
                <w:lang w:val="en-US"/>
              </w:rPr>
              <w:t>l'analyse</w:t>
            </w:r>
            <w:proofErr w:type="spellEnd"/>
          </w:p>
          <w:p w14:paraId="6E05FA37" w14:textId="65612DC6" w:rsidR="004028F3" w:rsidRPr="004028F3" w:rsidRDefault="004028F3"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fr-FR"/>
              </w:rPr>
            </w:pPr>
            <w:r w:rsidRPr="004028F3">
              <w:rPr>
                <w:rFonts w:ascii="Verdana" w:hAnsi="Verdana" w:cs="Arial"/>
                <w:sz w:val="18"/>
                <w:szCs w:val="18"/>
                <w:lang w:val="fr-FR"/>
              </w:rPr>
              <w:t>Répartition du temps pour le rapport du groupe</w:t>
            </w:r>
          </w:p>
          <w:p w14:paraId="765CF2F5" w14:textId="65B5B1BA" w:rsidR="004028F3" w:rsidRPr="004028F3" w:rsidRDefault="004028F3"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en-US"/>
              </w:rPr>
            </w:pPr>
            <w:r w:rsidRPr="004028F3">
              <w:rPr>
                <w:rFonts w:ascii="Verdana" w:hAnsi="Verdana" w:cs="Arial"/>
                <w:sz w:val="18"/>
                <w:szCs w:val="18"/>
                <w:lang w:val="en-US"/>
              </w:rPr>
              <w:t xml:space="preserve">Étude de </w:t>
            </w:r>
            <w:proofErr w:type="spellStart"/>
            <w:r w:rsidRPr="004028F3">
              <w:rPr>
                <w:rFonts w:ascii="Verdana" w:hAnsi="Verdana" w:cs="Arial"/>
                <w:sz w:val="18"/>
                <w:szCs w:val="18"/>
                <w:lang w:val="en-US"/>
              </w:rPr>
              <w:t>cas</w:t>
            </w:r>
            <w:proofErr w:type="spellEnd"/>
          </w:p>
          <w:p w14:paraId="66E19F42" w14:textId="77FF90F3" w:rsidR="004028F3" w:rsidRPr="004028F3" w:rsidRDefault="004028F3"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en-US"/>
              </w:rPr>
            </w:pPr>
            <w:r w:rsidRPr="004028F3">
              <w:rPr>
                <w:rFonts w:ascii="Verdana" w:hAnsi="Verdana" w:cs="Arial"/>
                <w:sz w:val="18"/>
                <w:szCs w:val="18"/>
                <w:lang w:val="en-US"/>
              </w:rPr>
              <w:t xml:space="preserve">Rapports des </w:t>
            </w:r>
            <w:proofErr w:type="spellStart"/>
            <w:r w:rsidRPr="004028F3">
              <w:rPr>
                <w:rFonts w:ascii="Verdana" w:hAnsi="Verdana" w:cs="Arial"/>
                <w:sz w:val="18"/>
                <w:szCs w:val="18"/>
                <w:lang w:val="en-US"/>
              </w:rPr>
              <w:t>groupes</w:t>
            </w:r>
            <w:proofErr w:type="spellEnd"/>
          </w:p>
          <w:p w14:paraId="78A7835C" w14:textId="47DC177B" w:rsidR="004028F3" w:rsidRPr="004028F3" w:rsidRDefault="00465392"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en-US"/>
              </w:rPr>
            </w:pPr>
            <w:proofErr w:type="spellStart"/>
            <w:r>
              <w:rPr>
                <w:rFonts w:ascii="Verdana" w:hAnsi="Verdana" w:cs="Arial"/>
                <w:sz w:val="18"/>
                <w:szCs w:val="18"/>
                <w:lang w:val="en-US"/>
              </w:rPr>
              <w:t>Réponses</w:t>
            </w:r>
            <w:proofErr w:type="spellEnd"/>
            <w:r>
              <w:rPr>
                <w:rFonts w:ascii="Verdana" w:hAnsi="Verdana" w:cs="Arial"/>
                <w:sz w:val="18"/>
                <w:szCs w:val="18"/>
                <w:lang w:val="en-US"/>
              </w:rPr>
              <w:t xml:space="preserve"> aux q</w:t>
            </w:r>
            <w:r w:rsidR="004028F3" w:rsidRPr="004028F3">
              <w:rPr>
                <w:rFonts w:ascii="Verdana" w:hAnsi="Verdana" w:cs="Arial"/>
                <w:sz w:val="18"/>
                <w:szCs w:val="18"/>
                <w:lang w:val="en-US"/>
              </w:rPr>
              <w:t xml:space="preserve">uestions </w:t>
            </w:r>
          </w:p>
          <w:p w14:paraId="5EFF4BEF" w14:textId="5E32D73C" w:rsidR="004028F3" w:rsidRPr="004028F3" w:rsidRDefault="004028F3" w:rsidP="004028F3">
            <w:pPr>
              <w:pStyle w:val="ListParagraph"/>
              <w:widowControl w:val="0"/>
              <w:numPr>
                <w:ilvl w:val="0"/>
                <w:numId w:val="41"/>
              </w:numPr>
              <w:spacing w:beforeLines="20" w:before="48" w:afterLines="120" w:after="288" w:line="280" w:lineRule="atLeast"/>
              <w:jc w:val="both"/>
              <w:rPr>
                <w:rFonts w:ascii="Verdana" w:hAnsi="Verdana" w:cs="Arial"/>
                <w:sz w:val="18"/>
                <w:szCs w:val="18"/>
                <w:lang w:val="en-US"/>
              </w:rPr>
            </w:pPr>
            <w:r w:rsidRPr="004028F3">
              <w:rPr>
                <w:rFonts w:ascii="Verdana" w:hAnsi="Verdana" w:cs="Arial"/>
                <w:sz w:val="18"/>
                <w:szCs w:val="18"/>
                <w:lang w:val="en-US"/>
              </w:rPr>
              <w:t xml:space="preserve">Conclusions de </w:t>
            </w:r>
            <w:proofErr w:type="spellStart"/>
            <w:r w:rsidRPr="004028F3">
              <w:rPr>
                <w:rFonts w:ascii="Verdana" w:hAnsi="Verdana" w:cs="Arial"/>
                <w:sz w:val="18"/>
                <w:szCs w:val="18"/>
                <w:lang w:val="en-US"/>
              </w:rPr>
              <w:t>l'exercice</w:t>
            </w:r>
            <w:proofErr w:type="spellEnd"/>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5D2BC291" w:rsidR="004028F3" w:rsidRPr="00CB3026" w:rsidRDefault="004028F3" w:rsidP="00CB3026">
            <w:pPr>
              <w:rPr>
                <w:rFonts w:ascii="Verdana" w:hAnsi="Verdana"/>
                <w:b/>
                <w:sz w:val="28"/>
                <w:szCs w:val="28"/>
              </w:rPr>
            </w:pPr>
            <w:proofErr w:type="spellStart"/>
            <w:r w:rsidRPr="004028F3">
              <w:rPr>
                <w:rFonts w:ascii="Verdana" w:hAnsi="Verdana"/>
                <w:b/>
                <w:sz w:val="28"/>
                <w:szCs w:val="28"/>
              </w:rPr>
              <w:t>Contenu</w:t>
            </w:r>
            <w:proofErr w:type="spellEnd"/>
            <w:r w:rsidRPr="004028F3">
              <w:rPr>
                <w:rFonts w:ascii="Verdana" w:hAnsi="Verdana"/>
                <w:b/>
                <w:sz w:val="28"/>
                <w:szCs w:val="28"/>
              </w:rPr>
              <w:t xml:space="preserve"> de la </w:t>
            </w:r>
            <w:proofErr w:type="spellStart"/>
            <w:r w:rsidRPr="004028F3">
              <w:rPr>
                <w:rFonts w:ascii="Verdana" w:hAnsi="Verdana"/>
                <w:b/>
                <w:sz w:val="28"/>
                <w:szCs w:val="28"/>
              </w:rPr>
              <w:t>leçon</w:t>
            </w:r>
            <w:proofErr w:type="spellEnd"/>
          </w:p>
        </w:tc>
      </w:tr>
      <w:tr w:rsidR="00F1574D" w:rsidRPr="00D82C18" w14:paraId="57CC7AA4" w14:textId="77777777" w:rsidTr="00BA4396">
        <w:trPr>
          <w:trHeight w:val="629"/>
        </w:trPr>
        <w:tc>
          <w:tcPr>
            <w:tcW w:w="1838" w:type="dxa"/>
            <w:shd w:val="clear" w:color="auto" w:fill="D9E2F3" w:themeFill="accent1" w:themeFillTint="33"/>
            <w:vAlign w:val="center"/>
          </w:tcPr>
          <w:p w14:paraId="4538C338" w14:textId="54DFCE4B" w:rsidR="00B733ED" w:rsidRPr="00E13BE7" w:rsidRDefault="00B733ED" w:rsidP="00BA4396">
            <w:pPr>
              <w:rPr>
                <w:rFonts w:ascii="Verdana" w:hAnsi="Verdana"/>
                <w:b/>
                <w:sz w:val="22"/>
                <w:szCs w:val="22"/>
              </w:rPr>
            </w:pPr>
            <w:r w:rsidRPr="00B733ED">
              <w:rPr>
                <w:rFonts w:ascii="Verdana" w:hAnsi="Verdana"/>
                <w:b/>
                <w:sz w:val="22"/>
                <w:szCs w:val="22"/>
              </w:rPr>
              <w:t>Numéros</w:t>
            </w:r>
            <w:r w:rsidR="00465392">
              <w:rPr>
                <w:rFonts w:ascii="Verdana" w:hAnsi="Verdana"/>
                <w:b/>
                <w:sz w:val="22"/>
                <w:szCs w:val="22"/>
              </w:rPr>
              <w:t xml:space="preserve"> des Diapositives</w:t>
            </w:r>
          </w:p>
        </w:tc>
        <w:tc>
          <w:tcPr>
            <w:tcW w:w="7172" w:type="dxa"/>
            <w:gridSpan w:val="2"/>
            <w:shd w:val="clear" w:color="auto" w:fill="D9E2F3" w:themeFill="accent1" w:themeFillTint="33"/>
            <w:vAlign w:val="center"/>
          </w:tcPr>
          <w:p w14:paraId="2DA616FC" w14:textId="637741A1" w:rsidR="00B733ED" w:rsidRPr="00E13BE7" w:rsidRDefault="00B733ED">
            <w:pPr>
              <w:rPr>
                <w:rFonts w:ascii="Verdana" w:hAnsi="Verdana"/>
                <w:b/>
                <w:sz w:val="22"/>
                <w:szCs w:val="22"/>
              </w:rPr>
            </w:pPr>
            <w:proofErr w:type="spellStart"/>
            <w:r>
              <w:rPr>
                <w:rFonts w:ascii="Verdana" w:hAnsi="Verdana"/>
                <w:b/>
                <w:sz w:val="22"/>
                <w:szCs w:val="22"/>
              </w:rPr>
              <w:t>Contenu</w:t>
            </w:r>
            <w:proofErr w:type="spellEnd"/>
          </w:p>
        </w:tc>
      </w:tr>
      <w:tr w:rsidR="00F1574D" w:rsidRPr="00083826" w14:paraId="11A12D7E" w14:textId="77777777" w:rsidTr="00BA4396">
        <w:trPr>
          <w:trHeight w:val="1043"/>
        </w:trPr>
        <w:tc>
          <w:tcPr>
            <w:tcW w:w="1838" w:type="dxa"/>
            <w:vAlign w:val="center"/>
          </w:tcPr>
          <w:p w14:paraId="444A0530" w14:textId="67FBD68B" w:rsidR="00B733ED" w:rsidRDefault="00B733ED" w:rsidP="00F1574D">
            <w:pPr>
              <w:spacing w:before="120" w:after="120" w:line="280" w:lineRule="exact"/>
              <w:jc w:val="center"/>
              <w:rPr>
                <w:rFonts w:ascii="Verdana" w:hAnsi="Verdana"/>
                <w:sz w:val="18"/>
                <w:szCs w:val="18"/>
              </w:rPr>
            </w:pPr>
            <w:r w:rsidRPr="00B733ED">
              <w:rPr>
                <w:rFonts w:ascii="Verdana" w:hAnsi="Verdana"/>
                <w:sz w:val="18"/>
                <w:szCs w:val="18"/>
              </w:rPr>
              <w:t>1 à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172" w:type="dxa"/>
            <w:gridSpan w:val="2"/>
            <w:vAlign w:val="center"/>
          </w:tcPr>
          <w:p w14:paraId="36345B59" w14:textId="35E7D984" w:rsidR="00B733ED" w:rsidRPr="00B733ED" w:rsidRDefault="00B733ED" w:rsidP="000F2415">
            <w:pPr>
              <w:spacing w:before="120" w:after="120" w:line="280" w:lineRule="exact"/>
              <w:jc w:val="both"/>
              <w:rPr>
                <w:rFonts w:ascii="Verdana" w:hAnsi="Verdana"/>
                <w:color w:val="FF0000"/>
                <w:sz w:val="18"/>
                <w:szCs w:val="18"/>
                <w:lang w:val="fr-FR"/>
              </w:rPr>
            </w:pPr>
            <w:r w:rsidRPr="00B733ED">
              <w:rPr>
                <w:rFonts w:ascii="Verdana" w:hAnsi="Verdana"/>
                <w:color w:val="002060"/>
                <w:sz w:val="18"/>
                <w:szCs w:val="18"/>
                <w:lang w:val="fr-FR"/>
              </w:rPr>
              <w:t>Les premi</w:t>
            </w:r>
            <w:r w:rsidR="00072BF5">
              <w:rPr>
                <w:rFonts w:ascii="Verdana" w:hAnsi="Verdana"/>
                <w:color w:val="002060"/>
                <w:sz w:val="18"/>
                <w:szCs w:val="18"/>
                <w:lang w:val="fr-FR"/>
              </w:rPr>
              <w:t>è</w:t>
            </w:r>
            <w:r w:rsidRPr="00B733ED">
              <w:rPr>
                <w:rFonts w:ascii="Verdana" w:hAnsi="Verdana"/>
                <w:color w:val="002060"/>
                <w:sz w:val="18"/>
                <w:szCs w:val="18"/>
                <w:lang w:val="fr-FR"/>
              </w:rPr>
              <w:t>r</w:t>
            </w:r>
            <w:r w:rsidR="00072BF5">
              <w:rPr>
                <w:rFonts w:ascii="Verdana" w:hAnsi="Verdana"/>
                <w:color w:val="002060"/>
                <w:sz w:val="18"/>
                <w:szCs w:val="18"/>
                <w:lang w:val="fr-FR"/>
              </w:rPr>
              <w:t>e</w:t>
            </w:r>
            <w:r w:rsidRPr="00B733ED">
              <w:rPr>
                <w:rFonts w:ascii="Verdana" w:hAnsi="Verdana"/>
                <w:color w:val="002060"/>
                <w:sz w:val="18"/>
                <w:szCs w:val="18"/>
                <w:lang w:val="fr-FR"/>
              </w:rPr>
              <w:t xml:space="preserve">s </w:t>
            </w:r>
            <w:r w:rsidR="00072BF5">
              <w:rPr>
                <w:rFonts w:ascii="Verdana" w:hAnsi="Verdana"/>
                <w:color w:val="002060"/>
                <w:sz w:val="18"/>
                <w:szCs w:val="18"/>
                <w:lang w:val="fr-FR"/>
              </w:rPr>
              <w:t>diapositives</w:t>
            </w:r>
            <w:r w:rsidRPr="00B733ED">
              <w:rPr>
                <w:rFonts w:ascii="Verdana" w:hAnsi="Verdana"/>
                <w:color w:val="002060"/>
                <w:sz w:val="18"/>
                <w:szCs w:val="18"/>
                <w:lang w:val="fr-FR"/>
              </w:rPr>
              <w:t xml:space="preserve"> constituent l'introduction à la session et comprennent l'ordre du jour et les objectifs de la session.</w:t>
            </w:r>
          </w:p>
        </w:tc>
      </w:tr>
      <w:tr w:rsidR="00A60446" w:rsidRPr="00083826" w14:paraId="42D2960A" w14:textId="77777777" w:rsidTr="00C0304C">
        <w:trPr>
          <w:trHeight w:val="1160"/>
        </w:trPr>
        <w:tc>
          <w:tcPr>
            <w:tcW w:w="1838" w:type="dxa"/>
          </w:tcPr>
          <w:p w14:paraId="32698415" w14:textId="77777777" w:rsidR="00072BF5" w:rsidRPr="00BA4396" w:rsidRDefault="00072BF5" w:rsidP="00C0304C">
            <w:pPr>
              <w:spacing w:before="120" w:after="120" w:line="280" w:lineRule="exact"/>
              <w:jc w:val="center"/>
              <w:rPr>
                <w:rFonts w:ascii="Verdana" w:hAnsi="Verdana"/>
                <w:sz w:val="18"/>
                <w:szCs w:val="18"/>
                <w:lang w:val="fr-FR"/>
              </w:rPr>
            </w:pPr>
          </w:p>
          <w:p w14:paraId="74078858" w14:textId="77777777" w:rsidR="00072BF5" w:rsidRPr="00BA4396" w:rsidRDefault="00072BF5" w:rsidP="00C0304C">
            <w:pPr>
              <w:spacing w:before="120" w:after="120" w:line="280" w:lineRule="exact"/>
              <w:rPr>
                <w:rFonts w:ascii="Verdana" w:hAnsi="Verdana"/>
                <w:sz w:val="18"/>
                <w:szCs w:val="18"/>
                <w:lang w:val="fr-FR"/>
              </w:rPr>
            </w:pPr>
          </w:p>
          <w:p w14:paraId="3DAC33AA" w14:textId="6F64C139" w:rsidR="00B733ED" w:rsidRDefault="00B733ED" w:rsidP="00C0304C">
            <w:pPr>
              <w:spacing w:before="120" w:after="120" w:line="280" w:lineRule="exact"/>
              <w:jc w:val="center"/>
              <w:rPr>
                <w:rFonts w:ascii="Verdana" w:hAnsi="Verdana"/>
                <w:sz w:val="18"/>
                <w:szCs w:val="18"/>
              </w:rPr>
            </w:pPr>
            <w:r>
              <w:rPr>
                <w:rFonts w:ascii="Verdana" w:hAnsi="Verdana"/>
                <w:sz w:val="18"/>
                <w:szCs w:val="18"/>
              </w:rPr>
              <w:t>4 à 7</w:t>
            </w:r>
          </w:p>
        </w:tc>
        <w:tc>
          <w:tcPr>
            <w:tcW w:w="7172" w:type="dxa"/>
            <w:gridSpan w:val="2"/>
            <w:vAlign w:val="center"/>
          </w:tcPr>
          <w:p w14:paraId="19D02644" w14:textId="152114E9"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Ces </w:t>
            </w:r>
            <w:r w:rsidR="00072BF5">
              <w:rPr>
                <w:rFonts w:ascii="Verdana" w:hAnsi="Verdana"/>
                <w:sz w:val="18"/>
                <w:szCs w:val="18"/>
                <w:lang w:val="fr-FR"/>
              </w:rPr>
              <w:t>diapositives</w:t>
            </w:r>
            <w:r w:rsidRPr="00B733ED">
              <w:rPr>
                <w:rFonts w:ascii="Verdana" w:hAnsi="Verdana"/>
                <w:sz w:val="18"/>
                <w:szCs w:val="18"/>
                <w:lang w:val="fr-FR"/>
              </w:rPr>
              <w:t xml:space="preserve"> présentent l'introduction à l'exercice lui-même avec de courtes explications sur les dispositions logistiques.</w:t>
            </w:r>
          </w:p>
          <w:p w14:paraId="6158BC5E"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L'étude de cas est conçue de manière modulaire, ce qui signifie que différentes configurations de l'exercice peuvent être organisées. L'étude de cas est modulaire dans le sens où un, deux, quatre ou un nombre différent de groupes peuvent y travailler, selon les conditions. Chaque groupe, lorsqu'il y en a plusieurs, recevra sa partie de l'étude de cas et préparera sa partie du rapport d'étude de cas. </w:t>
            </w:r>
          </w:p>
          <w:p w14:paraId="243F4ECC" w14:textId="13133360"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Idéalement, quatre groupes devraient être formés, et chaque groupe devrait recevoir sa partie de l'étude. Le groupe 1 devrait travailler sur les diapositives "Qui suis-je ?", le groupe 2 sur les diapositives "Suivez les données", le groupe 3 sur les diapositives "Suivez l'argent", et le groupe 4 sur les diapositives "Suivez le chef". Si le nombre de délégués est différent, l'expert doit adapter cette </w:t>
            </w:r>
            <w:r w:rsidR="00072BF5">
              <w:rPr>
                <w:rFonts w:ascii="Verdana" w:hAnsi="Verdana"/>
                <w:sz w:val="18"/>
                <w:szCs w:val="18"/>
                <w:lang w:val="fr-FR"/>
              </w:rPr>
              <w:t>répartition</w:t>
            </w:r>
            <w:r w:rsidRPr="00B733ED">
              <w:rPr>
                <w:rFonts w:ascii="Verdana" w:hAnsi="Verdana"/>
                <w:sz w:val="18"/>
                <w:szCs w:val="18"/>
                <w:lang w:val="fr-FR"/>
              </w:rPr>
              <w:t>.</w:t>
            </w:r>
          </w:p>
          <w:p w14:paraId="2BBEAA1F" w14:textId="5B048094" w:rsidR="00B733ED" w:rsidRPr="00B733ED" w:rsidRDefault="00BC50E6" w:rsidP="00B733ED">
            <w:pPr>
              <w:spacing w:before="20" w:after="120" w:line="280" w:lineRule="atLeast"/>
              <w:jc w:val="both"/>
              <w:rPr>
                <w:rFonts w:ascii="Verdana" w:hAnsi="Verdana"/>
                <w:sz w:val="18"/>
                <w:szCs w:val="18"/>
                <w:lang w:val="fr-FR"/>
              </w:rPr>
            </w:pPr>
            <w:r>
              <w:rPr>
                <w:rFonts w:ascii="Verdana" w:hAnsi="Verdana"/>
                <w:sz w:val="18"/>
                <w:szCs w:val="18"/>
                <w:lang w:val="fr-FR"/>
              </w:rPr>
              <w:t>A la f</w:t>
            </w:r>
            <w:r w:rsidR="00B733ED" w:rsidRPr="00B733ED">
              <w:rPr>
                <w:rFonts w:ascii="Verdana" w:hAnsi="Verdana"/>
                <w:sz w:val="18"/>
                <w:szCs w:val="18"/>
                <w:lang w:val="fr-FR"/>
              </w:rPr>
              <w:t>in</w:t>
            </w:r>
            <w:r>
              <w:rPr>
                <w:rFonts w:ascii="Verdana" w:hAnsi="Verdana"/>
                <w:sz w:val="18"/>
                <w:szCs w:val="18"/>
                <w:lang w:val="fr-FR"/>
              </w:rPr>
              <w:t xml:space="preserve"> de la session</w:t>
            </w:r>
            <w:r w:rsidR="00B733ED" w:rsidRPr="00B733ED">
              <w:rPr>
                <w:rFonts w:ascii="Verdana" w:hAnsi="Verdana"/>
                <w:sz w:val="18"/>
                <w:szCs w:val="18"/>
                <w:lang w:val="fr-FR"/>
              </w:rPr>
              <w:t xml:space="preserve">, tous les groupes qui font des rapports fusionneront en fait des rapports partiels en un seul grand rapport final, en réalisant que tous ont travaillé sur un seul cas et ont participé à la création d'un story </w:t>
            </w:r>
            <w:proofErr w:type="spellStart"/>
            <w:r w:rsidR="00B733ED" w:rsidRPr="00B733ED">
              <w:rPr>
                <w:rFonts w:ascii="Verdana" w:hAnsi="Verdana"/>
                <w:sz w:val="18"/>
                <w:szCs w:val="18"/>
                <w:lang w:val="fr-FR"/>
              </w:rPr>
              <w:t>board</w:t>
            </w:r>
            <w:proofErr w:type="spellEnd"/>
            <w:r w:rsidR="00B733ED" w:rsidRPr="00B733ED">
              <w:rPr>
                <w:rFonts w:ascii="Verdana" w:hAnsi="Verdana"/>
                <w:sz w:val="18"/>
                <w:szCs w:val="18"/>
                <w:lang w:val="fr-FR"/>
              </w:rPr>
              <w:t xml:space="preserve"> tout en résolvant le cas avec des conclusions communes.</w:t>
            </w:r>
          </w:p>
          <w:p w14:paraId="4C914213"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En fonction des conditions de formation locales, l'expert devrait faire les ajustements nécessaires avec les délégués. Le synopsis détaillé de l'étude de cas est disponible comme matériel de formation supplémentaire.</w:t>
            </w:r>
          </w:p>
          <w:p w14:paraId="1246D7D4" w14:textId="7BA0B26F"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Pour la version en ligne de la formation, l'étude de cas peut être organisée de manière à ce que les délégués appartiennent à un groupe pendant que l'expert les guide à travers les faits, les questions et les solutions, tout en s'engageant activement avec eux.</w:t>
            </w:r>
          </w:p>
        </w:tc>
      </w:tr>
      <w:tr w:rsidR="003B34C4" w:rsidRPr="00083826" w14:paraId="19763061" w14:textId="77777777" w:rsidTr="00C0304C">
        <w:trPr>
          <w:trHeight w:val="890"/>
        </w:trPr>
        <w:tc>
          <w:tcPr>
            <w:tcW w:w="1838" w:type="dxa"/>
          </w:tcPr>
          <w:p w14:paraId="741DE966" w14:textId="77777777" w:rsidR="00BC50E6" w:rsidRPr="00083826" w:rsidRDefault="00BC50E6" w:rsidP="00C0304C">
            <w:pPr>
              <w:spacing w:before="120" w:after="120" w:line="280" w:lineRule="exact"/>
              <w:jc w:val="center"/>
              <w:rPr>
                <w:rFonts w:ascii="Verdana" w:hAnsi="Verdana"/>
                <w:sz w:val="18"/>
                <w:szCs w:val="18"/>
                <w:lang w:val="fr-FR"/>
              </w:rPr>
            </w:pPr>
          </w:p>
          <w:p w14:paraId="3D07DF11" w14:textId="77777777" w:rsidR="00BC50E6" w:rsidRPr="00083826" w:rsidRDefault="00BC50E6" w:rsidP="00C0304C">
            <w:pPr>
              <w:spacing w:before="120" w:after="120" w:line="280" w:lineRule="exact"/>
              <w:jc w:val="center"/>
              <w:rPr>
                <w:rFonts w:ascii="Verdana" w:hAnsi="Verdana"/>
                <w:sz w:val="18"/>
                <w:szCs w:val="18"/>
                <w:lang w:val="fr-FR"/>
              </w:rPr>
            </w:pPr>
          </w:p>
          <w:p w14:paraId="749DB39A" w14:textId="77777777" w:rsidR="00BC50E6" w:rsidRPr="00083826" w:rsidRDefault="00BC50E6" w:rsidP="00C0304C">
            <w:pPr>
              <w:spacing w:before="120" w:after="120" w:line="280" w:lineRule="exact"/>
              <w:jc w:val="center"/>
              <w:rPr>
                <w:rFonts w:ascii="Verdana" w:hAnsi="Verdana"/>
                <w:sz w:val="18"/>
                <w:szCs w:val="18"/>
                <w:lang w:val="fr-FR"/>
              </w:rPr>
            </w:pPr>
          </w:p>
          <w:p w14:paraId="58BC834A" w14:textId="79C423C8" w:rsidR="00B733ED" w:rsidRDefault="00B733ED" w:rsidP="00C0304C">
            <w:pPr>
              <w:spacing w:before="120" w:after="120" w:line="280" w:lineRule="exact"/>
              <w:jc w:val="center"/>
              <w:rPr>
                <w:rFonts w:ascii="Verdana" w:hAnsi="Verdana"/>
                <w:sz w:val="18"/>
                <w:szCs w:val="18"/>
              </w:rPr>
            </w:pPr>
            <w:r>
              <w:rPr>
                <w:rFonts w:ascii="Verdana" w:hAnsi="Verdana"/>
                <w:sz w:val="18"/>
                <w:szCs w:val="18"/>
              </w:rPr>
              <w:t>8 à 18</w:t>
            </w:r>
          </w:p>
        </w:tc>
        <w:tc>
          <w:tcPr>
            <w:tcW w:w="7172" w:type="dxa"/>
            <w:gridSpan w:val="2"/>
            <w:vAlign w:val="center"/>
          </w:tcPr>
          <w:p w14:paraId="1D85A2D0" w14:textId="2B80B622" w:rsidR="00B733ED" w:rsidRPr="00BA4396" w:rsidRDefault="00B733ED" w:rsidP="00B733ED">
            <w:pPr>
              <w:spacing w:before="20" w:after="120" w:line="280" w:lineRule="atLeast"/>
              <w:jc w:val="both"/>
              <w:rPr>
                <w:rFonts w:ascii="Verdana" w:hAnsi="Verdana"/>
                <w:sz w:val="18"/>
                <w:szCs w:val="18"/>
                <w:lang w:val="fr-FR"/>
              </w:rPr>
            </w:pPr>
            <w:r w:rsidRPr="00BA4396">
              <w:rPr>
                <w:rFonts w:ascii="Verdana" w:hAnsi="Verdana"/>
                <w:sz w:val="18"/>
                <w:szCs w:val="18"/>
                <w:lang w:val="fr-FR"/>
              </w:rPr>
              <w:t xml:space="preserve">Ces </w:t>
            </w:r>
            <w:r w:rsidR="00DF4DD2" w:rsidRPr="00BA4396">
              <w:rPr>
                <w:rFonts w:ascii="Verdana" w:hAnsi="Verdana"/>
                <w:sz w:val="18"/>
                <w:szCs w:val="18"/>
                <w:lang w:val="fr-FR"/>
              </w:rPr>
              <w:t>diapositives</w:t>
            </w:r>
            <w:r w:rsidRPr="00BA4396">
              <w:rPr>
                <w:rFonts w:ascii="Verdana" w:hAnsi="Verdana"/>
                <w:sz w:val="18"/>
                <w:szCs w:val="18"/>
                <w:lang w:val="fr-FR"/>
              </w:rPr>
              <w:t xml:space="preserve"> présentent un scénario d'étude de cas. </w:t>
            </w:r>
          </w:p>
          <w:p w14:paraId="2AC3C062" w14:textId="50928E93" w:rsidR="00B733ED" w:rsidRPr="00BA4396" w:rsidRDefault="00B733ED" w:rsidP="00B733ED">
            <w:pPr>
              <w:spacing w:before="20" w:after="120" w:line="280" w:lineRule="atLeast"/>
              <w:jc w:val="both"/>
              <w:rPr>
                <w:rFonts w:ascii="Verdana" w:hAnsi="Verdana"/>
                <w:sz w:val="18"/>
                <w:szCs w:val="18"/>
                <w:lang w:val="fr-FR"/>
              </w:rPr>
            </w:pPr>
            <w:r w:rsidRPr="00BA4396">
              <w:rPr>
                <w:rFonts w:ascii="Verdana" w:hAnsi="Verdana"/>
                <w:sz w:val="18"/>
                <w:szCs w:val="18"/>
                <w:lang w:val="fr-FR"/>
              </w:rPr>
              <w:t xml:space="preserve">L'étude de cas est tirée d'une des </w:t>
            </w:r>
            <w:r w:rsidR="00BC50E6" w:rsidRPr="00BA4396">
              <w:rPr>
                <w:rFonts w:ascii="Verdana" w:hAnsi="Verdana"/>
                <w:sz w:val="18"/>
                <w:szCs w:val="18"/>
                <w:lang w:val="fr-FR"/>
              </w:rPr>
              <w:t>situations</w:t>
            </w:r>
            <w:r w:rsidRPr="00BA4396">
              <w:rPr>
                <w:rFonts w:ascii="Verdana" w:hAnsi="Verdana"/>
                <w:sz w:val="18"/>
                <w:szCs w:val="18"/>
                <w:lang w:val="fr-FR"/>
              </w:rPr>
              <w:t xml:space="preserve"> réelles et toujours en cours dans l'une des parties à la Convention sur la cybercriminalité. Elle représente l'étude des nouvelles façons dont le blanchiment d'argent peut être organisé par l'utilisation abusive des médias sociaux, des systèmes de paiement en ligne et des systèmes de paris en ligne.</w:t>
            </w:r>
          </w:p>
          <w:p w14:paraId="32B839A2" w14:textId="6EC21DB3" w:rsidR="00B733ED" w:rsidRPr="00BA4396" w:rsidRDefault="00B733ED" w:rsidP="00B733ED">
            <w:pPr>
              <w:spacing w:before="20" w:after="120" w:line="280" w:lineRule="atLeast"/>
              <w:jc w:val="both"/>
              <w:rPr>
                <w:rFonts w:ascii="Verdana" w:hAnsi="Verdana"/>
                <w:sz w:val="18"/>
                <w:szCs w:val="18"/>
                <w:lang w:val="fr-FR"/>
              </w:rPr>
            </w:pPr>
            <w:r w:rsidRPr="00BA4396">
              <w:rPr>
                <w:rFonts w:ascii="Verdana" w:hAnsi="Verdana"/>
                <w:sz w:val="18"/>
                <w:szCs w:val="18"/>
                <w:lang w:val="fr-FR"/>
              </w:rPr>
              <w:t xml:space="preserve">Toutefois, dans son essence, cette </w:t>
            </w:r>
            <w:r w:rsidR="00BC50E6" w:rsidRPr="00BA4396">
              <w:rPr>
                <w:rFonts w:ascii="Verdana" w:hAnsi="Verdana"/>
                <w:sz w:val="18"/>
                <w:szCs w:val="18"/>
                <w:lang w:val="fr-FR"/>
              </w:rPr>
              <w:t xml:space="preserve">situation </w:t>
            </w:r>
            <w:r w:rsidRPr="00BA4396">
              <w:rPr>
                <w:rFonts w:ascii="Verdana" w:hAnsi="Verdana"/>
                <w:sz w:val="18"/>
                <w:szCs w:val="18"/>
                <w:lang w:val="fr-FR"/>
              </w:rPr>
              <w:t xml:space="preserve">comprend des définitions et des termes déjà familiers d'accès illégal, d'interférence de données, de falsification informatique, de fraude informatique, d'infraction liée à des violations de droits d'auteur et de droits connexes du côté du droit matériel. </w:t>
            </w:r>
          </w:p>
          <w:p w14:paraId="6087C102" w14:textId="77777777" w:rsidR="00B733ED" w:rsidRPr="00BA4396" w:rsidRDefault="00B733ED" w:rsidP="00B733ED">
            <w:pPr>
              <w:spacing w:before="20" w:after="120" w:line="280" w:lineRule="atLeast"/>
              <w:jc w:val="both"/>
              <w:rPr>
                <w:rFonts w:ascii="Verdana" w:hAnsi="Verdana"/>
                <w:sz w:val="18"/>
                <w:szCs w:val="18"/>
                <w:lang w:val="fr-FR"/>
              </w:rPr>
            </w:pPr>
            <w:r w:rsidRPr="00BA4396">
              <w:rPr>
                <w:rFonts w:ascii="Verdana" w:hAnsi="Verdana"/>
                <w:sz w:val="18"/>
                <w:szCs w:val="18"/>
                <w:lang w:val="fr-FR"/>
              </w:rPr>
              <w:t>Sur le plan de la procédure, des outils tels que la conservation accélérée et la divulgation partielle des données relatives au trafic, l'ordonnance de production, la recherche et la saisie de données informatiques stockées, la collecte en temps réel de données relatives au trafic et l'interception de données relatives au contenu sont utilisés.</w:t>
            </w:r>
          </w:p>
          <w:p w14:paraId="53059D73" w14:textId="6963D805" w:rsidR="00B733ED" w:rsidRPr="00B733ED" w:rsidRDefault="00B733ED" w:rsidP="00471328">
            <w:pPr>
              <w:spacing w:before="20" w:after="120" w:line="280" w:lineRule="atLeast"/>
              <w:jc w:val="both"/>
              <w:rPr>
                <w:lang w:val="fr-FR"/>
              </w:rPr>
            </w:pPr>
            <w:r w:rsidRPr="00BA4396">
              <w:rPr>
                <w:rFonts w:ascii="Verdana" w:hAnsi="Verdana"/>
                <w:sz w:val="18"/>
                <w:szCs w:val="18"/>
                <w:lang w:val="fr-FR"/>
              </w:rPr>
              <w:t>Le volet de l'entraide judiciaire utilise l'extradition, la conservation et la divulgation partielle accélérées des données relatives au trafic, la divulgation accélérée des données relatives au trafic conservées, l'entraide concernant l'accès aux données informatiques stockées, l'entraide concernant la collecte en temps réel des données relatives au trafic, l'entraide concernant l'interception des données relatives au contenu et les articles de la Convention de Budapest relatifs aux réseaux 24 heures sur 24 et 7 jours sur 7.</w:t>
            </w:r>
          </w:p>
        </w:tc>
      </w:tr>
      <w:tr w:rsidR="003B34C4" w:rsidRPr="00083826" w14:paraId="2DD044A7" w14:textId="77777777" w:rsidTr="00BA4396">
        <w:trPr>
          <w:trHeight w:val="1439"/>
        </w:trPr>
        <w:tc>
          <w:tcPr>
            <w:tcW w:w="1838" w:type="dxa"/>
            <w:vAlign w:val="center"/>
          </w:tcPr>
          <w:p w14:paraId="3526C08A" w14:textId="77777777" w:rsidR="003B34C4" w:rsidRDefault="000F2415" w:rsidP="00BD7897">
            <w:pPr>
              <w:spacing w:before="120" w:after="120" w:line="280" w:lineRule="exact"/>
              <w:jc w:val="center"/>
              <w:rPr>
                <w:rFonts w:ascii="Verdana" w:hAnsi="Verdana"/>
                <w:sz w:val="18"/>
                <w:szCs w:val="18"/>
              </w:rPr>
            </w:pPr>
            <w:r w:rsidRPr="00083826">
              <w:rPr>
                <w:rFonts w:ascii="Verdana" w:hAnsi="Verdana"/>
                <w:sz w:val="18"/>
                <w:szCs w:val="18"/>
              </w:rPr>
              <w:lastRenderedPageBreak/>
              <w:t>1</w:t>
            </w:r>
            <w:r w:rsidR="00471328" w:rsidRPr="00083826">
              <w:rPr>
                <w:rFonts w:ascii="Verdana" w:hAnsi="Verdana"/>
                <w:sz w:val="18"/>
                <w:szCs w:val="18"/>
              </w:rPr>
              <w:t>9</w:t>
            </w:r>
            <w:r w:rsidRPr="00083826">
              <w:rPr>
                <w:rFonts w:ascii="Verdana" w:hAnsi="Verdana"/>
                <w:sz w:val="18"/>
                <w:szCs w:val="18"/>
              </w:rPr>
              <w:t xml:space="preserve"> to </w:t>
            </w:r>
            <w:r w:rsidR="00471328" w:rsidRPr="00083826">
              <w:rPr>
                <w:rFonts w:ascii="Verdana" w:hAnsi="Verdana"/>
                <w:sz w:val="18"/>
                <w:szCs w:val="18"/>
              </w:rPr>
              <w:t>21</w:t>
            </w:r>
          </w:p>
          <w:p w14:paraId="0896E8BA" w14:textId="77777777" w:rsidR="00104576" w:rsidRDefault="00104576" w:rsidP="00BD7897">
            <w:pPr>
              <w:spacing w:before="120" w:after="120" w:line="280" w:lineRule="exact"/>
              <w:jc w:val="center"/>
              <w:rPr>
                <w:rFonts w:ascii="Verdana" w:hAnsi="Verdana"/>
                <w:sz w:val="18"/>
                <w:szCs w:val="18"/>
              </w:rPr>
            </w:pPr>
          </w:p>
          <w:p w14:paraId="3BF26918" w14:textId="77777777" w:rsidR="00104576" w:rsidRDefault="00104576" w:rsidP="00BD7897">
            <w:pPr>
              <w:spacing w:before="120" w:after="120" w:line="280" w:lineRule="exact"/>
              <w:jc w:val="center"/>
              <w:rPr>
                <w:rFonts w:ascii="Verdana" w:hAnsi="Verdana"/>
                <w:sz w:val="18"/>
                <w:szCs w:val="18"/>
              </w:rPr>
            </w:pPr>
          </w:p>
          <w:p w14:paraId="4298E6D6" w14:textId="77777777" w:rsidR="00104576" w:rsidRDefault="00104576" w:rsidP="00BD7897">
            <w:pPr>
              <w:spacing w:before="120" w:after="120" w:line="280" w:lineRule="exact"/>
              <w:jc w:val="center"/>
              <w:rPr>
                <w:rFonts w:ascii="Verdana" w:hAnsi="Verdana"/>
                <w:sz w:val="18"/>
                <w:szCs w:val="18"/>
              </w:rPr>
            </w:pPr>
          </w:p>
          <w:p w14:paraId="689ED86A" w14:textId="77777777" w:rsidR="00104576" w:rsidRDefault="00104576" w:rsidP="00BD7897">
            <w:pPr>
              <w:spacing w:before="120" w:after="120" w:line="280" w:lineRule="exact"/>
              <w:jc w:val="center"/>
              <w:rPr>
                <w:rFonts w:ascii="Verdana" w:hAnsi="Verdana"/>
                <w:sz w:val="18"/>
                <w:szCs w:val="18"/>
              </w:rPr>
            </w:pPr>
          </w:p>
          <w:p w14:paraId="4E0624F2" w14:textId="77777777" w:rsidR="00104576" w:rsidRDefault="00104576" w:rsidP="00BD7897">
            <w:pPr>
              <w:spacing w:before="120" w:after="120" w:line="280" w:lineRule="exact"/>
              <w:jc w:val="center"/>
              <w:rPr>
                <w:rFonts w:ascii="Verdana" w:hAnsi="Verdana"/>
                <w:sz w:val="18"/>
                <w:szCs w:val="18"/>
              </w:rPr>
            </w:pPr>
          </w:p>
          <w:p w14:paraId="70DA6692" w14:textId="77777777" w:rsidR="00104576" w:rsidRDefault="00104576" w:rsidP="00BD7897">
            <w:pPr>
              <w:spacing w:before="120" w:after="120" w:line="280" w:lineRule="exact"/>
              <w:jc w:val="center"/>
              <w:rPr>
                <w:rFonts w:ascii="Verdana" w:hAnsi="Verdana"/>
                <w:sz w:val="18"/>
                <w:szCs w:val="18"/>
              </w:rPr>
            </w:pPr>
          </w:p>
          <w:p w14:paraId="166BB539" w14:textId="77777777" w:rsidR="00104576" w:rsidRDefault="00104576" w:rsidP="00BD7897">
            <w:pPr>
              <w:spacing w:before="120" w:after="120" w:line="280" w:lineRule="exact"/>
              <w:jc w:val="center"/>
              <w:rPr>
                <w:rFonts w:ascii="Verdana" w:hAnsi="Verdana"/>
                <w:sz w:val="18"/>
                <w:szCs w:val="18"/>
              </w:rPr>
            </w:pPr>
          </w:p>
          <w:p w14:paraId="4CFF30A3" w14:textId="3A391614" w:rsidR="00B733ED" w:rsidRDefault="00B733ED" w:rsidP="00104576">
            <w:pPr>
              <w:spacing w:before="120" w:after="120" w:line="280" w:lineRule="exact"/>
              <w:rPr>
                <w:rFonts w:ascii="Verdana" w:hAnsi="Verdana"/>
                <w:sz w:val="18"/>
                <w:szCs w:val="18"/>
              </w:rPr>
            </w:pPr>
          </w:p>
        </w:tc>
        <w:tc>
          <w:tcPr>
            <w:tcW w:w="7172" w:type="dxa"/>
            <w:gridSpan w:val="2"/>
            <w:vAlign w:val="center"/>
          </w:tcPr>
          <w:p w14:paraId="0D8A4D91" w14:textId="77777777" w:rsidR="00083826" w:rsidRPr="00B733ED" w:rsidRDefault="00083826" w:rsidP="00083826">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Ces </w:t>
            </w:r>
            <w:r>
              <w:rPr>
                <w:rFonts w:ascii="Verdana" w:hAnsi="Verdana"/>
                <w:sz w:val="18"/>
                <w:szCs w:val="18"/>
                <w:lang w:val="fr-FR"/>
              </w:rPr>
              <w:t>diapositives</w:t>
            </w:r>
            <w:r w:rsidRPr="00B733ED">
              <w:rPr>
                <w:rFonts w:ascii="Verdana" w:hAnsi="Verdana"/>
                <w:sz w:val="18"/>
                <w:szCs w:val="18"/>
                <w:lang w:val="fr-FR"/>
              </w:rPr>
              <w:t xml:space="preserve"> présentent les tâches, les problèmes et les questions possibles concernant l'étude de cas.</w:t>
            </w:r>
          </w:p>
          <w:p w14:paraId="0DCE75FE" w14:textId="77777777" w:rsidR="00083826" w:rsidRPr="00B733ED" w:rsidRDefault="00083826" w:rsidP="00083826">
            <w:pPr>
              <w:spacing w:before="20" w:after="120" w:line="280" w:lineRule="atLeast"/>
              <w:jc w:val="both"/>
              <w:rPr>
                <w:rFonts w:ascii="Verdana" w:hAnsi="Verdana"/>
                <w:sz w:val="18"/>
                <w:szCs w:val="18"/>
                <w:lang w:val="fr-FR"/>
              </w:rPr>
            </w:pPr>
            <w:r w:rsidRPr="00B733ED">
              <w:rPr>
                <w:rFonts w:ascii="Verdana" w:hAnsi="Verdana"/>
                <w:sz w:val="18"/>
                <w:szCs w:val="18"/>
                <w:lang w:val="fr-FR"/>
              </w:rPr>
              <w:t>L'expert doit présenter les principaux problèmes qui représentent les idées principales du cas et qui doivent être explorées pendant le temps de travail en groupe.</w:t>
            </w:r>
          </w:p>
          <w:p w14:paraId="44913B3C" w14:textId="3910A06C" w:rsidR="00083826" w:rsidRPr="00B733ED" w:rsidRDefault="00083826" w:rsidP="00083826">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Les questions principales couvrent tous les chapitres de la Convention sur la cybercriminalité. Les conclusions doivent être axées sur les actes criminels et les dispositions procédurales </w:t>
            </w:r>
            <w:r>
              <w:rPr>
                <w:rFonts w:ascii="Verdana" w:hAnsi="Verdana"/>
                <w:sz w:val="18"/>
                <w:szCs w:val="18"/>
                <w:lang w:val="fr-FR"/>
              </w:rPr>
              <w:t>de demandes d’entraide pénales</w:t>
            </w:r>
            <w:r w:rsidRPr="00B733ED">
              <w:rPr>
                <w:rFonts w:ascii="Verdana" w:hAnsi="Verdana"/>
                <w:sz w:val="18"/>
                <w:szCs w:val="18"/>
                <w:lang w:val="fr-FR"/>
              </w:rPr>
              <w:t xml:space="preserve"> utilisées pour l'analyse du cas.</w:t>
            </w:r>
          </w:p>
          <w:p w14:paraId="129A3BD9" w14:textId="7BFC1D5D" w:rsidR="00083826" w:rsidRPr="00B733ED" w:rsidRDefault="00083826" w:rsidP="00083826">
            <w:pPr>
              <w:spacing w:before="20" w:after="120" w:line="280" w:lineRule="atLeast"/>
              <w:jc w:val="both"/>
              <w:rPr>
                <w:rFonts w:ascii="Verdana" w:hAnsi="Verdana"/>
                <w:sz w:val="18"/>
                <w:szCs w:val="18"/>
                <w:lang w:val="fr-FR"/>
              </w:rPr>
            </w:pPr>
            <w:r w:rsidRPr="00B733ED">
              <w:rPr>
                <w:rFonts w:ascii="Verdana" w:hAnsi="Verdana"/>
                <w:sz w:val="18"/>
                <w:szCs w:val="18"/>
                <w:lang w:val="fr-FR"/>
              </w:rPr>
              <w:t>L'affaire n'est pas prête pour</w:t>
            </w:r>
            <w:r>
              <w:rPr>
                <w:rFonts w:ascii="Verdana" w:hAnsi="Verdana"/>
                <w:sz w:val="18"/>
                <w:szCs w:val="18"/>
                <w:lang w:val="fr-FR"/>
              </w:rPr>
              <w:t xml:space="preserve"> être jugée</w:t>
            </w:r>
            <w:r w:rsidRPr="00B733ED">
              <w:rPr>
                <w:rFonts w:ascii="Verdana" w:hAnsi="Verdana"/>
                <w:sz w:val="18"/>
                <w:szCs w:val="18"/>
                <w:lang w:val="fr-FR"/>
              </w:rPr>
              <w:t>.</w:t>
            </w:r>
          </w:p>
          <w:p w14:paraId="74F9CA3C" w14:textId="2AD2B089" w:rsidR="00083826" w:rsidRPr="00083826" w:rsidRDefault="00083826" w:rsidP="00471328">
            <w:pPr>
              <w:spacing w:before="20" w:after="120" w:line="280" w:lineRule="atLeast"/>
              <w:jc w:val="both"/>
              <w:rPr>
                <w:rFonts w:ascii="Verdana" w:hAnsi="Verdana"/>
                <w:sz w:val="18"/>
                <w:szCs w:val="18"/>
                <w:lang w:val="fr-FR"/>
              </w:rPr>
            </w:pPr>
          </w:p>
        </w:tc>
      </w:tr>
      <w:tr w:rsidR="00E72411" w:rsidRPr="00083826" w14:paraId="3A4D05A1" w14:textId="77777777" w:rsidTr="00BA4396">
        <w:trPr>
          <w:trHeight w:val="1439"/>
        </w:trPr>
        <w:tc>
          <w:tcPr>
            <w:tcW w:w="1838" w:type="dxa"/>
            <w:vAlign w:val="center"/>
          </w:tcPr>
          <w:p w14:paraId="4B958B56" w14:textId="0E3325B3" w:rsidR="00E72411" w:rsidRDefault="009A2731" w:rsidP="00BC50E6">
            <w:pPr>
              <w:spacing w:before="120" w:after="120" w:line="280" w:lineRule="exact"/>
              <w:rPr>
                <w:rFonts w:ascii="Verdana" w:hAnsi="Verdana"/>
                <w:sz w:val="18"/>
                <w:szCs w:val="18"/>
              </w:rPr>
            </w:pPr>
            <w:r w:rsidRPr="00083826">
              <w:rPr>
                <w:rFonts w:ascii="Verdana" w:hAnsi="Verdana"/>
                <w:sz w:val="18"/>
                <w:szCs w:val="18"/>
                <w:lang w:val="fr-FR"/>
              </w:rPr>
              <w:t xml:space="preserve"> </w:t>
            </w:r>
            <w:r w:rsidR="00B60C26">
              <w:rPr>
                <w:rFonts w:ascii="Verdana" w:hAnsi="Verdana"/>
                <w:sz w:val="18"/>
                <w:szCs w:val="18"/>
              </w:rPr>
              <w:t>19 à 21</w:t>
            </w:r>
          </w:p>
        </w:tc>
        <w:tc>
          <w:tcPr>
            <w:tcW w:w="7172" w:type="dxa"/>
            <w:gridSpan w:val="2"/>
            <w:vAlign w:val="center"/>
          </w:tcPr>
          <w:p w14:paraId="65F38D2A"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Cette diapositive représente les questions et réponses spécifiques du groupe 1 concernant l'étude de cas.</w:t>
            </w:r>
          </w:p>
          <w:p w14:paraId="4B7B7639"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Réponses :</w:t>
            </w:r>
          </w:p>
          <w:p w14:paraId="5A734D1C"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si aucun régime de rétention, l'article 16 suivi de l'article 18. Si un régime de conservation est en place, l'article 18 au réseau de médias sociaux concernant les données relatives au contenu. Contact avec le siège de la marque au sujet du jeu ;</w:t>
            </w:r>
          </w:p>
          <w:p w14:paraId="1462144D"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si aucun régime de conservation, article 16 suivi de l'article 18. Si un régime de conservation est en place, l'article 18 est transmis au réseau de médias sociaux concernant les informations de base sur l'abonné ;</w:t>
            </w:r>
          </w:p>
          <w:p w14:paraId="11B17B62"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audition des témoins et vérification des comptes bancaires ;</w:t>
            </w:r>
          </w:p>
          <w:p w14:paraId="60D714EC"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Article 8 ;</w:t>
            </w:r>
          </w:p>
          <w:p w14:paraId="430F3ABC" w14:textId="666A3A6C"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identification des personnes qui administrent les pages primées et leur interrogatoire.</w:t>
            </w:r>
          </w:p>
        </w:tc>
      </w:tr>
      <w:tr w:rsidR="00E72411" w:rsidRPr="00083826" w14:paraId="4451A4C7" w14:textId="77777777" w:rsidTr="00BA4396">
        <w:trPr>
          <w:trHeight w:val="1439"/>
        </w:trPr>
        <w:tc>
          <w:tcPr>
            <w:tcW w:w="1838" w:type="dxa"/>
            <w:vAlign w:val="center"/>
          </w:tcPr>
          <w:p w14:paraId="7AF5BB6C" w14:textId="0755AD62" w:rsidR="009A2731" w:rsidRDefault="009A2731" w:rsidP="00C0304C">
            <w:pPr>
              <w:spacing w:before="120" w:after="120" w:line="280" w:lineRule="exact"/>
              <w:rPr>
                <w:rFonts w:ascii="Verdana" w:hAnsi="Verdana"/>
                <w:sz w:val="18"/>
                <w:szCs w:val="18"/>
              </w:rPr>
            </w:pPr>
            <w:r w:rsidRPr="00DF4DD2">
              <w:rPr>
                <w:rFonts w:ascii="Verdana" w:hAnsi="Verdana"/>
                <w:sz w:val="18"/>
                <w:szCs w:val="18"/>
                <w:lang w:val="fr-FR"/>
              </w:rPr>
              <w:t xml:space="preserve">   </w:t>
            </w:r>
            <w:r>
              <w:rPr>
                <w:rFonts w:ascii="Verdana" w:hAnsi="Verdana"/>
                <w:sz w:val="18"/>
                <w:szCs w:val="18"/>
              </w:rPr>
              <w:t>22 à 23</w:t>
            </w:r>
          </w:p>
        </w:tc>
        <w:tc>
          <w:tcPr>
            <w:tcW w:w="7172" w:type="dxa"/>
            <w:gridSpan w:val="2"/>
            <w:vAlign w:val="center"/>
          </w:tcPr>
          <w:p w14:paraId="40BB599B" w14:textId="0F3D3809"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Cette </w:t>
            </w:r>
            <w:r w:rsidR="009A2731">
              <w:rPr>
                <w:rFonts w:ascii="Verdana" w:hAnsi="Verdana"/>
                <w:sz w:val="18"/>
                <w:szCs w:val="18"/>
                <w:lang w:val="fr-FR"/>
              </w:rPr>
              <w:t>diapositive</w:t>
            </w:r>
            <w:r w:rsidRPr="00B733ED">
              <w:rPr>
                <w:rFonts w:ascii="Verdana" w:hAnsi="Verdana"/>
                <w:sz w:val="18"/>
                <w:szCs w:val="18"/>
                <w:lang w:val="fr-FR"/>
              </w:rPr>
              <w:t xml:space="preserve"> </w:t>
            </w:r>
            <w:r w:rsidR="009A2731">
              <w:rPr>
                <w:rFonts w:ascii="Verdana" w:hAnsi="Verdana"/>
                <w:sz w:val="18"/>
                <w:szCs w:val="18"/>
                <w:lang w:val="fr-FR"/>
              </w:rPr>
              <w:t>contient</w:t>
            </w:r>
            <w:r w:rsidRPr="00B733ED">
              <w:rPr>
                <w:rFonts w:ascii="Verdana" w:hAnsi="Verdana"/>
                <w:sz w:val="18"/>
                <w:szCs w:val="18"/>
                <w:lang w:val="fr-FR"/>
              </w:rPr>
              <w:t xml:space="preserve"> les questions et réponses spécifiques du groupe 2 concernant l'étude de cas.</w:t>
            </w:r>
          </w:p>
          <w:p w14:paraId="6E695570"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Réponses :</w:t>
            </w:r>
          </w:p>
          <w:p w14:paraId="59FFAA7D" w14:textId="1C877CB2"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si aucun régime de rétention</w:t>
            </w:r>
            <w:r w:rsidR="009A2731">
              <w:rPr>
                <w:rFonts w:ascii="Verdana" w:hAnsi="Verdana"/>
                <w:sz w:val="18"/>
                <w:szCs w:val="18"/>
                <w:lang w:val="fr-FR"/>
              </w:rPr>
              <w:t xml:space="preserve"> n’existe</w:t>
            </w:r>
            <w:r w:rsidRPr="00B733ED">
              <w:rPr>
                <w:rFonts w:ascii="Verdana" w:hAnsi="Verdana"/>
                <w:sz w:val="18"/>
                <w:szCs w:val="18"/>
                <w:lang w:val="fr-FR"/>
              </w:rPr>
              <w:t>, l'article 16 suivi de l'article 18. Si un régime de conservation est en place, l'article 18 à l'ISP concernant les informations de base sur l'abonné, les données relatives au trafic et au contenu ;</w:t>
            </w:r>
          </w:p>
          <w:p w14:paraId="403C608A"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Adresses IP utilisées par l'administrateur des canaux, journaux d'activité de l'administration, journaux d'activité des utilisateurs concernant l'échange de données personnelles, autres preuves concernant le flux monétaire et la communication ;</w:t>
            </w:r>
          </w:p>
          <w:p w14:paraId="675073E2" w14:textId="0CB75F8C" w:rsid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Les adresses IP obtenues en vertu des articles 16 et 18 seront reliées aux abonnés du PSI et à leurs contrats d'abonnement ;</w:t>
            </w:r>
          </w:p>
          <w:p w14:paraId="71D92AD0" w14:textId="77777777" w:rsidR="003A626C" w:rsidRPr="00B733ED" w:rsidRDefault="003A626C" w:rsidP="00B733ED">
            <w:pPr>
              <w:spacing w:before="20" w:after="120" w:line="280" w:lineRule="atLeast"/>
              <w:jc w:val="both"/>
              <w:rPr>
                <w:rFonts w:ascii="Verdana" w:hAnsi="Verdana"/>
                <w:sz w:val="18"/>
                <w:szCs w:val="18"/>
                <w:lang w:val="fr-FR"/>
              </w:rPr>
            </w:pPr>
          </w:p>
          <w:p w14:paraId="147A9892"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 Article 19 sur les ordinateurs en possession des suspects, interrogatoire des suspects, déclarations des représentants des marques, des banques, des médias sociaux et des fournisseurs de services Internet et acquisition de données supplémentaires liées aux précédentes, identification du fournisseur de services hôte du marché noir dans le pays A, en fonction du chemin </w:t>
            </w:r>
            <w:r w:rsidRPr="00B733ED">
              <w:rPr>
                <w:rFonts w:ascii="Verdana" w:hAnsi="Verdana"/>
                <w:sz w:val="18"/>
                <w:szCs w:val="18"/>
                <w:lang w:val="fr-FR"/>
              </w:rPr>
              <w:lastRenderedPageBreak/>
              <w:t>parcouru par les délégués sur le fournisseur du marché noir (son existence est-elle connue du fournisseur ou non), articles 16, 18 et 19, analyse des journaux d'activité des échanges entre vendeurs et acheteurs de données à caractère personnel et preuves supplémentaires à cet égard. Les articles 20 et 21 peuvent être utilisés pour la collecte et l'interception des données entre les vendeurs et les acheteurs de données privées à condition que leurs adresses IP soient identifiées ;</w:t>
            </w:r>
          </w:p>
          <w:p w14:paraId="3E3BC8FE"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La mise en œuvre de l'article 19 sur les ordinateurs suspects a montré la présence du contrôleur pour le logiciel malveillant troyen installé sur certains ordinateurs de la marque permettant l'accès aux canaux d'origine ;</w:t>
            </w:r>
          </w:p>
          <w:p w14:paraId="169A9BB5" w14:textId="1414CA8C"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par les preuves électroniques acquises grâce à l'a</w:t>
            </w:r>
            <w:r w:rsidR="00527EBB">
              <w:rPr>
                <w:rFonts w:ascii="Verdana" w:hAnsi="Verdana"/>
                <w:sz w:val="18"/>
                <w:szCs w:val="18"/>
                <w:lang w:val="fr-FR"/>
              </w:rPr>
              <w:t>p</w:t>
            </w:r>
            <w:r w:rsidRPr="00B733ED">
              <w:rPr>
                <w:rFonts w:ascii="Verdana" w:hAnsi="Verdana"/>
                <w:sz w:val="18"/>
                <w:szCs w:val="18"/>
                <w:lang w:val="fr-FR"/>
              </w:rPr>
              <w:t xml:space="preserve">plication de l'article 19 sur les ordinateurs des vendeurs et des acheteurs de données privées, qui montreront les relevés bancaires et le portefeuille </w:t>
            </w:r>
            <w:r w:rsidR="003A626C">
              <w:rPr>
                <w:rFonts w:ascii="Verdana" w:hAnsi="Verdana"/>
                <w:sz w:val="18"/>
                <w:szCs w:val="18"/>
                <w:lang w:val="fr-FR"/>
              </w:rPr>
              <w:t>él</w:t>
            </w:r>
            <w:r w:rsidR="00527EBB">
              <w:rPr>
                <w:rFonts w:ascii="Verdana" w:hAnsi="Verdana"/>
                <w:sz w:val="18"/>
                <w:szCs w:val="18"/>
                <w:lang w:val="fr-FR"/>
              </w:rPr>
              <w:t>ectronique de crypto</w:t>
            </w:r>
            <w:r w:rsidR="003A626C">
              <w:rPr>
                <w:rFonts w:ascii="Verdana" w:hAnsi="Verdana"/>
                <w:sz w:val="18"/>
                <w:szCs w:val="18"/>
                <w:lang w:val="fr-FR"/>
              </w:rPr>
              <w:t>-</w:t>
            </w:r>
            <w:r w:rsidR="00527EBB">
              <w:rPr>
                <w:rFonts w:ascii="Verdana" w:hAnsi="Verdana"/>
                <w:sz w:val="18"/>
                <w:szCs w:val="18"/>
                <w:lang w:val="fr-FR"/>
              </w:rPr>
              <w:t>monnaie</w:t>
            </w:r>
            <w:r w:rsidR="003A626C">
              <w:rPr>
                <w:rFonts w:ascii="Verdana" w:hAnsi="Verdana"/>
                <w:sz w:val="18"/>
                <w:szCs w:val="18"/>
                <w:lang w:val="fr-FR"/>
              </w:rPr>
              <w:t> ;</w:t>
            </w:r>
          </w:p>
          <w:p w14:paraId="40241BF7" w14:textId="1FDAF29B"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les articles 2 et 4 concernant l'accès aux canaux originaux des médias sociaux de la marque et leur modification, les articles 7 et 10 concernant l'abus du jeu primé au nom de la marque et l'utilisation du logo de la marque et d'autres éléments des DPI.</w:t>
            </w:r>
          </w:p>
        </w:tc>
      </w:tr>
      <w:tr w:rsidR="00E72411" w:rsidRPr="00083826" w14:paraId="547FABF7" w14:textId="77777777" w:rsidTr="00BA4396">
        <w:trPr>
          <w:trHeight w:val="1439"/>
        </w:trPr>
        <w:tc>
          <w:tcPr>
            <w:tcW w:w="1838" w:type="dxa"/>
            <w:vAlign w:val="center"/>
          </w:tcPr>
          <w:p w14:paraId="3DF1540B" w14:textId="77777777" w:rsidR="00E72411" w:rsidRDefault="003A626C" w:rsidP="003A626C">
            <w:pPr>
              <w:spacing w:before="120" w:after="120" w:line="280" w:lineRule="exact"/>
              <w:rPr>
                <w:rFonts w:ascii="Verdana" w:hAnsi="Verdana"/>
                <w:sz w:val="18"/>
                <w:szCs w:val="18"/>
              </w:rPr>
            </w:pPr>
            <w:r w:rsidRPr="00DF4DD2">
              <w:rPr>
                <w:rFonts w:ascii="Verdana" w:hAnsi="Verdana"/>
                <w:sz w:val="18"/>
                <w:szCs w:val="18"/>
                <w:lang w:val="fr-FR"/>
              </w:rPr>
              <w:lastRenderedPageBreak/>
              <w:t xml:space="preserve">   </w:t>
            </w:r>
            <w:r w:rsidR="00E72411">
              <w:rPr>
                <w:rFonts w:ascii="Verdana" w:hAnsi="Verdana"/>
                <w:sz w:val="18"/>
                <w:szCs w:val="18"/>
              </w:rPr>
              <w:t>24</w:t>
            </w:r>
          </w:p>
          <w:p w14:paraId="0E06AEB9" w14:textId="77777777" w:rsidR="003A626C" w:rsidRDefault="003A626C" w:rsidP="003A626C">
            <w:pPr>
              <w:spacing w:before="120" w:after="120" w:line="280" w:lineRule="exact"/>
              <w:rPr>
                <w:rFonts w:ascii="Verdana" w:hAnsi="Verdana"/>
                <w:sz w:val="18"/>
                <w:szCs w:val="18"/>
              </w:rPr>
            </w:pPr>
          </w:p>
          <w:p w14:paraId="3BBE2ED1" w14:textId="77777777" w:rsidR="003A626C" w:rsidRDefault="003A626C" w:rsidP="003A626C">
            <w:pPr>
              <w:spacing w:before="120" w:after="120" w:line="280" w:lineRule="exact"/>
              <w:rPr>
                <w:rFonts w:ascii="Verdana" w:hAnsi="Verdana"/>
                <w:sz w:val="18"/>
                <w:szCs w:val="18"/>
              </w:rPr>
            </w:pPr>
          </w:p>
          <w:p w14:paraId="2A83F204" w14:textId="77777777" w:rsidR="003A626C" w:rsidRDefault="003A626C" w:rsidP="003A626C">
            <w:pPr>
              <w:spacing w:before="120" w:after="120" w:line="280" w:lineRule="exact"/>
              <w:rPr>
                <w:rFonts w:ascii="Verdana" w:hAnsi="Verdana"/>
                <w:sz w:val="18"/>
                <w:szCs w:val="18"/>
              </w:rPr>
            </w:pPr>
          </w:p>
          <w:p w14:paraId="6499ED15" w14:textId="77777777" w:rsidR="00A948DC" w:rsidRDefault="00A948DC" w:rsidP="003A626C">
            <w:pPr>
              <w:spacing w:before="120" w:after="120" w:line="280" w:lineRule="exact"/>
              <w:rPr>
                <w:rFonts w:ascii="Verdana" w:hAnsi="Verdana"/>
                <w:sz w:val="18"/>
                <w:szCs w:val="18"/>
              </w:rPr>
            </w:pPr>
          </w:p>
          <w:p w14:paraId="3AD9EF50" w14:textId="77777777" w:rsidR="003A626C" w:rsidRDefault="003A626C" w:rsidP="003A626C">
            <w:pPr>
              <w:spacing w:before="120" w:after="120" w:line="280" w:lineRule="exact"/>
              <w:rPr>
                <w:rFonts w:ascii="Verdana" w:hAnsi="Verdana"/>
                <w:sz w:val="18"/>
                <w:szCs w:val="18"/>
              </w:rPr>
            </w:pPr>
          </w:p>
          <w:p w14:paraId="26DBA246" w14:textId="77777777" w:rsidR="003A626C" w:rsidRDefault="003A626C" w:rsidP="003A626C">
            <w:pPr>
              <w:spacing w:before="120" w:after="120" w:line="280" w:lineRule="exact"/>
              <w:rPr>
                <w:rFonts w:ascii="Verdana" w:hAnsi="Verdana"/>
                <w:sz w:val="18"/>
                <w:szCs w:val="18"/>
              </w:rPr>
            </w:pPr>
          </w:p>
          <w:p w14:paraId="700F3B2B" w14:textId="77777777" w:rsidR="003A626C" w:rsidRDefault="003A626C" w:rsidP="003A626C">
            <w:pPr>
              <w:spacing w:before="120" w:after="120" w:line="280" w:lineRule="exact"/>
              <w:rPr>
                <w:rFonts w:ascii="Verdana" w:hAnsi="Verdana"/>
                <w:sz w:val="18"/>
                <w:szCs w:val="18"/>
              </w:rPr>
            </w:pPr>
          </w:p>
          <w:p w14:paraId="10A6F182" w14:textId="77777777" w:rsidR="003A626C" w:rsidRDefault="003A626C" w:rsidP="003A626C">
            <w:pPr>
              <w:spacing w:before="120" w:after="120" w:line="280" w:lineRule="exact"/>
              <w:rPr>
                <w:rFonts w:ascii="Verdana" w:hAnsi="Verdana"/>
                <w:sz w:val="18"/>
                <w:szCs w:val="18"/>
              </w:rPr>
            </w:pPr>
          </w:p>
          <w:p w14:paraId="7D98FC54" w14:textId="135DCDA5" w:rsidR="003A626C" w:rsidRDefault="003A626C" w:rsidP="003A626C">
            <w:pPr>
              <w:spacing w:before="120" w:after="120" w:line="280" w:lineRule="exact"/>
              <w:rPr>
                <w:rFonts w:ascii="Verdana" w:hAnsi="Verdana"/>
                <w:sz w:val="18"/>
                <w:szCs w:val="18"/>
              </w:rPr>
            </w:pPr>
          </w:p>
        </w:tc>
        <w:tc>
          <w:tcPr>
            <w:tcW w:w="7172" w:type="dxa"/>
            <w:gridSpan w:val="2"/>
            <w:vAlign w:val="center"/>
          </w:tcPr>
          <w:p w14:paraId="1D6714E8" w14:textId="46BCF46E" w:rsidR="00B733ED" w:rsidRPr="00DF4DD2" w:rsidRDefault="00B733ED" w:rsidP="00B733ED">
            <w:pPr>
              <w:rPr>
                <w:rFonts w:ascii="Verdana" w:hAnsi="Verdana"/>
                <w:sz w:val="18"/>
                <w:szCs w:val="18"/>
                <w:lang w:val="fr-FR"/>
              </w:rPr>
            </w:pPr>
            <w:r w:rsidRPr="00DF4DD2">
              <w:rPr>
                <w:rFonts w:ascii="Verdana" w:hAnsi="Verdana"/>
                <w:sz w:val="18"/>
                <w:szCs w:val="18"/>
                <w:lang w:val="fr-FR"/>
              </w:rPr>
              <w:t xml:space="preserve">Cette </w:t>
            </w:r>
            <w:r w:rsidR="00A948DC" w:rsidRPr="00DF4DD2">
              <w:rPr>
                <w:rFonts w:ascii="Verdana" w:hAnsi="Verdana"/>
                <w:sz w:val="18"/>
                <w:szCs w:val="18"/>
                <w:lang w:val="fr-FR"/>
              </w:rPr>
              <w:t xml:space="preserve">diapositive </w:t>
            </w:r>
            <w:r w:rsidRPr="00DF4DD2">
              <w:rPr>
                <w:rFonts w:ascii="Verdana" w:hAnsi="Verdana"/>
                <w:sz w:val="18"/>
                <w:szCs w:val="18"/>
                <w:lang w:val="fr-FR"/>
              </w:rPr>
              <w:t>présente les questions et réponses spécifiques du groupe 3 concernant l'étude de cas.</w:t>
            </w:r>
          </w:p>
          <w:p w14:paraId="64A38E25" w14:textId="77777777" w:rsidR="00A948DC" w:rsidRPr="00DF4DD2" w:rsidRDefault="00A948DC" w:rsidP="00B733ED">
            <w:pPr>
              <w:rPr>
                <w:rFonts w:ascii="Verdana" w:hAnsi="Verdana"/>
                <w:sz w:val="18"/>
                <w:szCs w:val="18"/>
                <w:lang w:val="fr-FR"/>
              </w:rPr>
            </w:pPr>
          </w:p>
          <w:p w14:paraId="1699D370" w14:textId="59F9F11B" w:rsidR="00B733ED" w:rsidRPr="00DF4DD2" w:rsidRDefault="00B733ED" w:rsidP="00B733ED">
            <w:pPr>
              <w:rPr>
                <w:rFonts w:ascii="Verdana" w:hAnsi="Verdana"/>
                <w:sz w:val="18"/>
                <w:szCs w:val="18"/>
                <w:lang w:val="fr-FR"/>
              </w:rPr>
            </w:pPr>
            <w:r w:rsidRPr="00DF4DD2">
              <w:rPr>
                <w:rFonts w:ascii="Verdana" w:hAnsi="Verdana"/>
                <w:sz w:val="18"/>
                <w:szCs w:val="18"/>
                <w:lang w:val="fr-FR"/>
              </w:rPr>
              <w:t>Réponses :</w:t>
            </w:r>
          </w:p>
          <w:p w14:paraId="26512A49" w14:textId="77777777" w:rsidR="00B733ED" w:rsidRPr="00DF4DD2" w:rsidRDefault="00B733ED" w:rsidP="00B733ED">
            <w:pPr>
              <w:rPr>
                <w:rFonts w:ascii="Verdana" w:hAnsi="Verdana"/>
                <w:sz w:val="18"/>
                <w:szCs w:val="18"/>
                <w:lang w:val="fr-FR"/>
              </w:rPr>
            </w:pPr>
            <w:r w:rsidRPr="00DF4DD2">
              <w:rPr>
                <w:rFonts w:ascii="Verdana" w:hAnsi="Verdana"/>
                <w:sz w:val="18"/>
                <w:szCs w:val="18"/>
                <w:lang w:val="fr-FR"/>
              </w:rPr>
              <w:t>- enregistrement des données d'identification et des transactions monétaires ;</w:t>
            </w:r>
          </w:p>
          <w:p w14:paraId="12CFE7A6" w14:textId="77777777" w:rsidR="00B733ED" w:rsidRPr="00DF4DD2" w:rsidRDefault="00B733ED" w:rsidP="00B733ED">
            <w:pPr>
              <w:rPr>
                <w:rFonts w:ascii="Verdana" w:hAnsi="Verdana"/>
                <w:sz w:val="18"/>
                <w:szCs w:val="18"/>
                <w:lang w:val="fr-FR"/>
              </w:rPr>
            </w:pPr>
            <w:r w:rsidRPr="00DF4DD2">
              <w:rPr>
                <w:rFonts w:ascii="Verdana" w:hAnsi="Verdana"/>
                <w:sz w:val="18"/>
                <w:szCs w:val="18"/>
                <w:lang w:val="fr-FR"/>
              </w:rPr>
              <w:t>- oui, l'entreprise de paiement en ligne (OLPC) du pays B approuve la coopération volontaire. La demande doit donc être envoyée par les autorités du pays A conformément aux règles de l'entreprise ;</w:t>
            </w:r>
          </w:p>
          <w:p w14:paraId="4CF67677" w14:textId="77777777" w:rsidR="00B733ED" w:rsidRPr="00DF4DD2" w:rsidRDefault="00B733ED" w:rsidP="00B733ED">
            <w:pPr>
              <w:rPr>
                <w:rFonts w:ascii="Verdana" w:hAnsi="Verdana"/>
                <w:sz w:val="18"/>
                <w:szCs w:val="18"/>
                <w:lang w:val="fr-FR"/>
              </w:rPr>
            </w:pPr>
            <w:r w:rsidRPr="00DF4DD2">
              <w:rPr>
                <w:rFonts w:ascii="Verdana" w:hAnsi="Verdana"/>
                <w:sz w:val="18"/>
                <w:szCs w:val="18"/>
                <w:lang w:val="fr-FR"/>
              </w:rPr>
              <w:t>- Articles 29 et 31 pour la société de paiement en ligne concernant les comptes des utilisateurs, article 30 concernant les données relatives à la communication avec la société de paris en ligne du pays C (OLBC)</w:t>
            </w:r>
          </w:p>
          <w:p w14:paraId="262B7EAF" w14:textId="00292343" w:rsidR="00B733ED" w:rsidRPr="00DF4DD2" w:rsidRDefault="00B733ED" w:rsidP="00B733ED">
            <w:pPr>
              <w:rPr>
                <w:rFonts w:ascii="Verdana" w:hAnsi="Verdana"/>
                <w:sz w:val="18"/>
                <w:szCs w:val="18"/>
                <w:lang w:val="fr-FR"/>
              </w:rPr>
            </w:pPr>
            <w:r w:rsidRPr="00DF4DD2">
              <w:rPr>
                <w:rFonts w:ascii="Verdana" w:hAnsi="Verdana"/>
                <w:sz w:val="18"/>
                <w:szCs w:val="18"/>
                <w:lang w:val="fr-FR"/>
              </w:rPr>
              <w:t>- Les articles 29 et 31 devraient être préparés pour le pays C également, étant donné qu'il n'approuve pas la coopération volontaire, tandis que l'article 26 peut être utilisé pour l'échange rapide d'informations entre les ALE.</w:t>
            </w:r>
          </w:p>
          <w:p w14:paraId="71152D81" w14:textId="6DA7D60A" w:rsidR="00B733ED" w:rsidRPr="00DF4DD2" w:rsidRDefault="00B733ED" w:rsidP="00B733ED">
            <w:pPr>
              <w:rPr>
                <w:rFonts w:ascii="Verdana" w:hAnsi="Verdana"/>
                <w:sz w:val="18"/>
                <w:szCs w:val="18"/>
                <w:lang w:val="fr-FR"/>
              </w:rPr>
            </w:pPr>
            <w:r w:rsidRPr="00DF4DD2">
              <w:rPr>
                <w:rFonts w:ascii="Verdana" w:hAnsi="Verdana"/>
                <w:sz w:val="18"/>
                <w:szCs w:val="18"/>
                <w:lang w:val="fr-FR"/>
              </w:rPr>
              <w:t>- Les pays A, B et C peuvent organiser ensemble la mise en œuvre des articles 33 et 34 entre les utilisateurs des comptes OLPC du pays A et des comptes OLBC du pays B</w:t>
            </w:r>
          </w:p>
        </w:tc>
      </w:tr>
      <w:tr w:rsidR="00E72411" w:rsidRPr="00083826" w14:paraId="4D96F893" w14:textId="77777777" w:rsidTr="00BA4396">
        <w:trPr>
          <w:trHeight w:val="1439"/>
        </w:trPr>
        <w:tc>
          <w:tcPr>
            <w:tcW w:w="1838" w:type="dxa"/>
            <w:vAlign w:val="center"/>
          </w:tcPr>
          <w:p w14:paraId="003C4E02" w14:textId="77777777" w:rsidR="00A948DC" w:rsidRPr="00083826" w:rsidRDefault="00A948DC" w:rsidP="00A948DC">
            <w:pPr>
              <w:spacing w:before="120" w:after="120" w:line="280" w:lineRule="exact"/>
              <w:rPr>
                <w:rFonts w:ascii="Verdana" w:hAnsi="Verdana"/>
                <w:sz w:val="18"/>
                <w:szCs w:val="18"/>
                <w:lang w:val="fr-FR"/>
              </w:rPr>
            </w:pPr>
          </w:p>
          <w:p w14:paraId="18140A3B" w14:textId="3172127F" w:rsidR="00E72411" w:rsidRDefault="00A948DC" w:rsidP="00A948DC">
            <w:pPr>
              <w:spacing w:before="120" w:after="120" w:line="280" w:lineRule="exact"/>
              <w:rPr>
                <w:rFonts w:ascii="Verdana" w:hAnsi="Verdana"/>
                <w:sz w:val="18"/>
                <w:szCs w:val="18"/>
              </w:rPr>
            </w:pPr>
            <w:r>
              <w:rPr>
                <w:rFonts w:ascii="Verdana" w:hAnsi="Verdana"/>
                <w:sz w:val="18"/>
                <w:szCs w:val="18"/>
              </w:rPr>
              <w:t>25</w:t>
            </w:r>
          </w:p>
        </w:tc>
        <w:tc>
          <w:tcPr>
            <w:tcW w:w="7172" w:type="dxa"/>
            <w:gridSpan w:val="2"/>
            <w:vAlign w:val="center"/>
          </w:tcPr>
          <w:p w14:paraId="659404DB" w14:textId="3CDC8711"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Cette </w:t>
            </w:r>
            <w:r w:rsidR="00A948DC">
              <w:rPr>
                <w:rFonts w:ascii="Verdana" w:hAnsi="Verdana"/>
                <w:sz w:val="18"/>
                <w:szCs w:val="18"/>
                <w:lang w:val="fr-FR"/>
              </w:rPr>
              <w:t>diapositive</w:t>
            </w:r>
            <w:r w:rsidRPr="00B733ED">
              <w:rPr>
                <w:rFonts w:ascii="Verdana" w:hAnsi="Verdana"/>
                <w:sz w:val="18"/>
                <w:szCs w:val="18"/>
                <w:lang w:val="fr-FR"/>
              </w:rPr>
              <w:t xml:space="preserve"> représente les questions et réponses spécifiques du groupe 4 concernant l'étude de cas.</w:t>
            </w:r>
          </w:p>
          <w:p w14:paraId="7A8B30ED"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Réponses :</w:t>
            </w:r>
          </w:p>
          <w:p w14:paraId="48E0FF77"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Propriétaire et utilisation du compte OLPC, journaux de transactions, journaux IP concernant la communication avec les comptes OLBC, journaux IP concernant la communication avec les banques du pays A, articles 29, 30 et 31 concernant le flux et l'échange de données antérieurs ;</w:t>
            </w:r>
          </w:p>
          <w:p w14:paraId="7AB54C5F"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oui, puisque l'OLPC approuve la coopération volontaire, donc avant la mise en œuvre des articles, le BSI et certaines données de trafic peuvent être recherchées ;</w:t>
            </w:r>
          </w:p>
          <w:p w14:paraId="183FD80B"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Le pays A se concentrera désormais sur les personnes qui reçoivent des paiements sur leurs comptes bancaires ;</w:t>
            </w:r>
          </w:p>
          <w:p w14:paraId="644FD777"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xml:space="preserve">- Le pays A revient maintenant aux articles 16, 18 et 19 concernant l'ordre des transferts d'argent de l'OLPC vers les banques locales, et si nécessaire, </w:t>
            </w:r>
            <w:r w:rsidRPr="00B733ED">
              <w:rPr>
                <w:rFonts w:ascii="Verdana" w:hAnsi="Verdana"/>
                <w:sz w:val="18"/>
                <w:szCs w:val="18"/>
                <w:lang w:val="fr-FR"/>
              </w:rPr>
              <w:lastRenderedPageBreak/>
              <w:t>les articles 20 et 21 peuvent être utilisés pour les données relatives au trafic et au contenu entre les principaux coupables et les passeurs de fonds ;</w:t>
            </w:r>
          </w:p>
          <w:p w14:paraId="6609D648" w14:textId="77777777"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pour les médias sociaux, les articles 16 et 18 pour la vérification des anciens fichiers de renseignements bancaires, pour la voix sur IP, les articles 20 et 21 ;</w:t>
            </w:r>
          </w:p>
          <w:p w14:paraId="53D92CC2" w14:textId="226E7122" w:rsidR="00B733ED" w:rsidRPr="00B733ED" w:rsidRDefault="00B733ED" w:rsidP="00B733ED">
            <w:pPr>
              <w:spacing w:before="20" w:after="120" w:line="280" w:lineRule="atLeast"/>
              <w:jc w:val="both"/>
              <w:rPr>
                <w:rFonts w:ascii="Verdana" w:hAnsi="Verdana"/>
                <w:sz w:val="18"/>
                <w:szCs w:val="18"/>
                <w:lang w:val="fr-FR"/>
              </w:rPr>
            </w:pPr>
            <w:r w:rsidRPr="00B733ED">
              <w:rPr>
                <w:rFonts w:ascii="Verdana" w:hAnsi="Verdana"/>
                <w:sz w:val="18"/>
                <w:szCs w:val="18"/>
                <w:lang w:val="fr-FR"/>
              </w:rPr>
              <w:t>- L'étude de cas est ouverte, l'article 26 doit être utilisé et si les délégués veulent demander l'arrestation du principal suspect dans le pays E et l'extradition, l'article 24 peut être utilisé.</w:t>
            </w:r>
          </w:p>
        </w:tc>
      </w:tr>
      <w:tr w:rsidR="00E72411" w:rsidRPr="00083826" w14:paraId="472412CA" w14:textId="77777777" w:rsidTr="00BA4396">
        <w:trPr>
          <w:trHeight w:val="1439"/>
        </w:trPr>
        <w:tc>
          <w:tcPr>
            <w:tcW w:w="1838" w:type="dxa"/>
            <w:vAlign w:val="center"/>
          </w:tcPr>
          <w:p w14:paraId="22947A4A" w14:textId="192E7506" w:rsidR="00B733ED" w:rsidRDefault="00B733ED" w:rsidP="00BD7897">
            <w:pPr>
              <w:spacing w:before="120" w:after="120" w:line="280" w:lineRule="exact"/>
              <w:jc w:val="center"/>
              <w:rPr>
                <w:rFonts w:ascii="Verdana" w:hAnsi="Verdana"/>
                <w:sz w:val="18"/>
                <w:szCs w:val="18"/>
              </w:rPr>
            </w:pPr>
            <w:r>
              <w:rPr>
                <w:rFonts w:ascii="Verdana" w:hAnsi="Verdana"/>
                <w:sz w:val="18"/>
                <w:szCs w:val="18"/>
              </w:rPr>
              <w:lastRenderedPageBreak/>
              <w:t>28 à 31</w:t>
            </w:r>
          </w:p>
        </w:tc>
        <w:tc>
          <w:tcPr>
            <w:tcW w:w="7172" w:type="dxa"/>
            <w:gridSpan w:val="2"/>
            <w:vAlign w:val="center"/>
          </w:tcPr>
          <w:p w14:paraId="35242820" w14:textId="227BDD84" w:rsidR="00B733ED" w:rsidRPr="00DF4DD2" w:rsidRDefault="00B733ED" w:rsidP="00B733ED">
            <w:pPr>
              <w:rPr>
                <w:rFonts w:ascii="Verdana" w:hAnsi="Verdana"/>
                <w:sz w:val="18"/>
                <w:szCs w:val="18"/>
                <w:lang w:val="fr-FR"/>
              </w:rPr>
            </w:pPr>
            <w:r w:rsidRPr="00DF4DD2">
              <w:rPr>
                <w:rFonts w:ascii="Verdana" w:hAnsi="Verdana"/>
                <w:sz w:val="18"/>
                <w:szCs w:val="18"/>
                <w:lang w:val="fr-FR"/>
              </w:rPr>
              <w:t xml:space="preserve">Des </w:t>
            </w:r>
            <w:r w:rsidR="008C24D3" w:rsidRPr="00DF4DD2">
              <w:rPr>
                <w:rFonts w:ascii="Verdana" w:hAnsi="Verdana"/>
                <w:sz w:val="18"/>
                <w:szCs w:val="18"/>
                <w:lang w:val="fr-FR"/>
              </w:rPr>
              <w:t>diapositives</w:t>
            </w:r>
            <w:r w:rsidRPr="00DF4DD2">
              <w:rPr>
                <w:rFonts w:ascii="Verdana" w:hAnsi="Verdana"/>
                <w:sz w:val="18"/>
                <w:szCs w:val="18"/>
                <w:lang w:val="fr-FR"/>
              </w:rPr>
              <w:t xml:space="preserve"> qui introduisent et suivent les rapports de groupe.</w:t>
            </w:r>
          </w:p>
        </w:tc>
      </w:tr>
      <w:tr w:rsidR="005F709E" w:rsidRPr="00083826" w14:paraId="1918B48F" w14:textId="77777777" w:rsidTr="00BA4396">
        <w:trPr>
          <w:trHeight w:val="1313"/>
        </w:trPr>
        <w:tc>
          <w:tcPr>
            <w:tcW w:w="1838" w:type="dxa"/>
            <w:vAlign w:val="center"/>
          </w:tcPr>
          <w:p w14:paraId="224BC13F" w14:textId="719E99AF" w:rsidR="00736463" w:rsidRPr="00736463" w:rsidRDefault="00736463" w:rsidP="008C24D3">
            <w:pPr>
              <w:spacing w:before="120" w:after="120" w:line="280" w:lineRule="exact"/>
              <w:rPr>
                <w:rFonts w:ascii="Verdana" w:hAnsi="Verdana"/>
                <w:sz w:val="18"/>
                <w:szCs w:val="18"/>
                <w:lang w:val="fr-FR"/>
              </w:rPr>
            </w:pPr>
            <w:r>
              <w:rPr>
                <w:rFonts w:ascii="Verdana" w:hAnsi="Verdana"/>
                <w:sz w:val="18"/>
                <w:szCs w:val="18"/>
              </w:rPr>
              <w:t>31 à 33</w:t>
            </w:r>
          </w:p>
        </w:tc>
        <w:tc>
          <w:tcPr>
            <w:tcW w:w="7172" w:type="dxa"/>
            <w:gridSpan w:val="2"/>
            <w:vAlign w:val="center"/>
          </w:tcPr>
          <w:p w14:paraId="3D8114EC" w14:textId="4CC71ECA" w:rsidR="00736463" w:rsidRPr="00736463" w:rsidRDefault="00736463" w:rsidP="00736463">
            <w:pPr>
              <w:spacing w:after="120" w:line="280" w:lineRule="exact"/>
              <w:jc w:val="both"/>
              <w:rPr>
                <w:rFonts w:ascii="Verdana" w:hAnsi="Verdana"/>
                <w:sz w:val="18"/>
                <w:szCs w:val="18"/>
                <w:lang w:val="fr-FR"/>
              </w:rPr>
            </w:pPr>
            <w:r w:rsidRPr="00736463">
              <w:rPr>
                <w:rFonts w:ascii="Verdana" w:hAnsi="Verdana"/>
                <w:sz w:val="18"/>
                <w:szCs w:val="18"/>
                <w:lang w:val="fr-FR"/>
              </w:rPr>
              <w:t xml:space="preserve">Les dernières </w:t>
            </w:r>
            <w:r w:rsidR="008C24D3">
              <w:rPr>
                <w:rFonts w:ascii="Verdana" w:hAnsi="Verdana"/>
                <w:sz w:val="18"/>
                <w:szCs w:val="18"/>
                <w:lang w:val="fr-FR"/>
              </w:rPr>
              <w:t>diapositives</w:t>
            </w:r>
            <w:r w:rsidRPr="00736463">
              <w:rPr>
                <w:rFonts w:ascii="Verdana" w:hAnsi="Verdana"/>
                <w:sz w:val="18"/>
                <w:szCs w:val="18"/>
                <w:lang w:val="fr-FR"/>
              </w:rPr>
              <w:t xml:space="preserve"> permettent au formateur de revoir les objectifs d'apprentissage avec le public afin qu'il puisse s'assurer qu'ils ont été atteints. C'est également l'occasion pour les délégués de soulever les questions qui pourraient être en suspens ou pour lesquelles ils n'ont pas bien compris les sujets présentés.  </w:t>
            </w:r>
          </w:p>
          <w:p w14:paraId="4F4159A3" w14:textId="1C0C71E9" w:rsidR="00736463" w:rsidRPr="00736463" w:rsidRDefault="00736463" w:rsidP="00736463">
            <w:pPr>
              <w:spacing w:after="120" w:line="280" w:lineRule="exact"/>
              <w:jc w:val="both"/>
              <w:rPr>
                <w:rFonts w:ascii="Verdana" w:hAnsi="Verdana"/>
                <w:sz w:val="18"/>
                <w:szCs w:val="18"/>
                <w:lang w:val="fr-FR"/>
              </w:rPr>
            </w:pPr>
            <w:r w:rsidRPr="00736463">
              <w:rPr>
                <w:rFonts w:ascii="Verdana" w:hAnsi="Verdana"/>
                <w:sz w:val="18"/>
                <w:szCs w:val="18"/>
                <w:lang w:val="fr-FR"/>
              </w:rPr>
              <w:t>En outre, le formateur peut utiliser la session pour vérifier les connaissances acquises en posant des questions aux participants. Ceci est important car il n'y a pas d'évaluation formelle pour le cours.</w:t>
            </w:r>
          </w:p>
        </w:tc>
      </w:tr>
      <w:tr w:rsidR="00CB3026" w:rsidRPr="00083826" w14:paraId="2ECF09B7" w14:textId="77777777" w:rsidTr="00C0304C">
        <w:trPr>
          <w:trHeight w:val="940"/>
        </w:trPr>
        <w:tc>
          <w:tcPr>
            <w:tcW w:w="9010" w:type="dxa"/>
            <w:gridSpan w:val="3"/>
            <w:vAlign w:val="center"/>
          </w:tcPr>
          <w:p w14:paraId="27D56A1B" w14:textId="77777777" w:rsidR="00C0304C" w:rsidRDefault="00736463" w:rsidP="00736463">
            <w:pPr>
              <w:spacing w:before="120" w:after="120" w:line="280" w:lineRule="exact"/>
              <w:rPr>
                <w:rFonts w:ascii="Verdana" w:hAnsi="Verdana"/>
                <w:b/>
                <w:bCs/>
                <w:sz w:val="22"/>
                <w:szCs w:val="22"/>
                <w:lang w:val="fr-FR"/>
              </w:rPr>
            </w:pPr>
            <w:r w:rsidRPr="00736463">
              <w:rPr>
                <w:rFonts w:ascii="Verdana" w:hAnsi="Verdana"/>
                <w:b/>
                <w:bCs/>
                <w:sz w:val="22"/>
                <w:szCs w:val="22"/>
                <w:lang w:val="fr-FR"/>
              </w:rPr>
              <w:t>Exercices pratiques</w:t>
            </w:r>
          </w:p>
          <w:p w14:paraId="04D65D89" w14:textId="1AF799D6" w:rsidR="00736463" w:rsidRPr="00C0304C" w:rsidRDefault="00736463" w:rsidP="00736463">
            <w:pPr>
              <w:spacing w:before="120" w:after="120" w:line="280" w:lineRule="exact"/>
              <w:rPr>
                <w:rFonts w:ascii="Verdana" w:hAnsi="Verdana"/>
                <w:b/>
                <w:bCs/>
                <w:sz w:val="22"/>
                <w:szCs w:val="22"/>
                <w:lang w:val="fr-FR"/>
              </w:rPr>
            </w:pPr>
            <w:r w:rsidRPr="00736463">
              <w:rPr>
                <w:rFonts w:ascii="Verdana" w:hAnsi="Verdana"/>
                <w:sz w:val="18"/>
                <w:szCs w:val="18"/>
                <w:lang w:val="fr-FR"/>
              </w:rPr>
              <w:t>Une étude de cas est envisagée dans cette leçon.</w:t>
            </w:r>
          </w:p>
        </w:tc>
      </w:tr>
      <w:tr w:rsidR="00CB3026" w:rsidRPr="00083826" w14:paraId="603967A2" w14:textId="77777777" w:rsidTr="00F1574D">
        <w:tc>
          <w:tcPr>
            <w:tcW w:w="9010" w:type="dxa"/>
            <w:gridSpan w:val="3"/>
            <w:vAlign w:val="center"/>
          </w:tcPr>
          <w:p w14:paraId="6304251F" w14:textId="77777777" w:rsidR="00736463" w:rsidRPr="00736463" w:rsidRDefault="00736463" w:rsidP="00736463">
            <w:pPr>
              <w:spacing w:before="120" w:after="120" w:line="280" w:lineRule="exact"/>
              <w:rPr>
                <w:rFonts w:ascii="Verdana" w:hAnsi="Verdana"/>
                <w:b/>
                <w:bCs/>
                <w:sz w:val="22"/>
                <w:szCs w:val="22"/>
                <w:lang w:val="fr-FR"/>
              </w:rPr>
            </w:pPr>
            <w:r w:rsidRPr="00736463">
              <w:rPr>
                <w:rFonts w:ascii="Verdana" w:hAnsi="Verdana"/>
                <w:b/>
                <w:bCs/>
                <w:sz w:val="22"/>
                <w:szCs w:val="22"/>
                <w:lang w:val="fr-FR"/>
              </w:rPr>
              <w:t>Évaluation/vérification des connaissances</w:t>
            </w:r>
          </w:p>
          <w:p w14:paraId="4496975B" w14:textId="3110FDBD" w:rsidR="00736463" w:rsidRPr="00736463" w:rsidRDefault="00736463" w:rsidP="00736463">
            <w:pPr>
              <w:spacing w:before="120" w:after="120" w:line="280" w:lineRule="exact"/>
              <w:rPr>
                <w:rFonts w:ascii="Verdana" w:hAnsi="Verdana"/>
                <w:sz w:val="18"/>
                <w:szCs w:val="18"/>
                <w:lang w:val="fr-FR"/>
              </w:rPr>
            </w:pPr>
            <w:r w:rsidRPr="00736463">
              <w:rPr>
                <w:rFonts w:ascii="Verdana" w:hAnsi="Verdana"/>
                <w:sz w:val="18"/>
                <w:szCs w:val="18"/>
                <w:lang w:val="fr-FR"/>
              </w:rPr>
              <w:t>Aucune vérification ou évaluation des connaissances n'a été demandée pour cette session.</w:t>
            </w:r>
          </w:p>
        </w:tc>
      </w:tr>
    </w:tbl>
    <w:p w14:paraId="15498912" w14:textId="77777777" w:rsidR="00D82C18" w:rsidRPr="00736463" w:rsidRDefault="00D82C18">
      <w:pPr>
        <w:rPr>
          <w:rFonts w:ascii="Verdana" w:hAnsi="Verdana"/>
          <w:lang w:val="fr-FR"/>
        </w:rPr>
      </w:pPr>
    </w:p>
    <w:sectPr w:rsidR="00D82C18" w:rsidRPr="00736463" w:rsidSect="00F1574D">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5FB53" w14:textId="77777777" w:rsidR="00DB2F4D" w:rsidRDefault="00DB2F4D" w:rsidP="00527EBB">
      <w:r>
        <w:separator/>
      </w:r>
    </w:p>
  </w:endnote>
  <w:endnote w:type="continuationSeparator" w:id="0">
    <w:p w14:paraId="00DF4E7F" w14:textId="77777777" w:rsidR="00DB2F4D" w:rsidRDefault="00DB2F4D" w:rsidP="0052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88ABE" w14:textId="77777777" w:rsidR="00DB2F4D" w:rsidRDefault="00DB2F4D" w:rsidP="00527EBB">
      <w:r>
        <w:separator/>
      </w:r>
    </w:p>
  </w:footnote>
  <w:footnote w:type="continuationSeparator" w:id="0">
    <w:p w14:paraId="45AD8A21" w14:textId="77777777" w:rsidR="00DB2F4D" w:rsidRDefault="00DB2F4D" w:rsidP="00527E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BB767A"/>
    <w:multiLevelType w:val="hybridMultilevel"/>
    <w:tmpl w:val="03CA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EC1CFF"/>
    <w:multiLevelType w:val="hybridMultilevel"/>
    <w:tmpl w:val="27960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594393"/>
    <w:multiLevelType w:val="hybridMultilevel"/>
    <w:tmpl w:val="4F3E8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D60A3"/>
    <w:multiLevelType w:val="hybridMultilevel"/>
    <w:tmpl w:val="5F8C1A94"/>
    <w:lvl w:ilvl="0" w:tplc="5F269F7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8"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20" w15:restartNumberingAfterBreak="0">
    <w:nsid w:val="38497ED0"/>
    <w:multiLevelType w:val="hybridMultilevel"/>
    <w:tmpl w:val="FD487F90"/>
    <w:lvl w:ilvl="0" w:tplc="01D21C1A">
      <w:numFmt w:val="bullet"/>
      <w:lvlText w:val="-"/>
      <w:lvlJc w:val="left"/>
      <w:pPr>
        <w:ind w:left="720" w:hanging="360"/>
      </w:pPr>
      <w:rPr>
        <w:rFonts w:ascii="Verdana" w:eastAsiaTheme="minorHAnsi"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F031B3D"/>
    <w:multiLevelType w:val="hybridMultilevel"/>
    <w:tmpl w:val="6F80F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17"/>
  </w:num>
  <w:num w:numId="3">
    <w:abstractNumId w:val="27"/>
  </w:num>
  <w:num w:numId="4">
    <w:abstractNumId w:val="24"/>
  </w:num>
  <w:num w:numId="5">
    <w:abstractNumId w:val="26"/>
  </w:num>
  <w:num w:numId="6">
    <w:abstractNumId w:val="40"/>
  </w:num>
  <w:num w:numId="7">
    <w:abstractNumId w:val="1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7"/>
  </w:num>
  <w:num w:numId="10">
    <w:abstractNumId w:val="6"/>
  </w:num>
  <w:num w:numId="11">
    <w:abstractNumId w:val="29"/>
  </w:num>
  <w:num w:numId="12">
    <w:abstractNumId w:val="36"/>
  </w:num>
  <w:num w:numId="13">
    <w:abstractNumId w:val="10"/>
  </w:num>
  <w:num w:numId="14">
    <w:abstractNumId w:val="16"/>
  </w:num>
  <w:num w:numId="15">
    <w:abstractNumId w:val="34"/>
  </w:num>
  <w:num w:numId="16">
    <w:abstractNumId w:val="1"/>
  </w:num>
  <w:num w:numId="17">
    <w:abstractNumId w:val="3"/>
  </w:num>
  <w:num w:numId="18">
    <w:abstractNumId w:val="38"/>
  </w:num>
  <w:num w:numId="19">
    <w:abstractNumId w:val="31"/>
  </w:num>
  <w:num w:numId="20">
    <w:abstractNumId w:val="11"/>
  </w:num>
  <w:num w:numId="21">
    <w:abstractNumId w:val="15"/>
  </w:num>
  <w:num w:numId="22">
    <w:abstractNumId w:val="32"/>
  </w:num>
  <w:num w:numId="23">
    <w:abstractNumId w:val="21"/>
  </w:num>
  <w:num w:numId="24">
    <w:abstractNumId w:val="19"/>
  </w:num>
  <w:num w:numId="25">
    <w:abstractNumId w:val="2"/>
  </w:num>
  <w:num w:numId="26">
    <w:abstractNumId w:val="23"/>
  </w:num>
  <w:num w:numId="27">
    <w:abstractNumId w:val="28"/>
  </w:num>
  <w:num w:numId="28">
    <w:abstractNumId w:val="25"/>
  </w:num>
  <w:num w:numId="29">
    <w:abstractNumId w:val="18"/>
  </w:num>
  <w:num w:numId="30">
    <w:abstractNumId w:val="35"/>
  </w:num>
  <w:num w:numId="31">
    <w:abstractNumId w:val="4"/>
  </w:num>
  <w:num w:numId="32">
    <w:abstractNumId w:val="9"/>
  </w:num>
  <w:num w:numId="33">
    <w:abstractNumId w:val="22"/>
  </w:num>
  <w:num w:numId="34">
    <w:abstractNumId w:val="14"/>
  </w:num>
  <w:num w:numId="35">
    <w:abstractNumId w:val="30"/>
  </w:num>
  <w:num w:numId="36">
    <w:abstractNumId w:val="7"/>
  </w:num>
  <w:num w:numId="37">
    <w:abstractNumId w:val="13"/>
  </w:num>
  <w:num w:numId="38">
    <w:abstractNumId w:val="39"/>
  </w:num>
  <w:num w:numId="39">
    <w:abstractNumId w:val="5"/>
  </w:num>
  <w:num w:numId="40">
    <w:abstractNumId w:val="20"/>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15251"/>
    <w:rsid w:val="00072BF5"/>
    <w:rsid w:val="00083826"/>
    <w:rsid w:val="000B45B1"/>
    <w:rsid w:val="000C40EE"/>
    <w:rsid w:val="000F2415"/>
    <w:rsid w:val="000F7896"/>
    <w:rsid w:val="00104576"/>
    <w:rsid w:val="00151E6A"/>
    <w:rsid w:val="001D603D"/>
    <w:rsid w:val="0023008E"/>
    <w:rsid w:val="002311BE"/>
    <w:rsid w:val="00260809"/>
    <w:rsid w:val="00271010"/>
    <w:rsid w:val="002E3ECE"/>
    <w:rsid w:val="002F3B54"/>
    <w:rsid w:val="0034224C"/>
    <w:rsid w:val="00342639"/>
    <w:rsid w:val="003453F7"/>
    <w:rsid w:val="003630ED"/>
    <w:rsid w:val="003A435F"/>
    <w:rsid w:val="003A626C"/>
    <w:rsid w:val="003B34C4"/>
    <w:rsid w:val="003F6587"/>
    <w:rsid w:val="004028F3"/>
    <w:rsid w:val="00450007"/>
    <w:rsid w:val="0045500D"/>
    <w:rsid w:val="00457DD3"/>
    <w:rsid w:val="00465392"/>
    <w:rsid w:val="00471328"/>
    <w:rsid w:val="0047447F"/>
    <w:rsid w:val="00491738"/>
    <w:rsid w:val="004B7351"/>
    <w:rsid w:val="004C2C56"/>
    <w:rsid w:val="004D35F1"/>
    <w:rsid w:val="00527EBB"/>
    <w:rsid w:val="00556D69"/>
    <w:rsid w:val="005703B7"/>
    <w:rsid w:val="005A4E47"/>
    <w:rsid w:val="005D4432"/>
    <w:rsid w:val="005D5A2C"/>
    <w:rsid w:val="005D7794"/>
    <w:rsid w:val="005F709E"/>
    <w:rsid w:val="006527C6"/>
    <w:rsid w:val="006B6FDF"/>
    <w:rsid w:val="00736463"/>
    <w:rsid w:val="0075334E"/>
    <w:rsid w:val="007678A6"/>
    <w:rsid w:val="00773F6C"/>
    <w:rsid w:val="0080315D"/>
    <w:rsid w:val="008147B2"/>
    <w:rsid w:val="00844FBF"/>
    <w:rsid w:val="00851BDC"/>
    <w:rsid w:val="008556CB"/>
    <w:rsid w:val="008817F1"/>
    <w:rsid w:val="008A4C93"/>
    <w:rsid w:val="008C24D3"/>
    <w:rsid w:val="008E3FE7"/>
    <w:rsid w:val="008E4D2C"/>
    <w:rsid w:val="00951791"/>
    <w:rsid w:val="009A2731"/>
    <w:rsid w:val="009D1DB1"/>
    <w:rsid w:val="009F336B"/>
    <w:rsid w:val="00A03CF0"/>
    <w:rsid w:val="00A23B04"/>
    <w:rsid w:val="00A31FA0"/>
    <w:rsid w:val="00A342ED"/>
    <w:rsid w:val="00A4110D"/>
    <w:rsid w:val="00A60446"/>
    <w:rsid w:val="00A734A5"/>
    <w:rsid w:val="00A76996"/>
    <w:rsid w:val="00A948DC"/>
    <w:rsid w:val="00AA5742"/>
    <w:rsid w:val="00AB07AA"/>
    <w:rsid w:val="00B31D60"/>
    <w:rsid w:val="00B3608C"/>
    <w:rsid w:val="00B40FCA"/>
    <w:rsid w:val="00B56791"/>
    <w:rsid w:val="00B60C26"/>
    <w:rsid w:val="00B733ED"/>
    <w:rsid w:val="00BA319A"/>
    <w:rsid w:val="00BA4396"/>
    <w:rsid w:val="00BA6A8F"/>
    <w:rsid w:val="00BC50E6"/>
    <w:rsid w:val="00BD7897"/>
    <w:rsid w:val="00C0304C"/>
    <w:rsid w:val="00C115FC"/>
    <w:rsid w:val="00C541A2"/>
    <w:rsid w:val="00CB02C4"/>
    <w:rsid w:val="00CB3026"/>
    <w:rsid w:val="00CC1F79"/>
    <w:rsid w:val="00CC2222"/>
    <w:rsid w:val="00D46C6A"/>
    <w:rsid w:val="00D62E5F"/>
    <w:rsid w:val="00D82C18"/>
    <w:rsid w:val="00DB2F4D"/>
    <w:rsid w:val="00DF4DD2"/>
    <w:rsid w:val="00E13BE7"/>
    <w:rsid w:val="00E72411"/>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527EBB"/>
    <w:pPr>
      <w:tabs>
        <w:tab w:val="center" w:pos="4680"/>
        <w:tab w:val="right" w:pos="9360"/>
      </w:tabs>
    </w:pPr>
  </w:style>
  <w:style w:type="character" w:customStyle="1" w:styleId="HeaderChar">
    <w:name w:val="Header Char"/>
    <w:basedOn w:val="DefaultParagraphFont"/>
    <w:link w:val="Header"/>
    <w:uiPriority w:val="99"/>
    <w:rsid w:val="00527EBB"/>
  </w:style>
  <w:style w:type="paragraph" w:styleId="Footer">
    <w:name w:val="footer"/>
    <w:basedOn w:val="Normal"/>
    <w:link w:val="FooterChar"/>
    <w:uiPriority w:val="99"/>
    <w:unhideWhenUsed/>
    <w:rsid w:val="00527EBB"/>
    <w:pPr>
      <w:tabs>
        <w:tab w:val="center" w:pos="4680"/>
        <w:tab w:val="right" w:pos="9360"/>
      </w:tabs>
    </w:pPr>
  </w:style>
  <w:style w:type="character" w:customStyle="1" w:styleId="FooterChar">
    <w:name w:val="Footer Char"/>
    <w:basedOn w:val="DefaultParagraphFont"/>
    <w:link w:val="Footer"/>
    <w:uiPriority w:val="99"/>
    <w:rsid w:val="00527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1745</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Coumba Mathurin Diop</cp:lastModifiedBy>
  <cp:revision>4</cp:revision>
  <dcterms:created xsi:type="dcterms:W3CDTF">2021-01-25T09:48:00Z</dcterms:created>
  <dcterms:modified xsi:type="dcterms:W3CDTF">2021-01-26T06:49:00Z</dcterms:modified>
</cp:coreProperties>
</file>