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E38CA3" w14:textId="77777777" w:rsidR="00856F76" w:rsidRPr="00856F76" w:rsidRDefault="00856F76" w:rsidP="00856F76">
      <w:pPr>
        <w:ind w:left="720"/>
        <w:rPr>
          <w:rFonts w:ascii="Verdana" w:hAnsi="Verdana"/>
          <w:b/>
          <w:sz w:val="32"/>
          <w:szCs w:val="32"/>
          <w:lang w:val="fr-FR"/>
        </w:rPr>
      </w:pPr>
      <w:r w:rsidRPr="00856F76">
        <w:rPr>
          <w:rFonts w:ascii="Verdana" w:hAnsi="Verdana"/>
          <w:b/>
          <w:sz w:val="32"/>
          <w:szCs w:val="32"/>
          <w:lang w:val="fr-FR"/>
        </w:rPr>
        <w:t xml:space="preserve">Plan de cours </w:t>
      </w:r>
    </w:p>
    <w:p w14:paraId="409743F3" w14:textId="77777777" w:rsidR="00856F76" w:rsidRPr="00856F76" w:rsidRDefault="00856F76" w:rsidP="00856F76">
      <w:pPr>
        <w:ind w:left="720"/>
        <w:rPr>
          <w:rFonts w:ascii="Verdana" w:hAnsi="Verdana"/>
          <w:b/>
          <w:sz w:val="32"/>
          <w:szCs w:val="32"/>
          <w:lang w:val="fr-FR"/>
        </w:rPr>
      </w:pPr>
    </w:p>
    <w:p w14:paraId="0A3DD02D" w14:textId="51F70B52" w:rsidR="00D82C18" w:rsidRDefault="00856F76" w:rsidP="00856F76">
      <w:pPr>
        <w:ind w:left="720"/>
        <w:rPr>
          <w:rFonts w:ascii="Verdana" w:hAnsi="Verdana"/>
          <w:bCs/>
          <w:sz w:val="32"/>
          <w:szCs w:val="32"/>
          <w:lang w:val="fr-FR"/>
        </w:rPr>
      </w:pPr>
      <w:r w:rsidRPr="00856F76">
        <w:rPr>
          <w:rFonts w:ascii="Verdana" w:hAnsi="Verdana"/>
          <w:bCs/>
          <w:sz w:val="32"/>
          <w:szCs w:val="32"/>
          <w:lang w:val="fr-FR"/>
        </w:rPr>
        <w:t>Leçon 3.x (Concepts de base sur la coopération internationale)</w:t>
      </w:r>
    </w:p>
    <w:p w14:paraId="0D7A32D1" w14:textId="77777777" w:rsidR="00856F76" w:rsidRPr="00856F76" w:rsidRDefault="00856F76" w:rsidP="00856F76">
      <w:pPr>
        <w:ind w:left="720"/>
        <w:rPr>
          <w:rFonts w:ascii="Verdana" w:hAnsi="Verdana"/>
          <w:bCs/>
          <w:lang w:val="fr-FR"/>
        </w:rPr>
      </w:pPr>
    </w:p>
    <w:tbl>
      <w:tblPr>
        <w:tblStyle w:val="TableGrid"/>
        <w:tblW w:w="0" w:type="auto"/>
        <w:tblLook w:val="04A0" w:firstRow="1" w:lastRow="0" w:firstColumn="1" w:lastColumn="0" w:noHBand="0" w:noVBand="1"/>
      </w:tblPr>
      <w:tblGrid>
        <w:gridCol w:w="1727"/>
        <w:gridCol w:w="4625"/>
        <w:gridCol w:w="2658"/>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5C0A5B54" w14:textId="77777777" w:rsidR="00856F76" w:rsidRPr="00856F76" w:rsidRDefault="00856F76" w:rsidP="00856F76">
            <w:pPr>
              <w:rPr>
                <w:rFonts w:ascii="Verdana" w:hAnsi="Verdana"/>
                <w:sz w:val="22"/>
                <w:szCs w:val="22"/>
                <w:lang w:val="fr-FR"/>
              </w:rPr>
            </w:pPr>
          </w:p>
          <w:p w14:paraId="0067FF35" w14:textId="145E9B02" w:rsidR="00D82C18" w:rsidRPr="00856F76" w:rsidRDefault="00856F76" w:rsidP="00856F76">
            <w:pPr>
              <w:rPr>
                <w:rFonts w:ascii="Verdana" w:hAnsi="Verdana"/>
                <w:sz w:val="22"/>
                <w:szCs w:val="22"/>
                <w:lang w:val="fr-FR"/>
              </w:rPr>
            </w:pPr>
            <w:r w:rsidRPr="00856F76">
              <w:rPr>
                <w:rFonts w:ascii="Verdana" w:hAnsi="Verdana"/>
                <w:sz w:val="22"/>
                <w:szCs w:val="22"/>
                <w:lang w:val="fr-FR"/>
              </w:rPr>
              <w:t>Leçon 3.x (Concepts de base sur la coopération internationale)</w:t>
            </w:r>
          </w:p>
        </w:tc>
        <w:tc>
          <w:tcPr>
            <w:tcW w:w="2684" w:type="dxa"/>
            <w:shd w:val="clear" w:color="auto" w:fill="DEEAF6" w:themeFill="accent5" w:themeFillTint="33"/>
            <w:vAlign w:val="center"/>
          </w:tcPr>
          <w:p w14:paraId="30B631DA" w14:textId="10CDC1FD" w:rsidR="00D82C18" w:rsidRPr="003406F3" w:rsidRDefault="00D82C18" w:rsidP="006B6864">
            <w:pPr>
              <w:rPr>
                <w:rFonts w:ascii="Verdana" w:hAnsi="Verdana"/>
                <w:sz w:val="22"/>
                <w:szCs w:val="22"/>
              </w:rPr>
            </w:pPr>
            <w:r w:rsidRPr="003406F3">
              <w:rPr>
                <w:rFonts w:ascii="Verdana" w:hAnsi="Verdana"/>
                <w:sz w:val="22"/>
                <w:szCs w:val="22"/>
              </w:rPr>
              <w:t>Dur</w:t>
            </w:r>
            <w:r w:rsidR="00856F76">
              <w:rPr>
                <w:rFonts w:ascii="Verdana" w:hAnsi="Verdana"/>
                <w:sz w:val="22"/>
                <w:szCs w:val="22"/>
              </w:rPr>
              <w:t>ée</w:t>
            </w:r>
            <w:r w:rsidRPr="003406F3">
              <w:rPr>
                <w:rFonts w:ascii="Verdana" w:hAnsi="Verdana"/>
                <w:sz w:val="22"/>
                <w:szCs w:val="22"/>
              </w:rPr>
              <w:t>:</w:t>
            </w:r>
            <w:r w:rsidR="00151ADF">
              <w:rPr>
                <w:rFonts w:ascii="Verdana" w:hAnsi="Verdana"/>
                <w:sz w:val="22"/>
                <w:szCs w:val="22"/>
              </w:rPr>
              <w:t>90</w:t>
            </w:r>
            <w:r w:rsidR="00B71D66" w:rsidRPr="003406F3">
              <w:rPr>
                <w:rFonts w:ascii="Verdana" w:hAnsi="Verdana"/>
                <w:sz w:val="22"/>
                <w:szCs w:val="22"/>
              </w:rPr>
              <w:t xml:space="preserve"> minutes</w:t>
            </w:r>
          </w:p>
        </w:tc>
      </w:tr>
      <w:tr w:rsidR="003406F3" w:rsidRPr="00856F76" w14:paraId="7C1107AB" w14:textId="77777777" w:rsidTr="00B569A5">
        <w:trPr>
          <w:trHeight w:val="1025"/>
        </w:trPr>
        <w:tc>
          <w:tcPr>
            <w:tcW w:w="9010" w:type="dxa"/>
            <w:gridSpan w:val="3"/>
            <w:vAlign w:val="center"/>
          </w:tcPr>
          <w:p w14:paraId="0F728ADB" w14:textId="77777777" w:rsidR="00856F76" w:rsidRPr="00856F76" w:rsidRDefault="00856F76" w:rsidP="00856F76">
            <w:pPr>
              <w:rPr>
                <w:rFonts w:ascii="Verdana" w:hAnsi="Verdana"/>
                <w:b/>
                <w:sz w:val="18"/>
                <w:szCs w:val="18"/>
                <w:lang w:val="fr-FR"/>
              </w:rPr>
            </w:pPr>
            <w:r w:rsidRPr="00856F76">
              <w:rPr>
                <w:rFonts w:ascii="Verdana" w:hAnsi="Verdana"/>
                <w:b/>
                <w:sz w:val="18"/>
                <w:szCs w:val="18"/>
                <w:lang w:val="fr-FR"/>
              </w:rPr>
              <w:t>Ressources nécessaires :</w:t>
            </w:r>
          </w:p>
          <w:p w14:paraId="38459F3E" w14:textId="77777777" w:rsidR="00856F76" w:rsidRPr="00856F76" w:rsidRDefault="00856F76" w:rsidP="00856F76">
            <w:pPr>
              <w:rPr>
                <w:rFonts w:ascii="Verdana" w:hAnsi="Verdana"/>
                <w:bCs/>
                <w:sz w:val="18"/>
                <w:szCs w:val="18"/>
                <w:lang w:val="fr-FR"/>
              </w:rPr>
            </w:pPr>
            <w:r w:rsidRPr="00856F76">
              <w:rPr>
                <w:rFonts w:ascii="Verdana" w:hAnsi="Verdana"/>
                <w:b/>
                <w:sz w:val="18"/>
                <w:szCs w:val="18"/>
                <w:lang w:val="fr-FR"/>
              </w:rPr>
              <w:t xml:space="preserve">- </w:t>
            </w:r>
            <w:r w:rsidRPr="00856F76">
              <w:rPr>
                <w:rFonts w:ascii="Verdana" w:hAnsi="Verdana"/>
                <w:bCs/>
                <w:sz w:val="18"/>
                <w:szCs w:val="18"/>
                <w:lang w:val="fr-FR"/>
              </w:rPr>
              <w:t>PC/ordinateur portable chargé avec des versions de logiciel compatibles avec les matériaux préparés</w:t>
            </w:r>
          </w:p>
          <w:p w14:paraId="61FAE364" w14:textId="77777777" w:rsidR="00856F76" w:rsidRPr="00856F76" w:rsidRDefault="00856F76" w:rsidP="00856F76">
            <w:pPr>
              <w:rPr>
                <w:rFonts w:ascii="Verdana" w:hAnsi="Verdana"/>
                <w:bCs/>
                <w:sz w:val="18"/>
                <w:szCs w:val="18"/>
                <w:lang w:val="fr-FR"/>
              </w:rPr>
            </w:pPr>
            <w:r w:rsidRPr="00856F76">
              <w:rPr>
                <w:rFonts w:ascii="Verdana" w:hAnsi="Verdana"/>
                <w:bCs/>
                <w:sz w:val="18"/>
                <w:szCs w:val="18"/>
                <w:lang w:val="fr-FR"/>
              </w:rPr>
              <w:t>- Projecteur et écran d'affichage.</w:t>
            </w:r>
          </w:p>
          <w:p w14:paraId="70F2534F" w14:textId="77777777" w:rsidR="00856F76" w:rsidRPr="00856F76" w:rsidRDefault="00856F76" w:rsidP="00856F76">
            <w:pPr>
              <w:rPr>
                <w:rFonts w:ascii="Verdana" w:hAnsi="Verdana"/>
                <w:bCs/>
                <w:sz w:val="18"/>
                <w:szCs w:val="18"/>
                <w:lang w:val="fr-FR"/>
              </w:rPr>
            </w:pPr>
            <w:r w:rsidRPr="00856F76">
              <w:rPr>
                <w:rFonts w:ascii="Verdana" w:hAnsi="Verdana"/>
                <w:bCs/>
                <w:sz w:val="18"/>
                <w:szCs w:val="18"/>
                <w:lang w:val="fr-FR"/>
              </w:rPr>
              <w:t xml:space="preserve">- Accès à Internet (si disponible). </w:t>
            </w:r>
          </w:p>
          <w:p w14:paraId="14CF9EF0" w14:textId="1B72F1B1" w:rsidR="00E7344B" w:rsidRPr="00856F76" w:rsidRDefault="00856F76" w:rsidP="00856F76">
            <w:pPr>
              <w:pStyle w:val="bul1"/>
              <w:numPr>
                <w:ilvl w:val="0"/>
                <w:numId w:val="0"/>
              </w:numPr>
              <w:spacing w:line="240" w:lineRule="auto"/>
              <w:ind w:left="851" w:hanging="851"/>
              <w:contextualSpacing/>
              <w:rPr>
                <w:i/>
                <w:szCs w:val="18"/>
                <w:lang w:val="fr-FR"/>
              </w:rPr>
            </w:pPr>
            <w:r w:rsidRPr="00856F76">
              <w:rPr>
                <w:bCs/>
                <w:szCs w:val="18"/>
              </w:rPr>
              <w:t>- Bloc-notes et stylos des élèves.</w:t>
            </w:r>
          </w:p>
        </w:tc>
      </w:tr>
      <w:tr w:rsidR="003406F3" w:rsidRPr="00856F76" w14:paraId="635F2EFD" w14:textId="77777777" w:rsidTr="00B569A5">
        <w:trPr>
          <w:trHeight w:val="1241"/>
        </w:trPr>
        <w:tc>
          <w:tcPr>
            <w:tcW w:w="9010" w:type="dxa"/>
            <w:gridSpan w:val="3"/>
            <w:vAlign w:val="center"/>
          </w:tcPr>
          <w:p w14:paraId="4F8B952E" w14:textId="77777777" w:rsidR="00856F76" w:rsidRPr="00856F76" w:rsidRDefault="00856F76" w:rsidP="00856F76">
            <w:pPr>
              <w:rPr>
                <w:rFonts w:ascii="Verdana" w:hAnsi="Verdana"/>
                <w:b/>
                <w:sz w:val="18"/>
                <w:szCs w:val="18"/>
                <w:lang w:val="fr-FR"/>
              </w:rPr>
            </w:pPr>
            <w:r w:rsidRPr="00856F76">
              <w:rPr>
                <w:rFonts w:ascii="Verdana" w:hAnsi="Verdana"/>
                <w:b/>
                <w:sz w:val="18"/>
                <w:szCs w:val="18"/>
                <w:lang w:val="fr-FR"/>
              </w:rPr>
              <w:t xml:space="preserve">Objectif de la session :  </w:t>
            </w:r>
          </w:p>
          <w:p w14:paraId="3FE58655" w14:textId="38E6DEF4" w:rsidR="00A03CF0" w:rsidRPr="00856F76" w:rsidRDefault="00856F76" w:rsidP="00856F76">
            <w:pPr>
              <w:jc w:val="both"/>
              <w:rPr>
                <w:rFonts w:ascii="Verdana" w:hAnsi="Verdana"/>
                <w:bCs/>
                <w:sz w:val="18"/>
                <w:szCs w:val="18"/>
                <w:lang w:val="fr-FR"/>
              </w:rPr>
            </w:pPr>
            <w:r w:rsidRPr="00856F76">
              <w:rPr>
                <w:rFonts w:ascii="Verdana" w:hAnsi="Verdana"/>
                <w:bCs/>
                <w:sz w:val="18"/>
                <w:szCs w:val="18"/>
                <w:lang w:val="fr-FR"/>
              </w:rPr>
              <w:t>L'objectif général de cette session est de fournir aux délégués une compréhension globale des mécanismes de coopération internationale en matière de cybercriminalité et de preuve électronique, en mettant l'accent sur les dispositions de la Convention de Budapest.</w:t>
            </w:r>
          </w:p>
        </w:tc>
      </w:tr>
      <w:tr w:rsidR="003406F3" w:rsidRPr="00856F76" w14:paraId="1B5A80A7" w14:textId="77777777" w:rsidTr="00B569A5">
        <w:trPr>
          <w:trHeight w:val="2240"/>
        </w:trPr>
        <w:tc>
          <w:tcPr>
            <w:tcW w:w="9010" w:type="dxa"/>
            <w:gridSpan w:val="3"/>
            <w:vAlign w:val="center"/>
          </w:tcPr>
          <w:p w14:paraId="662D2E8D" w14:textId="77777777" w:rsidR="00856F76" w:rsidRPr="00856F76" w:rsidRDefault="00856F76" w:rsidP="00856F76">
            <w:pPr>
              <w:spacing w:before="120" w:after="120" w:line="280" w:lineRule="exact"/>
              <w:contextualSpacing/>
              <w:rPr>
                <w:rFonts w:ascii="Verdana" w:hAnsi="Verdana"/>
                <w:b/>
                <w:sz w:val="18"/>
                <w:szCs w:val="18"/>
                <w:lang w:val="fr-FR"/>
              </w:rPr>
            </w:pPr>
            <w:r w:rsidRPr="00856F76">
              <w:rPr>
                <w:rFonts w:ascii="Verdana" w:hAnsi="Verdana"/>
                <w:b/>
                <w:sz w:val="18"/>
                <w:szCs w:val="18"/>
                <w:lang w:val="fr-FR"/>
              </w:rPr>
              <w:t>Objectifs :</w:t>
            </w:r>
          </w:p>
          <w:p w14:paraId="6E5FB6C1" w14:textId="77777777" w:rsidR="00856F76" w:rsidRPr="00856F76" w:rsidRDefault="00856F76" w:rsidP="00856F76">
            <w:pPr>
              <w:spacing w:before="120" w:after="120" w:line="280" w:lineRule="exact"/>
              <w:contextualSpacing/>
              <w:rPr>
                <w:rFonts w:ascii="Verdana" w:hAnsi="Verdana"/>
                <w:bCs/>
                <w:sz w:val="18"/>
                <w:szCs w:val="18"/>
                <w:lang w:val="fr-FR"/>
              </w:rPr>
            </w:pPr>
            <w:r w:rsidRPr="00856F76">
              <w:rPr>
                <w:rFonts w:ascii="Verdana" w:hAnsi="Verdana"/>
                <w:bCs/>
                <w:sz w:val="18"/>
                <w:szCs w:val="18"/>
                <w:lang w:val="fr-FR"/>
              </w:rPr>
              <w:t>À la fin de la leçon, les élèves seront capables de</w:t>
            </w:r>
          </w:p>
          <w:p w14:paraId="68F2FAA7" w14:textId="54B1A1F1" w:rsidR="00856F76" w:rsidRPr="00856F76" w:rsidRDefault="00856F76" w:rsidP="00856F76">
            <w:pPr>
              <w:pStyle w:val="bul1"/>
              <w:rPr>
                <w:szCs w:val="18"/>
              </w:rPr>
            </w:pPr>
            <w:r>
              <w:rPr>
                <w:szCs w:val="18"/>
              </w:rPr>
              <w:t>R</w:t>
            </w:r>
            <w:r w:rsidRPr="00856F76">
              <w:rPr>
                <w:szCs w:val="18"/>
              </w:rPr>
              <w:t>econnaître la dimension mondiale de l'Internet et la dimension internationale de la cybercriminalité</w:t>
            </w:r>
          </w:p>
          <w:p w14:paraId="4C86D247" w14:textId="77777777" w:rsidR="00856F76" w:rsidRPr="00856F76" w:rsidRDefault="00856F76" w:rsidP="00856F76">
            <w:pPr>
              <w:pStyle w:val="bul1"/>
              <w:rPr>
                <w:szCs w:val="18"/>
              </w:rPr>
            </w:pPr>
            <w:r w:rsidRPr="00856F76">
              <w:rPr>
                <w:szCs w:val="18"/>
              </w:rPr>
              <w:t>Expliquer l'importance de la coopération internationale et reconnaître les instruments disponibles pour la coopération internationale dans le domaine de la cybercriminalité</w:t>
            </w:r>
          </w:p>
          <w:p w14:paraId="6B3DC010" w14:textId="77777777" w:rsidR="00856F76" w:rsidRPr="00856F76" w:rsidRDefault="00856F76" w:rsidP="00856F76">
            <w:pPr>
              <w:pStyle w:val="bul1"/>
              <w:rPr>
                <w:szCs w:val="18"/>
              </w:rPr>
            </w:pPr>
            <w:r w:rsidRPr="00856F76">
              <w:rPr>
                <w:szCs w:val="18"/>
              </w:rPr>
              <w:t>Identifier le besoin de canaux très rapides et efficaces pour la coopération internationale et les instruments disponibles, les modalités de leur utilisation, les délais et l'efficacité</w:t>
            </w:r>
          </w:p>
          <w:p w14:paraId="3AFE1096" w14:textId="77777777" w:rsidR="00856F76" w:rsidRPr="00856F76" w:rsidRDefault="00856F76" w:rsidP="00856F76">
            <w:pPr>
              <w:pStyle w:val="bul1"/>
              <w:rPr>
                <w:szCs w:val="18"/>
              </w:rPr>
            </w:pPr>
            <w:r w:rsidRPr="00856F76">
              <w:rPr>
                <w:szCs w:val="18"/>
              </w:rPr>
              <w:t>Décrire les efforts des organisations internationales concernant la mise en œuvre de nouvelles modalités de coopération internationale</w:t>
            </w:r>
          </w:p>
          <w:p w14:paraId="61ABEAC5" w14:textId="3FCF1E30" w:rsidR="0051122C" w:rsidRPr="00856F76" w:rsidRDefault="00856F76" w:rsidP="00856F76">
            <w:pPr>
              <w:pStyle w:val="bul1"/>
              <w:spacing w:before="120" w:after="120" w:line="280" w:lineRule="exact"/>
              <w:ind w:left="697"/>
              <w:contextualSpacing/>
              <w:rPr>
                <w:szCs w:val="18"/>
                <w:lang w:val="fr-FR"/>
              </w:rPr>
            </w:pPr>
            <w:r w:rsidRPr="00856F76">
              <w:rPr>
                <w:bCs/>
                <w:szCs w:val="18"/>
              </w:rPr>
              <w:t>Discuter de la Convention de Budapest sur la cybercriminalité, et identifier ses principes généraux, les mesures provisoires et le réseau de coopération internationale urgente 24/7</w:t>
            </w:r>
          </w:p>
        </w:tc>
      </w:tr>
      <w:tr w:rsidR="003406F3" w:rsidRPr="00487554" w14:paraId="03110757" w14:textId="77777777" w:rsidTr="00B569A5">
        <w:trPr>
          <w:trHeight w:val="1475"/>
        </w:trPr>
        <w:tc>
          <w:tcPr>
            <w:tcW w:w="9010" w:type="dxa"/>
            <w:gridSpan w:val="3"/>
            <w:tcBorders>
              <w:bottom w:val="single" w:sz="4" w:space="0" w:color="auto"/>
            </w:tcBorders>
            <w:vAlign w:val="center"/>
          </w:tcPr>
          <w:p w14:paraId="4DA8922E" w14:textId="77777777" w:rsidR="00487554" w:rsidRPr="00487554" w:rsidRDefault="00487554" w:rsidP="00487554">
            <w:pPr>
              <w:spacing w:before="120" w:after="120" w:line="280" w:lineRule="exact"/>
              <w:rPr>
                <w:rFonts w:ascii="Verdana" w:hAnsi="Verdana"/>
                <w:b/>
                <w:sz w:val="18"/>
                <w:szCs w:val="18"/>
                <w:lang w:val="fr-FR"/>
              </w:rPr>
            </w:pPr>
            <w:r w:rsidRPr="00487554">
              <w:rPr>
                <w:rFonts w:ascii="Verdana" w:hAnsi="Verdana"/>
                <w:b/>
                <w:sz w:val="18"/>
                <w:szCs w:val="18"/>
                <w:lang w:val="fr-FR"/>
              </w:rPr>
              <w:t>Orientation des formateurs</w:t>
            </w:r>
          </w:p>
          <w:p w14:paraId="5EFF4BEF" w14:textId="56FCD19D" w:rsidR="007B75A9" w:rsidRPr="00487554" w:rsidRDefault="00487554" w:rsidP="00487554">
            <w:pPr>
              <w:spacing w:before="120" w:after="120" w:line="280" w:lineRule="exact"/>
              <w:jc w:val="both"/>
              <w:rPr>
                <w:rFonts w:ascii="Verdana" w:hAnsi="Verdana"/>
                <w:bCs/>
                <w:sz w:val="18"/>
                <w:szCs w:val="18"/>
                <w:lang w:val="fr-FR"/>
              </w:rPr>
            </w:pPr>
            <w:r w:rsidRPr="00487554">
              <w:rPr>
                <w:rFonts w:ascii="Verdana" w:hAnsi="Verdana"/>
                <w:bCs/>
                <w:sz w:val="18"/>
                <w:szCs w:val="18"/>
                <w:lang w:val="fr-FR"/>
              </w:rPr>
              <w:t>Cette session a été préparée pour permettre aux délégués de comprendre les mécanismes de coopération internationale liés à la cybercriminalité et aux preuves électroniques. Cette session a été divisée en cinq parties, en plus d'une introduction et d'une conclusion. La première partie couvre la dimension internationale de la cybercriminalité. La deuxième partie couvre la Convention sur la cybercriminalité et sa relation avec les outils de coopération internationale. La troisième partie est une introduction aux aspects généraux de la coopération internationale de la Convention de Budapest. La quatrième partie est une introduction aux aspects spécifiques de la Convention de Budapest en matière de coopération internationale.</w:t>
            </w:r>
          </w:p>
        </w:tc>
      </w:tr>
      <w:tr w:rsidR="003406F3" w:rsidRPr="00487554"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0E417235" w:rsidR="005A4E47" w:rsidRPr="00487554" w:rsidRDefault="005A4E47" w:rsidP="00CB3026">
            <w:pPr>
              <w:rPr>
                <w:rFonts w:ascii="Verdana" w:hAnsi="Verdana"/>
                <w:b/>
                <w:sz w:val="28"/>
                <w:szCs w:val="28"/>
                <w:lang w:val="fr-FR"/>
              </w:rPr>
            </w:pPr>
            <w:r w:rsidRPr="00487554">
              <w:rPr>
                <w:rFonts w:ascii="Verdana" w:hAnsi="Verdana"/>
                <w:b/>
                <w:sz w:val="28"/>
                <w:szCs w:val="28"/>
                <w:lang w:val="fr-FR"/>
              </w:rPr>
              <w:t>Conten</w:t>
            </w:r>
            <w:r w:rsidR="00487554" w:rsidRPr="00487554">
              <w:rPr>
                <w:rFonts w:ascii="Verdana" w:hAnsi="Verdana"/>
                <w:b/>
                <w:sz w:val="28"/>
                <w:szCs w:val="28"/>
                <w:lang w:val="fr-FR"/>
              </w:rPr>
              <w:t>u de la l</w:t>
            </w:r>
            <w:r w:rsidR="00487554">
              <w:rPr>
                <w:rFonts w:ascii="Verdana" w:hAnsi="Verdana"/>
                <w:b/>
                <w:sz w:val="28"/>
                <w:szCs w:val="28"/>
                <w:lang w:val="fr-FR"/>
              </w:rPr>
              <w:t>eçon</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46CE0F4C" w:rsidR="00D82C18" w:rsidRPr="003406F3" w:rsidRDefault="00E13BE7" w:rsidP="00CB3026">
            <w:pPr>
              <w:jc w:val="center"/>
              <w:rPr>
                <w:rFonts w:ascii="Verdana" w:hAnsi="Verdana"/>
                <w:b/>
                <w:sz w:val="22"/>
                <w:szCs w:val="22"/>
              </w:rPr>
            </w:pPr>
            <w:proofErr w:type="spellStart"/>
            <w:r w:rsidRPr="003406F3">
              <w:rPr>
                <w:rFonts w:ascii="Verdana" w:hAnsi="Verdana"/>
                <w:b/>
                <w:sz w:val="22"/>
                <w:szCs w:val="22"/>
              </w:rPr>
              <w:t>Num</w:t>
            </w:r>
            <w:r w:rsidR="00487554">
              <w:rPr>
                <w:rFonts w:ascii="Verdana" w:hAnsi="Verdana"/>
                <w:b/>
                <w:sz w:val="22"/>
                <w:szCs w:val="22"/>
              </w:rPr>
              <w:t>éros</w:t>
            </w:r>
            <w:proofErr w:type="spellEnd"/>
            <w:r w:rsidR="00487554">
              <w:rPr>
                <w:rFonts w:ascii="Verdana" w:hAnsi="Verdana"/>
                <w:b/>
                <w:sz w:val="22"/>
                <w:szCs w:val="22"/>
              </w:rPr>
              <w:t xml:space="preserve"> des Diapositives</w:t>
            </w:r>
          </w:p>
        </w:tc>
        <w:tc>
          <w:tcPr>
            <w:tcW w:w="7395" w:type="dxa"/>
            <w:gridSpan w:val="2"/>
            <w:shd w:val="clear" w:color="auto" w:fill="D9E2F3" w:themeFill="accent1" w:themeFillTint="33"/>
            <w:vAlign w:val="center"/>
          </w:tcPr>
          <w:p w14:paraId="2DA616FC" w14:textId="76DC91AD" w:rsidR="00D82C18" w:rsidRPr="003406F3" w:rsidRDefault="00E13BE7">
            <w:pPr>
              <w:rPr>
                <w:rFonts w:ascii="Verdana" w:hAnsi="Verdana"/>
                <w:b/>
                <w:sz w:val="22"/>
                <w:szCs w:val="22"/>
              </w:rPr>
            </w:pPr>
            <w:proofErr w:type="spellStart"/>
            <w:r w:rsidRPr="003406F3">
              <w:rPr>
                <w:rFonts w:ascii="Verdana" w:hAnsi="Verdana"/>
                <w:b/>
                <w:sz w:val="22"/>
                <w:szCs w:val="22"/>
              </w:rPr>
              <w:t>Conten</w:t>
            </w:r>
            <w:r w:rsidR="00487554">
              <w:rPr>
                <w:rFonts w:ascii="Verdana" w:hAnsi="Verdana"/>
                <w:b/>
                <w:sz w:val="22"/>
                <w:szCs w:val="22"/>
              </w:rPr>
              <w:t>u</w:t>
            </w:r>
            <w:proofErr w:type="spellEnd"/>
          </w:p>
        </w:tc>
      </w:tr>
      <w:tr w:rsidR="003406F3" w:rsidRPr="003F1242" w14:paraId="11A12D7E" w14:textId="77777777" w:rsidTr="00DB09DC">
        <w:trPr>
          <w:trHeight w:val="530"/>
        </w:trPr>
        <w:tc>
          <w:tcPr>
            <w:tcW w:w="1615" w:type="dxa"/>
            <w:vAlign w:val="center"/>
          </w:tcPr>
          <w:p w14:paraId="5A89CF27" w14:textId="7A2EAA23" w:rsidR="00D82C18" w:rsidRPr="003406F3" w:rsidRDefault="003630ED" w:rsidP="00DB09DC">
            <w:pPr>
              <w:spacing w:before="120" w:after="120" w:line="280" w:lineRule="exact"/>
              <w:jc w:val="center"/>
              <w:rPr>
                <w:rFonts w:ascii="Verdana" w:hAnsi="Verdana"/>
                <w:sz w:val="18"/>
                <w:szCs w:val="18"/>
              </w:rPr>
            </w:pPr>
            <w:r w:rsidRPr="003406F3">
              <w:rPr>
                <w:rFonts w:ascii="Verdana" w:hAnsi="Verdana"/>
                <w:sz w:val="18"/>
                <w:szCs w:val="18"/>
              </w:rPr>
              <w:t xml:space="preserve">1 </w:t>
            </w:r>
            <w:r w:rsidR="00472254">
              <w:rPr>
                <w:rFonts w:ascii="Verdana" w:hAnsi="Verdana"/>
                <w:sz w:val="18"/>
                <w:szCs w:val="18"/>
              </w:rPr>
              <w:t>à</w:t>
            </w:r>
            <w:r w:rsidRPr="003406F3">
              <w:rPr>
                <w:rFonts w:ascii="Verdana" w:hAnsi="Verdana"/>
                <w:sz w:val="18"/>
                <w:szCs w:val="18"/>
              </w:rPr>
              <w:t xml:space="preserve"> </w:t>
            </w:r>
            <w:r w:rsidR="00DB09DC">
              <w:rPr>
                <w:rFonts w:ascii="Verdana" w:hAnsi="Verdana"/>
                <w:sz w:val="18"/>
                <w:szCs w:val="18"/>
              </w:rPr>
              <w:t>3</w:t>
            </w:r>
          </w:p>
        </w:tc>
        <w:tc>
          <w:tcPr>
            <w:tcW w:w="7395" w:type="dxa"/>
            <w:gridSpan w:val="2"/>
            <w:vAlign w:val="center"/>
          </w:tcPr>
          <w:p w14:paraId="558C9AE2" w14:textId="77777777" w:rsidR="003630ED" w:rsidRDefault="00DB09DC" w:rsidP="00AF62EC">
            <w:pPr>
              <w:tabs>
                <w:tab w:val="left" w:pos="426"/>
                <w:tab w:val="left" w:pos="851"/>
              </w:tabs>
              <w:spacing w:before="120" w:after="120" w:line="280" w:lineRule="exact"/>
              <w:jc w:val="both"/>
              <w:rPr>
                <w:rFonts w:ascii="Verdana" w:eastAsia="Times New Roman" w:hAnsi="Verdana" w:cs="Times New Roman"/>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p w14:paraId="36345B59" w14:textId="5FD4EF11" w:rsidR="003F1242" w:rsidRPr="003F1242" w:rsidRDefault="003F1242" w:rsidP="00AF62EC">
            <w:pPr>
              <w:tabs>
                <w:tab w:val="left" w:pos="426"/>
                <w:tab w:val="left" w:pos="851"/>
              </w:tabs>
              <w:spacing w:before="120" w:after="120" w:line="280" w:lineRule="exact"/>
              <w:jc w:val="both"/>
              <w:rPr>
                <w:rFonts w:ascii="Verdana" w:hAnsi="Verdana"/>
                <w:sz w:val="18"/>
                <w:szCs w:val="18"/>
                <w:lang w:val="fr-FR"/>
              </w:rPr>
            </w:pPr>
            <w:r w:rsidRPr="003F1242">
              <w:rPr>
                <w:rFonts w:ascii="Verdana" w:hAnsi="Verdana"/>
                <w:sz w:val="18"/>
                <w:szCs w:val="18"/>
                <w:lang w:val="fr-FR"/>
              </w:rPr>
              <w:lastRenderedPageBreak/>
              <w:t>Les premières diapositives présentent la structure et les objectifs de cette session. Les délégués auront la possibilité de poser toutes les questions préliminaires qu'ils pourraient avoir concernant la structure et les objectifs de la session.</w:t>
            </w:r>
          </w:p>
        </w:tc>
      </w:tr>
      <w:tr w:rsidR="003406F3" w:rsidRPr="003406F3" w14:paraId="65F07CB5" w14:textId="77777777" w:rsidTr="00C9640B">
        <w:trPr>
          <w:trHeight w:val="1876"/>
        </w:trPr>
        <w:tc>
          <w:tcPr>
            <w:tcW w:w="1615" w:type="dxa"/>
            <w:vAlign w:val="center"/>
          </w:tcPr>
          <w:p w14:paraId="6F5AEB2D" w14:textId="2769250E" w:rsidR="00D82C18" w:rsidRPr="003406F3" w:rsidRDefault="00DB09DC" w:rsidP="00A00A58">
            <w:pPr>
              <w:jc w:val="center"/>
              <w:rPr>
                <w:rFonts w:ascii="Verdana" w:hAnsi="Verdana"/>
                <w:sz w:val="18"/>
                <w:szCs w:val="18"/>
              </w:rPr>
            </w:pPr>
            <w:r>
              <w:rPr>
                <w:rFonts w:ascii="Verdana" w:hAnsi="Verdana"/>
                <w:sz w:val="18"/>
                <w:szCs w:val="18"/>
              </w:rPr>
              <w:lastRenderedPageBreak/>
              <w:t xml:space="preserve">4 </w:t>
            </w:r>
            <w:r w:rsidR="00472254">
              <w:rPr>
                <w:rFonts w:ascii="Verdana" w:hAnsi="Verdana"/>
                <w:sz w:val="18"/>
                <w:szCs w:val="18"/>
              </w:rPr>
              <w:t>à</w:t>
            </w:r>
            <w:r>
              <w:rPr>
                <w:rFonts w:ascii="Verdana" w:hAnsi="Verdana"/>
                <w:sz w:val="18"/>
                <w:szCs w:val="18"/>
              </w:rPr>
              <w:t xml:space="preserve"> </w:t>
            </w:r>
            <w:r w:rsidR="00357C78">
              <w:rPr>
                <w:rFonts w:ascii="Verdana" w:hAnsi="Verdana"/>
                <w:sz w:val="18"/>
                <w:szCs w:val="18"/>
              </w:rPr>
              <w:t>1</w:t>
            </w:r>
            <w:r w:rsidR="00AC475F">
              <w:rPr>
                <w:rFonts w:ascii="Verdana" w:hAnsi="Verdana"/>
                <w:sz w:val="18"/>
                <w:szCs w:val="18"/>
              </w:rPr>
              <w:t>6</w:t>
            </w:r>
          </w:p>
        </w:tc>
        <w:tc>
          <w:tcPr>
            <w:tcW w:w="7395" w:type="dxa"/>
            <w:gridSpan w:val="2"/>
            <w:vAlign w:val="center"/>
          </w:tcPr>
          <w:p w14:paraId="586593BF" w14:textId="77777777" w:rsidR="003F1242" w:rsidRPr="003F1242" w:rsidRDefault="003F1242" w:rsidP="003F1242">
            <w:pPr>
              <w:pStyle w:val="Subtitle"/>
              <w:spacing w:beforeLines="20" w:before="48" w:afterLines="20" w:after="48" w:line="280" w:lineRule="exact"/>
              <w:rPr>
                <w:rFonts w:ascii="Verdana" w:hAnsi="Verdana"/>
                <w:szCs w:val="18"/>
                <w:lang w:val="fr-FR"/>
              </w:rPr>
            </w:pPr>
            <w:r w:rsidRPr="003F1242">
              <w:rPr>
                <w:rFonts w:ascii="Verdana" w:hAnsi="Verdana"/>
                <w:szCs w:val="18"/>
                <w:lang w:val="fr-FR"/>
              </w:rPr>
              <w:t xml:space="preserve">Ces diapositives ont pour but de faire comprendre aux délégués la dimension mondiale de l'Internet et la nécessité d'une coopération internationale efficace en matière de cybercriminalité et de preuves électroniques. Le formateur doit mettre l'accent sur les questions difficiles relatives aux aspects internationaux de la cybercriminalité comme éléments clés pour les sections suivantes de ce module. </w:t>
            </w:r>
          </w:p>
          <w:p w14:paraId="4BE1F32F" w14:textId="77777777" w:rsidR="003F1242" w:rsidRPr="003F1242" w:rsidRDefault="003F1242" w:rsidP="003F1242">
            <w:pPr>
              <w:pStyle w:val="Subtitle"/>
              <w:spacing w:beforeLines="20" w:before="48" w:afterLines="20" w:after="48" w:line="280" w:lineRule="exact"/>
              <w:rPr>
                <w:rFonts w:ascii="Verdana" w:hAnsi="Verdana"/>
                <w:szCs w:val="18"/>
                <w:lang w:val="fr-FR"/>
              </w:rPr>
            </w:pPr>
          </w:p>
          <w:p w14:paraId="649FEA68" w14:textId="0B77FE85" w:rsidR="00357C78" w:rsidRPr="00472254" w:rsidRDefault="003F1242" w:rsidP="00357C78">
            <w:pPr>
              <w:pStyle w:val="Subtitle"/>
              <w:spacing w:beforeLines="20" w:before="48" w:afterLines="20" w:after="48" w:line="280" w:lineRule="exact"/>
              <w:rPr>
                <w:rFonts w:ascii="Verdana" w:hAnsi="Verdana"/>
                <w:szCs w:val="18"/>
                <w:lang w:val="fr-FR"/>
              </w:rPr>
            </w:pPr>
            <w:r w:rsidRPr="003F1242">
              <w:rPr>
                <w:rFonts w:ascii="Verdana" w:hAnsi="Verdana"/>
                <w:szCs w:val="18"/>
                <w:lang w:val="fr-FR"/>
              </w:rPr>
              <w:t>De plus, les questions clés sous forme de défis de l'assistance juridique internationale sont présentées et expliquées. Une attention supplémentaire a été accordée à l'introduction et à l'explication des concepts et des défis de l'entraide judiciaire et administrative classique, ou de l'assistance plus accélérée qui peut parfois donner de meilleurs résultats.</w:t>
            </w:r>
          </w:p>
        </w:tc>
      </w:tr>
      <w:tr w:rsidR="003406F3" w:rsidRPr="003F1242" w14:paraId="3236CF7B" w14:textId="77777777" w:rsidTr="001B428D">
        <w:trPr>
          <w:trHeight w:val="2015"/>
        </w:trPr>
        <w:tc>
          <w:tcPr>
            <w:tcW w:w="1615" w:type="dxa"/>
            <w:vAlign w:val="center"/>
          </w:tcPr>
          <w:p w14:paraId="63F93ACC" w14:textId="5FE3AC2C" w:rsidR="00A00A58" w:rsidRPr="003406F3" w:rsidRDefault="00357C78" w:rsidP="00A00A58">
            <w:pPr>
              <w:jc w:val="center"/>
              <w:rPr>
                <w:rFonts w:ascii="Verdana" w:hAnsi="Verdana"/>
                <w:sz w:val="18"/>
                <w:szCs w:val="18"/>
              </w:rPr>
            </w:pPr>
            <w:r>
              <w:rPr>
                <w:rFonts w:ascii="Verdana" w:hAnsi="Verdana"/>
                <w:sz w:val="18"/>
                <w:szCs w:val="18"/>
              </w:rPr>
              <w:t>1</w:t>
            </w:r>
            <w:r w:rsidR="00AC475F">
              <w:rPr>
                <w:rFonts w:ascii="Verdana" w:hAnsi="Verdana"/>
                <w:sz w:val="18"/>
                <w:szCs w:val="18"/>
              </w:rPr>
              <w:t>7</w:t>
            </w:r>
            <w:r w:rsidR="00DB09DC">
              <w:rPr>
                <w:rFonts w:ascii="Verdana" w:hAnsi="Verdana"/>
                <w:sz w:val="18"/>
                <w:szCs w:val="18"/>
              </w:rPr>
              <w:t xml:space="preserve"> </w:t>
            </w:r>
            <w:r w:rsidR="00472254">
              <w:rPr>
                <w:rFonts w:ascii="Verdana" w:hAnsi="Verdana"/>
                <w:sz w:val="18"/>
                <w:szCs w:val="18"/>
              </w:rPr>
              <w:t>à</w:t>
            </w:r>
            <w:r w:rsidR="00DB09DC">
              <w:rPr>
                <w:rFonts w:ascii="Verdana" w:hAnsi="Verdana"/>
                <w:sz w:val="18"/>
                <w:szCs w:val="18"/>
              </w:rPr>
              <w:t xml:space="preserve"> 2</w:t>
            </w:r>
            <w:r w:rsidR="00AC475F">
              <w:rPr>
                <w:rFonts w:ascii="Verdana" w:hAnsi="Verdana"/>
                <w:sz w:val="18"/>
                <w:szCs w:val="18"/>
              </w:rPr>
              <w:t>3</w:t>
            </w:r>
          </w:p>
        </w:tc>
        <w:tc>
          <w:tcPr>
            <w:tcW w:w="7395" w:type="dxa"/>
            <w:gridSpan w:val="2"/>
            <w:vAlign w:val="center"/>
          </w:tcPr>
          <w:p w14:paraId="7F3AFE04" w14:textId="68D1FFB5" w:rsidR="003F1242" w:rsidRPr="003F1242" w:rsidRDefault="003F1242" w:rsidP="003F1242">
            <w:pPr>
              <w:spacing w:before="120" w:after="120" w:line="280" w:lineRule="exact"/>
              <w:jc w:val="both"/>
              <w:rPr>
                <w:rFonts w:ascii="Verdana" w:hAnsi="Verdana"/>
                <w:sz w:val="18"/>
                <w:szCs w:val="18"/>
                <w:lang w:val="fr-FR"/>
              </w:rPr>
            </w:pPr>
            <w:r w:rsidRPr="003F1242">
              <w:rPr>
                <w:rFonts w:ascii="Verdana" w:hAnsi="Verdana"/>
                <w:sz w:val="18"/>
                <w:szCs w:val="18"/>
                <w:lang w:val="fr-FR"/>
              </w:rPr>
              <w:t xml:space="preserve">Ces diapositives présentent le chapitre III de la Convention qui contient les dispositions relatives à l'entraide judiciaire en matière de criminalité traditionnelle et informatique ainsi que les règles d'extradition. Il couvre l'entraide traditionnelle dans deux situations : lorsqu'il n'existe pas de base juridique (traité, législation réciproque, etc.) entre les parties - auquel cas les dispositions de ce chapitre s'appliquent - et lorsqu'une telle base existe - auquel cas les dispositions existantes s'appliquent également à l'entraide dans le cadre de cette Convention. </w:t>
            </w:r>
          </w:p>
          <w:p w14:paraId="6B518A62" w14:textId="152FE0DB" w:rsidR="009A46F5" w:rsidRPr="003F1242" w:rsidRDefault="003F1242" w:rsidP="003F1242">
            <w:pPr>
              <w:spacing w:before="120" w:after="120" w:line="280" w:lineRule="exact"/>
              <w:jc w:val="both"/>
              <w:rPr>
                <w:rFonts w:ascii="Verdana" w:hAnsi="Verdana"/>
                <w:sz w:val="18"/>
                <w:szCs w:val="18"/>
                <w:lang w:val="fr-FR"/>
              </w:rPr>
            </w:pPr>
            <w:r w:rsidRPr="003F1242">
              <w:rPr>
                <w:rFonts w:ascii="Verdana" w:hAnsi="Verdana"/>
                <w:sz w:val="18"/>
                <w:szCs w:val="18"/>
                <w:lang w:val="fr-FR"/>
              </w:rPr>
              <w:t>Les diapositives couvriront également les principes de base des traités internationaux et des lois régissant l'entraide judiciaire en matière pénale.</w:t>
            </w:r>
          </w:p>
        </w:tc>
      </w:tr>
      <w:tr w:rsidR="003406F3" w:rsidRPr="00472254" w14:paraId="5AA3C4AD" w14:textId="77777777" w:rsidTr="00CB3026">
        <w:trPr>
          <w:trHeight w:val="3158"/>
        </w:trPr>
        <w:tc>
          <w:tcPr>
            <w:tcW w:w="1615" w:type="dxa"/>
            <w:vAlign w:val="center"/>
          </w:tcPr>
          <w:p w14:paraId="07F9F799" w14:textId="28973261" w:rsidR="00A00A58" w:rsidRPr="003406F3" w:rsidRDefault="00DB09DC" w:rsidP="00A45C00">
            <w:pPr>
              <w:jc w:val="center"/>
              <w:rPr>
                <w:rFonts w:ascii="Verdana" w:hAnsi="Verdana"/>
                <w:sz w:val="18"/>
                <w:szCs w:val="18"/>
              </w:rPr>
            </w:pPr>
            <w:r>
              <w:rPr>
                <w:rFonts w:ascii="Verdana" w:hAnsi="Verdana"/>
                <w:sz w:val="18"/>
                <w:szCs w:val="18"/>
              </w:rPr>
              <w:t>2</w:t>
            </w:r>
            <w:r w:rsidR="00AC475F">
              <w:rPr>
                <w:rFonts w:ascii="Verdana" w:hAnsi="Verdana"/>
                <w:sz w:val="18"/>
                <w:szCs w:val="18"/>
              </w:rPr>
              <w:t>4</w:t>
            </w:r>
            <w:r>
              <w:rPr>
                <w:rFonts w:ascii="Verdana" w:hAnsi="Verdana"/>
                <w:sz w:val="18"/>
                <w:szCs w:val="18"/>
              </w:rPr>
              <w:t xml:space="preserve"> </w:t>
            </w:r>
            <w:r w:rsidR="00472254">
              <w:rPr>
                <w:rFonts w:ascii="Verdana" w:hAnsi="Verdana"/>
                <w:sz w:val="18"/>
                <w:szCs w:val="18"/>
              </w:rPr>
              <w:t>à</w:t>
            </w:r>
            <w:r>
              <w:rPr>
                <w:rFonts w:ascii="Verdana" w:hAnsi="Verdana"/>
                <w:sz w:val="18"/>
                <w:szCs w:val="18"/>
              </w:rPr>
              <w:t xml:space="preserve"> </w:t>
            </w:r>
            <w:r w:rsidR="009A46F5">
              <w:rPr>
                <w:rFonts w:ascii="Verdana" w:hAnsi="Verdana"/>
                <w:sz w:val="18"/>
                <w:szCs w:val="18"/>
              </w:rPr>
              <w:t>3</w:t>
            </w:r>
            <w:r w:rsidR="00AC475F">
              <w:rPr>
                <w:rFonts w:ascii="Verdana" w:hAnsi="Verdana"/>
                <w:sz w:val="18"/>
                <w:szCs w:val="18"/>
              </w:rPr>
              <w:t>7</w:t>
            </w:r>
          </w:p>
        </w:tc>
        <w:tc>
          <w:tcPr>
            <w:tcW w:w="7395" w:type="dxa"/>
            <w:gridSpan w:val="2"/>
            <w:vAlign w:val="center"/>
          </w:tcPr>
          <w:p w14:paraId="442ECD85" w14:textId="77777777" w:rsidR="003F1242" w:rsidRPr="003F1242" w:rsidRDefault="003F1242" w:rsidP="003F1242">
            <w:pPr>
              <w:pStyle w:val="Subtitle"/>
              <w:spacing w:beforeLines="20" w:before="48" w:afterLines="120" w:after="288" w:line="280" w:lineRule="exact"/>
              <w:rPr>
                <w:rFonts w:ascii="Verdana" w:eastAsia="Times New Roman" w:hAnsi="Verdana"/>
                <w:color w:val="auto"/>
                <w:szCs w:val="18"/>
                <w:lang w:val="fr-FR"/>
              </w:rPr>
            </w:pPr>
            <w:r w:rsidRPr="003F1242">
              <w:rPr>
                <w:rFonts w:ascii="Verdana" w:eastAsia="Times New Roman" w:hAnsi="Verdana"/>
                <w:color w:val="auto"/>
                <w:szCs w:val="18"/>
                <w:lang w:val="fr-FR"/>
              </w:rPr>
              <w:t xml:space="preserve">Ces diapositives couvrent les dispositions de coopération internationale du chapitre III de la Convention de Budapest concernant les principes généraux du MLA. Plus concrètement, les articles 25, 26 et 27. Le formateur est tenu de couvrir le texte et de fournir des explications détaillées. </w:t>
            </w:r>
          </w:p>
          <w:p w14:paraId="528F4C65" w14:textId="77777777" w:rsidR="003F1242" w:rsidRPr="003F1242" w:rsidRDefault="003F1242" w:rsidP="003F1242">
            <w:pPr>
              <w:pStyle w:val="Subtitle"/>
              <w:spacing w:beforeLines="20" w:before="48" w:afterLines="120" w:after="288" w:line="280" w:lineRule="exact"/>
              <w:rPr>
                <w:rFonts w:ascii="Verdana" w:eastAsia="Times New Roman" w:hAnsi="Verdana"/>
                <w:color w:val="auto"/>
                <w:szCs w:val="18"/>
                <w:lang w:val="fr-FR"/>
              </w:rPr>
            </w:pPr>
            <w:r w:rsidRPr="003F1242">
              <w:rPr>
                <w:rFonts w:ascii="Verdana" w:eastAsia="Times New Roman" w:hAnsi="Verdana"/>
                <w:color w:val="auto"/>
                <w:szCs w:val="18"/>
                <w:lang w:val="fr-FR"/>
              </w:rPr>
              <w:t xml:space="preserve">Les dispositions de ce chapitre précisent que l'obligation de fournir une assistance mutuelle doit généralement être exécutée conformément aux termes des traités, lois et accords d'assistance juridique mutuelle applicables. </w:t>
            </w:r>
          </w:p>
          <w:p w14:paraId="5E7299CD" w14:textId="77777777" w:rsidR="003F1242" w:rsidRPr="003F1242" w:rsidRDefault="003F1242" w:rsidP="003F1242">
            <w:pPr>
              <w:pStyle w:val="Subtitle"/>
              <w:spacing w:beforeLines="20" w:before="48" w:afterLines="120" w:after="288" w:line="280" w:lineRule="exact"/>
              <w:rPr>
                <w:rFonts w:ascii="Verdana" w:eastAsia="Times New Roman" w:hAnsi="Verdana"/>
                <w:color w:val="auto"/>
                <w:szCs w:val="18"/>
                <w:lang w:val="fr-FR"/>
              </w:rPr>
            </w:pPr>
            <w:r w:rsidRPr="003F1242">
              <w:rPr>
                <w:rFonts w:ascii="Verdana" w:eastAsia="Times New Roman" w:hAnsi="Verdana"/>
                <w:color w:val="auto"/>
                <w:szCs w:val="18"/>
                <w:lang w:val="fr-FR"/>
              </w:rPr>
              <w:t>Des conseils d'experts détaillés sont donnés dans la partie "notes" de chaque diapositive.</w:t>
            </w:r>
          </w:p>
          <w:p w14:paraId="1B9C6A39" w14:textId="374E3305" w:rsidR="003406F3" w:rsidRPr="00472254" w:rsidRDefault="003F1242" w:rsidP="00472254">
            <w:pPr>
              <w:pStyle w:val="Subtitle"/>
              <w:spacing w:beforeLines="20" w:before="48" w:afterLines="120" w:after="288" w:line="280" w:lineRule="exact"/>
              <w:rPr>
                <w:rFonts w:ascii="Verdana" w:eastAsia="Times New Roman" w:hAnsi="Verdana"/>
                <w:color w:val="auto"/>
                <w:szCs w:val="18"/>
                <w:lang w:val="fr-FR"/>
              </w:rPr>
            </w:pPr>
            <w:r w:rsidRPr="003F1242">
              <w:rPr>
                <w:rFonts w:ascii="Verdana" w:eastAsia="Times New Roman" w:hAnsi="Verdana"/>
                <w:color w:val="auto"/>
                <w:szCs w:val="18"/>
                <w:lang w:val="fr-FR"/>
              </w:rPr>
              <w:t xml:space="preserve">Les éléments importants de chaque article sont marqués individuellement en rouge, et chaque élément mis en évidence est suivi de diapositives contenant des explications sur l'élément précédent. </w:t>
            </w:r>
            <w:r w:rsidR="00DB09DC" w:rsidRPr="00472254">
              <w:rPr>
                <w:rFonts w:ascii="Verdana" w:hAnsi="Verdana"/>
                <w:szCs w:val="18"/>
                <w:lang w:val="fr-FR"/>
              </w:rPr>
              <w:t xml:space="preserve"> </w:t>
            </w:r>
          </w:p>
        </w:tc>
      </w:tr>
      <w:tr w:rsidR="00DB09DC" w:rsidRPr="003406F3" w14:paraId="29253992" w14:textId="77777777" w:rsidTr="00FC677E">
        <w:trPr>
          <w:trHeight w:val="1340"/>
        </w:trPr>
        <w:tc>
          <w:tcPr>
            <w:tcW w:w="1615" w:type="dxa"/>
            <w:vAlign w:val="center"/>
          </w:tcPr>
          <w:p w14:paraId="7CB27A05" w14:textId="3D24143B" w:rsidR="00DB09DC" w:rsidRDefault="00F4792B" w:rsidP="00A45C00">
            <w:pPr>
              <w:jc w:val="center"/>
              <w:rPr>
                <w:rFonts w:ascii="Verdana" w:hAnsi="Verdana"/>
                <w:sz w:val="18"/>
                <w:szCs w:val="18"/>
              </w:rPr>
            </w:pPr>
            <w:r>
              <w:rPr>
                <w:rFonts w:ascii="Verdana" w:hAnsi="Verdana"/>
                <w:sz w:val="18"/>
                <w:szCs w:val="18"/>
              </w:rPr>
              <w:t>3</w:t>
            </w:r>
            <w:r w:rsidR="00AC475F">
              <w:rPr>
                <w:rFonts w:ascii="Verdana" w:hAnsi="Verdana"/>
                <w:sz w:val="18"/>
                <w:szCs w:val="18"/>
              </w:rPr>
              <w:t>8</w:t>
            </w:r>
            <w:r w:rsidR="00A45C00">
              <w:rPr>
                <w:rFonts w:ascii="Verdana" w:hAnsi="Verdana"/>
                <w:sz w:val="18"/>
                <w:szCs w:val="18"/>
              </w:rPr>
              <w:t xml:space="preserve"> </w:t>
            </w:r>
            <w:r w:rsidR="00472254">
              <w:rPr>
                <w:rFonts w:ascii="Verdana" w:hAnsi="Verdana"/>
                <w:sz w:val="18"/>
                <w:szCs w:val="18"/>
              </w:rPr>
              <w:t>à</w:t>
            </w:r>
            <w:r w:rsidR="00A45C00">
              <w:rPr>
                <w:rFonts w:ascii="Verdana" w:hAnsi="Verdana"/>
                <w:sz w:val="18"/>
                <w:szCs w:val="18"/>
              </w:rPr>
              <w:t xml:space="preserve"> </w:t>
            </w:r>
            <w:r w:rsidR="00AC475F">
              <w:rPr>
                <w:rFonts w:ascii="Verdana" w:hAnsi="Verdana"/>
                <w:sz w:val="18"/>
                <w:szCs w:val="18"/>
              </w:rPr>
              <w:t>58</w:t>
            </w:r>
          </w:p>
        </w:tc>
        <w:tc>
          <w:tcPr>
            <w:tcW w:w="7395" w:type="dxa"/>
            <w:gridSpan w:val="2"/>
            <w:vAlign w:val="center"/>
          </w:tcPr>
          <w:p w14:paraId="0E923117" w14:textId="77777777" w:rsidR="003F1242" w:rsidRPr="003F1242" w:rsidRDefault="003F1242" w:rsidP="003F1242">
            <w:pPr>
              <w:pStyle w:val="Subtitle"/>
              <w:spacing w:beforeLines="20" w:before="48" w:afterLines="120" w:after="288" w:line="280" w:lineRule="exact"/>
              <w:rPr>
                <w:rFonts w:ascii="Verdana" w:eastAsia="Times New Roman" w:hAnsi="Verdana"/>
                <w:color w:val="auto"/>
                <w:szCs w:val="18"/>
                <w:lang w:val="fr-FR"/>
              </w:rPr>
            </w:pPr>
            <w:r w:rsidRPr="003F1242">
              <w:rPr>
                <w:rFonts w:ascii="Verdana" w:eastAsia="Times New Roman" w:hAnsi="Verdana"/>
                <w:color w:val="auto"/>
                <w:szCs w:val="18"/>
                <w:lang w:val="fr-FR"/>
              </w:rPr>
              <w:t xml:space="preserve">Ces diapositives couvrent les dispositions de coopération internationale du chapitre III de la Convention de Budapest concernant les principes spécifiques du MLA. Plus concrètement, les articles 29, 30, 31, 32, 33, 34 et 35. Le formateur est tenu de couvrir le texte et de fournir des explications détaillées. </w:t>
            </w:r>
          </w:p>
          <w:p w14:paraId="1971FBE6" w14:textId="77777777" w:rsidR="003F1242" w:rsidRPr="003F1242" w:rsidRDefault="003F1242" w:rsidP="003F1242">
            <w:pPr>
              <w:pStyle w:val="Subtitle"/>
              <w:spacing w:beforeLines="20" w:before="48" w:afterLines="120" w:after="288" w:line="280" w:lineRule="exact"/>
              <w:rPr>
                <w:rFonts w:ascii="Verdana" w:eastAsia="Times New Roman" w:hAnsi="Verdana"/>
                <w:color w:val="auto"/>
                <w:szCs w:val="18"/>
                <w:lang w:val="fr-FR"/>
              </w:rPr>
            </w:pPr>
            <w:r w:rsidRPr="003F1242">
              <w:rPr>
                <w:rFonts w:ascii="Verdana" w:eastAsia="Times New Roman" w:hAnsi="Verdana"/>
                <w:color w:val="auto"/>
                <w:szCs w:val="18"/>
                <w:lang w:val="fr-FR"/>
              </w:rPr>
              <w:lastRenderedPageBreak/>
              <w:t>Des conseils d'experts détaillés sont donnés dans la partie "notes" de chaque diapositive.</w:t>
            </w:r>
          </w:p>
          <w:p w14:paraId="660000A2" w14:textId="2FD1803F" w:rsidR="00DB09DC" w:rsidRPr="00472254" w:rsidRDefault="003F1242" w:rsidP="00472254">
            <w:pPr>
              <w:pStyle w:val="Subtitle"/>
              <w:spacing w:beforeLines="20" w:before="48" w:afterLines="120" w:after="288" w:line="280" w:lineRule="exact"/>
              <w:rPr>
                <w:rFonts w:ascii="Verdana" w:eastAsia="Times New Roman" w:hAnsi="Verdana"/>
                <w:color w:val="auto"/>
                <w:szCs w:val="18"/>
                <w:lang w:val="fr-FR"/>
              </w:rPr>
            </w:pPr>
            <w:r w:rsidRPr="003F1242">
              <w:rPr>
                <w:rFonts w:ascii="Verdana" w:eastAsia="Times New Roman" w:hAnsi="Verdana"/>
                <w:color w:val="auto"/>
                <w:szCs w:val="18"/>
                <w:lang w:val="fr-FR"/>
              </w:rPr>
              <w:t>Les éléments importants de chaque article sont marqués individuellement en rouge, et chaque élément mis en évidence est suivi de diapositives contenant des explications sur l'élément précédent.</w:t>
            </w:r>
          </w:p>
        </w:tc>
      </w:tr>
      <w:tr w:rsidR="003406F3" w:rsidRPr="003731D2" w14:paraId="07D9F9A7" w14:textId="77777777" w:rsidTr="00FC677E">
        <w:trPr>
          <w:trHeight w:val="1340"/>
        </w:trPr>
        <w:tc>
          <w:tcPr>
            <w:tcW w:w="1615" w:type="dxa"/>
            <w:vAlign w:val="center"/>
          </w:tcPr>
          <w:p w14:paraId="0F0112E8" w14:textId="50C4A9F0" w:rsidR="00A00A58" w:rsidRPr="003406F3" w:rsidRDefault="00AC475F" w:rsidP="00BB0093">
            <w:pPr>
              <w:jc w:val="center"/>
              <w:rPr>
                <w:rFonts w:ascii="Verdana" w:hAnsi="Verdana"/>
                <w:sz w:val="18"/>
                <w:szCs w:val="18"/>
              </w:rPr>
            </w:pPr>
            <w:r>
              <w:rPr>
                <w:rFonts w:ascii="Verdana" w:hAnsi="Verdana"/>
                <w:sz w:val="18"/>
                <w:szCs w:val="18"/>
              </w:rPr>
              <w:lastRenderedPageBreak/>
              <w:t>59</w:t>
            </w:r>
            <w:r w:rsidR="00DB09DC">
              <w:rPr>
                <w:rFonts w:ascii="Verdana" w:hAnsi="Verdana"/>
                <w:sz w:val="18"/>
                <w:szCs w:val="18"/>
              </w:rPr>
              <w:t xml:space="preserve"> </w:t>
            </w:r>
            <w:r w:rsidR="00472254">
              <w:rPr>
                <w:rFonts w:ascii="Verdana" w:hAnsi="Verdana"/>
                <w:sz w:val="18"/>
                <w:szCs w:val="18"/>
              </w:rPr>
              <w:t>à</w:t>
            </w:r>
            <w:r w:rsidR="00DB09DC">
              <w:rPr>
                <w:rFonts w:ascii="Verdana" w:hAnsi="Verdana"/>
                <w:sz w:val="18"/>
                <w:szCs w:val="18"/>
              </w:rPr>
              <w:t xml:space="preserve"> </w:t>
            </w:r>
            <w:r>
              <w:rPr>
                <w:rFonts w:ascii="Verdana" w:hAnsi="Verdana"/>
                <w:sz w:val="18"/>
                <w:szCs w:val="18"/>
              </w:rPr>
              <w:t>61</w:t>
            </w:r>
          </w:p>
        </w:tc>
        <w:tc>
          <w:tcPr>
            <w:tcW w:w="7395" w:type="dxa"/>
            <w:gridSpan w:val="2"/>
            <w:vAlign w:val="center"/>
          </w:tcPr>
          <w:p w14:paraId="373F061B" w14:textId="6C036777" w:rsidR="00A00A58" w:rsidRPr="003731D2" w:rsidRDefault="003F1242" w:rsidP="00B468A3">
            <w:pPr>
              <w:spacing w:before="120" w:after="120" w:line="280" w:lineRule="exact"/>
              <w:jc w:val="both"/>
              <w:rPr>
                <w:rFonts w:ascii="Verdana" w:eastAsia="Times New Roman" w:hAnsi="Verdana" w:cs="Times New Roman"/>
                <w:sz w:val="18"/>
                <w:szCs w:val="18"/>
                <w:lang w:val="fr-FR"/>
              </w:rPr>
            </w:pPr>
            <w:r w:rsidRPr="003731D2">
              <w:rPr>
                <w:rFonts w:ascii="Verdana" w:eastAsia="Times New Roman" w:hAnsi="Verdana" w:cs="Times New Roman"/>
                <w:sz w:val="18"/>
                <w:szCs w:val="18"/>
                <w:lang w:val="fr-FR"/>
              </w:rPr>
              <w:t>Le formateur doit récapituler les objectifs de la session avec les délégués et leur donner la possibilité de poser toutes les questions relatives aux matières couvertes dans ce module.</w:t>
            </w:r>
          </w:p>
        </w:tc>
      </w:tr>
      <w:tr w:rsidR="003406F3" w:rsidRPr="003F1242" w14:paraId="2ECF09B7" w14:textId="77777777" w:rsidTr="00CB3026">
        <w:trPr>
          <w:trHeight w:val="1412"/>
        </w:trPr>
        <w:tc>
          <w:tcPr>
            <w:tcW w:w="9010" w:type="dxa"/>
            <w:gridSpan w:val="3"/>
            <w:vAlign w:val="center"/>
          </w:tcPr>
          <w:p w14:paraId="0BF03336" w14:textId="77777777" w:rsidR="003F1242" w:rsidRPr="003F1242" w:rsidRDefault="003F1242" w:rsidP="003F1242">
            <w:pPr>
              <w:spacing w:before="120" w:after="120" w:line="280" w:lineRule="exact"/>
              <w:rPr>
                <w:rFonts w:ascii="Verdana" w:hAnsi="Verdana"/>
                <w:b/>
                <w:sz w:val="18"/>
                <w:szCs w:val="18"/>
                <w:lang w:val="fr-FR"/>
              </w:rPr>
            </w:pPr>
            <w:r w:rsidRPr="003F1242">
              <w:rPr>
                <w:rFonts w:ascii="Verdana" w:hAnsi="Verdana"/>
                <w:b/>
                <w:sz w:val="18"/>
                <w:szCs w:val="18"/>
                <w:lang w:val="fr-FR"/>
              </w:rPr>
              <w:t>Exercices pratiques</w:t>
            </w:r>
          </w:p>
          <w:p w14:paraId="04D65D89" w14:textId="18E9632E" w:rsidR="00CB3026" w:rsidRPr="003F1242" w:rsidRDefault="003F1242" w:rsidP="003F1242">
            <w:pPr>
              <w:spacing w:before="120" w:after="120" w:line="280" w:lineRule="exact"/>
              <w:rPr>
                <w:rFonts w:ascii="Verdana" w:hAnsi="Verdana"/>
                <w:bCs/>
                <w:sz w:val="18"/>
                <w:szCs w:val="18"/>
                <w:lang w:val="fr-FR"/>
              </w:rPr>
            </w:pPr>
            <w:r w:rsidRPr="003F1242">
              <w:rPr>
                <w:rFonts w:ascii="Verdana" w:hAnsi="Verdana"/>
                <w:bCs/>
                <w:sz w:val="18"/>
                <w:szCs w:val="18"/>
                <w:lang w:val="fr-FR"/>
              </w:rPr>
              <w:t>Aucun exercice pratique n'est prévu dans cette leçon.</w:t>
            </w:r>
          </w:p>
        </w:tc>
      </w:tr>
      <w:tr w:rsidR="003406F3" w:rsidRPr="003F1242" w14:paraId="603967A2" w14:textId="77777777" w:rsidTr="00801300">
        <w:tc>
          <w:tcPr>
            <w:tcW w:w="9010" w:type="dxa"/>
            <w:gridSpan w:val="3"/>
            <w:vAlign w:val="center"/>
          </w:tcPr>
          <w:p w14:paraId="1B204F6D" w14:textId="77777777" w:rsidR="003F1242" w:rsidRPr="003F1242" w:rsidRDefault="003F1242" w:rsidP="003F1242">
            <w:pPr>
              <w:spacing w:before="120" w:after="120" w:line="280" w:lineRule="exact"/>
              <w:rPr>
                <w:rFonts w:ascii="Verdana" w:hAnsi="Verdana"/>
                <w:b/>
                <w:sz w:val="18"/>
                <w:szCs w:val="18"/>
                <w:lang w:val="fr-FR"/>
              </w:rPr>
            </w:pPr>
            <w:r w:rsidRPr="003F1242">
              <w:rPr>
                <w:rFonts w:ascii="Verdana" w:hAnsi="Verdana"/>
                <w:b/>
                <w:sz w:val="18"/>
                <w:szCs w:val="18"/>
                <w:lang w:val="fr-FR"/>
              </w:rPr>
              <w:t>Évaluation/vérification des connaissances</w:t>
            </w:r>
          </w:p>
          <w:p w14:paraId="4496975B" w14:textId="4193C6CA" w:rsidR="00CB3026" w:rsidRPr="003F1242" w:rsidRDefault="003F1242" w:rsidP="003F1242">
            <w:pPr>
              <w:spacing w:before="120" w:after="120" w:line="280" w:lineRule="exact"/>
              <w:jc w:val="both"/>
              <w:rPr>
                <w:rFonts w:ascii="Verdana" w:hAnsi="Verdana"/>
                <w:bCs/>
                <w:sz w:val="18"/>
                <w:szCs w:val="18"/>
                <w:lang w:val="fr-FR"/>
              </w:rPr>
            </w:pPr>
            <w:r w:rsidRPr="003F1242">
              <w:rPr>
                <w:rFonts w:ascii="Verdana" w:hAnsi="Verdana"/>
                <w:bCs/>
                <w:sz w:val="18"/>
                <w:szCs w:val="18"/>
                <w:lang w:val="fr-FR"/>
              </w:rPr>
              <w:t>Aucune évaluation formelle n'a été préparée pour cette session. Le formateur est encouragé à vérifier les connaissances et la compréhension en posant des questions pertinentes tout au long de la session.</w:t>
            </w:r>
          </w:p>
        </w:tc>
      </w:tr>
    </w:tbl>
    <w:p w14:paraId="15498912" w14:textId="77777777" w:rsidR="00D82C18" w:rsidRPr="003F1242" w:rsidRDefault="00D82C18">
      <w:pPr>
        <w:rPr>
          <w:rFonts w:ascii="Verdana" w:hAnsi="Verdana"/>
          <w:lang w:val="fr-FR"/>
        </w:rPr>
      </w:pPr>
    </w:p>
    <w:sectPr w:rsidR="00D82C18" w:rsidRPr="003F1242"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0F8A9E4E"/>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105DD4"/>
    <w:rsid w:val="00151ADF"/>
    <w:rsid w:val="00175ADE"/>
    <w:rsid w:val="00185B76"/>
    <w:rsid w:val="001B428D"/>
    <w:rsid w:val="001B5DAD"/>
    <w:rsid w:val="00271010"/>
    <w:rsid w:val="0027512B"/>
    <w:rsid w:val="002F375E"/>
    <w:rsid w:val="003406F3"/>
    <w:rsid w:val="00357C78"/>
    <w:rsid w:val="003630ED"/>
    <w:rsid w:val="003731D2"/>
    <w:rsid w:val="00397FEA"/>
    <w:rsid w:val="003E0EDB"/>
    <w:rsid w:val="003F1242"/>
    <w:rsid w:val="004639E3"/>
    <w:rsid w:val="00472254"/>
    <w:rsid w:val="00487554"/>
    <w:rsid w:val="0051122C"/>
    <w:rsid w:val="00534FB7"/>
    <w:rsid w:val="005703B7"/>
    <w:rsid w:val="00594B3F"/>
    <w:rsid w:val="005951B6"/>
    <w:rsid w:val="005A4E47"/>
    <w:rsid w:val="006B6864"/>
    <w:rsid w:val="006F4B1A"/>
    <w:rsid w:val="007169BB"/>
    <w:rsid w:val="00761BA4"/>
    <w:rsid w:val="007B75A9"/>
    <w:rsid w:val="00823B30"/>
    <w:rsid w:val="00856F76"/>
    <w:rsid w:val="008E3FE7"/>
    <w:rsid w:val="009277BD"/>
    <w:rsid w:val="0094072C"/>
    <w:rsid w:val="009A46F5"/>
    <w:rsid w:val="00A00A58"/>
    <w:rsid w:val="00A03CF0"/>
    <w:rsid w:val="00A4110D"/>
    <w:rsid w:val="00A45C00"/>
    <w:rsid w:val="00A734A5"/>
    <w:rsid w:val="00AC475F"/>
    <w:rsid w:val="00AD2B58"/>
    <w:rsid w:val="00AF62EC"/>
    <w:rsid w:val="00B03741"/>
    <w:rsid w:val="00B468A3"/>
    <w:rsid w:val="00B569A5"/>
    <w:rsid w:val="00B71D66"/>
    <w:rsid w:val="00BA2EFC"/>
    <w:rsid w:val="00BB0093"/>
    <w:rsid w:val="00C541A2"/>
    <w:rsid w:val="00C9640B"/>
    <w:rsid w:val="00CB02C4"/>
    <w:rsid w:val="00CB3026"/>
    <w:rsid w:val="00CF0C7C"/>
    <w:rsid w:val="00D82C18"/>
    <w:rsid w:val="00D944B5"/>
    <w:rsid w:val="00DB09DC"/>
    <w:rsid w:val="00DC6023"/>
    <w:rsid w:val="00E13BE7"/>
    <w:rsid w:val="00E17E67"/>
    <w:rsid w:val="00E55549"/>
    <w:rsid w:val="00E7344B"/>
    <w:rsid w:val="00E95703"/>
    <w:rsid w:val="00EB11FC"/>
    <w:rsid w:val="00F35B67"/>
    <w:rsid w:val="00F4792B"/>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D902590-5B3F-DC4A-B1B9-EFF6D9BA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Coumba Mathurin Diop</cp:lastModifiedBy>
  <cp:revision>2</cp:revision>
  <dcterms:created xsi:type="dcterms:W3CDTF">2021-02-10T23:14:00Z</dcterms:created>
  <dcterms:modified xsi:type="dcterms:W3CDTF">2021-02-10T23:14:00Z</dcterms:modified>
</cp:coreProperties>
</file>