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95E" w:rsidRDefault="00A042AE" w:rsidP="00A042AE">
      <w:pPr>
        <w:pStyle w:val="TKMAINTITLE"/>
      </w:pPr>
      <w:r>
        <w:t>16 – Mein Sprachenporträt: Reflexionsübung für Freiwillige</w:t>
      </w:r>
    </w:p>
    <w:p w:rsidR="00F55EA4" w:rsidRPr="00F55EA4" w:rsidRDefault="00F55EA4" w:rsidP="00F55EA4">
      <w:pPr>
        <w:pStyle w:val="TKAIM"/>
      </w:pPr>
      <w:r>
        <w:t xml:space="preserve">Ziel: </w:t>
      </w:r>
      <w:r>
        <w:tab/>
        <w:t>Freiwilligen helfen, sich darüber Gedanken zu machen, welche Sprachen sie beherrschen, wie sie diese einsetzen und was sie ihnen bedeuten</w:t>
      </w:r>
    </w:p>
    <w:p w:rsidR="00F55EA4" w:rsidRDefault="00F55EA4" w:rsidP="00F55EA4">
      <w:pPr>
        <w:pStyle w:val="TKTEXTE"/>
      </w:pPr>
      <w:r>
        <w:t>Das Konzept des „</w:t>
      </w:r>
      <w:hyperlink r:id="rId8">
        <w:r w:rsidRPr="008A2C7A">
          <w:rPr>
            <w:rStyle w:val="Lienhypertexte"/>
            <w:u w:val="none"/>
          </w:rPr>
          <w:t>Sprachenrepertoires</w:t>
        </w:r>
      </w:hyperlink>
      <w:r>
        <w:t>“ geht davon aus, dass alle Menschen potentiell oder tatsächlich mehrsprachig, also dazu in der Lage sind, in mehr als nur einer Sprache zu kommunizieren. Das Sprachenporträt bietet eine Möglichkeit, das Sprachenrepertoire einer Person sichtbar zu machen. Jene Frau, von der das folgende Beispiel stammt, hat die Farben Rot, Orange, Lila und Blau zur Darstellung der Sprachen, die sie beherrscht, verwendet.</w:t>
      </w:r>
    </w:p>
    <w:tbl>
      <w:tblPr>
        <w:tblStyle w:val="Grilledutableau"/>
        <w:tblpPr w:leftFromText="141" w:rightFromText="141" w:vertAnchor="text" w:horzAnchor="margin" w:tblpY="1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8"/>
        <w:gridCol w:w="4774"/>
      </w:tblGrid>
      <w:tr w:rsidR="00582EB0" w:rsidTr="001F1BE2">
        <w:trPr>
          <w:trHeight w:val="925"/>
        </w:trPr>
        <w:tc>
          <w:tcPr>
            <w:tcW w:w="2693" w:type="dxa"/>
            <w:vMerge w:val="restart"/>
            <w:vAlign w:val="center"/>
          </w:tcPr>
          <w:p w:rsidR="00582EB0" w:rsidRDefault="00582EB0" w:rsidP="001F1BE2">
            <w:pPr>
              <w:jc w:val="right"/>
            </w:pPr>
            <w:r>
              <w:rPr>
                <w:noProof/>
                <w:lang w:val="fr-FR" w:eastAsia="fr-FR" w:bidi="ar-SA"/>
              </w:rPr>
              <w:drawing>
                <wp:inline distT="0" distB="0" distL="0" distR="0">
                  <wp:extent cx="1181100" cy="2181225"/>
                  <wp:effectExtent l="0" t="0" r="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1100" cy="2181225"/>
                          </a:xfrm>
                          <a:prstGeom prst="rect">
                            <a:avLst/>
                          </a:prstGeom>
                          <a:noFill/>
                        </pic:spPr>
                      </pic:pic>
                    </a:graphicData>
                  </a:graphic>
                </wp:inline>
              </w:drawing>
            </w:r>
          </w:p>
        </w:tc>
        <w:tc>
          <w:tcPr>
            <w:tcW w:w="2176" w:type="dxa"/>
            <w:vAlign w:val="center"/>
          </w:tcPr>
          <w:p w:rsidR="00582EB0" w:rsidRPr="001F5104" w:rsidRDefault="00582EB0" w:rsidP="001F1BE2">
            <w:pPr>
              <w:pStyle w:val="TKTextetableau"/>
              <w:rPr>
                <w:b/>
                <w:color w:val="FF0000"/>
                <w:sz w:val="22"/>
                <w:szCs w:val="22"/>
              </w:rPr>
            </w:pPr>
            <w:r>
              <w:rPr>
                <w:b/>
                <w:color w:val="FF0000"/>
                <w:sz w:val="22"/>
              </w:rPr>
              <w:t>Rot = Pandschabi</w:t>
            </w:r>
          </w:p>
          <w:p w:rsidR="00582EB0" w:rsidRPr="001F5104" w:rsidRDefault="00582EB0" w:rsidP="001F1BE2">
            <w:pPr>
              <w:pStyle w:val="TKTextetableau"/>
              <w:rPr>
                <w:b/>
                <w:sz w:val="22"/>
                <w:szCs w:val="22"/>
              </w:rPr>
            </w:pPr>
          </w:p>
        </w:tc>
      </w:tr>
      <w:tr w:rsidR="00582EB0" w:rsidTr="001F1BE2">
        <w:trPr>
          <w:trHeight w:val="926"/>
        </w:trPr>
        <w:tc>
          <w:tcPr>
            <w:tcW w:w="2693" w:type="dxa"/>
            <w:vMerge/>
            <w:vAlign w:val="center"/>
          </w:tcPr>
          <w:p w:rsidR="00582EB0" w:rsidRDefault="00582EB0" w:rsidP="001F1BE2">
            <w:pPr>
              <w:jc w:val="center"/>
            </w:pPr>
          </w:p>
        </w:tc>
        <w:tc>
          <w:tcPr>
            <w:tcW w:w="2176" w:type="dxa"/>
            <w:vAlign w:val="center"/>
          </w:tcPr>
          <w:p w:rsidR="00582EB0" w:rsidRPr="001F5104" w:rsidRDefault="00582EB0" w:rsidP="001F1BE2">
            <w:pPr>
              <w:pStyle w:val="TKTextetableau"/>
              <w:rPr>
                <w:b/>
                <w:color w:val="FF6600"/>
                <w:sz w:val="22"/>
                <w:szCs w:val="22"/>
              </w:rPr>
            </w:pPr>
            <w:r>
              <w:rPr>
                <w:b/>
                <w:color w:val="FF6600"/>
                <w:sz w:val="22"/>
              </w:rPr>
              <w:t>Orange = Deutsch</w:t>
            </w:r>
          </w:p>
          <w:p w:rsidR="00582EB0" w:rsidRPr="001F5104" w:rsidRDefault="00582EB0" w:rsidP="001F1BE2">
            <w:pPr>
              <w:pStyle w:val="TKTextetableau"/>
              <w:rPr>
                <w:b/>
                <w:sz w:val="22"/>
                <w:szCs w:val="22"/>
              </w:rPr>
            </w:pPr>
          </w:p>
        </w:tc>
      </w:tr>
      <w:tr w:rsidR="00582EB0" w:rsidTr="001F1BE2">
        <w:trPr>
          <w:trHeight w:val="926"/>
        </w:trPr>
        <w:tc>
          <w:tcPr>
            <w:tcW w:w="2693" w:type="dxa"/>
            <w:vMerge/>
            <w:vAlign w:val="center"/>
          </w:tcPr>
          <w:p w:rsidR="00582EB0" w:rsidRDefault="00582EB0" w:rsidP="001F1BE2">
            <w:pPr>
              <w:jc w:val="center"/>
            </w:pPr>
          </w:p>
        </w:tc>
        <w:tc>
          <w:tcPr>
            <w:tcW w:w="2176" w:type="dxa"/>
            <w:vAlign w:val="center"/>
          </w:tcPr>
          <w:p w:rsidR="00582EB0" w:rsidRPr="001F5104" w:rsidRDefault="00582EB0" w:rsidP="001F1BE2">
            <w:pPr>
              <w:pStyle w:val="TKTextetableau"/>
              <w:rPr>
                <w:b/>
                <w:color w:val="D02DFF"/>
                <w:sz w:val="22"/>
                <w:szCs w:val="22"/>
              </w:rPr>
            </w:pPr>
            <w:r>
              <w:rPr>
                <w:b/>
                <w:color w:val="D02DFF"/>
                <w:sz w:val="22"/>
              </w:rPr>
              <w:t>Lila = Englisch</w:t>
            </w:r>
          </w:p>
          <w:p w:rsidR="00582EB0" w:rsidRPr="001F5104" w:rsidRDefault="00582EB0" w:rsidP="001F1BE2">
            <w:pPr>
              <w:pStyle w:val="TKTextetableau"/>
              <w:rPr>
                <w:b/>
                <w:sz w:val="22"/>
                <w:szCs w:val="22"/>
              </w:rPr>
            </w:pPr>
          </w:p>
        </w:tc>
      </w:tr>
      <w:tr w:rsidR="00582EB0" w:rsidTr="001F1BE2">
        <w:trPr>
          <w:trHeight w:val="1160"/>
        </w:trPr>
        <w:tc>
          <w:tcPr>
            <w:tcW w:w="2693" w:type="dxa"/>
            <w:vMerge/>
            <w:vAlign w:val="center"/>
          </w:tcPr>
          <w:p w:rsidR="00582EB0" w:rsidRDefault="00582EB0" w:rsidP="001F1BE2">
            <w:pPr>
              <w:jc w:val="center"/>
            </w:pPr>
          </w:p>
        </w:tc>
        <w:tc>
          <w:tcPr>
            <w:tcW w:w="2176" w:type="dxa"/>
            <w:vAlign w:val="center"/>
          </w:tcPr>
          <w:p w:rsidR="00582EB0" w:rsidRPr="001F5104" w:rsidRDefault="00582EB0" w:rsidP="001F1BE2">
            <w:pPr>
              <w:pStyle w:val="TKTextetableau"/>
              <w:rPr>
                <w:b/>
                <w:color w:val="0000FF"/>
                <w:sz w:val="22"/>
                <w:szCs w:val="22"/>
              </w:rPr>
            </w:pPr>
            <w:r>
              <w:rPr>
                <w:b/>
                <w:color w:val="0000FF"/>
                <w:sz w:val="22"/>
              </w:rPr>
              <w:t>Blau = Hindi</w:t>
            </w:r>
          </w:p>
          <w:p w:rsidR="00582EB0" w:rsidRPr="001F5104" w:rsidRDefault="00582EB0" w:rsidP="001F1BE2">
            <w:pPr>
              <w:pStyle w:val="TKTextetableau"/>
              <w:rPr>
                <w:b/>
                <w:sz w:val="22"/>
                <w:szCs w:val="22"/>
              </w:rPr>
            </w:pPr>
          </w:p>
        </w:tc>
      </w:tr>
    </w:tbl>
    <w:p w:rsidR="007048B7" w:rsidRDefault="007048B7" w:rsidP="007048B7">
      <w:pPr>
        <w:pStyle w:val="TKTEXTE"/>
      </w:pPr>
      <w:r>
        <w:t>Jedes Mal, wenn wir eine Sprache erwerben, müssen wir unser Sprachenrepertoire so umstrukturieren, dass wir Platz für die neue Sprache finden. Dieser richtet sich nach der Art, wie wir sie benutzen, und nach den Menschen, mit denen wir in dieser Sprache kommunizieren.</w:t>
      </w:r>
    </w:p>
    <w:p w:rsidR="00582EB0" w:rsidRPr="00662EA2" w:rsidRDefault="00582EB0" w:rsidP="00582EB0">
      <w:pPr>
        <w:pStyle w:val="TKTEXTE"/>
        <w:jc w:val="center"/>
      </w:pPr>
      <w:r>
        <w:rPr>
          <w:noProof/>
          <w:lang w:val="fr-FR" w:eastAsia="fr-FR" w:bidi="ar-SA"/>
        </w:rPr>
        <w:drawing>
          <wp:inline distT="0" distB="0" distL="0" distR="0">
            <wp:extent cx="1628775" cy="2762885"/>
            <wp:effectExtent l="0" t="0" r="0" b="0"/>
            <wp:docPr id="5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8775" cy="2762885"/>
                    </a:xfrm>
                    <a:prstGeom prst="rect">
                      <a:avLst/>
                    </a:prstGeom>
                    <a:noFill/>
                  </pic:spPr>
                </pic:pic>
              </a:graphicData>
            </a:graphic>
          </wp:inline>
        </w:drawing>
      </w:r>
    </w:p>
    <w:p w:rsidR="007048B7" w:rsidRPr="007048B7" w:rsidRDefault="007048B7" w:rsidP="00E04C5F">
      <w:pPr>
        <w:pStyle w:val="TKTITRE1"/>
      </w:pPr>
      <w:r>
        <w:lastRenderedPageBreak/>
        <w:t>Übung für Freiwillige</w:t>
      </w:r>
    </w:p>
    <w:p w:rsidR="007048B7" w:rsidRPr="007048B7" w:rsidRDefault="007048B7" w:rsidP="00E04C5F">
      <w:pPr>
        <w:pStyle w:val="TKTEXTE"/>
      </w:pPr>
      <w:r>
        <w:t xml:space="preserve">Zeichnen Sie eine Figur, wie auf der vorhergehenden Seite, um Ihr eigenes Sprachenporträt anzufertigen, und beachten Sie dabei die folgenden Punkte: </w:t>
      </w:r>
    </w:p>
    <w:p w:rsidR="007048B7" w:rsidRPr="007048B7" w:rsidRDefault="007048B7" w:rsidP="00E04C5F">
      <w:pPr>
        <w:pStyle w:val="TKBulletLevel1"/>
      </w:pPr>
      <w:r>
        <w:t>Bei dieser Aufgabe ist es wichtig, spontan und intuitiv zu arbeiten. Sie sollten sie so schnell wie möglich absolvieren. Zeit für Reflexion bleibt Ihnen nach der Fertigstellung Ihres Sprachenporträts.</w:t>
      </w:r>
    </w:p>
    <w:p w:rsidR="007048B7" w:rsidRPr="007048B7" w:rsidRDefault="007048B7" w:rsidP="00E04C5F">
      <w:pPr>
        <w:pStyle w:val="TKBulletLevel1"/>
      </w:pPr>
      <w:r>
        <w:t>Berücksichtigen Sie in Ihrem Sprachenporträt alle Varietäten: Dialekte sind genauso wichtig wie Standardsprachen.</w:t>
      </w:r>
    </w:p>
    <w:p w:rsidR="007048B7" w:rsidRPr="007048B7" w:rsidRDefault="007048B7" w:rsidP="00E04C5F">
      <w:pPr>
        <w:pStyle w:val="TKBulletLevel1"/>
      </w:pPr>
      <w:r>
        <w:t xml:space="preserve">Wie gut Sie eine Sprache beherrschen, ist nicht von Bedeutung. Auch wenn Sie nur ein Wort in einer Sprache kennen, können Sie diese </w:t>
      </w:r>
      <w:r w:rsidR="008755A2">
        <w:t>in Ihr Porträt eintragen</w:t>
      </w:r>
      <w:r>
        <w:t>.</w:t>
      </w:r>
    </w:p>
    <w:p w:rsidR="007048B7" w:rsidRPr="007048B7" w:rsidRDefault="007048B7" w:rsidP="00E04C5F">
      <w:pPr>
        <w:pStyle w:val="TKBulletLevel1"/>
      </w:pPr>
      <w:r>
        <w:t xml:space="preserve">Falls es Ihnen lieber ist, können Sie die Namen der Sprachen in die Figur hineinschreiben, anstatt diese entsprechend auszumalen. </w:t>
      </w:r>
    </w:p>
    <w:p w:rsidR="007048B7" w:rsidRPr="007048B7" w:rsidRDefault="007048B7" w:rsidP="00E04C5F">
      <w:pPr>
        <w:pStyle w:val="TKTEXTE"/>
      </w:pPr>
      <w:r>
        <w:t xml:space="preserve">Stellen Sie sich nach der </w:t>
      </w:r>
      <w:r w:rsidR="002C1196">
        <w:t xml:space="preserve">Fertigstellung </w:t>
      </w:r>
      <w:r>
        <w:t>Ihres Sprachenporträts die folgenden Fragen, nach Möglichkeit gemeinsam mit anderen Freiwilligen:</w:t>
      </w:r>
    </w:p>
    <w:p w:rsidR="007048B7" w:rsidRPr="007048B7" w:rsidRDefault="007048B7" w:rsidP="00E04C5F">
      <w:pPr>
        <w:pStyle w:val="TKBulletLevel1"/>
      </w:pPr>
      <w:r>
        <w:t>In welchen Kontexten verwenden Sie die jeweiligen Sprachen (innerhalb der Familie, mit Freunden, bei der Arbeit etc.)?</w:t>
      </w:r>
    </w:p>
    <w:p w:rsidR="007048B7" w:rsidRPr="007048B7" w:rsidRDefault="007048B7" w:rsidP="00E04C5F">
      <w:pPr>
        <w:pStyle w:val="TKBulletLevel1"/>
      </w:pPr>
      <w:r>
        <w:t xml:space="preserve">Welche Ihrer Sprachen genießen in Ihrem Umfeld </w:t>
      </w:r>
      <w:r w:rsidR="002C1196">
        <w:t xml:space="preserve">allgemeine </w:t>
      </w:r>
      <w:r>
        <w:t>Anerkennung?</w:t>
      </w:r>
    </w:p>
    <w:p w:rsidR="007048B7" w:rsidRPr="007048B7" w:rsidRDefault="007048B7" w:rsidP="00E04C5F">
      <w:pPr>
        <w:pStyle w:val="TKBulletLevel1"/>
      </w:pPr>
      <w:r>
        <w:t>Sprechen Sie Sprachen oder Dialekte, denen nicht die gleiche Anerkennung zukommt?</w:t>
      </w:r>
    </w:p>
    <w:p w:rsidR="007048B7" w:rsidRPr="007048B7" w:rsidRDefault="007048B7" w:rsidP="00E04C5F">
      <w:pPr>
        <w:pStyle w:val="TKBulletLevel1"/>
      </w:pPr>
      <w:r>
        <w:t>Was sind Ihrer Meinung nach Gründe dafür, dass manche Sprache</w:t>
      </w:r>
      <w:r w:rsidR="002A7485">
        <w:t>n</w:t>
      </w:r>
      <w:r>
        <w:t xml:space="preserve"> prestigeträchtiger als andere sind?</w:t>
      </w:r>
    </w:p>
    <w:p w:rsidR="007048B7" w:rsidRPr="007048B7" w:rsidRDefault="007048B7" w:rsidP="00E04C5F">
      <w:pPr>
        <w:pStyle w:val="TKBulletLevel1"/>
      </w:pPr>
      <w:r>
        <w:t>Wie kann es sein, dass manche Menschen aus afrikanischen Ländern sieben Sprachen fließend beherrschen, aber trotzdem als ungebildet gelten, während Menschen, die zwei oder drei europäische Sprachen fließend sprechen, als äußerst gebildet angesehen werden?</w:t>
      </w:r>
    </w:p>
    <w:p w:rsidR="00E04C5F" w:rsidRDefault="007048B7" w:rsidP="00E04C5F">
      <w:pPr>
        <w:pStyle w:val="TKBulletLevel1"/>
      </w:pPr>
      <w:r>
        <w:t>Gibt es Situationen, in denen Sie im Gespräch mit anderen Menschen Sprachen mischen?</w:t>
      </w:r>
    </w:p>
    <w:p w:rsidR="007048B7" w:rsidRPr="007048B7" w:rsidRDefault="007048B7" w:rsidP="00E04C5F">
      <w:pPr>
        <w:pStyle w:val="TKTITRE1"/>
      </w:pPr>
      <w:r>
        <w:t>Übung für Flüchtlinge</w:t>
      </w:r>
    </w:p>
    <w:p w:rsidR="007048B7" w:rsidRPr="007048B7" w:rsidRDefault="007048B7" w:rsidP="00E04C5F">
      <w:pPr>
        <w:pStyle w:val="TKTEXTE"/>
      </w:pPr>
      <w:r>
        <w:t>Dieselbe Übung ist auch schon oft in der Arbeit mit Flüchtlingen eingesetzt worden. Sie hat sich hierbei als gute Methode erwiesen, den Flüchtlingen dabei zu helfen, sich des „</w:t>
      </w:r>
      <w:r w:rsidR="009A1C91">
        <w:t>sprachlichen Kapitals</w:t>
      </w:r>
      <w:r>
        <w:t>“, das sie bereits besitzen, bewusst zu werden</w:t>
      </w:r>
      <w:r w:rsidR="002A7485">
        <w:t>. In einem Umfeld</w:t>
      </w:r>
      <w:r>
        <w:t xml:space="preserve">, </w:t>
      </w:r>
      <w:r w:rsidR="002A7485">
        <w:t xml:space="preserve">das </w:t>
      </w:r>
      <w:r>
        <w:t>sie</w:t>
      </w:r>
      <w:r w:rsidR="002A7485">
        <w:t xml:space="preserve"> oft</w:t>
      </w:r>
      <w:r>
        <w:t xml:space="preserve"> anhand der nicht beherrschten </w:t>
      </w:r>
      <w:r w:rsidR="00714210">
        <w:t>an</w:t>
      </w:r>
      <w:r>
        <w:t>statt der beherrschten Sprache</w:t>
      </w:r>
      <w:r w:rsidR="00714210">
        <w:t>n</w:t>
      </w:r>
      <w:r>
        <w:t xml:space="preserve"> zu definieren </w:t>
      </w:r>
      <w:r w:rsidR="002A7485">
        <w:t>scheint</w:t>
      </w:r>
      <w:r>
        <w:t>,</w:t>
      </w:r>
      <w:r w:rsidR="002A7485">
        <w:t xml:space="preserve"> kann dies</w:t>
      </w:r>
      <w:r>
        <w:t xml:space="preserve"> ihr Selbstvertrauen steiger</w:t>
      </w:r>
      <w:r w:rsidR="008755A2">
        <w:t>n</w:t>
      </w:r>
      <w:r>
        <w:t>.</w:t>
      </w:r>
    </w:p>
    <w:p w:rsidR="001C205E" w:rsidRPr="004D3E06" w:rsidRDefault="007048B7" w:rsidP="00E04C5F">
      <w:pPr>
        <w:pStyle w:val="TKTEXTE"/>
        <w:rPr>
          <w:rFonts w:asciiTheme="minorHAnsi" w:hAnsiTheme="minorHAnsi"/>
          <w:color w:val="000000"/>
        </w:rPr>
      </w:pPr>
      <w:r>
        <w:t xml:space="preserve">Viele Flüchtlinge freuen sich nach der Anfertigung Ihres Sprachenporträts richtig darauf, ihr Repertoire und ihre Erfahrungen mit jenen von anderen Flüchtlingen zu vergleichen – darüber zu reden, welche Sprachen sie beherrschen, wo sie diese gelernt haben und mit wem sie in diesen kommunizieren. Sprachenporträts stellen eine gute Möglichkeit dar, Flüchtlinge dazu zu bringen, über Sprachen aus der Perspektive ihrer eigenen Erfahrungen zu sprechen. Siehe auch Einheit 38 – </w:t>
      </w:r>
      <w:hyperlink r:id="rId11" w:history="1">
        <w:r w:rsidRPr="00C36507">
          <w:rPr>
            <w:rStyle w:val="Lienhypertexte"/>
            <w:rFonts w:cs="Calibri"/>
            <w:i/>
            <w:iCs/>
            <w:u w:val="none"/>
          </w:rPr>
          <w:t xml:space="preserve">Mein Sprachenporträt: </w:t>
        </w:r>
        <w:r w:rsidRPr="00C36507">
          <w:rPr>
            <w:rStyle w:val="Lienhypertexte"/>
            <w:rFonts w:asciiTheme="minorHAnsi" w:hAnsiTheme="minorHAnsi" w:cs="Calibri"/>
            <w:i/>
            <w:iCs/>
            <w:u w:val="none"/>
          </w:rPr>
          <w:t>Reflexionsübung für Flüchtlinge</w:t>
        </w:r>
      </w:hyperlink>
    </w:p>
    <w:p w:rsidR="001C205E" w:rsidRDefault="001C205E" w:rsidP="00E04C5F">
      <w:pPr>
        <w:pStyle w:val="TKTEXTE"/>
        <w:rPr>
          <w:rFonts w:asciiTheme="minorHAnsi" w:hAnsiTheme="minorHAnsi"/>
          <w:i/>
          <w:color w:val="000000"/>
          <w:u w:val="single"/>
        </w:rPr>
      </w:pPr>
    </w:p>
    <w:p w:rsidR="001C205E" w:rsidRPr="001C205E" w:rsidRDefault="001C205E" w:rsidP="00DF215A">
      <w:pPr>
        <w:pStyle w:val="TKnotes"/>
      </w:pPr>
      <w:r w:rsidRPr="00E55CDD">
        <w:rPr>
          <w:rFonts w:hint="eastAsia"/>
          <w:u w:val="single"/>
        </w:rPr>
        <w:t>Quelle</w:t>
      </w:r>
      <w:r w:rsidR="00E55CDD" w:rsidRPr="00E55CDD">
        <w:rPr>
          <w:u w:val="single"/>
        </w:rPr>
        <w:t xml:space="preserve"> des </w:t>
      </w:r>
      <w:r w:rsidRPr="00E55CDD">
        <w:rPr>
          <w:u w:val="single"/>
        </w:rPr>
        <w:t>Sprachenporträ</w:t>
      </w:r>
      <w:r w:rsidR="00E55CDD" w:rsidRPr="00E55CDD">
        <w:rPr>
          <w:u w:val="single"/>
        </w:rPr>
        <w:t>ts</w:t>
      </w:r>
      <w:r w:rsidRPr="001C205E">
        <w:t xml:space="preserve">: </w:t>
      </w:r>
      <w:r w:rsidR="00E55CDD" w:rsidRPr="00E55CDD">
        <w:t>H.-J.</w:t>
      </w:r>
      <w:r w:rsidR="00E55CDD">
        <w:t xml:space="preserve"> </w:t>
      </w:r>
      <w:r w:rsidR="00E55CDD" w:rsidRPr="00E55CDD">
        <w:t>Krumm (Hgg. H.-J.</w:t>
      </w:r>
      <w:r w:rsidR="00E55CDD">
        <w:t xml:space="preserve"> Krumm/</w:t>
      </w:r>
      <w:r w:rsidR="00E55CDD" w:rsidRPr="00E55CDD">
        <w:t>E.M.</w:t>
      </w:r>
      <w:r w:rsidR="00E55CDD">
        <w:t xml:space="preserve"> </w:t>
      </w:r>
      <w:r w:rsidR="00E55CDD" w:rsidRPr="00E55CDD">
        <w:t>Jenkins)</w:t>
      </w:r>
      <w:r w:rsidRPr="001C205E">
        <w:t xml:space="preserve">: Kinder und ihre Sprachen </w:t>
      </w:r>
      <w:r w:rsidR="00E55CDD">
        <w:t>–</w:t>
      </w:r>
      <w:r w:rsidRPr="001C205E">
        <w:t xml:space="preserve"> lebendige Mehrsprachigkeit. Wien 2001</w:t>
      </w:r>
      <w:bookmarkStart w:id="0" w:name="_GoBack"/>
      <w:bookmarkEnd w:id="0"/>
    </w:p>
    <w:sectPr w:rsidR="001C205E" w:rsidRPr="001C205E"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1278" w:rsidRDefault="00741278" w:rsidP="00C523EA">
      <w:r>
        <w:separator/>
      </w:r>
    </w:p>
  </w:endnote>
  <w:endnote w:type="continuationSeparator" w:id="0">
    <w:p w:rsidR="00741278" w:rsidRDefault="0074127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74170A" w:rsidRPr="004D3E06" w:rsidRDefault="0074170A" w:rsidP="0074170A">
          <w:pPr>
            <w:tabs>
              <w:tab w:val="center" w:pos="4820"/>
            </w:tabs>
            <w:spacing w:before="60"/>
            <w:rPr>
              <w:sz w:val="18"/>
              <w:lang w:val="de-DE"/>
            </w:rPr>
          </w:pPr>
          <w:r w:rsidRPr="004D3E06">
            <w:rPr>
              <w:sz w:val="18"/>
              <w:lang w:val="de-DE"/>
            </w:rPr>
            <w:t>Programm zur Sprachenpolitik</w:t>
          </w:r>
        </w:p>
        <w:p w:rsidR="00186952" w:rsidRPr="004D3E06" w:rsidRDefault="0074170A" w:rsidP="0074170A">
          <w:pPr>
            <w:tabs>
              <w:tab w:val="center" w:pos="4820"/>
            </w:tabs>
            <w:spacing w:before="60"/>
            <w:rPr>
              <w:sz w:val="18"/>
              <w:lang w:val="de-DE"/>
            </w:rPr>
          </w:pPr>
          <w:r w:rsidRPr="004D3E06">
            <w:rPr>
              <w:sz w:val="18"/>
              <w:lang w:val="de-DE"/>
            </w:rPr>
            <w:t>Straßburg</w:t>
          </w:r>
        </w:p>
        <w:p w:rsidR="0074170A" w:rsidRPr="004D3E06" w:rsidRDefault="0074170A" w:rsidP="0074170A">
          <w:pPr>
            <w:tabs>
              <w:tab w:val="center" w:pos="4820"/>
            </w:tabs>
            <w:spacing w:before="60"/>
            <w:rPr>
              <w:rFonts w:eastAsia="Calibri" w:cs="Cambria"/>
              <w:sz w:val="18"/>
              <w:szCs w:val="18"/>
              <w:lang w:val="de-DE"/>
            </w:rPr>
          </w:pPr>
        </w:p>
        <w:p w:rsidR="00186952" w:rsidRPr="004D3E06" w:rsidRDefault="0074170A" w:rsidP="00B33421">
          <w:pPr>
            <w:tabs>
              <w:tab w:val="center" w:pos="4820"/>
            </w:tabs>
            <w:spacing w:before="60"/>
            <w:rPr>
              <w:rFonts w:eastAsia="Calibri" w:cs="Cambria"/>
              <w:sz w:val="18"/>
              <w:szCs w:val="18"/>
              <w:lang w:val="de-DE"/>
            </w:rPr>
          </w:pPr>
          <w:r w:rsidRPr="004D3E06">
            <w:rPr>
              <w:b/>
              <w:sz w:val="18"/>
              <w:lang w:val="de-DE"/>
            </w:rPr>
            <w:t xml:space="preserve">Einheit </w:t>
          </w:r>
          <w:r w:rsidR="00CC51C3" w:rsidRPr="004D3E06">
            <w:rPr>
              <w:b/>
              <w:sz w:val="18"/>
              <w:lang w:val="de-DE"/>
            </w:rPr>
            <w:t>16</w:t>
          </w:r>
        </w:p>
      </w:tc>
      <w:tc>
        <w:tcPr>
          <w:tcW w:w="1667" w:type="pct"/>
          <w:vAlign w:val="bottom"/>
        </w:tcPr>
        <w:p w:rsidR="00186952" w:rsidRDefault="002455D7"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DF215A">
            <w:rPr>
              <w:rFonts w:eastAsia="Calibri" w:cs="Cambria"/>
              <w:noProof/>
              <w:sz w:val="18"/>
              <w:szCs w:val="18"/>
            </w:rPr>
            <w:t>2</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DF215A">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1278" w:rsidRDefault="00741278" w:rsidP="00C523EA">
      <w:r>
        <w:separator/>
      </w:r>
    </w:p>
  </w:footnote>
  <w:footnote w:type="continuationSeparator" w:id="0">
    <w:p w:rsidR="00741278" w:rsidRDefault="00741278"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9A1C91"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74170A" w:rsidRDefault="0074170A" w:rsidP="00186952">
          <w:pPr>
            <w:jc w:val="center"/>
            <w:rPr>
              <w:rFonts w:eastAsiaTheme="minorHAnsi"/>
              <w:b/>
              <w:lang w:val="de-DE"/>
            </w:rPr>
          </w:pPr>
          <w:r w:rsidRPr="0074170A">
            <w:rPr>
              <w:rFonts w:eastAsiaTheme="minorHAnsi"/>
              <w:b/>
              <w:lang w:val="de-DE"/>
            </w:rPr>
            <w:t xml:space="preserve">Sprachunterstützung für erwachsene Flüchtlinge: </w:t>
          </w:r>
          <w:r w:rsidRPr="0074170A">
            <w:rPr>
              <w:rFonts w:eastAsiaTheme="minorHAnsi"/>
              <w:b/>
              <w:i/>
              <w:lang w:val="de-DE"/>
            </w:rPr>
            <w:t>Handreichungen des Europarats</w:t>
          </w:r>
        </w:p>
        <w:p w:rsidR="00186952" w:rsidRPr="0074170A" w:rsidRDefault="00741278" w:rsidP="00186952">
          <w:pPr>
            <w:jc w:val="center"/>
            <w:rPr>
              <w:rFonts w:eastAsiaTheme="minorHAnsi"/>
              <w:color w:val="0000FF"/>
              <w:u w:val="single"/>
              <w:lang w:val="de-DE"/>
            </w:rPr>
          </w:pPr>
          <w:hyperlink r:id="rId2">
            <w:r w:rsidR="00CC51C3" w:rsidRPr="0074170A">
              <w:rPr>
                <w:rStyle w:val="Lienhypertexte"/>
                <w:rFonts w:eastAsiaTheme="minorHAnsi"/>
                <w:lang w:val="de-DE"/>
              </w:rPr>
              <w:t>www.coe.int/lang-refugees</w:t>
            </w:r>
          </w:hyperlink>
        </w:p>
      </w:tc>
      <w:tc>
        <w:tcPr>
          <w:tcW w:w="2711" w:type="dxa"/>
        </w:tcPr>
        <w:p w:rsidR="0074170A" w:rsidRDefault="0074170A" w:rsidP="00186952">
          <w:pPr>
            <w:tabs>
              <w:tab w:val="center" w:pos="4607"/>
              <w:tab w:val="right" w:pos="9214"/>
            </w:tabs>
            <w:jc w:val="right"/>
            <w:rPr>
              <w:rFonts w:asciiTheme="minorHAnsi" w:eastAsiaTheme="minorHAnsi" w:hAnsiTheme="minorHAnsi" w:cstheme="minorHAnsi"/>
              <w:sz w:val="20"/>
              <w:lang w:val="de-DE"/>
            </w:rPr>
          </w:pPr>
          <w:r w:rsidRPr="0074170A">
            <w:rPr>
              <w:rFonts w:asciiTheme="minorHAnsi" w:eastAsiaTheme="minorHAnsi" w:hAnsiTheme="minorHAnsi" w:cstheme="minorHAnsi"/>
              <w:sz w:val="20"/>
              <w:lang w:val="de-DE"/>
            </w:rPr>
            <w:t>Sprachliche Integration erwachsener Migrantinnen und Migranten (LIAM)</w:t>
          </w:r>
        </w:p>
        <w:p w:rsidR="00186952" w:rsidRPr="0074170A" w:rsidRDefault="00741278"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CC51C3" w:rsidRPr="0074170A">
              <w:rPr>
                <w:rStyle w:val="Lienhypertexte"/>
                <w:rFonts w:asciiTheme="minorHAnsi" w:eastAsiaTheme="minorHAnsi" w:hAnsiTheme="minorHAnsi" w:cstheme="minorHAnsi"/>
                <w:sz w:val="20"/>
                <w:lang w:val="de-DE"/>
              </w:rPr>
              <w:t>www.coe.int/lang-migrants</w:t>
            </w:r>
          </w:hyperlink>
        </w:p>
      </w:tc>
    </w:tr>
  </w:tbl>
  <w:p w:rsidR="00186952" w:rsidRPr="0074170A" w:rsidRDefault="00186952"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A9C4AAB"/>
    <w:multiLevelType w:val="hybridMultilevel"/>
    <w:tmpl w:val="AA0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6E610DF"/>
    <w:multiLevelType w:val="hybridMultilevel"/>
    <w:tmpl w:val="E0E2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9"/>
  </w:num>
  <w:num w:numId="4">
    <w:abstractNumId w:val="0"/>
  </w:num>
  <w:num w:numId="5">
    <w:abstractNumId w:val="8"/>
  </w:num>
  <w:num w:numId="6">
    <w:abstractNumId w:val="7"/>
  </w:num>
  <w:num w:numId="7">
    <w:abstractNumId w:val="4"/>
  </w:num>
  <w:num w:numId="8">
    <w:abstractNumId w:val="2"/>
  </w:num>
  <w:num w:numId="9">
    <w:abstractNumId w:val="6"/>
  </w:num>
  <w:num w:numId="10">
    <w:abstractNumId w:val="10"/>
  </w:num>
  <w:num w:numId="11">
    <w:abstractNumId w:val="4"/>
  </w:num>
  <w:num w:numId="12">
    <w:abstractNumId w:val="5"/>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937FA"/>
    <w:rsid w:val="000A080D"/>
    <w:rsid w:val="000B0155"/>
    <w:rsid w:val="000C5F40"/>
    <w:rsid w:val="000E706C"/>
    <w:rsid w:val="000E7AFD"/>
    <w:rsid w:val="000F2CE2"/>
    <w:rsid w:val="000F42D6"/>
    <w:rsid w:val="00110B4B"/>
    <w:rsid w:val="00113442"/>
    <w:rsid w:val="00116DA9"/>
    <w:rsid w:val="00121C7F"/>
    <w:rsid w:val="00126A5E"/>
    <w:rsid w:val="001347DC"/>
    <w:rsid w:val="00140B7E"/>
    <w:rsid w:val="00154B1F"/>
    <w:rsid w:val="00161F5C"/>
    <w:rsid w:val="00172C07"/>
    <w:rsid w:val="001741D1"/>
    <w:rsid w:val="0017676C"/>
    <w:rsid w:val="00186952"/>
    <w:rsid w:val="001965B4"/>
    <w:rsid w:val="001A1B4C"/>
    <w:rsid w:val="001B0010"/>
    <w:rsid w:val="001B602D"/>
    <w:rsid w:val="001B71AD"/>
    <w:rsid w:val="001C205E"/>
    <w:rsid w:val="001C7918"/>
    <w:rsid w:val="001D2E19"/>
    <w:rsid w:val="00201D74"/>
    <w:rsid w:val="0020300A"/>
    <w:rsid w:val="00214CD0"/>
    <w:rsid w:val="00233192"/>
    <w:rsid w:val="002455D7"/>
    <w:rsid w:val="00246E8E"/>
    <w:rsid w:val="0025316A"/>
    <w:rsid w:val="00254DC5"/>
    <w:rsid w:val="0026293F"/>
    <w:rsid w:val="002860CD"/>
    <w:rsid w:val="002A0CEF"/>
    <w:rsid w:val="002A3476"/>
    <w:rsid w:val="002A7485"/>
    <w:rsid w:val="002C1196"/>
    <w:rsid w:val="002F089F"/>
    <w:rsid w:val="002F2562"/>
    <w:rsid w:val="0030060E"/>
    <w:rsid w:val="0030328C"/>
    <w:rsid w:val="00303A5A"/>
    <w:rsid w:val="003128C2"/>
    <w:rsid w:val="00327BBC"/>
    <w:rsid w:val="0033137E"/>
    <w:rsid w:val="003428B9"/>
    <w:rsid w:val="0035492A"/>
    <w:rsid w:val="003575BD"/>
    <w:rsid w:val="003603DE"/>
    <w:rsid w:val="00373B9F"/>
    <w:rsid w:val="0037570C"/>
    <w:rsid w:val="00381EBC"/>
    <w:rsid w:val="0038409C"/>
    <w:rsid w:val="003847AD"/>
    <w:rsid w:val="003B337F"/>
    <w:rsid w:val="003C0495"/>
    <w:rsid w:val="003C050D"/>
    <w:rsid w:val="003C177D"/>
    <w:rsid w:val="003C32F5"/>
    <w:rsid w:val="003E358D"/>
    <w:rsid w:val="003F121D"/>
    <w:rsid w:val="00447999"/>
    <w:rsid w:val="00450203"/>
    <w:rsid w:val="00457DD9"/>
    <w:rsid w:val="00460BCC"/>
    <w:rsid w:val="00470AA9"/>
    <w:rsid w:val="004730BC"/>
    <w:rsid w:val="0049006B"/>
    <w:rsid w:val="00490099"/>
    <w:rsid w:val="004A486D"/>
    <w:rsid w:val="004B5DD8"/>
    <w:rsid w:val="004C1652"/>
    <w:rsid w:val="004D3E06"/>
    <w:rsid w:val="004E32A8"/>
    <w:rsid w:val="004F2E30"/>
    <w:rsid w:val="00503B7E"/>
    <w:rsid w:val="00503E91"/>
    <w:rsid w:val="00525623"/>
    <w:rsid w:val="00526886"/>
    <w:rsid w:val="00555D25"/>
    <w:rsid w:val="005713EB"/>
    <w:rsid w:val="00582EB0"/>
    <w:rsid w:val="00592F6C"/>
    <w:rsid w:val="005C2E50"/>
    <w:rsid w:val="005E4589"/>
    <w:rsid w:val="005E4CA5"/>
    <w:rsid w:val="005F3597"/>
    <w:rsid w:val="00617D74"/>
    <w:rsid w:val="00634900"/>
    <w:rsid w:val="0064154F"/>
    <w:rsid w:val="006455D0"/>
    <w:rsid w:val="00651E90"/>
    <w:rsid w:val="00654C5A"/>
    <w:rsid w:val="00655B1E"/>
    <w:rsid w:val="00655CCE"/>
    <w:rsid w:val="006627B2"/>
    <w:rsid w:val="006A1A21"/>
    <w:rsid w:val="006B60C2"/>
    <w:rsid w:val="006C0689"/>
    <w:rsid w:val="006C08C3"/>
    <w:rsid w:val="006C7764"/>
    <w:rsid w:val="006D234F"/>
    <w:rsid w:val="006E5DC4"/>
    <w:rsid w:val="006F56BB"/>
    <w:rsid w:val="007048B7"/>
    <w:rsid w:val="00705BF1"/>
    <w:rsid w:val="00714210"/>
    <w:rsid w:val="00734E55"/>
    <w:rsid w:val="00741278"/>
    <w:rsid w:val="0074170A"/>
    <w:rsid w:val="0074542C"/>
    <w:rsid w:val="007458E1"/>
    <w:rsid w:val="00747D20"/>
    <w:rsid w:val="00773ACD"/>
    <w:rsid w:val="00786599"/>
    <w:rsid w:val="007B4D14"/>
    <w:rsid w:val="007F5F10"/>
    <w:rsid w:val="0080462C"/>
    <w:rsid w:val="00805257"/>
    <w:rsid w:val="008067EC"/>
    <w:rsid w:val="0083366C"/>
    <w:rsid w:val="00844534"/>
    <w:rsid w:val="008469DE"/>
    <w:rsid w:val="008506D5"/>
    <w:rsid w:val="008755A2"/>
    <w:rsid w:val="00892B00"/>
    <w:rsid w:val="00897022"/>
    <w:rsid w:val="008A2C7A"/>
    <w:rsid w:val="008B45A3"/>
    <w:rsid w:val="008C53DF"/>
    <w:rsid w:val="008E6FB9"/>
    <w:rsid w:val="008F0189"/>
    <w:rsid w:val="008F1473"/>
    <w:rsid w:val="008F24DC"/>
    <w:rsid w:val="008F51C9"/>
    <w:rsid w:val="008F5269"/>
    <w:rsid w:val="009025F0"/>
    <w:rsid w:val="00902FA1"/>
    <w:rsid w:val="0093428B"/>
    <w:rsid w:val="0094551C"/>
    <w:rsid w:val="00953DC1"/>
    <w:rsid w:val="00970C63"/>
    <w:rsid w:val="0097497F"/>
    <w:rsid w:val="00990990"/>
    <w:rsid w:val="009A1C91"/>
    <w:rsid w:val="009A4759"/>
    <w:rsid w:val="009A5131"/>
    <w:rsid w:val="009B7F95"/>
    <w:rsid w:val="009C0600"/>
    <w:rsid w:val="00A03292"/>
    <w:rsid w:val="00A042AE"/>
    <w:rsid w:val="00A1258A"/>
    <w:rsid w:val="00A36998"/>
    <w:rsid w:val="00A37741"/>
    <w:rsid w:val="00A418DA"/>
    <w:rsid w:val="00A5196F"/>
    <w:rsid w:val="00A60D6D"/>
    <w:rsid w:val="00A6623D"/>
    <w:rsid w:val="00A67362"/>
    <w:rsid w:val="00A7554F"/>
    <w:rsid w:val="00A802F2"/>
    <w:rsid w:val="00A81C9B"/>
    <w:rsid w:val="00AB255A"/>
    <w:rsid w:val="00AD36D4"/>
    <w:rsid w:val="00AE657E"/>
    <w:rsid w:val="00AF4A1E"/>
    <w:rsid w:val="00AF56A8"/>
    <w:rsid w:val="00B05EF7"/>
    <w:rsid w:val="00B14386"/>
    <w:rsid w:val="00B25C82"/>
    <w:rsid w:val="00B33421"/>
    <w:rsid w:val="00B35EFB"/>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35A15"/>
    <w:rsid w:val="00C36507"/>
    <w:rsid w:val="00C36B49"/>
    <w:rsid w:val="00C4635C"/>
    <w:rsid w:val="00C478A6"/>
    <w:rsid w:val="00C523EA"/>
    <w:rsid w:val="00C622D7"/>
    <w:rsid w:val="00C7477C"/>
    <w:rsid w:val="00C8086F"/>
    <w:rsid w:val="00C94196"/>
    <w:rsid w:val="00CC0991"/>
    <w:rsid w:val="00CC51C3"/>
    <w:rsid w:val="00CD42D1"/>
    <w:rsid w:val="00CF0B90"/>
    <w:rsid w:val="00CF36D3"/>
    <w:rsid w:val="00D00DA4"/>
    <w:rsid w:val="00D07616"/>
    <w:rsid w:val="00D2211A"/>
    <w:rsid w:val="00D2595E"/>
    <w:rsid w:val="00D57D70"/>
    <w:rsid w:val="00D61794"/>
    <w:rsid w:val="00D81172"/>
    <w:rsid w:val="00D8328F"/>
    <w:rsid w:val="00D83A78"/>
    <w:rsid w:val="00DA5A92"/>
    <w:rsid w:val="00DC59A0"/>
    <w:rsid w:val="00DD0635"/>
    <w:rsid w:val="00DD35DF"/>
    <w:rsid w:val="00DD53DC"/>
    <w:rsid w:val="00DE5B7D"/>
    <w:rsid w:val="00DF215A"/>
    <w:rsid w:val="00DF5B76"/>
    <w:rsid w:val="00DF60EB"/>
    <w:rsid w:val="00DF6268"/>
    <w:rsid w:val="00E04C5F"/>
    <w:rsid w:val="00E076C3"/>
    <w:rsid w:val="00E21B21"/>
    <w:rsid w:val="00E34CC6"/>
    <w:rsid w:val="00E53152"/>
    <w:rsid w:val="00E55CDD"/>
    <w:rsid w:val="00E826A8"/>
    <w:rsid w:val="00E90A39"/>
    <w:rsid w:val="00EB3411"/>
    <w:rsid w:val="00ED4CB7"/>
    <w:rsid w:val="00F260E9"/>
    <w:rsid w:val="00F5126A"/>
    <w:rsid w:val="00F55EA4"/>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link w:val="CommentaireCar"/>
    <w:uiPriority w:val="99"/>
    <w:semiHidden/>
    <w:unhideWhenUsed/>
    <w:rsid w:val="00CC51C3"/>
    <w:rPr>
      <w:sz w:val="20"/>
      <w:szCs w:val="20"/>
    </w:rPr>
  </w:style>
  <w:style w:type="character" w:styleId="Marquedecommentaire">
    <w:name w:val="annotation reference"/>
    <w:basedOn w:val="Policepardfaut"/>
    <w:uiPriority w:val="99"/>
    <w:semiHidden/>
    <w:unhideWhenUsed/>
    <w:rsid w:val="00CC51C3"/>
    <w:rPr>
      <w:sz w:val="16"/>
      <w:szCs w:val="16"/>
    </w:rPr>
  </w:style>
  <w:style w:type="paragraph" w:styleId="Objetducommentaire">
    <w:name w:val="annotation subject"/>
    <w:basedOn w:val="Commentaire"/>
    <w:next w:val="Commentaire"/>
    <w:link w:val="ObjetducommentaireCar"/>
    <w:uiPriority w:val="99"/>
    <w:semiHidden/>
    <w:unhideWhenUsed/>
    <w:rsid w:val="002A7485"/>
    <w:rPr>
      <w:b/>
      <w:bCs/>
      <w:sz w:val="24"/>
      <w:szCs w:val="22"/>
    </w:rPr>
  </w:style>
  <w:style w:type="character" w:customStyle="1" w:styleId="CommentaireCar">
    <w:name w:val="Commentaire Car"/>
    <w:basedOn w:val="Policepardfaut"/>
    <w:link w:val="Commentaire"/>
    <w:uiPriority w:val="99"/>
    <w:semiHidden/>
    <w:rsid w:val="002A7485"/>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uiPriority w:val="99"/>
    <w:semiHidden/>
    <w:rsid w:val="002A7485"/>
    <w:rPr>
      <w:rFonts w:ascii="Calibri" w:eastAsia="Times New Roman" w:hAnsi="Calibri" w:cs="Times New Roman"/>
      <w:b/>
      <w:bCs/>
      <w:sz w:val="24"/>
      <w:szCs w:val="20"/>
    </w:rPr>
  </w:style>
  <w:style w:type="paragraph" w:styleId="Rvision">
    <w:name w:val="Revision"/>
    <w:hidden/>
    <w:uiPriority w:val="99"/>
    <w:semiHidden/>
    <w:rsid w:val="002C1196"/>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repertoire-langu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einheit-38-mein-sprachenportrat-reflexionsubung-fur-fluchtlinge-sprach/16807617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B4390-4526-48DB-B759-AE8259C7E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601</Words>
  <Characters>3309</Characters>
  <Application>Microsoft Office Word</Application>
  <DocSecurity>0</DocSecurity>
  <Lines>27</Lines>
  <Paragraphs>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5</cp:revision>
  <cp:lastPrinted>2017-03-21T18:43:00Z</cp:lastPrinted>
  <dcterms:created xsi:type="dcterms:W3CDTF">2017-10-23T14:22:00Z</dcterms:created>
  <dcterms:modified xsi:type="dcterms:W3CDTF">2017-11-08T17:12:00Z</dcterms:modified>
</cp:coreProperties>
</file>