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59617" w14:textId="52CE2636" w:rsidR="00A9648B" w:rsidRPr="00D13E55" w:rsidRDefault="00A9648B" w:rsidP="00A9648B">
      <w:pPr>
        <w:pStyle w:val="Header"/>
        <w:rPr>
          <w:rFonts w:asciiTheme="minorHAnsi" w:hAnsiTheme="minorHAnsi" w:cstheme="minorHAnsi"/>
          <w:b/>
          <w:bCs/>
          <w:sz w:val="20"/>
          <w:szCs w:val="20"/>
        </w:rPr>
      </w:pPr>
      <w:r w:rsidRPr="00D13E55">
        <w:rPr>
          <w:rFonts w:asciiTheme="minorHAnsi" w:hAnsiTheme="minorHAnsi" w:cstheme="minorHAnsi"/>
          <w:sz w:val="20"/>
          <w:szCs w:val="20"/>
        </w:rPr>
        <w:tab/>
        <w:t xml:space="preserve">   </w:t>
      </w:r>
      <w:r w:rsidRPr="00D13E55">
        <w:rPr>
          <w:rFonts w:asciiTheme="minorHAnsi" w:hAnsiTheme="minorHAnsi" w:cstheme="minorHAnsi"/>
          <w:sz w:val="20"/>
          <w:szCs w:val="20"/>
        </w:rPr>
        <w:tab/>
        <w:t xml:space="preserve">  </w:t>
      </w:r>
      <w:r w:rsidRPr="00D13E55">
        <w:rPr>
          <w:rFonts w:asciiTheme="minorHAnsi" w:hAnsiTheme="minorHAnsi" w:cstheme="minorHAnsi"/>
          <w:sz w:val="20"/>
          <w:szCs w:val="20"/>
        </w:rPr>
        <w:tab/>
      </w:r>
    </w:p>
    <w:p w14:paraId="663BBDE7" w14:textId="77777777" w:rsidR="00A9648B" w:rsidRPr="00D13E55" w:rsidRDefault="00A9648B" w:rsidP="00A9648B">
      <w:pPr>
        <w:spacing w:after="0"/>
        <w:jc w:val="center"/>
        <w:rPr>
          <w:rFonts w:cstheme="minorHAnsi"/>
          <w:b/>
          <w:bCs/>
          <w:sz w:val="20"/>
          <w:szCs w:val="20"/>
        </w:rPr>
      </w:pPr>
    </w:p>
    <w:p w14:paraId="4B0F2497" w14:textId="10D5D136" w:rsidR="00A9648B" w:rsidRPr="00D13E55" w:rsidRDefault="00634E12" w:rsidP="1E890DF2">
      <w:pPr>
        <w:pStyle w:val="Header"/>
        <w:rPr>
          <w:rFonts w:asciiTheme="minorHAnsi" w:eastAsia="Tahoma" w:hAnsiTheme="minorHAnsi" w:cstheme="minorHAnsi"/>
          <w:sz w:val="20"/>
          <w:szCs w:val="20"/>
        </w:rPr>
      </w:pPr>
      <w:proofErr w:type="gramStart"/>
      <w:r w:rsidRPr="00D13E55">
        <w:rPr>
          <w:rFonts w:asciiTheme="minorHAnsi" w:eastAsia="Tahoma" w:hAnsiTheme="minorHAnsi" w:cstheme="minorHAnsi"/>
          <w:sz w:val="20"/>
          <w:szCs w:val="20"/>
        </w:rPr>
        <w:t>DRTO(</w:t>
      </w:r>
      <w:proofErr w:type="gramEnd"/>
      <w:r w:rsidRPr="00D13E55">
        <w:rPr>
          <w:rFonts w:asciiTheme="minorHAnsi" w:eastAsia="Tahoma" w:hAnsiTheme="minorHAnsi" w:cstheme="minorHAnsi"/>
          <w:sz w:val="20"/>
          <w:szCs w:val="20"/>
        </w:rPr>
        <w:t>202</w:t>
      </w:r>
      <w:r w:rsidR="003A7C1D" w:rsidRPr="00D13E55">
        <w:rPr>
          <w:rFonts w:asciiTheme="minorHAnsi" w:eastAsia="Tahoma" w:hAnsiTheme="minorHAnsi" w:cstheme="minorHAnsi"/>
          <w:sz w:val="20"/>
          <w:szCs w:val="20"/>
        </w:rPr>
        <w:t>6</w:t>
      </w:r>
      <w:r w:rsidRPr="00D13E55">
        <w:rPr>
          <w:rFonts w:asciiTheme="minorHAnsi" w:eastAsia="Tahoma" w:hAnsiTheme="minorHAnsi" w:cstheme="minorHAnsi"/>
          <w:sz w:val="20"/>
          <w:szCs w:val="20"/>
        </w:rPr>
        <w:t>)</w:t>
      </w:r>
      <w:r w:rsidR="000119CD">
        <w:rPr>
          <w:rFonts w:asciiTheme="minorHAnsi" w:eastAsia="Tahoma" w:hAnsiTheme="minorHAnsi" w:cstheme="minorHAnsi"/>
          <w:sz w:val="20"/>
          <w:szCs w:val="20"/>
        </w:rPr>
        <w:t>5</w:t>
      </w:r>
      <w:r w:rsidR="00A9648B" w:rsidRPr="00D13E55">
        <w:rPr>
          <w:rFonts w:asciiTheme="minorHAnsi" w:hAnsiTheme="minorHAnsi" w:cstheme="minorHAnsi"/>
        </w:rPr>
        <w:tab/>
      </w:r>
    </w:p>
    <w:p w14:paraId="48C46C51" w14:textId="7851C029" w:rsidR="00A9648B" w:rsidRPr="00D13E55" w:rsidRDefault="00A9648B" w:rsidP="1E890DF2">
      <w:pPr>
        <w:pStyle w:val="Header"/>
        <w:jc w:val="right"/>
        <w:rPr>
          <w:rFonts w:asciiTheme="minorHAnsi" w:hAnsiTheme="minorHAnsi" w:cstheme="minorHAnsi"/>
          <w:sz w:val="20"/>
          <w:szCs w:val="20"/>
        </w:rPr>
      </w:pPr>
      <w:r w:rsidRPr="00D13E55">
        <w:rPr>
          <w:rFonts w:asciiTheme="minorHAnsi" w:hAnsiTheme="minorHAnsi" w:cstheme="minorHAnsi"/>
          <w:sz w:val="20"/>
          <w:szCs w:val="20"/>
        </w:rPr>
        <w:t>Strasbourg,</w:t>
      </w:r>
      <w:r w:rsidR="00D13E55" w:rsidRPr="00D13E55">
        <w:rPr>
          <w:rFonts w:asciiTheme="minorHAnsi" w:hAnsiTheme="minorHAnsi" w:cstheme="minorHAnsi"/>
          <w:sz w:val="20"/>
          <w:szCs w:val="20"/>
        </w:rPr>
        <w:t xml:space="preserve"> 30 June 2026</w:t>
      </w:r>
    </w:p>
    <w:p w14:paraId="327C2B7B" w14:textId="77777777" w:rsidR="00A9648B" w:rsidRPr="00D13E55" w:rsidRDefault="00A9648B" w:rsidP="00A9648B">
      <w:pPr>
        <w:spacing w:after="0" w:line="240" w:lineRule="auto"/>
        <w:jc w:val="both"/>
        <w:rPr>
          <w:rFonts w:cstheme="minorHAnsi"/>
          <w:sz w:val="20"/>
          <w:szCs w:val="20"/>
        </w:rPr>
      </w:pPr>
    </w:p>
    <w:p w14:paraId="609CCF2B" w14:textId="0B1C8346" w:rsidR="00A9648B" w:rsidRPr="00D13E55" w:rsidRDefault="00A9648B" w:rsidP="00A9648B">
      <w:pPr>
        <w:spacing w:after="0" w:line="240" w:lineRule="auto"/>
        <w:rPr>
          <w:rFonts w:cstheme="minorHAnsi"/>
          <w:sz w:val="20"/>
          <w:szCs w:val="20"/>
        </w:rPr>
      </w:pPr>
      <w:r w:rsidRPr="00D13E55">
        <w:rPr>
          <w:rFonts w:cstheme="minorHAnsi"/>
          <w:sz w:val="20"/>
          <w:szCs w:val="20"/>
        </w:rPr>
        <w:tab/>
      </w:r>
      <w:r w:rsidRPr="00D13E55">
        <w:rPr>
          <w:rFonts w:cstheme="minorHAnsi"/>
          <w:sz w:val="20"/>
          <w:szCs w:val="20"/>
        </w:rPr>
        <w:tab/>
      </w:r>
      <w:r w:rsidRPr="00D13E55">
        <w:rPr>
          <w:rFonts w:cstheme="minorHAnsi"/>
          <w:sz w:val="20"/>
          <w:szCs w:val="20"/>
        </w:rPr>
        <w:tab/>
      </w:r>
      <w:r w:rsidRPr="00D13E55">
        <w:rPr>
          <w:rFonts w:cstheme="minorHAnsi"/>
          <w:sz w:val="20"/>
          <w:szCs w:val="20"/>
        </w:rPr>
        <w:tab/>
      </w:r>
      <w:r w:rsidRPr="00D13E55">
        <w:rPr>
          <w:rFonts w:cstheme="minorHAnsi"/>
          <w:sz w:val="20"/>
          <w:szCs w:val="20"/>
        </w:rPr>
        <w:tab/>
        <w:t xml:space="preserve">           </w:t>
      </w:r>
      <w:r w:rsidRPr="00D13E55">
        <w:rPr>
          <w:rFonts w:cstheme="minorHAnsi"/>
          <w:sz w:val="20"/>
          <w:szCs w:val="20"/>
        </w:rPr>
        <w:tab/>
      </w:r>
    </w:p>
    <w:p w14:paraId="7AC49B61" w14:textId="77777777" w:rsidR="00A9648B" w:rsidRPr="00D13E55" w:rsidRDefault="00A9648B" w:rsidP="00A9648B">
      <w:pPr>
        <w:spacing w:after="0" w:line="240" w:lineRule="auto"/>
        <w:rPr>
          <w:rFonts w:cstheme="minorHAnsi"/>
          <w:sz w:val="20"/>
          <w:szCs w:val="20"/>
        </w:rPr>
      </w:pPr>
    </w:p>
    <w:p w14:paraId="536D3BD6" w14:textId="567D4B33" w:rsidR="008A60BA" w:rsidRPr="00D13E55" w:rsidRDefault="00DC3A78" w:rsidP="008A60BA">
      <w:pPr>
        <w:spacing w:after="0" w:line="240" w:lineRule="auto"/>
        <w:jc w:val="center"/>
        <w:rPr>
          <w:rFonts w:cstheme="minorHAnsi"/>
          <w:b/>
          <w:bCs/>
          <w:smallCaps/>
          <w:sz w:val="24"/>
          <w:szCs w:val="24"/>
        </w:rPr>
      </w:pPr>
      <w:r w:rsidRPr="00D13E55">
        <w:rPr>
          <w:rFonts w:cstheme="minorHAnsi"/>
          <w:b/>
          <w:bCs/>
          <w:smallCaps/>
          <w:sz w:val="24"/>
          <w:szCs w:val="24"/>
        </w:rPr>
        <w:t>2</w:t>
      </w:r>
      <w:r w:rsidR="00D13E55" w:rsidRPr="00D13E55">
        <w:rPr>
          <w:rFonts w:cstheme="minorHAnsi"/>
          <w:b/>
          <w:bCs/>
          <w:smallCaps/>
          <w:sz w:val="24"/>
          <w:szCs w:val="24"/>
        </w:rPr>
        <w:t>2</w:t>
      </w:r>
      <w:r w:rsidR="00D13E55" w:rsidRPr="00D13E55">
        <w:rPr>
          <w:rFonts w:cstheme="minorHAnsi"/>
          <w:b/>
          <w:bCs/>
          <w:smallCaps/>
          <w:sz w:val="24"/>
          <w:szCs w:val="24"/>
          <w:vertAlign w:val="superscript"/>
        </w:rPr>
        <w:t>nd</w:t>
      </w:r>
      <w:r w:rsidR="003A7C1D" w:rsidRPr="00D13E55">
        <w:rPr>
          <w:rFonts w:cstheme="minorHAnsi"/>
          <w:b/>
          <w:bCs/>
          <w:smallCaps/>
          <w:sz w:val="24"/>
          <w:szCs w:val="24"/>
        </w:rPr>
        <w:t xml:space="preserve"> </w:t>
      </w:r>
      <w:r w:rsidR="008A60BA" w:rsidRPr="00D13E55">
        <w:rPr>
          <w:rFonts w:cstheme="minorHAnsi"/>
          <w:b/>
          <w:bCs/>
          <w:smallCaps/>
          <w:sz w:val="24"/>
          <w:szCs w:val="24"/>
        </w:rPr>
        <w:t>Meeting of the Council of Europe</w:t>
      </w:r>
    </w:p>
    <w:p w14:paraId="209D5F4E" w14:textId="77777777" w:rsidR="008A60BA" w:rsidRPr="00D13E55" w:rsidRDefault="008A60BA" w:rsidP="008A60BA">
      <w:pPr>
        <w:spacing w:after="0" w:line="240" w:lineRule="auto"/>
        <w:jc w:val="center"/>
        <w:rPr>
          <w:rFonts w:cstheme="minorHAnsi"/>
          <w:b/>
          <w:bCs/>
          <w:smallCaps/>
          <w:sz w:val="24"/>
          <w:szCs w:val="24"/>
        </w:rPr>
      </w:pPr>
      <w:r w:rsidRPr="00D13E55">
        <w:rPr>
          <w:rFonts w:cstheme="minorHAnsi"/>
          <w:b/>
          <w:bCs/>
          <w:smallCaps/>
          <w:sz w:val="24"/>
          <w:szCs w:val="24"/>
        </w:rPr>
        <w:t>Dialogue with Roma and Traveller</w:t>
      </w:r>
      <w:r w:rsidRPr="00D13E55">
        <w:rPr>
          <w:rStyle w:val="FootnoteReference"/>
          <w:rFonts w:asciiTheme="minorHAnsi" w:hAnsiTheme="minorHAnsi" w:cstheme="minorHAnsi"/>
          <w:b/>
          <w:bCs/>
          <w:smallCaps/>
          <w:sz w:val="24"/>
          <w:szCs w:val="24"/>
        </w:rPr>
        <w:footnoteReference w:id="1"/>
      </w:r>
      <w:r w:rsidRPr="00D13E55">
        <w:rPr>
          <w:rFonts w:cstheme="minorHAnsi"/>
          <w:b/>
          <w:bCs/>
          <w:smallCaps/>
          <w:sz w:val="24"/>
          <w:szCs w:val="24"/>
        </w:rPr>
        <w:t xml:space="preserve"> civil society</w:t>
      </w:r>
    </w:p>
    <w:p w14:paraId="505DEFA7" w14:textId="77777777" w:rsidR="008A60BA" w:rsidRPr="00D13E55" w:rsidRDefault="008A60BA" w:rsidP="008A60BA">
      <w:pPr>
        <w:spacing w:after="0" w:line="240" w:lineRule="auto"/>
        <w:jc w:val="center"/>
        <w:rPr>
          <w:rFonts w:cstheme="minorHAnsi"/>
          <w:b/>
          <w:bCs/>
          <w:smallCaps/>
          <w:sz w:val="24"/>
          <w:szCs w:val="24"/>
        </w:rPr>
      </w:pPr>
    </w:p>
    <w:p w14:paraId="46F23597" w14:textId="5E0323FD" w:rsidR="008A60BA" w:rsidRPr="00D13E55" w:rsidRDefault="000119CD" w:rsidP="008A60BA">
      <w:pPr>
        <w:spacing w:after="0" w:line="240" w:lineRule="auto"/>
        <w:jc w:val="center"/>
        <w:rPr>
          <w:rFonts w:cstheme="minorHAnsi"/>
          <w:b/>
          <w:bCs/>
          <w:sz w:val="24"/>
          <w:szCs w:val="24"/>
        </w:rPr>
      </w:pPr>
      <w:r>
        <w:rPr>
          <w:rFonts w:cstheme="minorHAnsi"/>
          <w:b/>
          <w:bCs/>
          <w:sz w:val="24"/>
          <w:szCs w:val="24"/>
        </w:rPr>
        <w:t>Security Policies and Inclusion</w:t>
      </w:r>
      <w:r w:rsidR="00D13E55" w:rsidRPr="00D13E55">
        <w:rPr>
          <w:rFonts w:cstheme="minorHAnsi"/>
          <w:b/>
          <w:bCs/>
          <w:sz w:val="24"/>
          <w:szCs w:val="24"/>
        </w:rPr>
        <w:t xml:space="preserve">: </w:t>
      </w:r>
      <w:r>
        <w:rPr>
          <w:rFonts w:cstheme="minorHAnsi"/>
          <w:b/>
          <w:bCs/>
          <w:sz w:val="24"/>
          <w:szCs w:val="24"/>
        </w:rPr>
        <w:t>Exploring Effects</w:t>
      </w:r>
      <w:r w:rsidR="00D13E55" w:rsidRPr="00D13E55">
        <w:rPr>
          <w:rFonts w:cstheme="minorHAnsi"/>
          <w:b/>
          <w:bCs/>
          <w:sz w:val="24"/>
          <w:szCs w:val="24"/>
        </w:rPr>
        <w:t xml:space="preserve"> on Roma and Traveller Communities</w:t>
      </w:r>
    </w:p>
    <w:p w14:paraId="634557D0" w14:textId="77777777" w:rsidR="00D13E55" w:rsidRPr="00D13E55" w:rsidRDefault="00D13E55" w:rsidP="008A60BA">
      <w:pPr>
        <w:spacing w:after="0" w:line="240" w:lineRule="auto"/>
        <w:jc w:val="center"/>
        <w:rPr>
          <w:rFonts w:cstheme="minorHAnsi"/>
          <w:b/>
          <w:bCs/>
          <w:i/>
          <w:iCs/>
          <w:color w:val="1F4E79" w:themeColor="accent5" w:themeShade="80"/>
          <w:sz w:val="24"/>
          <w:szCs w:val="24"/>
        </w:rPr>
      </w:pPr>
    </w:p>
    <w:p w14:paraId="54FEB40D" w14:textId="4386F77F" w:rsidR="008A60BA" w:rsidRPr="00D13E55" w:rsidRDefault="008A60BA" w:rsidP="008A60BA">
      <w:pPr>
        <w:spacing w:after="0" w:line="240" w:lineRule="auto"/>
        <w:jc w:val="center"/>
        <w:rPr>
          <w:rFonts w:cstheme="minorHAnsi"/>
          <w:b/>
          <w:bCs/>
          <w:color w:val="1F4E79" w:themeColor="accent5" w:themeShade="80"/>
          <w:sz w:val="24"/>
          <w:szCs w:val="24"/>
        </w:rPr>
      </w:pPr>
      <w:r w:rsidRPr="00D13E55">
        <w:rPr>
          <w:rFonts w:cstheme="minorHAnsi"/>
          <w:b/>
          <w:bCs/>
          <w:color w:val="1F4E79" w:themeColor="accent5" w:themeShade="80"/>
          <w:sz w:val="24"/>
          <w:szCs w:val="24"/>
        </w:rPr>
        <w:t xml:space="preserve">Strasbourg, </w:t>
      </w:r>
      <w:r w:rsidR="00D13E55" w:rsidRPr="00D13E55">
        <w:rPr>
          <w:rFonts w:cstheme="minorHAnsi"/>
          <w:b/>
          <w:bCs/>
          <w:color w:val="1F4E79" w:themeColor="accent5" w:themeShade="80"/>
          <w:sz w:val="24"/>
          <w:szCs w:val="24"/>
        </w:rPr>
        <w:t xml:space="preserve">6-7 October </w:t>
      </w:r>
      <w:r w:rsidRPr="00D13E55">
        <w:rPr>
          <w:rFonts w:cstheme="minorHAnsi"/>
          <w:b/>
          <w:bCs/>
          <w:color w:val="1F4E79" w:themeColor="accent5" w:themeShade="80"/>
          <w:sz w:val="24"/>
          <w:szCs w:val="24"/>
        </w:rPr>
        <w:t>202</w:t>
      </w:r>
      <w:r w:rsidR="003A7C1D" w:rsidRPr="00D13E55">
        <w:rPr>
          <w:rFonts w:cstheme="minorHAnsi"/>
          <w:b/>
          <w:bCs/>
          <w:color w:val="1F4E79" w:themeColor="accent5" w:themeShade="80"/>
          <w:sz w:val="24"/>
          <w:szCs w:val="24"/>
        </w:rPr>
        <w:t>6</w:t>
      </w:r>
    </w:p>
    <w:p w14:paraId="4A4E3A87" w14:textId="1676D614" w:rsidR="008A60BA" w:rsidRPr="00D13E55" w:rsidRDefault="008A60BA" w:rsidP="008A60BA">
      <w:pPr>
        <w:spacing w:after="0" w:line="240" w:lineRule="auto"/>
        <w:jc w:val="center"/>
        <w:rPr>
          <w:rFonts w:cstheme="minorHAnsi"/>
          <w:b/>
          <w:bCs/>
          <w:color w:val="1F4E79" w:themeColor="accent5" w:themeShade="80"/>
          <w:sz w:val="24"/>
          <w:szCs w:val="24"/>
        </w:rPr>
      </w:pPr>
      <w:r w:rsidRPr="00D13E55">
        <w:rPr>
          <w:rFonts w:cstheme="minorHAnsi"/>
          <w:b/>
          <w:bCs/>
          <w:color w:val="1F4E79" w:themeColor="accent5" w:themeShade="80"/>
          <w:sz w:val="24"/>
          <w:szCs w:val="24"/>
        </w:rPr>
        <w:t xml:space="preserve">Council of Europe, </w:t>
      </w:r>
      <w:r w:rsidR="00DC3A78" w:rsidRPr="00D13E55">
        <w:rPr>
          <w:rFonts w:cstheme="minorHAnsi"/>
          <w:b/>
          <w:bCs/>
          <w:color w:val="1F4E79" w:themeColor="accent5" w:themeShade="80"/>
          <w:sz w:val="24"/>
          <w:szCs w:val="24"/>
        </w:rPr>
        <w:t xml:space="preserve">Palais de </w:t>
      </w:r>
      <w:proofErr w:type="spellStart"/>
      <w:r w:rsidR="00DC3A78" w:rsidRPr="00D13E55">
        <w:rPr>
          <w:rFonts w:cstheme="minorHAnsi"/>
          <w:b/>
          <w:bCs/>
          <w:color w:val="1F4E79" w:themeColor="accent5" w:themeShade="80"/>
          <w:sz w:val="24"/>
          <w:szCs w:val="24"/>
        </w:rPr>
        <w:t>l’Europe</w:t>
      </w:r>
      <w:proofErr w:type="spellEnd"/>
    </w:p>
    <w:p w14:paraId="362824C9" w14:textId="44CC261F" w:rsidR="008A60BA" w:rsidRPr="00D13E55" w:rsidRDefault="008A60BA" w:rsidP="008A60BA">
      <w:pPr>
        <w:spacing w:after="0" w:line="240" w:lineRule="auto"/>
        <w:jc w:val="center"/>
        <w:rPr>
          <w:rFonts w:cstheme="minorHAnsi"/>
          <w:b/>
          <w:bCs/>
          <w:color w:val="1F4E79" w:themeColor="accent5" w:themeShade="80"/>
          <w:sz w:val="24"/>
          <w:szCs w:val="24"/>
        </w:rPr>
      </w:pPr>
      <w:r w:rsidRPr="00D13E55">
        <w:rPr>
          <w:rFonts w:cstheme="minorHAnsi"/>
          <w:b/>
          <w:bCs/>
          <w:color w:val="1F4E79" w:themeColor="accent5" w:themeShade="80"/>
          <w:sz w:val="24"/>
          <w:szCs w:val="24"/>
        </w:rPr>
        <w:t>Room</w:t>
      </w:r>
      <w:r w:rsidR="00634E12" w:rsidRPr="00D13E55">
        <w:rPr>
          <w:rFonts w:cstheme="minorHAnsi"/>
          <w:b/>
          <w:bCs/>
          <w:color w:val="FF0000"/>
          <w:sz w:val="24"/>
          <w:szCs w:val="24"/>
        </w:rPr>
        <w:t xml:space="preserve"> </w:t>
      </w:r>
      <w:r w:rsidR="00D13E55" w:rsidRPr="00D13E55">
        <w:rPr>
          <w:rFonts w:cstheme="minorHAnsi"/>
          <w:b/>
          <w:bCs/>
          <w:color w:val="1F4E79" w:themeColor="accent5" w:themeShade="80"/>
          <w:sz w:val="24"/>
          <w:szCs w:val="24"/>
        </w:rPr>
        <w:t>G03, Agora building</w:t>
      </w:r>
    </w:p>
    <w:p w14:paraId="72292318" w14:textId="77777777" w:rsidR="00A9648B" w:rsidRPr="00D13E55" w:rsidRDefault="00A9648B" w:rsidP="00A9648B">
      <w:pPr>
        <w:spacing w:after="0" w:line="240" w:lineRule="auto"/>
        <w:jc w:val="center"/>
        <w:rPr>
          <w:rFonts w:cstheme="minorHAnsi"/>
          <w:i/>
          <w:iCs/>
        </w:rPr>
      </w:pPr>
    </w:p>
    <w:p w14:paraId="09E8C49E" w14:textId="77777777" w:rsidR="00A9648B" w:rsidRPr="00D13E55" w:rsidRDefault="00A9648B" w:rsidP="00A9648B">
      <w:pPr>
        <w:spacing w:after="0"/>
        <w:jc w:val="center"/>
        <w:rPr>
          <w:rFonts w:cstheme="minorHAnsi"/>
          <w:b/>
          <w:bCs/>
          <w:color w:val="161616"/>
        </w:rPr>
      </w:pPr>
      <w:r w:rsidRPr="00D13E55">
        <w:rPr>
          <w:rFonts w:cstheme="minorHAnsi"/>
          <w:b/>
          <w:bCs/>
          <w:color w:val="161616"/>
        </w:rPr>
        <w:t>DRAFT CONCEPT NOTE</w:t>
      </w:r>
    </w:p>
    <w:p w14:paraId="41CB8D9B" w14:textId="77777777" w:rsidR="00A9648B" w:rsidRPr="00D13E55" w:rsidRDefault="00A9648B" w:rsidP="00A9648B">
      <w:pPr>
        <w:jc w:val="center"/>
        <w:rPr>
          <w:rFonts w:cstheme="minorHAnsi"/>
          <w:sz w:val="20"/>
          <w:szCs w:val="20"/>
        </w:rPr>
      </w:pPr>
    </w:p>
    <w:p w14:paraId="0C8BB8D9" w14:textId="5E413C16" w:rsidR="008A60BA" w:rsidRPr="00D13E55" w:rsidRDefault="00A9648B" w:rsidP="008A60BA">
      <w:pPr>
        <w:pBdr>
          <w:top w:val="single" w:sz="4" w:space="1" w:color="auto"/>
          <w:left w:val="single" w:sz="4" w:space="4" w:color="auto"/>
          <w:bottom w:val="single" w:sz="4" w:space="1" w:color="auto"/>
          <w:right w:val="single" w:sz="4" w:space="4" w:color="auto"/>
        </w:pBdr>
        <w:shd w:val="clear" w:color="auto" w:fill="44546A" w:themeFill="text2"/>
        <w:jc w:val="both"/>
        <w:rPr>
          <w:rFonts w:cstheme="minorHAnsi"/>
          <w:b/>
          <w:bCs/>
          <w:caps/>
          <w:color w:val="FFFFFF"/>
          <w:spacing w:val="15"/>
          <w:shd w:val="clear" w:color="auto" w:fill="17457E"/>
        </w:rPr>
      </w:pPr>
      <w:r w:rsidRPr="00D13E55">
        <w:rPr>
          <w:rStyle w:val="portlet-title-text"/>
          <w:rFonts w:cstheme="minorHAnsi"/>
          <w:b/>
          <w:bCs/>
          <w:caps/>
          <w:color w:val="FFFFFF"/>
          <w:spacing w:val="15"/>
          <w:shd w:val="clear" w:color="auto" w:fill="17457E"/>
        </w:rPr>
        <w:t xml:space="preserve">BACKGROUND </w:t>
      </w:r>
    </w:p>
    <w:p w14:paraId="673F1A7F" w14:textId="77777777" w:rsidR="008A60BA" w:rsidRPr="00D13E55" w:rsidRDefault="008A60BA" w:rsidP="008A60BA">
      <w:pPr>
        <w:jc w:val="both"/>
        <w:rPr>
          <w:rFonts w:cstheme="minorHAnsi"/>
        </w:rPr>
      </w:pPr>
      <w:r w:rsidRPr="00D13E55">
        <w:rPr>
          <w:rFonts w:cstheme="minorHAnsi"/>
        </w:rPr>
        <w:t xml:space="preserve">The regular dialogue events with Roma and Traveller civil society organisations aim to: </w:t>
      </w:r>
    </w:p>
    <w:p w14:paraId="7AE866C8" w14:textId="77777777" w:rsidR="008A60BA" w:rsidRPr="00D13E55" w:rsidRDefault="008A60BA" w:rsidP="008A60BA">
      <w:pPr>
        <w:pStyle w:val="ListParagraph"/>
        <w:numPr>
          <w:ilvl w:val="0"/>
          <w:numId w:val="5"/>
        </w:numPr>
        <w:jc w:val="both"/>
        <w:rPr>
          <w:rFonts w:cstheme="minorHAnsi"/>
          <w:lang w:val="en-GB"/>
        </w:rPr>
      </w:pPr>
      <w:r w:rsidRPr="00D13E55">
        <w:rPr>
          <w:rFonts w:cstheme="minorHAnsi"/>
          <w:lang w:val="en-GB"/>
        </w:rPr>
        <w:t>reinforce the regular dialogue between the Council of Europe and Roma communities on all policy issues relevant for Roma inclusion</w:t>
      </w:r>
    </w:p>
    <w:p w14:paraId="40BBEF08" w14:textId="77777777" w:rsidR="008A60BA" w:rsidRPr="00D13E55" w:rsidRDefault="008A60BA" w:rsidP="008A60BA">
      <w:pPr>
        <w:pStyle w:val="ListParagraph"/>
        <w:numPr>
          <w:ilvl w:val="0"/>
          <w:numId w:val="5"/>
        </w:numPr>
        <w:jc w:val="both"/>
        <w:rPr>
          <w:rFonts w:cstheme="minorHAnsi"/>
          <w:lang w:val="en-GB"/>
        </w:rPr>
      </w:pPr>
      <w:r w:rsidRPr="00D13E55">
        <w:rPr>
          <w:rFonts w:cstheme="minorHAnsi"/>
          <w:lang w:val="en-GB"/>
        </w:rPr>
        <w:t>stimulate the regular dialogue between member states and Roma organisations at national level</w:t>
      </w:r>
    </w:p>
    <w:p w14:paraId="04CDE0CC" w14:textId="45CD1B5A" w:rsidR="008A60BA" w:rsidRPr="00D13E55" w:rsidRDefault="008A60BA" w:rsidP="008A60BA">
      <w:pPr>
        <w:pStyle w:val="ListParagraph"/>
        <w:numPr>
          <w:ilvl w:val="0"/>
          <w:numId w:val="5"/>
        </w:numPr>
        <w:jc w:val="both"/>
        <w:rPr>
          <w:rFonts w:cstheme="minorHAnsi"/>
          <w:lang w:val="en-GB"/>
        </w:rPr>
      </w:pPr>
      <w:r w:rsidRPr="00D13E55">
        <w:rPr>
          <w:rFonts w:cstheme="minorHAnsi"/>
          <w:lang w:val="en-GB"/>
        </w:rPr>
        <w:t>provide input to the various organs and entities of the Council of Europe on the effectiveness and appropriateness of their operational programmes, monitoring mechanisms and political initiatives, with due respect for their independent character and mandates.</w:t>
      </w:r>
      <w:r w:rsidR="00D47293" w:rsidRPr="00D13E55">
        <w:rPr>
          <w:rFonts w:cstheme="minorHAnsi"/>
          <w:lang w:val="en-GB"/>
        </w:rPr>
        <w:t xml:space="preserve"> </w:t>
      </w:r>
    </w:p>
    <w:p w14:paraId="6935B23F" w14:textId="77777777" w:rsidR="008A60BA" w:rsidRPr="00D13E55" w:rsidRDefault="008A60BA" w:rsidP="008A60BA">
      <w:pPr>
        <w:pStyle w:val="ListParagraph"/>
        <w:numPr>
          <w:ilvl w:val="0"/>
          <w:numId w:val="5"/>
        </w:numPr>
        <w:jc w:val="both"/>
        <w:rPr>
          <w:rFonts w:cstheme="minorHAnsi"/>
          <w:lang w:val="en-GB"/>
        </w:rPr>
      </w:pPr>
      <w:r w:rsidRPr="00D13E55">
        <w:rPr>
          <w:rFonts w:cstheme="minorHAnsi"/>
          <w:lang w:val="en-GB"/>
        </w:rPr>
        <w:t xml:space="preserve">increase the capacity of Roma and Traveller civil society organisations and to build expertise and knowledge of the Council of Europe standards and monitoring mechanisms, relevant for Roma and Traveller inclusion. </w:t>
      </w:r>
    </w:p>
    <w:p w14:paraId="014E9837" w14:textId="399AAA2E" w:rsidR="00D13E55" w:rsidRPr="00D13E55" w:rsidRDefault="00D13E55" w:rsidP="00D13E55">
      <w:pPr>
        <w:spacing w:after="0" w:line="240" w:lineRule="auto"/>
        <w:jc w:val="both"/>
        <w:rPr>
          <w:rFonts w:cstheme="minorHAnsi"/>
        </w:rPr>
      </w:pPr>
      <w:r w:rsidRPr="00D13E55">
        <w:rPr>
          <w:rFonts w:cstheme="minorHAnsi"/>
        </w:rPr>
        <w:t>Recent years have seen an increasing trend in European countries to address complex societal issues involving Roma and Traveller communities through security-oriented policies. Legislative and policy frameworks in countries such as Slovenia, Hungary, and Greece, among others, have introduced enhanced police powers, surveillance measures, and conditional social benefits, often outpacing consultation and oversight. While these efforts are framed as responses to public safety concerns, they have resulted in heightened risks of indirect discrimination, collective punishment, and deepening social exclusion for Roma and Travellers.</w:t>
      </w:r>
      <w:r w:rsidR="00A95F5B">
        <w:rPr>
          <w:rFonts w:cstheme="minorHAnsi"/>
        </w:rPr>
        <w:t xml:space="preserve"> </w:t>
      </w:r>
      <w:r w:rsidR="00A95F5B" w:rsidRPr="00A95F5B">
        <w:rPr>
          <w:rFonts w:cstheme="minorHAnsi"/>
        </w:rPr>
        <w:t>Such developments also risk reinforcing anti</w:t>
      </w:r>
      <w:r w:rsidR="00A95F5B">
        <w:rPr>
          <w:rFonts w:cstheme="minorHAnsi"/>
        </w:rPr>
        <w:t>g</w:t>
      </w:r>
      <w:r w:rsidR="00A95F5B" w:rsidRPr="00A95F5B">
        <w:rPr>
          <w:rFonts w:cstheme="minorHAnsi"/>
        </w:rPr>
        <w:t xml:space="preserve">ypsyism, recognised by the </w:t>
      </w:r>
      <w:r w:rsidR="00A95F5B">
        <w:rPr>
          <w:rFonts w:cstheme="minorHAnsi"/>
        </w:rPr>
        <w:t>European Commission against Racism and Intolerance (ECRI)</w:t>
      </w:r>
      <w:r w:rsidR="00A95F5B">
        <w:rPr>
          <w:rStyle w:val="FootnoteReference"/>
        </w:rPr>
        <w:footnoteReference w:id="2"/>
      </w:r>
      <w:r w:rsidR="00A95F5B" w:rsidRPr="00A95F5B">
        <w:rPr>
          <w:rFonts w:cstheme="minorHAnsi"/>
        </w:rPr>
        <w:t xml:space="preserve"> as a specific form of </w:t>
      </w:r>
      <w:r w:rsidR="00A95F5B" w:rsidRPr="00A95F5B">
        <w:rPr>
          <w:rFonts w:cstheme="minorHAnsi"/>
        </w:rPr>
        <w:lastRenderedPageBreak/>
        <w:t>racism affecting Roma and Travellers across Europe, and may undermine efforts to build trust between communities and public institutions</w:t>
      </w:r>
    </w:p>
    <w:p w14:paraId="3F322C27" w14:textId="77777777" w:rsidR="00D13E55" w:rsidRPr="00D13E55" w:rsidRDefault="00D13E55" w:rsidP="00D13E55">
      <w:pPr>
        <w:spacing w:after="0" w:line="240" w:lineRule="auto"/>
        <w:jc w:val="both"/>
        <w:rPr>
          <w:rFonts w:cstheme="minorHAnsi"/>
        </w:rPr>
      </w:pPr>
    </w:p>
    <w:p w14:paraId="02D4BA86" w14:textId="3B114609" w:rsidR="00D13E55" w:rsidRPr="00D13E55" w:rsidRDefault="00D13E55" w:rsidP="00D13E55">
      <w:pPr>
        <w:spacing w:after="0" w:line="240" w:lineRule="auto"/>
        <w:jc w:val="both"/>
        <w:rPr>
          <w:rFonts w:cstheme="minorHAnsi"/>
        </w:rPr>
      </w:pPr>
      <w:r w:rsidRPr="00D13E55">
        <w:rPr>
          <w:rFonts w:cstheme="minorHAnsi"/>
        </w:rPr>
        <w:t>These approaches are often enacted under urgent procedures, with limited input from affected communities and civil society, raising questions about their compliance with national constitutions, the European Convention on Human Rights, and Council of Europe standards.</w:t>
      </w:r>
      <w:r w:rsidR="00A95F5B">
        <w:rPr>
          <w:rFonts w:cstheme="minorHAnsi"/>
        </w:rPr>
        <w:t xml:space="preserve"> </w:t>
      </w:r>
      <w:r w:rsidR="0031364D" w:rsidRPr="00A95F5B">
        <w:rPr>
          <w:rFonts w:cstheme="minorHAnsi"/>
        </w:rPr>
        <w:t>Concerns</w:t>
      </w:r>
      <w:r w:rsidR="00A95F5B" w:rsidRPr="00A95F5B">
        <w:rPr>
          <w:rFonts w:cstheme="minorHAnsi"/>
        </w:rPr>
        <w:t xml:space="preserve"> arise regarding the principles of proportionality and non-discrimination, access to effective remedies, and the meaningful participation of Roma and Traveller representatives in the design, implementation and evaluation of policies affecting their communities, as emphasised by ECRI General Policy Recommendation No. 13</w:t>
      </w:r>
      <w:r w:rsidR="00A95F5B">
        <w:rPr>
          <w:rFonts w:cstheme="minorHAnsi"/>
        </w:rPr>
        <w:t>.</w:t>
      </w:r>
      <w:r w:rsidRPr="00D13E55">
        <w:rPr>
          <w:rFonts w:cstheme="minorHAnsi"/>
        </w:rPr>
        <w:t xml:space="preserve"> There is a documented pattern of legislative contagion, as similar measures appear across the region and in policy settings involving other minority groups.</w:t>
      </w:r>
    </w:p>
    <w:p w14:paraId="36046A44" w14:textId="77777777" w:rsidR="00D13E55" w:rsidRPr="00D13E55" w:rsidRDefault="00D13E55" w:rsidP="00D13E55">
      <w:pPr>
        <w:spacing w:after="0" w:line="240" w:lineRule="auto"/>
        <w:jc w:val="both"/>
        <w:rPr>
          <w:rFonts w:cstheme="minorHAnsi"/>
        </w:rPr>
      </w:pPr>
    </w:p>
    <w:p w14:paraId="626D8666" w14:textId="463E4CAC" w:rsidR="00D13E55" w:rsidRPr="00D13E55" w:rsidRDefault="00D13E55" w:rsidP="00D13E55">
      <w:pPr>
        <w:spacing w:after="0" w:line="240" w:lineRule="auto"/>
        <w:jc w:val="both"/>
        <w:rPr>
          <w:rFonts w:cstheme="minorHAnsi"/>
        </w:rPr>
      </w:pPr>
      <w:r w:rsidRPr="00D13E55">
        <w:rPr>
          <w:rFonts w:cstheme="minorHAnsi"/>
        </w:rPr>
        <w:t>Roma and Traveller civil society organisations, human rights advocates, and international bodies have raised concerns over the impact of these policies, highlighting the need for a balanced approach that respects human dignity, legal certainty, equality, and the principles of good democratic governance.</w:t>
      </w:r>
      <w:r w:rsidR="00A95F5B">
        <w:rPr>
          <w:rFonts w:cstheme="minorHAnsi"/>
        </w:rPr>
        <w:t xml:space="preserve"> </w:t>
      </w:r>
      <w:r w:rsidR="00A95F5B" w:rsidRPr="00A95F5B">
        <w:rPr>
          <w:rFonts w:cstheme="minorHAnsi"/>
        </w:rPr>
        <w:t>Council of Europe bodies, including ECRI, the Commissioner for Human Rights, and the European Court of Human Rights, have consistently underlined that sustainable responses to social challenges require combating discrimination and anti</w:t>
      </w:r>
      <w:r w:rsidR="00A95F5B">
        <w:rPr>
          <w:rFonts w:cstheme="minorHAnsi"/>
        </w:rPr>
        <w:t>g</w:t>
      </w:r>
      <w:r w:rsidR="00A95F5B" w:rsidRPr="00A95F5B">
        <w:rPr>
          <w:rFonts w:cstheme="minorHAnsi"/>
        </w:rPr>
        <w:t>ypsyism, strengthening participation, and ensuring accountability of public authorities, rather than relying predominantly on restrictive or security-based measures</w:t>
      </w:r>
      <w:r w:rsidR="00A95F5B">
        <w:rPr>
          <w:rStyle w:val="FootnoteReference"/>
        </w:rPr>
        <w:footnoteReference w:id="3"/>
      </w:r>
      <w:r w:rsidR="00A95F5B" w:rsidRPr="00A95F5B">
        <w:rPr>
          <w:rFonts w:cstheme="minorHAnsi"/>
        </w:rPr>
        <w:t>.</w:t>
      </w:r>
    </w:p>
    <w:p w14:paraId="1EC9E3C7" w14:textId="77777777" w:rsidR="00D13E55" w:rsidRPr="00D13E55" w:rsidRDefault="00D13E55" w:rsidP="00D13E55">
      <w:pPr>
        <w:spacing w:after="0" w:line="240" w:lineRule="auto"/>
        <w:jc w:val="both"/>
        <w:rPr>
          <w:rFonts w:cstheme="minorHAnsi"/>
        </w:rPr>
      </w:pPr>
    </w:p>
    <w:p w14:paraId="08CE459E" w14:textId="4458AB2C" w:rsidR="007B073F" w:rsidRDefault="00D13E55" w:rsidP="00D13E55">
      <w:pPr>
        <w:spacing w:after="0" w:line="240" w:lineRule="auto"/>
        <w:jc w:val="both"/>
        <w:rPr>
          <w:rFonts w:cstheme="minorHAnsi"/>
        </w:rPr>
      </w:pPr>
      <w:r w:rsidRPr="00D13E55">
        <w:rPr>
          <w:rFonts w:cstheme="minorHAnsi"/>
        </w:rPr>
        <w:t>The 22</w:t>
      </w:r>
      <w:r w:rsidRPr="00D13E55">
        <w:rPr>
          <w:rFonts w:cstheme="minorHAnsi"/>
          <w:vertAlign w:val="superscript"/>
        </w:rPr>
        <w:t>nd</w:t>
      </w:r>
      <w:r w:rsidRPr="00D13E55">
        <w:rPr>
          <w:rFonts w:cstheme="minorHAnsi"/>
        </w:rPr>
        <w:t xml:space="preserve"> Dialogue Meeting aims to foster a constructive and open exchange on the effects of security-oriented policy approaches on Roma and Traveller communities, exploring pathways toward greater social inclusion, trust-building, and human rights compliance.</w:t>
      </w:r>
      <w:r w:rsidR="00B63B77">
        <w:rPr>
          <w:rFonts w:cstheme="minorHAnsi"/>
        </w:rPr>
        <w:t xml:space="preserve"> </w:t>
      </w:r>
      <w:r w:rsidR="00B63B77" w:rsidRPr="00B63B77">
        <w:rPr>
          <w:rFonts w:cstheme="minorHAnsi"/>
        </w:rPr>
        <w:t xml:space="preserve">Drawing on the Council of Europe </w:t>
      </w:r>
      <w:r w:rsidR="00B63B77">
        <w:rPr>
          <w:rFonts w:cstheme="minorHAnsi"/>
        </w:rPr>
        <w:t>Strategy</w:t>
      </w:r>
      <w:r w:rsidR="00B63B77" w:rsidRPr="00B63B77">
        <w:rPr>
          <w:rFonts w:cstheme="minorHAnsi"/>
        </w:rPr>
        <w:t xml:space="preserve"> for Roma and Traveller Inclusion</w:t>
      </w:r>
      <w:r w:rsidR="00B63B77">
        <w:rPr>
          <w:rFonts w:cstheme="minorHAnsi"/>
        </w:rPr>
        <w:t xml:space="preserve"> (2026 - 2030)</w:t>
      </w:r>
      <w:r w:rsidR="00B63B77">
        <w:rPr>
          <w:rStyle w:val="FootnoteReference"/>
        </w:rPr>
        <w:footnoteReference w:id="4"/>
      </w:r>
      <w:r w:rsidR="00B63B77" w:rsidRPr="00B63B77">
        <w:rPr>
          <w:rFonts w:cstheme="minorHAnsi"/>
        </w:rPr>
        <w:t xml:space="preserve"> and relevant Council of Europe standards, the meeting will examine how public policies can address legitimate security concerns while safeguarding fundamental rights, combating anti</w:t>
      </w:r>
      <w:r w:rsidR="00B63B77">
        <w:rPr>
          <w:rFonts w:cstheme="minorHAnsi"/>
        </w:rPr>
        <w:t>g</w:t>
      </w:r>
      <w:r w:rsidR="00B63B77" w:rsidRPr="00B63B77">
        <w:rPr>
          <w:rFonts w:cstheme="minorHAnsi"/>
        </w:rPr>
        <w:t>ypsyism, promoting democratic participation, and strengthening public trust and social cohesion</w:t>
      </w:r>
      <w:r w:rsidR="00B63B77">
        <w:rPr>
          <w:rFonts w:cstheme="minorHAnsi"/>
        </w:rPr>
        <w:t>.</w:t>
      </w:r>
    </w:p>
    <w:p w14:paraId="70BAE71D" w14:textId="77777777" w:rsidR="00D13E55" w:rsidRPr="00D13E55" w:rsidRDefault="00D13E55" w:rsidP="00D13E55">
      <w:pPr>
        <w:spacing w:after="0" w:line="240" w:lineRule="auto"/>
        <w:jc w:val="both"/>
        <w:rPr>
          <w:rFonts w:cstheme="minorHAnsi"/>
        </w:rPr>
      </w:pPr>
    </w:p>
    <w:p w14:paraId="4670437B" w14:textId="3A0CC94D" w:rsidR="00D13E55" w:rsidRPr="00D13E55" w:rsidRDefault="00A9648B" w:rsidP="00D13E55">
      <w:pPr>
        <w:pBdr>
          <w:top w:val="single" w:sz="4" w:space="1" w:color="auto"/>
          <w:left w:val="single" w:sz="4" w:space="4" w:color="auto"/>
          <w:bottom w:val="single" w:sz="4" w:space="1" w:color="auto"/>
          <w:right w:val="single" w:sz="4" w:space="4" w:color="auto"/>
        </w:pBdr>
        <w:shd w:val="clear" w:color="auto" w:fill="44546A" w:themeFill="text2"/>
        <w:jc w:val="both"/>
        <w:rPr>
          <w:rFonts w:cstheme="minorHAnsi"/>
          <w:b/>
          <w:bCs/>
          <w:caps/>
          <w:color w:val="FFFFFF"/>
          <w:spacing w:val="15"/>
          <w:shd w:val="clear" w:color="auto" w:fill="17457E"/>
        </w:rPr>
      </w:pPr>
      <w:r w:rsidRPr="00D13E55">
        <w:rPr>
          <w:rStyle w:val="portlet-title-text"/>
          <w:rFonts w:cstheme="minorHAnsi"/>
          <w:b/>
          <w:bCs/>
          <w:caps/>
          <w:color w:val="FFFFFF"/>
          <w:spacing w:val="15"/>
          <w:shd w:val="clear" w:color="auto" w:fill="17457E"/>
        </w:rPr>
        <w:t xml:space="preserve">OBJECTIVES OF THE </w:t>
      </w:r>
      <w:r w:rsidR="007B073F" w:rsidRPr="00D13E55">
        <w:rPr>
          <w:rStyle w:val="portlet-title-text"/>
          <w:rFonts w:cstheme="minorHAnsi"/>
          <w:b/>
          <w:bCs/>
          <w:caps/>
          <w:color w:val="FFFFFF"/>
          <w:spacing w:val="15"/>
          <w:shd w:val="clear" w:color="auto" w:fill="17457E"/>
        </w:rPr>
        <w:t>2</w:t>
      </w:r>
      <w:r w:rsidR="00D13E55" w:rsidRPr="00D13E55">
        <w:rPr>
          <w:rStyle w:val="portlet-title-text"/>
          <w:rFonts w:cstheme="minorHAnsi"/>
          <w:b/>
          <w:bCs/>
          <w:caps/>
          <w:color w:val="FFFFFF"/>
          <w:spacing w:val="15"/>
          <w:shd w:val="clear" w:color="auto" w:fill="17457E"/>
        </w:rPr>
        <w:t>2</w:t>
      </w:r>
      <w:r w:rsidR="00D13E55" w:rsidRPr="00D13E55">
        <w:rPr>
          <w:rStyle w:val="portlet-title-text"/>
          <w:rFonts w:cstheme="minorHAnsi"/>
          <w:b/>
          <w:bCs/>
          <w:caps/>
          <w:color w:val="FFFFFF"/>
          <w:spacing w:val="15"/>
          <w:shd w:val="clear" w:color="auto" w:fill="17457E"/>
          <w:vertAlign w:val="superscript"/>
        </w:rPr>
        <w:t>nd</w:t>
      </w:r>
      <w:r w:rsidR="007B073F" w:rsidRPr="00D13E55">
        <w:rPr>
          <w:rStyle w:val="portlet-title-text"/>
          <w:rFonts w:cstheme="minorHAnsi"/>
          <w:b/>
          <w:bCs/>
          <w:caps/>
          <w:color w:val="FFFFFF"/>
          <w:spacing w:val="15"/>
          <w:shd w:val="clear" w:color="auto" w:fill="17457E"/>
        </w:rPr>
        <w:t xml:space="preserve"> </w:t>
      </w:r>
      <w:r w:rsidRPr="00D13E55">
        <w:rPr>
          <w:rStyle w:val="portlet-title-text"/>
          <w:rFonts w:cstheme="minorHAnsi"/>
          <w:b/>
          <w:bCs/>
          <w:caps/>
          <w:color w:val="FFFFFF"/>
          <w:spacing w:val="15"/>
          <w:shd w:val="clear" w:color="auto" w:fill="17457E"/>
        </w:rPr>
        <w:t>DIALOGUE MEETING</w:t>
      </w:r>
      <w:bookmarkStart w:id="0" w:name="_Hlk198722107"/>
    </w:p>
    <w:p w14:paraId="43B54F67" w14:textId="77777777" w:rsidR="00D13E55" w:rsidRPr="00D13E55" w:rsidRDefault="00D13E55" w:rsidP="00D13E55">
      <w:pPr>
        <w:jc w:val="both"/>
        <w:rPr>
          <w:rFonts w:cstheme="minorHAnsi"/>
        </w:rPr>
      </w:pPr>
      <w:r w:rsidRPr="00D13E55">
        <w:rPr>
          <w:rFonts w:cstheme="minorHAnsi"/>
        </w:rPr>
        <w:t>The meeting will:</w:t>
      </w:r>
    </w:p>
    <w:p w14:paraId="1DB3FDE8" w14:textId="77777777" w:rsidR="00D13E55" w:rsidRPr="00D13E55" w:rsidRDefault="00D13E55" w:rsidP="00D13E55">
      <w:pPr>
        <w:numPr>
          <w:ilvl w:val="0"/>
          <w:numId w:val="27"/>
        </w:numPr>
        <w:spacing w:after="0"/>
        <w:jc w:val="both"/>
        <w:rPr>
          <w:rFonts w:cstheme="minorHAnsi"/>
        </w:rPr>
      </w:pPr>
      <w:r w:rsidRPr="00D13E55">
        <w:rPr>
          <w:rFonts w:cstheme="minorHAnsi"/>
        </w:rPr>
        <w:t xml:space="preserve">Examine and discuss the effects of recently adopted security-oriented policies (including legislation, policing strategies, and administrative measures) on Roma and Traveller communities and their intersection with human rights, social inclusion, and democratic </w:t>
      </w:r>
      <w:proofErr w:type="gramStart"/>
      <w:r w:rsidRPr="00D13E55">
        <w:rPr>
          <w:rFonts w:cstheme="minorHAnsi"/>
        </w:rPr>
        <w:t>resilience;</w:t>
      </w:r>
      <w:proofErr w:type="gramEnd"/>
    </w:p>
    <w:p w14:paraId="1D207ECE" w14:textId="437CC5D8" w:rsidR="00D13E55" w:rsidRPr="00D13E55" w:rsidRDefault="00D13E55" w:rsidP="00D13E55">
      <w:pPr>
        <w:numPr>
          <w:ilvl w:val="0"/>
          <w:numId w:val="27"/>
        </w:numPr>
        <w:spacing w:after="0"/>
        <w:jc w:val="both"/>
        <w:rPr>
          <w:rFonts w:cstheme="minorHAnsi"/>
        </w:rPr>
      </w:pPr>
      <w:r w:rsidRPr="00D13E55">
        <w:rPr>
          <w:rFonts w:cstheme="minorHAnsi"/>
        </w:rPr>
        <w:t xml:space="preserve">Identify challenges and risks—such as collective punishment, profiling, </w:t>
      </w:r>
      <w:r w:rsidR="0031364D">
        <w:rPr>
          <w:rFonts w:cstheme="minorHAnsi"/>
        </w:rPr>
        <w:t xml:space="preserve">disproportionate restrictions, indirect discrimination, </w:t>
      </w:r>
      <w:r w:rsidRPr="00D13E55">
        <w:rPr>
          <w:rFonts w:cstheme="minorHAnsi"/>
        </w:rPr>
        <w:t>and exclusion—as well as positive practices that promote security while safeguarding rights</w:t>
      </w:r>
      <w:r w:rsidR="0031364D">
        <w:rPr>
          <w:rFonts w:cstheme="minorHAnsi"/>
        </w:rPr>
        <w:t>,</w:t>
      </w:r>
      <w:r w:rsidRPr="00D13E55">
        <w:rPr>
          <w:rFonts w:cstheme="minorHAnsi"/>
        </w:rPr>
        <w:t xml:space="preserve"> dignity</w:t>
      </w:r>
      <w:r w:rsidR="0031364D">
        <w:rPr>
          <w:rFonts w:cstheme="minorHAnsi"/>
        </w:rPr>
        <w:t xml:space="preserve">, equality and the rule of </w:t>
      </w:r>
      <w:proofErr w:type="gramStart"/>
      <w:r w:rsidR="0031364D">
        <w:rPr>
          <w:rFonts w:cstheme="minorHAnsi"/>
        </w:rPr>
        <w:t>law</w:t>
      </w:r>
      <w:r w:rsidRPr="00D13E55">
        <w:rPr>
          <w:rFonts w:cstheme="minorHAnsi"/>
        </w:rPr>
        <w:t>;</w:t>
      </w:r>
      <w:proofErr w:type="gramEnd"/>
    </w:p>
    <w:p w14:paraId="02AD704B" w14:textId="07ED81A4" w:rsidR="00D13E55" w:rsidRPr="00D13E55" w:rsidRDefault="00D13E55" w:rsidP="00D13E55">
      <w:pPr>
        <w:numPr>
          <w:ilvl w:val="0"/>
          <w:numId w:val="27"/>
        </w:numPr>
        <w:spacing w:after="0"/>
        <w:jc w:val="both"/>
        <w:rPr>
          <w:rFonts w:cstheme="minorHAnsi"/>
        </w:rPr>
      </w:pPr>
      <w:r w:rsidRPr="00D13E55">
        <w:rPr>
          <w:rFonts w:cstheme="minorHAnsi"/>
        </w:rPr>
        <w:t>Explore opportunities for dialogue and cooperation between Roma and Traveller civil society, member states, and Council of Europe entities to promote more inclusive</w:t>
      </w:r>
      <w:r w:rsidR="0031364D">
        <w:rPr>
          <w:rFonts w:cstheme="minorHAnsi"/>
        </w:rPr>
        <w:t>, participatory,</w:t>
      </w:r>
      <w:r w:rsidRPr="00D13E55">
        <w:rPr>
          <w:rFonts w:cstheme="minorHAnsi"/>
        </w:rPr>
        <w:t xml:space="preserve"> and rights-based approaches in policy and practice</w:t>
      </w:r>
      <w:r w:rsidR="0031364D">
        <w:rPr>
          <w:rFonts w:cstheme="minorHAnsi"/>
        </w:rPr>
        <w:t xml:space="preserve">, </w:t>
      </w:r>
      <w:r w:rsidR="0031364D" w:rsidRPr="0031364D">
        <w:rPr>
          <w:rFonts w:cstheme="minorHAnsi"/>
        </w:rPr>
        <w:t xml:space="preserve">including mechanisms for consultation, trust-building, and </w:t>
      </w:r>
      <w:proofErr w:type="gramStart"/>
      <w:r w:rsidR="0031364D" w:rsidRPr="0031364D">
        <w:rPr>
          <w:rFonts w:cstheme="minorHAnsi"/>
        </w:rPr>
        <w:t>accountability</w:t>
      </w:r>
      <w:r w:rsidRPr="00D13E55">
        <w:rPr>
          <w:rFonts w:cstheme="minorHAnsi"/>
        </w:rPr>
        <w:t>;</w:t>
      </w:r>
      <w:proofErr w:type="gramEnd"/>
    </w:p>
    <w:p w14:paraId="52B99D59" w14:textId="7067CAB2" w:rsidR="00D13E55" w:rsidRPr="00D13E55" w:rsidRDefault="00D13E55" w:rsidP="00D13E55">
      <w:pPr>
        <w:numPr>
          <w:ilvl w:val="0"/>
          <w:numId w:val="27"/>
        </w:numPr>
        <w:spacing w:after="0"/>
        <w:jc w:val="both"/>
        <w:rPr>
          <w:rFonts w:cstheme="minorHAnsi"/>
        </w:rPr>
      </w:pPr>
      <w:r w:rsidRPr="00D13E55">
        <w:rPr>
          <w:rFonts w:cstheme="minorHAnsi"/>
        </w:rPr>
        <w:lastRenderedPageBreak/>
        <w:t>Collect input from Roma and Traveller civil society organisations on strategies for engaging with authorities, building alliances, and supporting effective remedies against discriminatory policies</w:t>
      </w:r>
      <w:r w:rsidR="0031364D">
        <w:rPr>
          <w:rFonts w:cstheme="minorHAnsi"/>
        </w:rPr>
        <w:t xml:space="preserve">, </w:t>
      </w:r>
      <w:r w:rsidR="0031364D" w:rsidRPr="0031364D">
        <w:rPr>
          <w:rFonts w:cstheme="minorHAnsi"/>
        </w:rPr>
        <w:t xml:space="preserve">as well as strengthening community participation in policy design, implementation, and </w:t>
      </w:r>
      <w:proofErr w:type="gramStart"/>
      <w:r w:rsidR="0031364D" w:rsidRPr="0031364D">
        <w:rPr>
          <w:rFonts w:cstheme="minorHAnsi"/>
        </w:rPr>
        <w:t>monitoring</w:t>
      </w:r>
      <w:r w:rsidRPr="00D13E55">
        <w:rPr>
          <w:rFonts w:cstheme="minorHAnsi"/>
        </w:rPr>
        <w:t>;</w:t>
      </w:r>
      <w:proofErr w:type="gramEnd"/>
    </w:p>
    <w:p w14:paraId="35D650B4" w14:textId="77777777" w:rsidR="00D13E55" w:rsidRPr="00D13E55" w:rsidRDefault="00D13E55" w:rsidP="00D13E55">
      <w:pPr>
        <w:numPr>
          <w:ilvl w:val="0"/>
          <w:numId w:val="27"/>
        </w:numPr>
        <w:spacing w:after="0"/>
        <w:jc w:val="both"/>
        <w:rPr>
          <w:rFonts w:cstheme="minorHAnsi"/>
        </w:rPr>
      </w:pPr>
      <w:r w:rsidRPr="00D13E55">
        <w:rPr>
          <w:rFonts w:cstheme="minorHAnsi"/>
        </w:rPr>
        <w:t xml:space="preserve">Facilitate exchanges with the Committee of Experts on Roma and Traveller Issues (ADI-ROM), Ombudspersons, and relevant actors involved in security policy and minority </w:t>
      </w:r>
      <w:proofErr w:type="gramStart"/>
      <w:r w:rsidRPr="00D13E55">
        <w:rPr>
          <w:rFonts w:cstheme="minorHAnsi"/>
        </w:rPr>
        <w:t>protection;</w:t>
      </w:r>
      <w:proofErr w:type="gramEnd"/>
    </w:p>
    <w:p w14:paraId="79E2CD0C" w14:textId="77777777" w:rsidR="00D13E55" w:rsidRDefault="00D13E55" w:rsidP="00D13E55">
      <w:pPr>
        <w:numPr>
          <w:ilvl w:val="0"/>
          <w:numId w:val="27"/>
        </w:numPr>
        <w:spacing w:after="0"/>
        <w:jc w:val="both"/>
        <w:rPr>
          <w:rFonts w:cstheme="minorHAnsi"/>
        </w:rPr>
      </w:pPr>
      <w:r w:rsidRPr="00D13E55">
        <w:rPr>
          <w:rFonts w:cstheme="minorHAnsi"/>
        </w:rPr>
        <w:t>Shape actionable proposals for Council of Europe follow-up, monitoring, and capacity-building initiatives related to human rights-respecting security policies.</w:t>
      </w:r>
    </w:p>
    <w:p w14:paraId="66EB7A6C" w14:textId="77777777" w:rsidR="00D13E55" w:rsidRPr="00D13E55" w:rsidRDefault="00D13E55" w:rsidP="00D13E55">
      <w:pPr>
        <w:spacing w:after="0"/>
        <w:ind w:left="720"/>
        <w:jc w:val="both"/>
        <w:rPr>
          <w:rFonts w:cstheme="minorHAnsi"/>
        </w:rPr>
      </w:pPr>
    </w:p>
    <w:bookmarkEnd w:id="0"/>
    <w:p w14:paraId="453BBF3A" w14:textId="542D63E6" w:rsidR="00D13E55" w:rsidRPr="00D13E55" w:rsidRDefault="00A9648B" w:rsidP="00D13E55">
      <w:pPr>
        <w:pBdr>
          <w:top w:val="single" w:sz="4" w:space="1" w:color="auto"/>
          <w:left w:val="single" w:sz="4" w:space="4" w:color="auto"/>
          <w:bottom w:val="single" w:sz="4" w:space="1" w:color="auto"/>
          <w:right w:val="single" w:sz="4" w:space="4" w:color="auto"/>
        </w:pBdr>
        <w:shd w:val="clear" w:color="auto" w:fill="44546A" w:themeFill="text2"/>
        <w:jc w:val="both"/>
        <w:rPr>
          <w:rFonts w:cstheme="minorHAnsi"/>
          <w:b/>
          <w:bCs/>
          <w:caps/>
          <w:color w:val="FFFFFF"/>
          <w:spacing w:val="15"/>
          <w:shd w:val="clear" w:color="auto" w:fill="17457E"/>
        </w:rPr>
      </w:pPr>
      <w:r w:rsidRPr="00D13E55">
        <w:rPr>
          <w:rStyle w:val="portlet-title-text"/>
          <w:rFonts w:cstheme="minorHAnsi"/>
          <w:b/>
          <w:bCs/>
          <w:caps/>
          <w:color w:val="FFFFFF"/>
          <w:spacing w:val="15"/>
          <w:shd w:val="clear" w:color="auto" w:fill="17457E"/>
        </w:rPr>
        <w:t xml:space="preserve">PARTICIPATION </w:t>
      </w:r>
    </w:p>
    <w:p w14:paraId="25EB78B9" w14:textId="1E5D1644" w:rsidR="00D13E55" w:rsidRPr="00B63B77" w:rsidRDefault="00D13E55" w:rsidP="002C5564">
      <w:pPr>
        <w:pStyle w:val="ListParagraph"/>
        <w:numPr>
          <w:ilvl w:val="0"/>
          <w:numId w:val="28"/>
        </w:numPr>
        <w:jc w:val="both"/>
        <w:rPr>
          <w:rFonts w:cstheme="minorHAnsi"/>
        </w:rPr>
      </w:pPr>
      <w:r w:rsidRPr="00B63B77">
        <w:rPr>
          <w:rFonts w:cstheme="minorHAnsi"/>
        </w:rPr>
        <w:t xml:space="preserve">25 civil society participants selected </w:t>
      </w:r>
      <w:r w:rsidR="00B63B77">
        <w:rPr>
          <w:rFonts w:cstheme="minorHAnsi"/>
        </w:rPr>
        <w:t>through an</w:t>
      </w:r>
      <w:r w:rsidR="00B63B77" w:rsidRPr="00B63B77">
        <w:rPr>
          <w:rFonts w:cstheme="minorHAnsi"/>
        </w:rPr>
        <w:t xml:space="preserve"> </w:t>
      </w:r>
      <w:r w:rsidRPr="00B63B77">
        <w:rPr>
          <w:rFonts w:cstheme="minorHAnsi"/>
        </w:rPr>
        <w:t>open call: representatives of Roma and Traveller organisations with expertise in security policy, human rights advocacy, and community strategies; priority given to those engaged directly with affected communities and policy dialogue;</w:t>
      </w:r>
    </w:p>
    <w:p w14:paraId="55830EA6" w14:textId="77777777" w:rsidR="00D13E55" w:rsidRPr="00B63B77" w:rsidRDefault="00D13E55" w:rsidP="002C5564">
      <w:pPr>
        <w:pStyle w:val="ListParagraph"/>
        <w:numPr>
          <w:ilvl w:val="0"/>
          <w:numId w:val="28"/>
        </w:numPr>
        <w:jc w:val="both"/>
        <w:rPr>
          <w:rFonts w:cstheme="minorHAnsi"/>
        </w:rPr>
      </w:pPr>
      <w:r w:rsidRPr="00B63B77">
        <w:rPr>
          <w:rFonts w:cstheme="minorHAnsi"/>
        </w:rPr>
        <w:t>Members of the Committee of Experts on Roma and Traveller Issues (ADI-ROM), for relevant sessions;</w:t>
      </w:r>
    </w:p>
    <w:p w14:paraId="1FD5CE0C" w14:textId="742BFA3A" w:rsidR="00D13E55" w:rsidRPr="00B63B77" w:rsidRDefault="00B63B77" w:rsidP="002C5564">
      <w:pPr>
        <w:pStyle w:val="ListParagraph"/>
        <w:numPr>
          <w:ilvl w:val="0"/>
          <w:numId w:val="28"/>
        </w:numPr>
        <w:jc w:val="both"/>
        <w:rPr>
          <w:rFonts w:cstheme="minorHAnsi"/>
        </w:rPr>
      </w:pPr>
      <w:r w:rsidRPr="00B63B77">
        <w:rPr>
          <w:rFonts w:cstheme="minorHAnsi"/>
        </w:rPr>
        <w:t>Representatives of other Council of Europe sectors and bodies</w:t>
      </w:r>
      <w:r w:rsidR="00D13E55" w:rsidRPr="00B63B77">
        <w:rPr>
          <w:rFonts w:cstheme="minorHAnsi"/>
        </w:rPr>
        <w:t>of the Council of Europe involved in democratic participation, human rights, and security policy;</w:t>
      </w:r>
    </w:p>
    <w:p w14:paraId="684E70BB" w14:textId="0A55FEA3" w:rsidR="00D13E55" w:rsidRPr="00B63B77" w:rsidRDefault="00D13E55" w:rsidP="002C5564">
      <w:pPr>
        <w:pStyle w:val="ListParagraph"/>
        <w:numPr>
          <w:ilvl w:val="0"/>
          <w:numId w:val="28"/>
        </w:numPr>
        <w:jc w:val="both"/>
        <w:rPr>
          <w:rFonts w:cstheme="minorHAnsi"/>
        </w:rPr>
      </w:pPr>
      <w:r w:rsidRPr="00B63B77">
        <w:rPr>
          <w:rFonts w:cstheme="minorHAnsi"/>
        </w:rPr>
        <w:t xml:space="preserve">Ombudspersons, </w:t>
      </w:r>
      <w:r w:rsidR="00B63B77">
        <w:rPr>
          <w:rFonts w:cstheme="minorHAnsi"/>
        </w:rPr>
        <w:t xml:space="preserve">representatives of </w:t>
      </w:r>
      <w:r w:rsidRPr="00B63B77">
        <w:rPr>
          <w:rFonts w:cstheme="minorHAnsi"/>
        </w:rPr>
        <w:t>human rights monitoring bodies, and legal experts.</w:t>
      </w:r>
    </w:p>
    <w:p w14:paraId="72DD42CF" w14:textId="2447B5FD" w:rsidR="00D13E55" w:rsidRPr="00B63B77" w:rsidRDefault="00D13E55" w:rsidP="002C5564">
      <w:pPr>
        <w:ind w:left="360"/>
        <w:jc w:val="both"/>
        <w:rPr>
          <w:rFonts w:cstheme="minorHAnsi"/>
        </w:rPr>
      </w:pPr>
      <w:r w:rsidRPr="00B63B77">
        <w:rPr>
          <w:rFonts w:cstheme="minorHAnsi"/>
        </w:rPr>
        <w:t>Participants must be able to work in English, French, or Romani, the working languages of the meeting.</w:t>
      </w:r>
    </w:p>
    <w:p w14:paraId="4D5432A3" w14:textId="790EA998" w:rsidR="00A9648B" w:rsidRPr="00D13E55" w:rsidRDefault="00A9648B" w:rsidP="00267E7B">
      <w:pPr>
        <w:pBdr>
          <w:top w:val="single" w:sz="4" w:space="0" w:color="auto"/>
          <w:left w:val="single" w:sz="4" w:space="4" w:color="auto"/>
          <w:bottom w:val="single" w:sz="4" w:space="1" w:color="auto"/>
          <w:right w:val="single" w:sz="4" w:space="4" w:color="auto"/>
        </w:pBdr>
        <w:shd w:val="clear" w:color="auto" w:fill="44546A" w:themeFill="text2"/>
        <w:jc w:val="both"/>
        <w:rPr>
          <w:rFonts w:cstheme="minorHAnsi"/>
          <w:b/>
          <w:bCs/>
          <w:caps/>
          <w:color w:val="FFFFFF"/>
          <w:spacing w:val="15"/>
          <w:shd w:val="clear" w:color="auto" w:fill="17457E"/>
        </w:rPr>
      </w:pPr>
      <w:r w:rsidRPr="00D13E55">
        <w:rPr>
          <w:rStyle w:val="portlet-title-text"/>
          <w:rFonts w:cstheme="minorHAnsi"/>
          <w:b/>
          <w:bCs/>
          <w:caps/>
          <w:color w:val="FFFFFF"/>
          <w:spacing w:val="15"/>
          <w:shd w:val="clear" w:color="auto" w:fill="17457E"/>
        </w:rPr>
        <w:t>DATES AND VENUE</w:t>
      </w:r>
    </w:p>
    <w:p w14:paraId="2E34773E" w14:textId="5EE1DFF8" w:rsidR="00A9648B" w:rsidRPr="00D13E55" w:rsidRDefault="00A9648B" w:rsidP="00A9648B">
      <w:pPr>
        <w:jc w:val="both"/>
        <w:rPr>
          <w:rFonts w:eastAsia="Times New Roman" w:cstheme="minorHAnsi"/>
          <w:b/>
          <w:bCs/>
          <w:color w:val="444444"/>
          <w:lang w:eastAsia="fi-FI"/>
        </w:rPr>
      </w:pPr>
      <w:r w:rsidRPr="00D13E55">
        <w:rPr>
          <w:rFonts w:cstheme="minorHAnsi"/>
        </w:rPr>
        <w:t xml:space="preserve">The meeting will take place on </w:t>
      </w:r>
      <w:r w:rsidR="00D13E55">
        <w:rPr>
          <w:rFonts w:cstheme="minorHAnsi"/>
        </w:rPr>
        <w:t>6 October</w:t>
      </w:r>
      <w:r w:rsidR="00E76EB5" w:rsidRPr="00D13E55">
        <w:rPr>
          <w:rFonts w:cstheme="minorHAnsi"/>
        </w:rPr>
        <w:t>,</w:t>
      </w:r>
      <w:r w:rsidRPr="00D13E55">
        <w:rPr>
          <w:rFonts w:cstheme="minorHAnsi"/>
        </w:rPr>
        <w:t xml:space="preserve"> from 09:00-1</w:t>
      </w:r>
      <w:r w:rsidR="00896E4E" w:rsidRPr="00D13E55">
        <w:rPr>
          <w:rFonts w:cstheme="minorHAnsi"/>
        </w:rPr>
        <w:t>7</w:t>
      </w:r>
      <w:r w:rsidRPr="00D13E55">
        <w:rPr>
          <w:rFonts w:cstheme="minorHAnsi"/>
        </w:rPr>
        <w:t>:</w:t>
      </w:r>
      <w:r w:rsidR="006A4B56" w:rsidRPr="00D13E55">
        <w:rPr>
          <w:rFonts w:cstheme="minorHAnsi"/>
        </w:rPr>
        <w:t>00</w:t>
      </w:r>
      <w:r w:rsidRPr="00D13E55">
        <w:rPr>
          <w:rFonts w:cstheme="minorHAnsi"/>
        </w:rPr>
        <w:t xml:space="preserve"> and on</w:t>
      </w:r>
      <w:r w:rsidR="00DF311C" w:rsidRPr="00D13E55">
        <w:rPr>
          <w:rFonts w:cstheme="minorHAnsi"/>
        </w:rPr>
        <w:t xml:space="preserve"> </w:t>
      </w:r>
      <w:r w:rsidR="00D13E55">
        <w:rPr>
          <w:rFonts w:cstheme="minorHAnsi"/>
        </w:rPr>
        <w:t>7</w:t>
      </w:r>
      <w:r w:rsidR="00D97B2B" w:rsidRPr="00D13E55">
        <w:rPr>
          <w:rFonts w:cstheme="minorHAnsi"/>
        </w:rPr>
        <w:t xml:space="preserve"> </w:t>
      </w:r>
      <w:r w:rsidR="00B63B77">
        <w:rPr>
          <w:rFonts w:cstheme="minorHAnsi"/>
        </w:rPr>
        <w:t>October</w:t>
      </w:r>
      <w:r w:rsidR="00B63B77" w:rsidRPr="00D13E55">
        <w:rPr>
          <w:rFonts w:cstheme="minorHAnsi"/>
        </w:rPr>
        <w:t xml:space="preserve"> </w:t>
      </w:r>
      <w:r w:rsidRPr="00D13E55">
        <w:rPr>
          <w:rFonts w:cstheme="minorHAnsi"/>
        </w:rPr>
        <w:t>202</w:t>
      </w:r>
      <w:r w:rsidR="002B7100" w:rsidRPr="00D13E55">
        <w:rPr>
          <w:rFonts w:cstheme="minorHAnsi"/>
        </w:rPr>
        <w:t>6</w:t>
      </w:r>
      <w:r w:rsidRPr="00D13E55">
        <w:rPr>
          <w:rFonts w:cstheme="minorHAnsi"/>
        </w:rPr>
        <w:t xml:space="preserve"> from 09:</w:t>
      </w:r>
      <w:r w:rsidR="00DF311C" w:rsidRPr="00D13E55">
        <w:rPr>
          <w:rFonts w:cstheme="minorHAnsi"/>
        </w:rPr>
        <w:t>30</w:t>
      </w:r>
      <w:r w:rsidRPr="00D13E55">
        <w:rPr>
          <w:rFonts w:cstheme="minorHAnsi"/>
        </w:rPr>
        <w:t xml:space="preserve"> to 1</w:t>
      </w:r>
      <w:r w:rsidR="00D13E55">
        <w:rPr>
          <w:rFonts w:cstheme="minorHAnsi"/>
        </w:rPr>
        <w:t>2:30</w:t>
      </w:r>
      <w:r w:rsidRPr="00D13E55">
        <w:rPr>
          <w:rFonts w:cstheme="minorHAnsi"/>
        </w:rPr>
        <w:t xml:space="preserve"> – in Strasbourg, France</w:t>
      </w:r>
      <w:r w:rsidR="009452A2" w:rsidRPr="00D13E55">
        <w:rPr>
          <w:rFonts w:cstheme="minorHAnsi"/>
        </w:rPr>
        <w:t>.</w:t>
      </w:r>
    </w:p>
    <w:p w14:paraId="0500A1B0" w14:textId="1A5A0776" w:rsidR="00A9648B" w:rsidRPr="00D13E55" w:rsidRDefault="00A9648B" w:rsidP="00A9648B">
      <w:pPr>
        <w:jc w:val="both"/>
        <w:rPr>
          <w:rFonts w:cstheme="minorHAnsi"/>
        </w:rPr>
      </w:pPr>
      <w:r w:rsidRPr="00D13E55">
        <w:rPr>
          <w:rFonts w:cstheme="minorHAnsi"/>
        </w:rPr>
        <w:t>Travel and subsistence expenses, as well as visa fees</w:t>
      </w:r>
      <w:r w:rsidR="00B63B77">
        <w:rPr>
          <w:rFonts w:cstheme="minorHAnsi"/>
        </w:rPr>
        <w:t xml:space="preserve"> where applicable</w:t>
      </w:r>
      <w:r w:rsidRPr="00D13E55">
        <w:rPr>
          <w:rFonts w:cstheme="minorHAnsi"/>
        </w:rPr>
        <w:t xml:space="preserve">, related to the participation in this </w:t>
      </w:r>
      <w:r w:rsidR="00492189" w:rsidRPr="00D13E55">
        <w:rPr>
          <w:rFonts w:cstheme="minorHAnsi"/>
        </w:rPr>
        <w:t>2</w:t>
      </w:r>
      <w:r w:rsidR="00D13E55">
        <w:rPr>
          <w:rFonts w:cstheme="minorHAnsi"/>
        </w:rPr>
        <w:t>2</w:t>
      </w:r>
      <w:r w:rsidR="00D13E55">
        <w:rPr>
          <w:rFonts w:cstheme="minorHAnsi"/>
          <w:vertAlign w:val="superscript"/>
        </w:rPr>
        <w:t>nd</w:t>
      </w:r>
      <w:r w:rsidR="00492189" w:rsidRPr="00D13E55">
        <w:rPr>
          <w:rFonts w:cstheme="minorHAnsi"/>
        </w:rPr>
        <w:t xml:space="preserve"> </w:t>
      </w:r>
      <w:r w:rsidRPr="00D13E55">
        <w:rPr>
          <w:rFonts w:cstheme="minorHAnsi"/>
        </w:rPr>
        <w:t>Dialogue meeting</w:t>
      </w:r>
      <w:r w:rsidR="00B63B77">
        <w:rPr>
          <w:rFonts w:cstheme="minorHAnsi"/>
        </w:rPr>
        <w:t>,</w:t>
      </w:r>
      <w:r w:rsidRPr="00D13E55">
        <w:rPr>
          <w:rFonts w:cstheme="minorHAnsi"/>
        </w:rPr>
        <w:t xml:space="preserve"> will be reimbursed according to Council of Europe rules and regulations.</w:t>
      </w:r>
    </w:p>
    <w:p w14:paraId="4A02F297" w14:textId="51822690" w:rsidR="00A9648B" w:rsidRPr="00D13E55" w:rsidRDefault="00A9648B" w:rsidP="00A9648B">
      <w:pPr>
        <w:jc w:val="both"/>
        <w:rPr>
          <w:rFonts w:cstheme="minorHAnsi"/>
        </w:rPr>
      </w:pPr>
      <w:r w:rsidRPr="00D13E55">
        <w:rPr>
          <w:rFonts w:cstheme="minorHAnsi"/>
        </w:rPr>
        <w:t>Working and background documents:</w:t>
      </w:r>
    </w:p>
    <w:p w14:paraId="6E21733A" w14:textId="5BE05F03" w:rsidR="00A9648B" w:rsidRPr="00D13E55" w:rsidRDefault="00A9648B" w:rsidP="00CD529B">
      <w:pPr>
        <w:pStyle w:val="ListParagraph"/>
        <w:numPr>
          <w:ilvl w:val="0"/>
          <w:numId w:val="3"/>
        </w:numPr>
        <w:jc w:val="both"/>
        <w:rPr>
          <w:rFonts w:cstheme="minorHAnsi"/>
          <w:lang w:val="en-GB"/>
        </w:rPr>
      </w:pPr>
      <w:r w:rsidRPr="00D13E55">
        <w:rPr>
          <w:rFonts w:cstheme="minorHAnsi"/>
          <w:lang w:val="en-GB"/>
        </w:rPr>
        <w:t xml:space="preserve">Agenda of the </w:t>
      </w:r>
      <w:r w:rsidR="002B7100" w:rsidRPr="00D13E55">
        <w:rPr>
          <w:rFonts w:cstheme="minorHAnsi"/>
          <w:lang w:val="en-GB"/>
        </w:rPr>
        <w:t>2</w:t>
      </w:r>
      <w:r w:rsidR="00D13E55">
        <w:rPr>
          <w:rFonts w:cstheme="minorHAnsi"/>
          <w:lang w:val="en-GB"/>
        </w:rPr>
        <w:t>2</w:t>
      </w:r>
      <w:r w:rsidR="00D13E55" w:rsidRPr="00D13E55">
        <w:rPr>
          <w:rFonts w:cstheme="minorHAnsi"/>
          <w:vertAlign w:val="superscript"/>
          <w:lang w:val="en-GB"/>
        </w:rPr>
        <w:t>nd</w:t>
      </w:r>
      <w:r w:rsidR="002B7100" w:rsidRPr="00D13E55">
        <w:rPr>
          <w:rFonts w:cstheme="minorHAnsi"/>
          <w:lang w:val="en-GB"/>
        </w:rPr>
        <w:t xml:space="preserve"> </w:t>
      </w:r>
      <w:r w:rsidRPr="00D13E55">
        <w:rPr>
          <w:rFonts w:cstheme="minorHAnsi"/>
          <w:lang w:val="en-GB"/>
        </w:rPr>
        <w:t>Dialogue meeting</w:t>
      </w:r>
    </w:p>
    <w:p w14:paraId="579F37F9" w14:textId="037BD8B6" w:rsidR="00DA604B" w:rsidRDefault="00A9648B" w:rsidP="00CD529B">
      <w:pPr>
        <w:pStyle w:val="ListParagraph"/>
        <w:numPr>
          <w:ilvl w:val="0"/>
          <w:numId w:val="3"/>
        </w:numPr>
        <w:jc w:val="both"/>
        <w:rPr>
          <w:rFonts w:cstheme="minorHAnsi"/>
          <w:lang w:val="en-GB"/>
        </w:rPr>
      </w:pPr>
      <w:r w:rsidRPr="00D13E55">
        <w:rPr>
          <w:rFonts w:cstheme="minorHAnsi"/>
          <w:lang w:val="en-GB"/>
        </w:rPr>
        <w:t xml:space="preserve">Concept </w:t>
      </w:r>
      <w:r w:rsidR="00E76EB5" w:rsidRPr="00D13E55">
        <w:rPr>
          <w:rFonts w:cstheme="minorHAnsi"/>
          <w:lang w:val="en-GB"/>
        </w:rPr>
        <w:t>Note</w:t>
      </w:r>
      <w:r w:rsidRPr="00D13E55">
        <w:rPr>
          <w:rFonts w:cstheme="minorHAnsi"/>
          <w:lang w:val="en-GB"/>
        </w:rPr>
        <w:t xml:space="preserve"> of the </w:t>
      </w:r>
      <w:r w:rsidR="002B7100" w:rsidRPr="00D13E55">
        <w:rPr>
          <w:rFonts w:cstheme="minorHAnsi"/>
          <w:lang w:val="en-GB"/>
        </w:rPr>
        <w:t>2</w:t>
      </w:r>
      <w:r w:rsidR="00D13E55">
        <w:rPr>
          <w:rFonts w:cstheme="minorHAnsi"/>
          <w:lang w:val="en-GB"/>
        </w:rPr>
        <w:t>2</w:t>
      </w:r>
      <w:r w:rsidR="00D13E55" w:rsidRPr="00D13E55">
        <w:rPr>
          <w:rFonts w:cstheme="minorHAnsi"/>
          <w:vertAlign w:val="superscript"/>
          <w:lang w:val="en-GB"/>
        </w:rPr>
        <w:t>nd</w:t>
      </w:r>
      <w:r w:rsidR="002B7100" w:rsidRPr="00D13E55">
        <w:rPr>
          <w:rFonts w:cstheme="minorHAnsi"/>
          <w:lang w:val="en-GB"/>
        </w:rPr>
        <w:t xml:space="preserve"> </w:t>
      </w:r>
      <w:r w:rsidRPr="00D13E55">
        <w:rPr>
          <w:rFonts w:cstheme="minorHAnsi"/>
          <w:lang w:val="en-GB"/>
        </w:rPr>
        <w:t>Dialogue meeting</w:t>
      </w:r>
    </w:p>
    <w:p w14:paraId="38F840A1" w14:textId="23557EC2" w:rsidR="002C5564" w:rsidRPr="002C5564" w:rsidRDefault="002C5564" w:rsidP="002C5564">
      <w:pPr>
        <w:pBdr>
          <w:top w:val="single" w:sz="4" w:space="0" w:color="auto"/>
          <w:left w:val="single" w:sz="4" w:space="4" w:color="auto"/>
          <w:bottom w:val="single" w:sz="4" w:space="1" w:color="auto"/>
          <w:right w:val="single" w:sz="4" w:space="4" w:color="auto"/>
        </w:pBdr>
        <w:shd w:val="clear" w:color="auto" w:fill="44546A" w:themeFill="text2"/>
        <w:jc w:val="both"/>
        <w:rPr>
          <w:rFonts w:cstheme="minorHAnsi"/>
          <w:b/>
          <w:bCs/>
          <w:caps/>
          <w:color w:val="FFFFFF"/>
          <w:spacing w:val="15"/>
          <w:shd w:val="clear" w:color="auto" w:fill="17457E"/>
        </w:rPr>
      </w:pPr>
      <w:r>
        <w:rPr>
          <w:rStyle w:val="portlet-title-text"/>
          <w:rFonts w:cstheme="minorHAnsi"/>
          <w:b/>
          <w:bCs/>
          <w:caps/>
          <w:color w:val="FFFFFF"/>
          <w:spacing w:val="15"/>
          <w:shd w:val="clear" w:color="auto" w:fill="17457E"/>
        </w:rPr>
        <w:t>References</w:t>
      </w:r>
    </w:p>
    <w:p w14:paraId="6B777655" w14:textId="77777777" w:rsidR="002C5564" w:rsidRDefault="002C5564" w:rsidP="002C5564">
      <w:pPr>
        <w:pStyle w:val="ListParagraph"/>
        <w:numPr>
          <w:ilvl w:val="0"/>
          <w:numId w:val="3"/>
        </w:numPr>
        <w:jc w:val="both"/>
        <w:rPr>
          <w:rFonts w:cstheme="minorHAnsi"/>
          <w:lang w:val="en-GB"/>
        </w:rPr>
      </w:pPr>
      <w:hyperlink r:id="rId8" w:history="1">
        <w:r w:rsidRPr="002C5564">
          <w:rPr>
            <w:rStyle w:val="Hyperlink"/>
            <w:rFonts w:cstheme="minorHAnsi"/>
            <w:lang w:val="en-GB"/>
          </w:rPr>
          <w:t>Council of Europe Strategy for Roma and Traveller inclusion (2026-2030)</w:t>
        </w:r>
      </w:hyperlink>
    </w:p>
    <w:p w14:paraId="164039DB" w14:textId="068B52B3" w:rsidR="002C5564" w:rsidRDefault="002C5564" w:rsidP="00CD529B">
      <w:pPr>
        <w:pStyle w:val="ListParagraph"/>
        <w:numPr>
          <w:ilvl w:val="0"/>
          <w:numId w:val="3"/>
        </w:numPr>
        <w:jc w:val="both"/>
        <w:rPr>
          <w:rFonts w:cstheme="minorHAnsi"/>
          <w:lang w:val="en-GB"/>
        </w:rPr>
      </w:pPr>
      <w:hyperlink r:id="rId9" w:history="1">
        <w:r w:rsidRPr="002C5564">
          <w:rPr>
            <w:rStyle w:val="Hyperlink"/>
            <w:rFonts w:cstheme="minorHAnsi"/>
            <w:lang w:val="en-GB"/>
          </w:rPr>
          <w:t>Recommendation CM/</w:t>
        </w:r>
        <w:proofErr w:type="gramStart"/>
        <w:r w:rsidRPr="002C5564">
          <w:rPr>
            <w:rStyle w:val="Hyperlink"/>
            <w:rFonts w:cstheme="minorHAnsi"/>
            <w:lang w:val="en-GB"/>
          </w:rPr>
          <w:t>Rec(</w:t>
        </w:r>
        <w:proofErr w:type="gramEnd"/>
        <w:r w:rsidRPr="002C5564">
          <w:rPr>
            <w:rStyle w:val="Hyperlink"/>
            <w:rFonts w:cstheme="minorHAnsi"/>
            <w:lang w:val="en-GB"/>
          </w:rPr>
          <w:t>2024)4 of the Committee of Ministers to member States on combating hate crime and Explanatory Memorandum</w:t>
        </w:r>
      </w:hyperlink>
    </w:p>
    <w:p w14:paraId="4C33A14D" w14:textId="064984C7" w:rsidR="002C5564" w:rsidRDefault="002C5564" w:rsidP="00CD529B">
      <w:pPr>
        <w:pStyle w:val="ListParagraph"/>
        <w:numPr>
          <w:ilvl w:val="0"/>
          <w:numId w:val="3"/>
        </w:numPr>
        <w:jc w:val="both"/>
        <w:rPr>
          <w:rFonts w:cstheme="minorHAnsi"/>
          <w:lang w:val="en-GB"/>
        </w:rPr>
      </w:pPr>
      <w:hyperlink r:id="rId10" w:history="1">
        <w:r w:rsidRPr="002C5564">
          <w:rPr>
            <w:rStyle w:val="Hyperlink"/>
            <w:rFonts w:cstheme="minorHAnsi"/>
            <w:lang w:val="en-GB"/>
          </w:rPr>
          <w:t>Recommendation CM/</w:t>
        </w:r>
        <w:proofErr w:type="gramStart"/>
        <w:r w:rsidRPr="002C5564">
          <w:rPr>
            <w:rStyle w:val="Hyperlink"/>
            <w:rFonts w:cstheme="minorHAnsi"/>
            <w:lang w:val="en-GB"/>
          </w:rPr>
          <w:t>Rec(</w:t>
        </w:r>
        <w:proofErr w:type="gramEnd"/>
        <w:r w:rsidRPr="002C5564">
          <w:rPr>
            <w:rStyle w:val="Hyperlink"/>
            <w:rFonts w:cstheme="minorHAnsi"/>
            <w:lang w:val="en-GB"/>
          </w:rPr>
          <w:t>2022)10 of the Committee of Ministers to member States on multilevel policies and governance for intercultural integration</w:t>
        </w:r>
      </w:hyperlink>
    </w:p>
    <w:p w14:paraId="2528B89D" w14:textId="00C0C160" w:rsidR="002C5564" w:rsidRDefault="002C5564" w:rsidP="00CD529B">
      <w:pPr>
        <w:pStyle w:val="ListParagraph"/>
        <w:numPr>
          <w:ilvl w:val="0"/>
          <w:numId w:val="3"/>
        </w:numPr>
        <w:jc w:val="both"/>
        <w:rPr>
          <w:rFonts w:cstheme="minorHAnsi"/>
          <w:lang w:val="en-GB"/>
        </w:rPr>
      </w:pPr>
      <w:hyperlink r:id="rId11" w:tooltip="Resolution 1760 (2010) of the Parliamentary Assembly on the recent rise in national security discourse in Europe: the case of Roma" w:history="1">
        <w:r w:rsidRPr="002C5564">
          <w:rPr>
            <w:rStyle w:val="Hyperlink"/>
            <w:rFonts w:cstheme="minorHAnsi"/>
            <w:lang w:val="en-GB"/>
          </w:rPr>
          <w:t>Resolution 1760 (2010) of the Parliamentary Assembly on the recent rise in national security discourse in Europe: the case of Roma</w:t>
        </w:r>
      </w:hyperlink>
    </w:p>
    <w:p w14:paraId="786CE479" w14:textId="1CC54E1D" w:rsidR="002C5564" w:rsidRDefault="002C5564" w:rsidP="00CD529B">
      <w:pPr>
        <w:pStyle w:val="ListParagraph"/>
        <w:numPr>
          <w:ilvl w:val="0"/>
          <w:numId w:val="3"/>
        </w:numPr>
        <w:jc w:val="both"/>
        <w:rPr>
          <w:rFonts w:cstheme="minorHAnsi"/>
          <w:lang w:val="en-GB"/>
        </w:rPr>
      </w:pPr>
      <w:hyperlink r:id="rId12" w:anchor="%7B%22CoEReference%22:[%22CM(2025)180-add6%22],%22CoELanguageId%22:[%22eng%22],%22CoECollection%22:[%22COE_DOC%22],%22po%22:%7B%22ref%22:%22=%22%7D%7D" w:history="1">
        <w:r w:rsidRPr="002C5564">
          <w:rPr>
            <w:rStyle w:val="Hyperlink"/>
            <w:rFonts w:cstheme="minorHAnsi"/>
            <w:lang w:val="en-GB"/>
          </w:rPr>
          <w:t>Thematic report on relations between Roma communities and the police</w:t>
        </w:r>
      </w:hyperlink>
      <w:r w:rsidRPr="002C5564">
        <w:rPr>
          <w:rFonts w:cstheme="minorHAnsi"/>
          <w:lang w:val="en-GB"/>
        </w:rPr>
        <w:t> (2025)</w:t>
      </w:r>
    </w:p>
    <w:p w14:paraId="55ED8DEC" w14:textId="74DFD15C" w:rsidR="002C5564" w:rsidRDefault="002C5564" w:rsidP="00CD529B">
      <w:pPr>
        <w:pStyle w:val="ListParagraph"/>
        <w:numPr>
          <w:ilvl w:val="0"/>
          <w:numId w:val="3"/>
        </w:numPr>
        <w:jc w:val="both"/>
        <w:rPr>
          <w:rFonts w:cstheme="minorHAnsi"/>
          <w:lang w:val="en-GB"/>
        </w:rPr>
      </w:pPr>
      <w:hyperlink r:id="rId13" w:history="1">
        <w:r w:rsidRPr="002C5564">
          <w:rPr>
            <w:rStyle w:val="Hyperlink"/>
            <w:rFonts w:cstheme="minorHAnsi"/>
            <w:lang w:val="en-GB"/>
          </w:rPr>
          <w:t>2nd edition of the Toolkit for Police Officers: Council of Europe standards on racially motivated crimes and non-discrimination</w:t>
        </w:r>
      </w:hyperlink>
      <w:r w:rsidRPr="002C5564">
        <w:rPr>
          <w:rFonts w:cstheme="minorHAnsi"/>
          <w:lang w:val="en-GB"/>
        </w:rPr>
        <w:t> </w:t>
      </w:r>
    </w:p>
    <w:p w14:paraId="43AA68C0" w14:textId="41B46015" w:rsidR="002C5564" w:rsidRPr="002C5564" w:rsidRDefault="002C5564" w:rsidP="002C5564">
      <w:pPr>
        <w:pStyle w:val="ListParagraph"/>
        <w:numPr>
          <w:ilvl w:val="0"/>
          <w:numId w:val="3"/>
        </w:numPr>
        <w:jc w:val="both"/>
        <w:rPr>
          <w:rFonts w:cstheme="minorHAnsi"/>
          <w:lang w:val="en-GB"/>
        </w:rPr>
      </w:pPr>
      <w:r w:rsidRPr="002C5564">
        <w:rPr>
          <w:rFonts w:cstheme="minorHAnsi"/>
          <w:lang w:val="en-GB"/>
        </w:rPr>
        <w:t xml:space="preserve">Educational tools for addressing racially motivated crimes against Roma and Travellers - Resources for police academies and police schools </w:t>
      </w:r>
      <w:hyperlink r:id="rId14" w:history="1">
        <w:r w:rsidRPr="002C5564">
          <w:rPr>
            <w:rStyle w:val="Hyperlink"/>
            <w:rFonts w:cstheme="minorHAnsi"/>
            <w:lang w:val="en-GB"/>
          </w:rPr>
          <w:t xml:space="preserve">Volume 1 </w:t>
        </w:r>
      </w:hyperlink>
    </w:p>
    <w:p w14:paraId="7CF45ADA" w14:textId="60A2ED71" w:rsidR="002C5564" w:rsidRPr="00D13E55" w:rsidRDefault="002C5564" w:rsidP="002C5564">
      <w:pPr>
        <w:pStyle w:val="ListParagraph"/>
        <w:numPr>
          <w:ilvl w:val="0"/>
          <w:numId w:val="3"/>
        </w:numPr>
        <w:jc w:val="both"/>
        <w:rPr>
          <w:rFonts w:cstheme="minorHAnsi"/>
          <w:lang w:val="en-GB"/>
        </w:rPr>
      </w:pPr>
      <w:r w:rsidRPr="002C5564">
        <w:rPr>
          <w:rFonts w:cstheme="minorHAnsi"/>
          <w:lang w:val="en-GB"/>
        </w:rPr>
        <w:lastRenderedPageBreak/>
        <w:t xml:space="preserve">Educational tools for addressing racially motivated crimes against Roma and Travellers - Resources for police academies and police schools </w:t>
      </w:r>
      <w:hyperlink r:id="rId15" w:history="1">
        <w:r w:rsidRPr="002C5564">
          <w:rPr>
            <w:rStyle w:val="Hyperlink"/>
            <w:rFonts w:cstheme="minorHAnsi"/>
            <w:lang w:val="en-GB"/>
          </w:rPr>
          <w:t xml:space="preserve">Volume </w:t>
        </w:r>
        <w:r w:rsidRPr="002C5564">
          <w:rPr>
            <w:rStyle w:val="Hyperlink"/>
            <w:rFonts w:cstheme="minorHAnsi"/>
            <w:lang w:val="en-GB"/>
          </w:rPr>
          <w:t>2</w:t>
        </w:r>
      </w:hyperlink>
    </w:p>
    <w:sectPr w:rsidR="002C5564" w:rsidRPr="00D13E55" w:rsidSect="008C3C10">
      <w:footerReference w:type="default" r:id="rId16"/>
      <w:headerReference w:type="first" r:id="rId17"/>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D1CE7" w14:textId="77777777" w:rsidR="00CB55FA" w:rsidRDefault="00CB55FA" w:rsidP="00A9648B">
      <w:pPr>
        <w:spacing w:after="0" w:line="240" w:lineRule="auto"/>
      </w:pPr>
      <w:r>
        <w:separator/>
      </w:r>
    </w:p>
  </w:endnote>
  <w:endnote w:type="continuationSeparator" w:id="0">
    <w:p w14:paraId="5AA434F5" w14:textId="77777777" w:rsidR="00CB55FA" w:rsidRDefault="00CB55FA" w:rsidP="00A96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4308491"/>
      <w:docPartObj>
        <w:docPartGallery w:val="Page Numbers (Bottom of Page)"/>
        <w:docPartUnique/>
      </w:docPartObj>
    </w:sdtPr>
    <w:sdtContent>
      <w:p w14:paraId="5413B4B0" w14:textId="77777777" w:rsidR="00267E7B" w:rsidRDefault="00074360" w:rsidP="00955452">
        <w:pPr>
          <w:pStyle w:val="Footer"/>
          <w:jc w:val="center"/>
        </w:pPr>
        <w:r>
          <w:fldChar w:fldCharType="begin"/>
        </w:r>
        <w:r>
          <w:instrText>PAGE   \* MERGEFORMAT</w:instrText>
        </w:r>
        <w:r>
          <w:fldChar w:fldCharType="separate"/>
        </w:r>
        <w:r w:rsidRPr="00714A56">
          <w:rPr>
            <w:noProof/>
            <w:lang w:val="fr-FR"/>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53968" w14:textId="77777777" w:rsidR="00CB55FA" w:rsidRDefault="00CB55FA" w:rsidP="00A9648B">
      <w:pPr>
        <w:spacing w:after="0" w:line="240" w:lineRule="auto"/>
      </w:pPr>
      <w:r>
        <w:separator/>
      </w:r>
    </w:p>
  </w:footnote>
  <w:footnote w:type="continuationSeparator" w:id="0">
    <w:p w14:paraId="144B2C73" w14:textId="77777777" w:rsidR="00CB55FA" w:rsidRDefault="00CB55FA" w:rsidP="00A9648B">
      <w:pPr>
        <w:spacing w:after="0" w:line="240" w:lineRule="auto"/>
      </w:pPr>
      <w:r>
        <w:continuationSeparator/>
      </w:r>
    </w:p>
  </w:footnote>
  <w:footnote w:id="1">
    <w:p w14:paraId="3D180165" w14:textId="77777777" w:rsidR="008A60BA" w:rsidRPr="00D2346F" w:rsidRDefault="008A60BA" w:rsidP="008A60BA">
      <w:pPr>
        <w:pStyle w:val="FootnoteText"/>
        <w:jc w:val="both"/>
      </w:pPr>
      <w:r>
        <w:rPr>
          <w:rStyle w:val="FootnoteReference"/>
        </w:rPr>
        <w:footnoteRef/>
      </w:r>
      <w:r>
        <w:t xml:space="preserve"> </w:t>
      </w:r>
      <w:r w:rsidRPr="00271B2A">
        <w:rPr>
          <w:rFonts w:ascii="Tahoma" w:hAnsi="Tahoma" w:cs="Tahoma"/>
        </w:rPr>
        <w:t>The term “Roma and Travellers” is used at the Council of Europe to encompass the wide diversity of the groups covered by the work of the Council of Europe in this field: on the one hand a) Roma, Sinti/Manush, Calé, Kaale, Romanichals, Boyash/Rudari; b) Balkan Egyptians (Egyptians and Ashkali); c) Eastern groups (Dom, Lom and Abdal); and, on the other hand, groups such as Travellers, Yenish, and the populations designated under the administrative term “Gens du voyage”, as well as persons who identify themselves as Gypsies. The present is an explanatory footnote, not a definition of Roma and/or Travellers.</w:t>
      </w:r>
    </w:p>
  </w:footnote>
  <w:footnote w:id="2">
    <w:p w14:paraId="7D7F6E7D" w14:textId="27C5CAB9" w:rsidR="00A95F5B" w:rsidRPr="002C5564" w:rsidRDefault="00A95F5B">
      <w:pPr>
        <w:pStyle w:val="FootnoteText"/>
        <w:rPr>
          <w:rFonts w:ascii="Tahoma" w:hAnsi="Tahoma" w:cs="Tahoma"/>
        </w:rPr>
      </w:pPr>
      <w:r w:rsidRPr="002C5564">
        <w:rPr>
          <w:rStyle w:val="FootnoteReference"/>
          <w:rFonts w:ascii="Tahoma" w:hAnsi="Tahoma" w:cs="Tahoma"/>
        </w:rPr>
        <w:footnoteRef/>
      </w:r>
      <w:r w:rsidRPr="002C5564">
        <w:rPr>
          <w:rFonts w:ascii="Tahoma" w:hAnsi="Tahoma" w:cs="Tahoma"/>
        </w:rPr>
        <w:t xml:space="preserve"> European Commission against Racism and Intolerance (ECRI), General Policy Recommendation No. 13 revised on combating anti</w:t>
      </w:r>
      <w:r>
        <w:rPr>
          <w:rFonts w:ascii="Tahoma" w:hAnsi="Tahoma" w:cs="Tahoma"/>
        </w:rPr>
        <w:t>g</w:t>
      </w:r>
      <w:r w:rsidRPr="002C5564">
        <w:rPr>
          <w:rFonts w:ascii="Tahoma" w:hAnsi="Tahoma" w:cs="Tahoma"/>
        </w:rPr>
        <w:t>ypsyism and discrimination against Roma, adopted on 24 June 2011 and amended on 1 December 2020, Council of Europe.</w:t>
      </w:r>
      <w:r>
        <w:rPr>
          <w:rFonts w:ascii="Tahoma" w:hAnsi="Tahoma" w:cs="Tahoma"/>
        </w:rPr>
        <w:t xml:space="preserve"> More info at: </w:t>
      </w:r>
      <w:r w:rsidRPr="002C5564">
        <w:rPr>
          <w:rFonts w:ascii="Tahoma" w:hAnsi="Tahoma" w:cs="Tahoma"/>
        </w:rPr>
        <w:t xml:space="preserve"> </w:t>
      </w:r>
      <w:r w:rsidRPr="00A95F5B">
        <w:rPr>
          <w:rFonts w:ascii="Tahoma" w:hAnsi="Tahoma" w:cs="Tahoma"/>
        </w:rPr>
        <w:t>https://www.coe.int/en/web/european-commission-against-racism-and-intolerance/recommendation-no.13</w:t>
      </w:r>
    </w:p>
  </w:footnote>
  <w:footnote w:id="3">
    <w:p w14:paraId="5F102BFD" w14:textId="0D15DED4" w:rsidR="00A95F5B" w:rsidRPr="002C5564" w:rsidRDefault="00A95F5B">
      <w:pPr>
        <w:pStyle w:val="FootnoteText"/>
        <w:rPr>
          <w:rFonts w:ascii="Tahoma" w:hAnsi="Tahoma" w:cs="Tahoma"/>
        </w:rPr>
      </w:pPr>
      <w:r w:rsidRPr="002C5564">
        <w:rPr>
          <w:rStyle w:val="FootnoteReference"/>
          <w:rFonts w:ascii="Tahoma" w:hAnsi="Tahoma" w:cs="Tahoma"/>
        </w:rPr>
        <w:footnoteRef/>
      </w:r>
      <w:r w:rsidRPr="002C5564">
        <w:rPr>
          <w:rFonts w:ascii="Tahoma" w:hAnsi="Tahoma" w:cs="Tahoma"/>
        </w:rPr>
        <w:t xml:space="preserve"> See ECRI General Policy Recommendation No. 13 revised on combating anti</w:t>
      </w:r>
      <w:r>
        <w:rPr>
          <w:rFonts w:ascii="Tahoma" w:hAnsi="Tahoma" w:cs="Tahoma"/>
        </w:rPr>
        <w:t>g</w:t>
      </w:r>
      <w:r w:rsidRPr="002C5564">
        <w:rPr>
          <w:rFonts w:ascii="Tahoma" w:hAnsi="Tahoma" w:cs="Tahoma"/>
        </w:rPr>
        <w:t>ypsyism and discrimination against Roma (2020), in particular its emphasis on combating anti</w:t>
      </w:r>
      <w:r>
        <w:rPr>
          <w:rFonts w:ascii="Tahoma" w:hAnsi="Tahoma" w:cs="Tahoma"/>
        </w:rPr>
        <w:t>g</w:t>
      </w:r>
      <w:r w:rsidRPr="002C5564">
        <w:rPr>
          <w:rFonts w:ascii="Tahoma" w:hAnsi="Tahoma" w:cs="Tahoma"/>
        </w:rPr>
        <w:t xml:space="preserve">ypsyism and ensuring the participation of Roma representatives in policy-making; Council of Europe </w:t>
      </w:r>
      <w:r>
        <w:rPr>
          <w:rFonts w:ascii="Tahoma" w:hAnsi="Tahoma" w:cs="Tahoma"/>
        </w:rPr>
        <w:t>Strategy</w:t>
      </w:r>
      <w:r w:rsidRPr="002C5564">
        <w:rPr>
          <w:rFonts w:ascii="Tahoma" w:hAnsi="Tahoma" w:cs="Tahoma"/>
        </w:rPr>
        <w:t xml:space="preserve"> for Roma and Traveller Inclusion (202</w:t>
      </w:r>
      <w:r>
        <w:rPr>
          <w:rFonts w:ascii="Tahoma" w:hAnsi="Tahoma" w:cs="Tahoma"/>
        </w:rPr>
        <w:t>6</w:t>
      </w:r>
      <w:r w:rsidRPr="002C5564">
        <w:rPr>
          <w:rFonts w:ascii="Tahoma" w:hAnsi="Tahoma" w:cs="Tahoma"/>
        </w:rPr>
        <w:t>–20</w:t>
      </w:r>
      <w:r>
        <w:rPr>
          <w:rFonts w:ascii="Tahoma" w:hAnsi="Tahoma" w:cs="Tahoma"/>
        </w:rPr>
        <w:t>30</w:t>
      </w:r>
      <w:r w:rsidRPr="002C5564">
        <w:rPr>
          <w:rFonts w:ascii="Tahoma" w:hAnsi="Tahoma" w:cs="Tahoma"/>
        </w:rPr>
        <w:t xml:space="preserve">), Priority Area </w:t>
      </w:r>
      <w:r>
        <w:rPr>
          <w:rFonts w:ascii="Tahoma" w:hAnsi="Tahoma" w:cs="Tahoma"/>
        </w:rPr>
        <w:t>3</w:t>
      </w:r>
      <w:r w:rsidRPr="002C5564">
        <w:rPr>
          <w:rFonts w:ascii="Tahoma" w:hAnsi="Tahoma" w:cs="Tahoma"/>
        </w:rPr>
        <w:t>: "</w:t>
      </w:r>
      <w:r w:rsidR="00B63B77">
        <w:rPr>
          <w:rFonts w:ascii="Tahoma" w:hAnsi="Tahoma" w:cs="Tahoma"/>
        </w:rPr>
        <w:t>Promoting d</w:t>
      </w:r>
      <w:r w:rsidRPr="002C5564">
        <w:rPr>
          <w:rFonts w:ascii="Tahoma" w:hAnsi="Tahoma" w:cs="Tahoma"/>
        </w:rPr>
        <w:t>emocratic</w:t>
      </w:r>
      <w:r w:rsidR="00B63B77">
        <w:rPr>
          <w:rFonts w:ascii="Tahoma" w:hAnsi="Tahoma" w:cs="Tahoma"/>
        </w:rPr>
        <w:t xml:space="preserve"> governance and increasing active</w:t>
      </w:r>
      <w:r w:rsidRPr="002C5564">
        <w:rPr>
          <w:rFonts w:ascii="Tahoma" w:hAnsi="Tahoma" w:cs="Tahoma"/>
        </w:rPr>
        <w:t xml:space="preserve"> participation </w:t>
      </w:r>
      <w:r w:rsidR="00B63B77">
        <w:rPr>
          <w:rFonts w:ascii="Tahoma" w:hAnsi="Tahoma" w:cs="Tahoma"/>
        </w:rPr>
        <w:t>of Roma and Travellers in public and political life</w:t>
      </w:r>
      <w:r w:rsidRPr="002C5564">
        <w:rPr>
          <w:rFonts w:ascii="Tahoma" w:hAnsi="Tahoma" w:cs="Tahoma"/>
        </w:rPr>
        <w:t>"; and Parliamentary Assembly Resolution 1760 (2010) on the recent rise in national security discourse in Europe: the case of Roma</w:t>
      </w:r>
      <w:r w:rsidR="00B63B77">
        <w:rPr>
          <w:rFonts w:ascii="Tahoma" w:hAnsi="Tahoma" w:cs="Tahoma"/>
        </w:rPr>
        <w:t>.</w:t>
      </w:r>
    </w:p>
  </w:footnote>
  <w:footnote w:id="4">
    <w:p w14:paraId="610B541B" w14:textId="7A4912B5" w:rsidR="00B63B77" w:rsidRPr="002C5564" w:rsidRDefault="00B63B77">
      <w:pPr>
        <w:pStyle w:val="FootnoteText"/>
        <w:rPr>
          <w:rFonts w:ascii="Tahoma" w:hAnsi="Tahoma" w:cs="Tahoma"/>
        </w:rPr>
      </w:pPr>
      <w:r w:rsidRPr="002C5564">
        <w:rPr>
          <w:rStyle w:val="FootnoteReference"/>
          <w:rFonts w:ascii="Tahoma" w:hAnsi="Tahoma" w:cs="Tahoma"/>
        </w:rPr>
        <w:footnoteRef/>
      </w:r>
      <w:r w:rsidRPr="002C5564">
        <w:rPr>
          <w:rFonts w:ascii="Tahoma" w:hAnsi="Tahoma" w:cs="Tahoma"/>
        </w:rPr>
        <w:t xml:space="preserve"> Strategy for Roma and Traveller Inclusion (2026 - 2030): </w:t>
      </w:r>
      <w:hyperlink r:id="rId1" w:history="1">
        <w:r w:rsidRPr="005B1A56">
          <w:rPr>
            <w:rStyle w:val="Hyperlink"/>
            <w:rFonts w:ascii="Tahoma" w:hAnsi="Tahoma" w:cs="Tahoma"/>
          </w:rPr>
          <w:t>https://rm.coe.int/strategy-for-roma-and-traveller-inclusion-2026-2030/native/48802b2713</w:t>
        </w:r>
      </w:hyperlink>
      <w:r>
        <w:rPr>
          <w:rFonts w:ascii="Tahoma" w:hAnsi="Tahoma" w:cs="Tahom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1C7E1" w14:textId="77777777" w:rsidR="00D13E55" w:rsidRDefault="00D13E55" w:rsidP="00D13E55">
    <w:pPr>
      <w:spacing w:after="60" w:line="216" w:lineRule="auto"/>
      <w:rPr>
        <w:rFonts w:ascii="Arial Narrow" w:hAnsi="Arial Narrow" w:cs="Arial"/>
        <w:color w:val="747EB7"/>
        <w:sz w:val="20"/>
        <w:szCs w:val="20"/>
        <w:lang w:val="en-US"/>
      </w:rPr>
    </w:pPr>
    <w:r>
      <w:rPr>
        <w:noProof/>
        <w:lang w:val="en-US"/>
      </w:rPr>
      <w:drawing>
        <wp:anchor distT="0" distB="0" distL="114300" distR="114300" simplePos="0" relativeHeight="251661312" behindDoc="1" locked="0" layoutInCell="0" allowOverlap="0" wp14:anchorId="54F4C2BF" wp14:editId="6149F726">
          <wp:simplePos x="0" y="0"/>
          <wp:positionH relativeFrom="page">
            <wp:posOffset>-147955</wp:posOffset>
          </wp:positionH>
          <wp:positionV relativeFrom="page">
            <wp:posOffset>-66463</wp:posOffset>
          </wp:positionV>
          <wp:extent cx="7559999" cy="10685645"/>
          <wp:effectExtent l="0" t="0" r="0" b="0"/>
          <wp:wrapNone/>
          <wp:docPr id="2105810401" name="Imag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A white background with black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59999" cy="10685645"/>
                  </a:xfrm>
                  <a:prstGeom prst="rect">
                    <a:avLst/>
                  </a:prstGeom>
                </pic:spPr>
              </pic:pic>
            </a:graphicData>
          </a:graphic>
          <wp14:sizeRelH relativeFrom="margin">
            <wp14:pctWidth>0</wp14:pctWidth>
          </wp14:sizeRelH>
          <wp14:sizeRelV relativeFrom="margin">
            <wp14:pctHeight>0</wp14:pctHeight>
          </wp14:sizeRelV>
        </wp:anchor>
      </w:drawing>
    </w:r>
    <w:r>
      <w:rPr>
        <w:rFonts w:ascii="Arial Narrow" w:hAnsi="Arial Narrow" w:cs="Arial"/>
        <w:color w:val="747EB7"/>
        <w:sz w:val="20"/>
        <w:szCs w:val="20"/>
        <w:lang w:val="en-US"/>
      </w:rPr>
      <w:t>DIRECTORATE GENERAL OF DEMOCRACY AND</w:t>
    </w:r>
    <w:r w:rsidRPr="00063F84">
      <w:rPr>
        <w:rFonts w:ascii="Arial Narrow" w:hAnsi="Arial Narrow" w:cs="Arial"/>
        <w:color w:val="747EB7"/>
        <w:sz w:val="20"/>
        <w:szCs w:val="20"/>
        <w:lang w:val="en-US"/>
      </w:rPr>
      <w:br/>
    </w:r>
    <w:r>
      <w:rPr>
        <w:rFonts w:ascii="Arial Narrow" w:hAnsi="Arial Narrow" w:cs="Arial"/>
        <w:color w:val="747EB7"/>
        <w:sz w:val="20"/>
        <w:szCs w:val="20"/>
        <w:lang w:val="en-US"/>
      </w:rPr>
      <w:t>HUMAN DIGNITY</w:t>
    </w:r>
  </w:p>
  <w:p w14:paraId="4A2DCDE4" w14:textId="77777777" w:rsidR="00D13E55" w:rsidRDefault="00D13E55" w:rsidP="00D13E55">
    <w:pPr>
      <w:spacing w:after="0" w:line="216" w:lineRule="auto"/>
      <w:rPr>
        <w:rFonts w:ascii="Arial Narrow" w:hAnsi="Arial Narrow" w:cs="Arial"/>
        <w:i/>
        <w:iCs/>
        <w:sz w:val="20"/>
        <w:szCs w:val="20"/>
        <w:lang w:val="en-US"/>
      </w:rPr>
    </w:pPr>
    <w:r>
      <w:rPr>
        <w:rFonts w:ascii="Arial Narrow" w:hAnsi="Arial Narrow" w:cs="Arial"/>
        <w:b/>
        <w:bCs/>
        <w:color w:val="747EB7"/>
        <w:sz w:val="20"/>
        <w:szCs w:val="20"/>
        <w:lang w:val="en-US"/>
      </w:rPr>
      <w:t>DIRECTORATE OF EQUAL RIGHTS AND DIGNITY</w:t>
    </w:r>
    <w:r w:rsidRPr="00063F84">
      <w:rPr>
        <w:rFonts w:ascii="Arial Narrow" w:hAnsi="Arial Narrow" w:cs="Arial"/>
        <w:b/>
        <w:bCs/>
        <w:color w:val="747EB7"/>
        <w:sz w:val="20"/>
        <w:szCs w:val="20"/>
        <w:lang w:val="en-US"/>
      </w:rPr>
      <w:br/>
    </w:r>
    <w:r w:rsidRPr="002B1016">
      <w:rPr>
        <w:rFonts w:ascii="Arial Narrow" w:hAnsi="Arial Narrow" w:cs="Arial"/>
        <w:i/>
        <w:iCs/>
        <w:sz w:val="20"/>
        <w:szCs w:val="20"/>
        <w:lang w:val="en-US"/>
      </w:rPr>
      <w:t>Anti-</w:t>
    </w:r>
    <w:r>
      <w:rPr>
        <w:rFonts w:ascii="Arial Narrow" w:hAnsi="Arial Narrow" w:cs="Arial"/>
        <w:i/>
        <w:iCs/>
        <w:sz w:val="20"/>
        <w:szCs w:val="20"/>
        <w:lang w:val="en-US"/>
      </w:rPr>
      <w:t>d</w:t>
    </w:r>
    <w:r w:rsidRPr="002B1016">
      <w:rPr>
        <w:rFonts w:ascii="Arial Narrow" w:hAnsi="Arial Narrow" w:cs="Arial"/>
        <w:i/>
        <w:iCs/>
        <w:sz w:val="20"/>
        <w:szCs w:val="20"/>
        <w:lang w:val="en-US"/>
      </w:rPr>
      <w:t xml:space="preserve">iscrimination </w:t>
    </w:r>
    <w:r>
      <w:rPr>
        <w:rFonts w:ascii="Arial Narrow" w:hAnsi="Arial Narrow" w:cs="Arial"/>
        <w:i/>
        <w:iCs/>
        <w:sz w:val="20"/>
        <w:szCs w:val="20"/>
        <w:lang w:val="en-US"/>
      </w:rPr>
      <w:t xml:space="preserve">and Inclusion </w:t>
    </w:r>
    <w:r w:rsidRPr="002B1016">
      <w:rPr>
        <w:rFonts w:ascii="Arial Narrow" w:hAnsi="Arial Narrow" w:cs="Arial"/>
        <w:i/>
        <w:iCs/>
        <w:sz w:val="20"/>
        <w:szCs w:val="20"/>
        <w:lang w:val="en-US"/>
      </w:rPr>
      <w:t>Department</w:t>
    </w:r>
  </w:p>
  <w:p w14:paraId="5A4084C9" w14:textId="77777777" w:rsidR="00D13E55" w:rsidRPr="00DF58CF" w:rsidRDefault="00D13E55" w:rsidP="00D13E55">
    <w:pPr>
      <w:spacing w:after="0" w:line="216" w:lineRule="auto"/>
      <w:rPr>
        <w:rFonts w:ascii="Arial Narrow" w:hAnsi="Arial Narrow" w:cs="Arial"/>
        <w:color w:val="747EB7"/>
        <w:sz w:val="20"/>
        <w:szCs w:val="20"/>
        <w:lang w:val="en-US"/>
      </w:rPr>
    </w:pPr>
    <w:r>
      <w:rPr>
        <w:rFonts w:ascii="Arial Narrow" w:hAnsi="Arial Narrow" w:cs="Arial"/>
        <w:i/>
        <w:iCs/>
        <w:sz w:val="20"/>
        <w:szCs w:val="20"/>
        <w:lang w:val="en-US"/>
      </w:rPr>
      <w:t>Roma and Travellers Division</w:t>
    </w:r>
  </w:p>
  <w:p w14:paraId="7832EE81" w14:textId="77777777" w:rsidR="00D13E55" w:rsidRPr="00D065E0" w:rsidRDefault="00D13E55" w:rsidP="00D13E55">
    <w:pPr>
      <w:pStyle w:val="Header"/>
    </w:pPr>
  </w:p>
  <w:p w14:paraId="50C035AD" w14:textId="4372CBF8" w:rsidR="00D13E55" w:rsidRDefault="00D13E55">
    <w:pPr>
      <w:pStyle w:val="Header"/>
    </w:pPr>
    <w:r>
      <w:rPr>
        <w:noProof/>
        <w:lang w:val="en-US"/>
      </w:rPr>
      <w:drawing>
        <wp:anchor distT="0" distB="0" distL="114300" distR="114300" simplePos="0" relativeHeight="251659264" behindDoc="1" locked="0" layoutInCell="0" allowOverlap="0" wp14:anchorId="2607D272" wp14:editId="712A3F94">
          <wp:simplePos x="0" y="0"/>
          <wp:positionH relativeFrom="page">
            <wp:posOffset>-9948</wp:posOffset>
          </wp:positionH>
          <wp:positionV relativeFrom="page">
            <wp:posOffset>-295275</wp:posOffset>
          </wp:positionV>
          <wp:extent cx="7559999" cy="10685645"/>
          <wp:effectExtent l="0" t="0" r="0" b="0"/>
          <wp:wrapNone/>
          <wp:docPr id="1" name="Imag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A white background with black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59999" cy="106856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175"/>
    <w:multiLevelType w:val="hybridMultilevel"/>
    <w:tmpl w:val="04EE94F6"/>
    <w:lvl w:ilvl="0" w:tplc="08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FB4992"/>
    <w:multiLevelType w:val="hybridMultilevel"/>
    <w:tmpl w:val="B1B60220"/>
    <w:lvl w:ilvl="0" w:tplc="0809000F">
      <w:start w:val="1"/>
      <w:numFmt w:val="decimal"/>
      <w:lvlText w:val="%1."/>
      <w:lvlJc w:val="left"/>
      <w:pPr>
        <w:ind w:left="720" w:hanging="360"/>
      </w:pPr>
    </w:lvl>
    <w:lvl w:ilvl="1" w:tplc="FE34C128">
      <w:numFmt w:val="bullet"/>
      <w:lvlText w:val="-"/>
      <w:lvlJc w:val="left"/>
      <w:pPr>
        <w:ind w:left="1440" w:hanging="360"/>
      </w:pPr>
      <w:rPr>
        <w:rFonts w:ascii="Tahoma" w:eastAsiaTheme="minorHAnsi" w:hAnsi="Tahoma" w:cs="Tahoma"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665606"/>
    <w:multiLevelType w:val="hybridMultilevel"/>
    <w:tmpl w:val="DFB6CA9C"/>
    <w:lvl w:ilvl="0" w:tplc="56EABFDC">
      <w:start w:val="1"/>
      <w:numFmt w:val="bullet"/>
      <w:lvlText w:val="•"/>
      <w:lvlJc w:val="left"/>
      <w:pPr>
        <w:tabs>
          <w:tab w:val="num" w:pos="720"/>
        </w:tabs>
        <w:ind w:left="720" w:hanging="360"/>
      </w:pPr>
      <w:rPr>
        <w:rFonts w:ascii="Arial" w:hAnsi="Arial" w:hint="default"/>
      </w:rPr>
    </w:lvl>
    <w:lvl w:ilvl="1" w:tplc="E16437F0" w:tentative="1">
      <w:start w:val="1"/>
      <w:numFmt w:val="bullet"/>
      <w:lvlText w:val="•"/>
      <w:lvlJc w:val="left"/>
      <w:pPr>
        <w:tabs>
          <w:tab w:val="num" w:pos="1440"/>
        </w:tabs>
        <w:ind w:left="1440" w:hanging="360"/>
      </w:pPr>
      <w:rPr>
        <w:rFonts w:ascii="Arial" w:hAnsi="Arial" w:hint="default"/>
      </w:rPr>
    </w:lvl>
    <w:lvl w:ilvl="2" w:tplc="485AF21E" w:tentative="1">
      <w:start w:val="1"/>
      <w:numFmt w:val="bullet"/>
      <w:lvlText w:val="•"/>
      <w:lvlJc w:val="left"/>
      <w:pPr>
        <w:tabs>
          <w:tab w:val="num" w:pos="2160"/>
        </w:tabs>
        <w:ind w:left="2160" w:hanging="360"/>
      </w:pPr>
      <w:rPr>
        <w:rFonts w:ascii="Arial" w:hAnsi="Arial" w:hint="default"/>
      </w:rPr>
    </w:lvl>
    <w:lvl w:ilvl="3" w:tplc="F3A495FC" w:tentative="1">
      <w:start w:val="1"/>
      <w:numFmt w:val="bullet"/>
      <w:lvlText w:val="•"/>
      <w:lvlJc w:val="left"/>
      <w:pPr>
        <w:tabs>
          <w:tab w:val="num" w:pos="2880"/>
        </w:tabs>
        <w:ind w:left="2880" w:hanging="360"/>
      </w:pPr>
      <w:rPr>
        <w:rFonts w:ascii="Arial" w:hAnsi="Arial" w:hint="default"/>
      </w:rPr>
    </w:lvl>
    <w:lvl w:ilvl="4" w:tplc="886E78D6" w:tentative="1">
      <w:start w:val="1"/>
      <w:numFmt w:val="bullet"/>
      <w:lvlText w:val="•"/>
      <w:lvlJc w:val="left"/>
      <w:pPr>
        <w:tabs>
          <w:tab w:val="num" w:pos="3600"/>
        </w:tabs>
        <w:ind w:left="3600" w:hanging="360"/>
      </w:pPr>
      <w:rPr>
        <w:rFonts w:ascii="Arial" w:hAnsi="Arial" w:hint="default"/>
      </w:rPr>
    </w:lvl>
    <w:lvl w:ilvl="5" w:tplc="2FFC3D6E" w:tentative="1">
      <w:start w:val="1"/>
      <w:numFmt w:val="bullet"/>
      <w:lvlText w:val="•"/>
      <w:lvlJc w:val="left"/>
      <w:pPr>
        <w:tabs>
          <w:tab w:val="num" w:pos="4320"/>
        </w:tabs>
        <w:ind w:left="4320" w:hanging="360"/>
      </w:pPr>
      <w:rPr>
        <w:rFonts w:ascii="Arial" w:hAnsi="Arial" w:hint="default"/>
      </w:rPr>
    </w:lvl>
    <w:lvl w:ilvl="6" w:tplc="EEA85A30" w:tentative="1">
      <w:start w:val="1"/>
      <w:numFmt w:val="bullet"/>
      <w:lvlText w:val="•"/>
      <w:lvlJc w:val="left"/>
      <w:pPr>
        <w:tabs>
          <w:tab w:val="num" w:pos="5040"/>
        </w:tabs>
        <w:ind w:left="5040" w:hanging="360"/>
      </w:pPr>
      <w:rPr>
        <w:rFonts w:ascii="Arial" w:hAnsi="Arial" w:hint="default"/>
      </w:rPr>
    </w:lvl>
    <w:lvl w:ilvl="7" w:tplc="4C6EA478" w:tentative="1">
      <w:start w:val="1"/>
      <w:numFmt w:val="bullet"/>
      <w:lvlText w:val="•"/>
      <w:lvlJc w:val="left"/>
      <w:pPr>
        <w:tabs>
          <w:tab w:val="num" w:pos="5760"/>
        </w:tabs>
        <w:ind w:left="5760" w:hanging="360"/>
      </w:pPr>
      <w:rPr>
        <w:rFonts w:ascii="Arial" w:hAnsi="Arial" w:hint="default"/>
      </w:rPr>
    </w:lvl>
    <w:lvl w:ilvl="8" w:tplc="15245E2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B541021"/>
    <w:multiLevelType w:val="hybridMultilevel"/>
    <w:tmpl w:val="0F907CA8"/>
    <w:lvl w:ilvl="0" w:tplc="721C1B3C">
      <w:start w:val="1"/>
      <w:numFmt w:val="bullet"/>
      <w:lvlText w:val=""/>
      <w:lvlJc w:val="left"/>
      <w:pPr>
        <w:ind w:left="720" w:hanging="360"/>
      </w:pPr>
      <w:rPr>
        <w:rFonts w:ascii="Symbol" w:hAnsi="Symbol" w:hint="default"/>
        <w:color w:val="auto"/>
        <w:sz w:val="14"/>
        <w:szCs w:val="1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D2D0A06"/>
    <w:multiLevelType w:val="hybridMultilevel"/>
    <w:tmpl w:val="69D2FF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FCA4E19"/>
    <w:multiLevelType w:val="hybridMultilevel"/>
    <w:tmpl w:val="CA628D1C"/>
    <w:lvl w:ilvl="0" w:tplc="721C1B3C">
      <w:start w:val="1"/>
      <w:numFmt w:val="bullet"/>
      <w:lvlText w:val=""/>
      <w:lvlJc w:val="left"/>
      <w:pPr>
        <w:ind w:left="1080" w:hanging="360"/>
      </w:pPr>
      <w:rPr>
        <w:rFonts w:ascii="Symbol" w:hAnsi="Symbol" w:hint="default"/>
        <w:color w:val="auto"/>
        <w:sz w:val="14"/>
        <w:szCs w:val="14"/>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222A7034"/>
    <w:multiLevelType w:val="hybridMultilevel"/>
    <w:tmpl w:val="8FA64ED2"/>
    <w:lvl w:ilvl="0" w:tplc="721C1B3C">
      <w:start w:val="1"/>
      <w:numFmt w:val="bullet"/>
      <w:lvlText w:val=""/>
      <w:lvlJc w:val="left"/>
      <w:pPr>
        <w:ind w:left="720" w:hanging="360"/>
      </w:pPr>
      <w:rPr>
        <w:rFonts w:ascii="Symbol" w:hAnsi="Symbol" w:hint="default"/>
        <w:color w:val="auto"/>
        <w:sz w:val="14"/>
        <w:szCs w:val="1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5EC1130"/>
    <w:multiLevelType w:val="hybridMultilevel"/>
    <w:tmpl w:val="2D8A67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C697586"/>
    <w:multiLevelType w:val="hybridMultilevel"/>
    <w:tmpl w:val="E6364B50"/>
    <w:lvl w:ilvl="0" w:tplc="08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D990DD8"/>
    <w:multiLevelType w:val="multilevel"/>
    <w:tmpl w:val="9334A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2C083B"/>
    <w:multiLevelType w:val="hybridMultilevel"/>
    <w:tmpl w:val="D8746506"/>
    <w:lvl w:ilvl="0" w:tplc="721C1B3C">
      <w:start w:val="1"/>
      <w:numFmt w:val="bullet"/>
      <w:lvlText w:val=""/>
      <w:lvlJc w:val="left"/>
      <w:pPr>
        <w:ind w:left="720" w:hanging="360"/>
      </w:pPr>
      <w:rPr>
        <w:rFonts w:ascii="Symbol" w:hAnsi="Symbol" w:hint="default"/>
        <w:color w:val="auto"/>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3D52E25"/>
    <w:multiLevelType w:val="hybridMultilevel"/>
    <w:tmpl w:val="E06293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CF1366F"/>
    <w:multiLevelType w:val="hybridMultilevel"/>
    <w:tmpl w:val="D980C45C"/>
    <w:lvl w:ilvl="0" w:tplc="721C1B3C">
      <w:start w:val="1"/>
      <w:numFmt w:val="bullet"/>
      <w:lvlText w:val=""/>
      <w:lvlJc w:val="left"/>
      <w:pPr>
        <w:ind w:left="1080" w:hanging="360"/>
      </w:pPr>
      <w:rPr>
        <w:rFonts w:ascii="Symbol" w:hAnsi="Symbol" w:hint="default"/>
        <w:color w:val="auto"/>
        <w:sz w:val="14"/>
        <w:szCs w:val="14"/>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3FEA3BCA"/>
    <w:multiLevelType w:val="hybridMultilevel"/>
    <w:tmpl w:val="FDF680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20906C0"/>
    <w:multiLevelType w:val="hybridMultilevel"/>
    <w:tmpl w:val="566A8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F840A2"/>
    <w:multiLevelType w:val="hybridMultilevel"/>
    <w:tmpl w:val="7E286738"/>
    <w:lvl w:ilvl="0" w:tplc="721C1B3C">
      <w:start w:val="1"/>
      <w:numFmt w:val="bullet"/>
      <w:lvlText w:val=""/>
      <w:lvlJc w:val="left"/>
      <w:pPr>
        <w:ind w:left="720" w:hanging="360"/>
      </w:pPr>
      <w:rPr>
        <w:rFonts w:ascii="Symbol" w:hAnsi="Symbol" w:hint="default"/>
        <w:color w:val="auto"/>
        <w:sz w:val="14"/>
        <w:szCs w:val="1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7855AEA"/>
    <w:multiLevelType w:val="hybridMultilevel"/>
    <w:tmpl w:val="823A7F98"/>
    <w:lvl w:ilvl="0" w:tplc="7F0EC6C0">
      <w:start w:val="1"/>
      <w:numFmt w:val="decimal"/>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C265515"/>
    <w:multiLevelType w:val="hybridMultilevel"/>
    <w:tmpl w:val="784C6B9E"/>
    <w:lvl w:ilvl="0" w:tplc="721C1B3C">
      <w:start w:val="1"/>
      <w:numFmt w:val="bullet"/>
      <w:lvlText w:val=""/>
      <w:lvlJc w:val="left"/>
      <w:pPr>
        <w:ind w:left="720" w:hanging="360"/>
      </w:pPr>
      <w:rPr>
        <w:rFonts w:ascii="Symbol" w:hAnsi="Symbol" w:hint="default"/>
        <w:color w:val="auto"/>
        <w:sz w:val="14"/>
        <w:szCs w:val="1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F0A5A55"/>
    <w:multiLevelType w:val="multilevel"/>
    <w:tmpl w:val="79948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A61D34"/>
    <w:multiLevelType w:val="hybridMultilevel"/>
    <w:tmpl w:val="08B8D1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1D0361D"/>
    <w:multiLevelType w:val="hybridMultilevel"/>
    <w:tmpl w:val="7D128546"/>
    <w:lvl w:ilvl="0" w:tplc="721C1B3C">
      <w:start w:val="1"/>
      <w:numFmt w:val="bullet"/>
      <w:lvlText w:val=""/>
      <w:lvlJc w:val="left"/>
      <w:pPr>
        <w:ind w:left="1080" w:hanging="360"/>
      </w:pPr>
      <w:rPr>
        <w:rFonts w:ascii="Symbol" w:hAnsi="Symbol" w:hint="default"/>
        <w:color w:val="auto"/>
        <w:sz w:val="14"/>
        <w:szCs w:val="14"/>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15:restartNumberingAfterBreak="0">
    <w:nsid w:val="643C0DF3"/>
    <w:multiLevelType w:val="hybridMultilevel"/>
    <w:tmpl w:val="88BC3466"/>
    <w:lvl w:ilvl="0" w:tplc="721C1B3C">
      <w:start w:val="1"/>
      <w:numFmt w:val="bullet"/>
      <w:lvlText w:val=""/>
      <w:lvlJc w:val="left"/>
      <w:pPr>
        <w:ind w:left="1080" w:hanging="360"/>
      </w:pPr>
      <w:rPr>
        <w:rFonts w:ascii="Symbol" w:hAnsi="Symbol" w:hint="default"/>
        <w:color w:val="auto"/>
        <w:sz w:val="14"/>
        <w:szCs w:val="14"/>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15:restartNumberingAfterBreak="0">
    <w:nsid w:val="64DD3309"/>
    <w:multiLevelType w:val="hybridMultilevel"/>
    <w:tmpl w:val="5B2038BE"/>
    <w:lvl w:ilvl="0" w:tplc="721C1B3C">
      <w:start w:val="1"/>
      <w:numFmt w:val="bullet"/>
      <w:lvlText w:val=""/>
      <w:lvlJc w:val="left"/>
      <w:pPr>
        <w:ind w:left="720" w:hanging="360"/>
      </w:pPr>
      <w:rPr>
        <w:rFonts w:ascii="Symbol" w:hAnsi="Symbol" w:hint="default"/>
        <w:color w:val="auto"/>
        <w:sz w:val="14"/>
        <w:szCs w:val="1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9687A42"/>
    <w:multiLevelType w:val="hybridMultilevel"/>
    <w:tmpl w:val="5C4C5DEA"/>
    <w:lvl w:ilvl="0" w:tplc="C4DCC652">
      <w:start w:val="1"/>
      <w:numFmt w:val="bullet"/>
      <w:lvlText w:val="-"/>
      <w:lvlJc w:val="left"/>
      <w:pPr>
        <w:ind w:left="720" w:hanging="360"/>
      </w:pPr>
      <w:rPr>
        <w:rFonts w:ascii="Aptos" w:hAnsi="Apto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F1E3292"/>
    <w:multiLevelType w:val="hybridMultilevel"/>
    <w:tmpl w:val="7F30D1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B64004F"/>
    <w:multiLevelType w:val="hybridMultilevel"/>
    <w:tmpl w:val="EAF07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CE7018D"/>
    <w:multiLevelType w:val="hybridMultilevel"/>
    <w:tmpl w:val="0C56A8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E1E08B2"/>
    <w:multiLevelType w:val="hybridMultilevel"/>
    <w:tmpl w:val="9446BFCA"/>
    <w:lvl w:ilvl="0" w:tplc="2014FE24">
      <w:start w:val="1"/>
      <w:numFmt w:val="bullet"/>
      <w:lvlText w:val="•"/>
      <w:lvlJc w:val="left"/>
      <w:pPr>
        <w:tabs>
          <w:tab w:val="num" w:pos="720"/>
        </w:tabs>
        <w:ind w:left="720" w:hanging="360"/>
      </w:pPr>
      <w:rPr>
        <w:rFonts w:ascii="Arial" w:hAnsi="Arial" w:hint="default"/>
      </w:rPr>
    </w:lvl>
    <w:lvl w:ilvl="1" w:tplc="5366EEF0" w:tentative="1">
      <w:start w:val="1"/>
      <w:numFmt w:val="bullet"/>
      <w:lvlText w:val="•"/>
      <w:lvlJc w:val="left"/>
      <w:pPr>
        <w:tabs>
          <w:tab w:val="num" w:pos="1440"/>
        </w:tabs>
        <w:ind w:left="1440" w:hanging="360"/>
      </w:pPr>
      <w:rPr>
        <w:rFonts w:ascii="Arial" w:hAnsi="Arial" w:hint="default"/>
      </w:rPr>
    </w:lvl>
    <w:lvl w:ilvl="2" w:tplc="36EA054C" w:tentative="1">
      <w:start w:val="1"/>
      <w:numFmt w:val="bullet"/>
      <w:lvlText w:val="•"/>
      <w:lvlJc w:val="left"/>
      <w:pPr>
        <w:tabs>
          <w:tab w:val="num" w:pos="2160"/>
        </w:tabs>
        <w:ind w:left="2160" w:hanging="360"/>
      </w:pPr>
      <w:rPr>
        <w:rFonts w:ascii="Arial" w:hAnsi="Arial" w:hint="default"/>
      </w:rPr>
    </w:lvl>
    <w:lvl w:ilvl="3" w:tplc="99421F78" w:tentative="1">
      <w:start w:val="1"/>
      <w:numFmt w:val="bullet"/>
      <w:lvlText w:val="•"/>
      <w:lvlJc w:val="left"/>
      <w:pPr>
        <w:tabs>
          <w:tab w:val="num" w:pos="2880"/>
        </w:tabs>
        <w:ind w:left="2880" w:hanging="360"/>
      </w:pPr>
      <w:rPr>
        <w:rFonts w:ascii="Arial" w:hAnsi="Arial" w:hint="default"/>
      </w:rPr>
    </w:lvl>
    <w:lvl w:ilvl="4" w:tplc="864C8BD6" w:tentative="1">
      <w:start w:val="1"/>
      <w:numFmt w:val="bullet"/>
      <w:lvlText w:val="•"/>
      <w:lvlJc w:val="left"/>
      <w:pPr>
        <w:tabs>
          <w:tab w:val="num" w:pos="3600"/>
        </w:tabs>
        <w:ind w:left="3600" w:hanging="360"/>
      </w:pPr>
      <w:rPr>
        <w:rFonts w:ascii="Arial" w:hAnsi="Arial" w:hint="default"/>
      </w:rPr>
    </w:lvl>
    <w:lvl w:ilvl="5" w:tplc="333AC420" w:tentative="1">
      <w:start w:val="1"/>
      <w:numFmt w:val="bullet"/>
      <w:lvlText w:val="•"/>
      <w:lvlJc w:val="left"/>
      <w:pPr>
        <w:tabs>
          <w:tab w:val="num" w:pos="4320"/>
        </w:tabs>
        <w:ind w:left="4320" w:hanging="360"/>
      </w:pPr>
      <w:rPr>
        <w:rFonts w:ascii="Arial" w:hAnsi="Arial" w:hint="default"/>
      </w:rPr>
    </w:lvl>
    <w:lvl w:ilvl="6" w:tplc="B7D88EF0" w:tentative="1">
      <w:start w:val="1"/>
      <w:numFmt w:val="bullet"/>
      <w:lvlText w:val="•"/>
      <w:lvlJc w:val="left"/>
      <w:pPr>
        <w:tabs>
          <w:tab w:val="num" w:pos="5040"/>
        </w:tabs>
        <w:ind w:left="5040" w:hanging="360"/>
      </w:pPr>
      <w:rPr>
        <w:rFonts w:ascii="Arial" w:hAnsi="Arial" w:hint="default"/>
      </w:rPr>
    </w:lvl>
    <w:lvl w:ilvl="7" w:tplc="0054F022" w:tentative="1">
      <w:start w:val="1"/>
      <w:numFmt w:val="bullet"/>
      <w:lvlText w:val="•"/>
      <w:lvlJc w:val="left"/>
      <w:pPr>
        <w:tabs>
          <w:tab w:val="num" w:pos="5760"/>
        </w:tabs>
        <w:ind w:left="5760" w:hanging="360"/>
      </w:pPr>
      <w:rPr>
        <w:rFonts w:ascii="Arial" w:hAnsi="Arial" w:hint="default"/>
      </w:rPr>
    </w:lvl>
    <w:lvl w:ilvl="8" w:tplc="0D54CA96" w:tentative="1">
      <w:start w:val="1"/>
      <w:numFmt w:val="bullet"/>
      <w:lvlText w:val="•"/>
      <w:lvlJc w:val="left"/>
      <w:pPr>
        <w:tabs>
          <w:tab w:val="num" w:pos="6480"/>
        </w:tabs>
        <w:ind w:left="6480" w:hanging="360"/>
      </w:pPr>
      <w:rPr>
        <w:rFonts w:ascii="Arial" w:hAnsi="Arial" w:hint="default"/>
      </w:rPr>
    </w:lvl>
  </w:abstractNum>
  <w:num w:numId="1" w16cid:durableId="649753821">
    <w:abstractNumId w:val="11"/>
  </w:num>
  <w:num w:numId="2" w16cid:durableId="414786059">
    <w:abstractNumId w:val="15"/>
  </w:num>
  <w:num w:numId="3" w16cid:durableId="1226599350">
    <w:abstractNumId w:val="22"/>
  </w:num>
  <w:num w:numId="4" w16cid:durableId="1819375130">
    <w:abstractNumId w:val="26"/>
  </w:num>
  <w:num w:numId="5" w16cid:durableId="2142333927">
    <w:abstractNumId w:val="1"/>
  </w:num>
  <w:num w:numId="6" w16cid:durableId="694381859">
    <w:abstractNumId w:val="27"/>
  </w:num>
  <w:num w:numId="7" w16cid:durableId="421684041">
    <w:abstractNumId w:val="2"/>
  </w:num>
  <w:num w:numId="8" w16cid:durableId="503322285">
    <w:abstractNumId w:val="8"/>
  </w:num>
  <w:num w:numId="9" w16cid:durableId="773860538">
    <w:abstractNumId w:val="0"/>
  </w:num>
  <w:num w:numId="10" w16cid:durableId="439030252">
    <w:abstractNumId w:val="14"/>
  </w:num>
  <w:num w:numId="11" w16cid:durableId="1368410020">
    <w:abstractNumId w:val="16"/>
  </w:num>
  <w:num w:numId="12" w16cid:durableId="960309941">
    <w:abstractNumId w:val="7"/>
  </w:num>
  <w:num w:numId="13" w16cid:durableId="112479648">
    <w:abstractNumId w:val="23"/>
  </w:num>
  <w:num w:numId="14" w16cid:durableId="65618193">
    <w:abstractNumId w:val="19"/>
  </w:num>
  <w:num w:numId="15" w16cid:durableId="1839029393">
    <w:abstractNumId w:val="24"/>
  </w:num>
  <w:num w:numId="16" w16cid:durableId="2025550230">
    <w:abstractNumId w:val="18"/>
  </w:num>
  <w:num w:numId="17" w16cid:durableId="430395672">
    <w:abstractNumId w:val="13"/>
  </w:num>
  <w:num w:numId="18" w16cid:durableId="889656157">
    <w:abstractNumId w:val="25"/>
  </w:num>
  <w:num w:numId="19" w16cid:durableId="2011442097">
    <w:abstractNumId w:val="10"/>
  </w:num>
  <w:num w:numId="20" w16cid:durableId="1251739842">
    <w:abstractNumId w:val="12"/>
  </w:num>
  <w:num w:numId="21" w16cid:durableId="1336803918">
    <w:abstractNumId w:val="6"/>
  </w:num>
  <w:num w:numId="22" w16cid:durableId="1118792343">
    <w:abstractNumId w:val="21"/>
  </w:num>
  <w:num w:numId="23" w16cid:durableId="531117520">
    <w:abstractNumId w:val="5"/>
  </w:num>
  <w:num w:numId="24" w16cid:durableId="335306440">
    <w:abstractNumId w:val="20"/>
  </w:num>
  <w:num w:numId="25" w16cid:durableId="171997996">
    <w:abstractNumId w:val="3"/>
  </w:num>
  <w:num w:numId="26" w16cid:durableId="2080594668">
    <w:abstractNumId w:val="17"/>
  </w:num>
  <w:num w:numId="27" w16cid:durableId="1417290743">
    <w:abstractNumId w:val="9"/>
  </w:num>
  <w:num w:numId="28" w16cid:durableId="11603438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3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229"/>
    <w:rsid w:val="000119CD"/>
    <w:rsid w:val="00061ED1"/>
    <w:rsid w:val="00074360"/>
    <w:rsid w:val="0015610F"/>
    <w:rsid w:val="001565E4"/>
    <w:rsid w:val="001943E7"/>
    <w:rsid w:val="00262E1D"/>
    <w:rsid w:val="00267E7B"/>
    <w:rsid w:val="002B7100"/>
    <w:rsid w:val="002C5564"/>
    <w:rsid w:val="002D081F"/>
    <w:rsid w:val="002E511D"/>
    <w:rsid w:val="0031364D"/>
    <w:rsid w:val="00335229"/>
    <w:rsid w:val="00344D41"/>
    <w:rsid w:val="00376865"/>
    <w:rsid w:val="003A7C1D"/>
    <w:rsid w:val="004137C8"/>
    <w:rsid w:val="00421DA6"/>
    <w:rsid w:val="00461614"/>
    <w:rsid w:val="00492189"/>
    <w:rsid w:val="004A5D8E"/>
    <w:rsid w:val="004E75DA"/>
    <w:rsid w:val="00501109"/>
    <w:rsid w:val="005346DD"/>
    <w:rsid w:val="0054073D"/>
    <w:rsid w:val="005870E5"/>
    <w:rsid w:val="005F5C74"/>
    <w:rsid w:val="006348FC"/>
    <w:rsid w:val="00634E12"/>
    <w:rsid w:val="00652BAE"/>
    <w:rsid w:val="00692BC5"/>
    <w:rsid w:val="006A4B56"/>
    <w:rsid w:val="006E6D82"/>
    <w:rsid w:val="00783BFF"/>
    <w:rsid w:val="007910E5"/>
    <w:rsid w:val="007B073F"/>
    <w:rsid w:val="00803FAC"/>
    <w:rsid w:val="008478F0"/>
    <w:rsid w:val="00896E4E"/>
    <w:rsid w:val="008A60BA"/>
    <w:rsid w:val="008A7D41"/>
    <w:rsid w:val="009452A2"/>
    <w:rsid w:val="00970595"/>
    <w:rsid w:val="009A00E5"/>
    <w:rsid w:val="009F06A6"/>
    <w:rsid w:val="00A83693"/>
    <w:rsid w:val="00A95F5B"/>
    <w:rsid w:val="00A9648B"/>
    <w:rsid w:val="00AE106F"/>
    <w:rsid w:val="00AE75D5"/>
    <w:rsid w:val="00AF0FA2"/>
    <w:rsid w:val="00B3039D"/>
    <w:rsid w:val="00B62DFB"/>
    <w:rsid w:val="00B63B77"/>
    <w:rsid w:val="00B96B18"/>
    <w:rsid w:val="00C33B17"/>
    <w:rsid w:val="00C669EB"/>
    <w:rsid w:val="00CB55FA"/>
    <w:rsid w:val="00CC7BD6"/>
    <w:rsid w:val="00CD529B"/>
    <w:rsid w:val="00CE31FF"/>
    <w:rsid w:val="00D13E55"/>
    <w:rsid w:val="00D47293"/>
    <w:rsid w:val="00D93A69"/>
    <w:rsid w:val="00D95729"/>
    <w:rsid w:val="00D97B2B"/>
    <w:rsid w:val="00D97FFE"/>
    <w:rsid w:val="00DA604B"/>
    <w:rsid w:val="00DC3A78"/>
    <w:rsid w:val="00DE748A"/>
    <w:rsid w:val="00DF311C"/>
    <w:rsid w:val="00E20F0C"/>
    <w:rsid w:val="00E76EB5"/>
    <w:rsid w:val="00F111DD"/>
    <w:rsid w:val="00F41C52"/>
    <w:rsid w:val="00FE6BD1"/>
    <w:rsid w:val="0858515E"/>
    <w:rsid w:val="08A30BF4"/>
    <w:rsid w:val="100BC3F9"/>
    <w:rsid w:val="1480112F"/>
    <w:rsid w:val="1E890DF2"/>
    <w:rsid w:val="267AF77A"/>
    <w:rsid w:val="274CD7EB"/>
    <w:rsid w:val="27E44749"/>
    <w:rsid w:val="2E1C68D6"/>
    <w:rsid w:val="3AA4D70F"/>
    <w:rsid w:val="3D611C5E"/>
    <w:rsid w:val="3DDA2ABF"/>
    <w:rsid w:val="3F75FB20"/>
    <w:rsid w:val="4995CE38"/>
    <w:rsid w:val="4CC6648A"/>
    <w:rsid w:val="58CBEDA7"/>
    <w:rsid w:val="749E6807"/>
    <w:rsid w:val="78BBB8B1"/>
    <w:rsid w:val="7CD230D3"/>
    <w:rsid w:val="7CFB3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2651E"/>
  <w15:chartTrackingRefBased/>
  <w15:docId w15:val="{734D1A35-5615-49DC-B4D2-306994825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aliases w:val="Note de bas de page Car Char,Footnote Text Char Char Char1,Char Char,Fußnote Char,single space Char1,footnote text Char,FOOTNOTES Char,fn Char,ft Char1,ADB Char,pod carou Char,Fußnotentext Char Char,Footnote Text Char Char Char Char"/>
    <w:basedOn w:val="DefaultParagraphFont"/>
    <w:link w:val="FootnoteText"/>
    <w:uiPriority w:val="99"/>
    <w:qFormat/>
    <w:locked/>
    <w:rsid w:val="00A9648B"/>
    <w:rPr>
      <w:rFonts w:ascii="Calibri" w:eastAsiaTheme="minorEastAsia" w:hAnsi="Calibri" w:cs="Calibri"/>
      <w:sz w:val="16"/>
      <w:szCs w:val="16"/>
    </w:rPr>
  </w:style>
  <w:style w:type="paragraph" w:styleId="FootnoteText">
    <w:name w:val="footnote text"/>
    <w:aliases w:val="Note de bas de page Car,Footnote Text Char Char,Char,Fußnote,single space,footnote text,FOOTNOTES,fn,ft,ADB,pod carou,Fußnotentext Char,Footnote Text Char Char Char,single space Char,ft Char,Footnote,n,Podrozdział"/>
    <w:basedOn w:val="Normal"/>
    <w:link w:val="FootnoteTextChar"/>
    <w:uiPriority w:val="99"/>
    <w:unhideWhenUsed/>
    <w:qFormat/>
    <w:rsid w:val="00A9648B"/>
    <w:pPr>
      <w:spacing w:after="0" w:line="240" w:lineRule="auto"/>
    </w:pPr>
    <w:rPr>
      <w:rFonts w:ascii="Calibri" w:eastAsiaTheme="minorEastAsia" w:hAnsi="Calibri" w:cs="Calibri"/>
      <w:sz w:val="16"/>
      <w:szCs w:val="16"/>
    </w:rPr>
  </w:style>
  <w:style w:type="character" w:customStyle="1" w:styleId="FootnoteTextChar1">
    <w:name w:val="Footnote Text Char1"/>
    <w:basedOn w:val="DefaultParagraphFont"/>
    <w:uiPriority w:val="99"/>
    <w:semiHidden/>
    <w:rsid w:val="00A9648B"/>
    <w:rPr>
      <w:sz w:val="20"/>
      <w:szCs w:val="20"/>
    </w:rPr>
  </w:style>
  <w:style w:type="paragraph" w:styleId="Header">
    <w:name w:val="header"/>
    <w:basedOn w:val="Normal"/>
    <w:link w:val="HeaderChar"/>
    <w:uiPriority w:val="99"/>
    <w:unhideWhenUsed/>
    <w:rsid w:val="00A9648B"/>
    <w:pPr>
      <w:tabs>
        <w:tab w:val="center" w:pos="4680"/>
        <w:tab w:val="right" w:pos="9360"/>
      </w:tabs>
      <w:spacing w:after="0" w:line="240" w:lineRule="auto"/>
    </w:pPr>
    <w:rPr>
      <w:rFonts w:ascii="Calibri" w:eastAsiaTheme="minorEastAsia" w:hAnsi="Calibri" w:cs="Calibri"/>
      <w:lang w:eastAsia="en-GB"/>
    </w:rPr>
  </w:style>
  <w:style w:type="character" w:customStyle="1" w:styleId="HeaderChar">
    <w:name w:val="Header Char"/>
    <w:basedOn w:val="DefaultParagraphFont"/>
    <w:link w:val="Header"/>
    <w:uiPriority w:val="99"/>
    <w:rsid w:val="00A9648B"/>
    <w:rPr>
      <w:rFonts w:ascii="Calibri" w:eastAsiaTheme="minorEastAsia" w:hAnsi="Calibri" w:cs="Calibri"/>
      <w:lang w:eastAsia="en-GB"/>
    </w:rPr>
  </w:style>
  <w:style w:type="character" w:styleId="FootnoteReference">
    <w:name w:val="footnote reference"/>
    <w:aliases w:val="callout,Footnotes refss,Footnote Refernece,Fußnotenzeichen_Raxen,Footnote Reference Number,BVI fnr,4_G,ftref,Footnote text,Ref. de nota al pie1,Appel note de bas de p,Footnote Reference6,BVI fnr Char Char Char Char,BVI fnr Char"/>
    <w:basedOn w:val="DefaultParagraphFont"/>
    <w:link w:val="FootnotesymbolCarZchn"/>
    <w:unhideWhenUsed/>
    <w:qFormat/>
    <w:rsid w:val="00A9648B"/>
    <w:rPr>
      <w:rFonts w:ascii="Times New Roman" w:hAnsi="Times New Roman" w:cs="Times New Roman"/>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rsid w:val="00A9648B"/>
    <w:pPr>
      <w:spacing w:line="240" w:lineRule="exact"/>
      <w:jc w:val="both"/>
    </w:pPr>
    <w:rPr>
      <w:rFonts w:ascii="Times New Roman" w:hAnsi="Times New Roman" w:cs="Times New Roman"/>
      <w:vertAlign w:val="superscript"/>
    </w:rPr>
  </w:style>
  <w:style w:type="paragraph" w:customStyle="1" w:styleId="Default">
    <w:name w:val="Default"/>
    <w:rsid w:val="00A9648B"/>
    <w:pPr>
      <w:autoSpaceDE w:val="0"/>
      <w:autoSpaceDN w:val="0"/>
      <w:adjustRightInd w:val="0"/>
      <w:spacing w:after="0" w:line="240" w:lineRule="auto"/>
    </w:pPr>
    <w:rPr>
      <w:rFonts w:ascii="Calibri" w:hAnsi="Calibri" w:cs="Calibri"/>
      <w:color w:val="000000"/>
      <w:sz w:val="24"/>
      <w:szCs w:val="24"/>
      <w:lang w:val="en-US"/>
    </w:rPr>
  </w:style>
  <w:style w:type="paragraph" w:styleId="Footer">
    <w:name w:val="footer"/>
    <w:basedOn w:val="Normal"/>
    <w:link w:val="FooterChar"/>
    <w:uiPriority w:val="99"/>
    <w:unhideWhenUsed/>
    <w:rsid w:val="00A964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648B"/>
  </w:style>
  <w:style w:type="character" w:styleId="Hyperlink">
    <w:name w:val="Hyperlink"/>
    <w:basedOn w:val="DefaultParagraphFont"/>
    <w:uiPriority w:val="99"/>
    <w:unhideWhenUsed/>
    <w:rsid w:val="00A9648B"/>
    <w:rPr>
      <w:color w:val="0563C1" w:themeColor="hyperlink"/>
      <w:u w:val="single"/>
    </w:rPr>
  </w:style>
  <w:style w:type="paragraph" w:styleId="ListParagraph">
    <w:name w:val="List Paragraph"/>
    <w:basedOn w:val="Normal"/>
    <w:link w:val="ListParagraphChar"/>
    <w:uiPriority w:val="34"/>
    <w:qFormat/>
    <w:rsid w:val="00A9648B"/>
    <w:pPr>
      <w:ind w:left="720"/>
      <w:contextualSpacing/>
    </w:pPr>
    <w:rPr>
      <w:lang w:val="fi-FI"/>
    </w:rPr>
  </w:style>
  <w:style w:type="character" w:customStyle="1" w:styleId="portlet-title-text">
    <w:name w:val="portlet-title-text"/>
    <w:basedOn w:val="DefaultParagraphFont"/>
    <w:rsid w:val="00A9648B"/>
  </w:style>
  <w:style w:type="character" w:styleId="UnresolvedMention">
    <w:name w:val="Unresolved Mention"/>
    <w:basedOn w:val="DefaultParagraphFont"/>
    <w:uiPriority w:val="99"/>
    <w:semiHidden/>
    <w:unhideWhenUsed/>
    <w:rsid w:val="00A9648B"/>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ListParagraphChar">
    <w:name w:val="List Paragraph Char"/>
    <w:basedOn w:val="DefaultParagraphFont"/>
    <w:link w:val="ListParagraph"/>
    <w:uiPriority w:val="34"/>
    <w:locked/>
    <w:rsid w:val="008A60BA"/>
    <w:rPr>
      <w:lang w:val="fi-FI"/>
    </w:rPr>
  </w:style>
  <w:style w:type="paragraph" w:styleId="Revision">
    <w:name w:val="Revision"/>
    <w:hidden/>
    <w:uiPriority w:val="99"/>
    <w:semiHidden/>
    <w:rsid w:val="00CC7BD6"/>
    <w:pPr>
      <w:spacing w:after="0" w:line="240" w:lineRule="auto"/>
    </w:pPr>
  </w:style>
  <w:style w:type="paragraph" w:styleId="NormalWeb">
    <w:name w:val="Normal (Web)"/>
    <w:basedOn w:val="Normal"/>
    <w:uiPriority w:val="99"/>
    <w:semiHidden/>
    <w:unhideWhenUsed/>
    <w:rsid w:val="00267E7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FollowedHyperlink">
    <w:name w:val="FollowedHyperlink"/>
    <w:basedOn w:val="DefaultParagraphFont"/>
    <w:uiPriority w:val="99"/>
    <w:semiHidden/>
    <w:unhideWhenUsed/>
    <w:rsid w:val="00492189"/>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AE75D5"/>
    <w:rPr>
      <w:b/>
      <w:bCs/>
    </w:rPr>
  </w:style>
  <w:style w:type="character" w:customStyle="1" w:styleId="CommentSubjectChar">
    <w:name w:val="Comment Subject Char"/>
    <w:basedOn w:val="CommentTextChar"/>
    <w:link w:val="CommentSubject"/>
    <w:uiPriority w:val="99"/>
    <w:semiHidden/>
    <w:rsid w:val="00AE75D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3481">
      <w:bodyDiv w:val="1"/>
      <w:marLeft w:val="0"/>
      <w:marRight w:val="0"/>
      <w:marTop w:val="0"/>
      <w:marBottom w:val="0"/>
      <w:divBdr>
        <w:top w:val="none" w:sz="0" w:space="0" w:color="auto"/>
        <w:left w:val="none" w:sz="0" w:space="0" w:color="auto"/>
        <w:bottom w:val="none" w:sz="0" w:space="0" w:color="auto"/>
        <w:right w:val="none" w:sz="0" w:space="0" w:color="auto"/>
      </w:divBdr>
      <w:divsChild>
        <w:div w:id="2065905463">
          <w:marLeft w:val="360"/>
          <w:marRight w:val="0"/>
          <w:marTop w:val="200"/>
          <w:marBottom w:val="0"/>
          <w:divBdr>
            <w:top w:val="none" w:sz="0" w:space="0" w:color="auto"/>
            <w:left w:val="none" w:sz="0" w:space="0" w:color="auto"/>
            <w:bottom w:val="none" w:sz="0" w:space="0" w:color="auto"/>
            <w:right w:val="none" w:sz="0" w:space="0" w:color="auto"/>
          </w:divBdr>
        </w:div>
        <w:div w:id="1060176685">
          <w:marLeft w:val="360"/>
          <w:marRight w:val="0"/>
          <w:marTop w:val="200"/>
          <w:marBottom w:val="0"/>
          <w:divBdr>
            <w:top w:val="none" w:sz="0" w:space="0" w:color="auto"/>
            <w:left w:val="none" w:sz="0" w:space="0" w:color="auto"/>
            <w:bottom w:val="none" w:sz="0" w:space="0" w:color="auto"/>
            <w:right w:val="none" w:sz="0" w:space="0" w:color="auto"/>
          </w:divBdr>
        </w:div>
        <w:div w:id="233709820">
          <w:marLeft w:val="360"/>
          <w:marRight w:val="0"/>
          <w:marTop w:val="200"/>
          <w:marBottom w:val="0"/>
          <w:divBdr>
            <w:top w:val="none" w:sz="0" w:space="0" w:color="auto"/>
            <w:left w:val="none" w:sz="0" w:space="0" w:color="auto"/>
            <w:bottom w:val="none" w:sz="0" w:space="0" w:color="auto"/>
            <w:right w:val="none" w:sz="0" w:space="0" w:color="auto"/>
          </w:divBdr>
        </w:div>
      </w:divsChild>
    </w:div>
    <w:div w:id="89352244">
      <w:bodyDiv w:val="1"/>
      <w:marLeft w:val="0"/>
      <w:marRight w:val="0"/>
      <w:marTop w:val="0"/>
      <w:marBottom w:val="0"/>
      <w:divBdr>
        <w:top w:val="none" w:sz="0" w:space="0" w:color="auto"/>
        <w:left w:val="none" w:sz="0" w:space="0" w:color="auto"/>
        <w:bottom w:val="none" w:sz="0" w:space="0" w:color="auto"/>
        <w:right w:val="none" w:sz="0" w:space="0" w:color="auto"/>
      </w:divBdr>
    </w:div>
    <w:div w:id="186258870">
      <w:bodyDiv w:val="1"/>
      <w:marLeft w:val="0"/>
      <w:marRight w:val="0"/>
      <w:marTop w:val="0"/>
      <w:marBottom w:val="0"/>
      <w:divBdr>
        <w:top w:val="none" w:sz="0" w:space="0" w:color="auto"/>
        <w:left w:val="none" w:sz="0" w:space="0" w:color="auto"/>
        <w:bottom w:val="none" w:sz="0" w:space="0" w:color="auto"/>
        <w:right w:val="none" w:sz="0" w:space="0" w:color="auto"/>
      </w:divBdr>
    </w:div>
    <w:div w:id="228343650">
      <w:bodyDiv w:val="1"/>
      <w:marLeft w:val="0"/>
      <w:marRight w:val="0"/>
      <w:marTop w:val="0"/>
      <w:marBottom w:val="0"/>
      <w:divBdr>
        <w:top w:val="none" w:sz="0" w:space="0" w:color="auto"/>
        <w:left w:val="none" w:sz="0" w:space="0" w:color="auto"/>
        <w:bottom w:val="none" w:sz="0" w:space="0" w:color="auto"/>
        <w:right w:val="none" w:sz="0" w:space="0" w:color="auto"/>
      </w:divBdr>
    </w:div>
    <w:div w:id="228729283">
      <w:bodyDiv w:val="1"/>
      <w:marLeft w:val="0"/>
      <w:marRight w:val="0"/>
      <w:marTop w:val="0"/>
      <w:marBottom w:val="0"/>
      <w:divBdr>
        <w:top w:val="none" w:sz="0" w:space="0" w:color="auto"/>
        <w:left w:val="none" w:sz="0" w:space="0" w:color="auto"/>
        <w:bottom w:val="none" w:sz="0" w:space="0" w:color="auto"/>
        <w:right w:val="none" w:sz="0" w:space="0" w:color="auto"/>
      </w:divBdr>
    </w:div>
    <w:div w:id="493183589">
      <w:bodyDiv w:val="1"/>
      <w:marLeft w:val="0"/>
      <w:marRight w:val="0"/>
      <w:marTop w:val="0"/>
      <w:marBottom w:val="0"/>
      <w:divBdr>
        <w:top w:val="none" w:sz="0" w:space="0" w:color="auto"/>
        <w:left w:val="none" w:sz="0" w:space="0" w:color="auto"/>
        <w:bottom w:val="none" w:sz="0" w:space="0" w:color="auto"/>
        <w:right w:val="none" w:sz="0" w:space="0" w:color="auto"/>
      </w:divBdr>
    </w:div>
    <w:div w:id="641036943">
      <w:bodyDiv w:val="1"/>
      <w:marLeft w:val="0"/>
      <w:marRight w:val="0"/>
      <w:marTop w:val="0"/>
      <w:marBottom w:val="0"/>
      <w:divBdr>
        <w:top w:val="none" w:sz="0" w:space="0" w:color="auto"/>
        <w:left w:val="none" w:sz="0" w:space="0" w:color="auto"/>
        <w:bottom w:val="none" w:sz="0" w:space="0" w:color="auto"/>
        <w:right w:val="none" w:sz="0" w:space="0" w:color="auto"/>
      </w:divBdr>
    </w:div>
    <w:div w:id="798452649">
      <w:bodyDiv w:val="1"/>
      <w:marLeft w:val="0"/>
      <w:marRight w:val="0"/>
      <w:marTop w:val="0"/>
      <w:marBottom w:val="0"/>
      <w:divBdr>
        <w:top w:val="none" w:sz="0" w:space="0" w:color="auto"/>
        <w:left w:val="none" w:sz="0" w:space="0" w:color="auto"/>
        <w:bottom w:val="none" w:sz="0" w:space="0" w:color="auto"/>
        <w:right w:val="none" w:sz="0" w:space="0" w:color="auto"/>
      </w:divBdr>
      <w:divsChild>
        <w:div w:id="872883144">
          <w:marLeft w:val="360"/>
          <w:marRight w:val="0"/>
          <w:marTop w:val="200"/>
          <w:marBottom w:val="0"/>
          <w:divBdr>
            <w:top w:val="none" w:sz="0" w:space="0" w:color="auto"/>
            <w:left w:val="none" w:sz="0" w:space="0" w:color="auto"/>
            <w:bottom w:val="none" w:sz="0" w:space="0" w:color="auto"/>
            <w:right w:val="none" w:sz="0" w:space="0" w:color="auto"/>
          </w:divBdr>
        </w:div>
        <w:div w:id="2005038846">
          <w:marLeft w:val="360"/>
          <w:marRight w:val="0"/>
          <w:marTop w:val="200"/>
          <w:marBottom w:val="0"/>
          <w:divBdr>
            <w:top w:val="none" w:sz="0" w:space="0" w:color="auto"/>
            <w:left w:val="none" w:sz="0" w:space="0" w:color="auto"/>
            <w:bottom w:val="none" w:sz="0" w:space="0" w:color="auto"/>
            <w:right w:val="none" w:sz="0" w:space="0" w:color="auto"/>
          </w:divBdr>
        </w:div>
        <w:div w:id="199979057">
          <w:marLeft w:val="360"/>
          <w:marRight w:val="0"/>
          <w:marTop w:val="200"/>
          <w:marBottom w:val="0"/>
          <w:divBdr>
            <w:top w:val="none" w:sz="0" w:space="0" w:color="auto"/>
            <w:left w:val="none" w:sz="0" w:space="0" w:color="auto"/>
            <w:bottom w:val="none" w:sz="0" w:space="0" w:color="auto"/>
            <w:right w:val="none" w:sz="0" w:space="0" w:color="auto"/>
          </w:divBdr>
        </w:div>
      </w:divsChild>
    </w:div>
    <w:div w:id="846095964">
      <w:bodyDiv w:val="1"/>
      <w:marLeft w:val="0"/>
      <w:marRight w:val="0"/>
      <w:marTop w:val="0"/>
      <w:marBottom w:val="0"/>
      <w:divBdr>
        <w:top w:val="none" w:sz="0" w:space="0" w:color="auto"/>
        <w:left w:val="none" w:sz="0" w:space="0" w:color="auto"/>
        <w:bottom w:val="none" w:sz="0" w:space="0" w:color="auto"/>
        <w:right w:val="none" w:sz="0" w:space="0" w:color="auto"/>
      </w:divBdr>
    </w:div>
    <w:div w:id="1317297495">
      <w:bodyDiv w:val="1"/>
      <w:marLeft w:val="0"/>
      <w:marRight w:val="0"/>
      <w:marTop w:val="0"/>
      <w:marBottom w:val="0"/>
      <w:divBdr>
        <w:top w:val="none" w:sz="0" w:space="0" w:color="auto"/>
        <w:left w:val="none" w:sz="0" w:space="0" w:color="auto"/>
        <w:bottom w:val="none" w:sz="0" w:space="0" w:color="auto"/>
        <w:right w:val="none" w:sz="0" w:space="0" w:color="auto"/>
      </w:divBdr>
    </w:div>
    <w:div w:id="1428231512">
      <w:bodyDiv w:val="1"/>
      <w:marLeft w:val="0"/>
      <w:marRight w:val="0"/>
      <w:marTop w:val="0"/>
      <w:marBottom w:val="0"/>
      <w:divBdr>
        <w:top w:val="none" w:sz="0" w:space="0" w:color="auto"/>
        <w:left w:val="none" w:sz="0" w:space="0" w:color="auto"/>
        <w:bottom w:val="none" w:sz="0" w:space="0" w:color="auto"/>
        <w:right w:val="none" w:sz="0" w:space="0" w:color="auto"/>
      </w:divBdr>
    </w:div>
    <w:div w:id="1546597813">
      <w:bodyDiv w:val="1"/>
      <w:marLeft w:val="0"/>
      <w:marRight w:val="0"/>
      <w:marTop w:val="0"/>
      <w:marBottom w:val="0"/>
      <w:divBdr>
        <w:top w:val="none" w:sz="0" w:space="0" w:color="auto"/>
        <w:left w:val="none" w:sz="0" w:space="0" w:color="auto"/>
        <w:bottom w:val="none" w:sz="0" w:space="0" w:color="auto"/>
        <w:right w:val="none" w:sz="0" w:space="0" w:color="auto"/>
      </w:divBdr>
    </w:div>
    <w:div w:id="1641113377">
      <w:bodyDiv w:val="1"/>
      <w:marLeft w:val="0"/>
      <w:marRight w:val="0"/>
      <w:marTop w:val="0"/>
      <w:marBottom w:val="0"/>
      <w:divBdr>
        <w:top w:val="none" w:sz="0" w:space="0" w:color="auto"/>
        <w:left w:val="none" w:sz="0" w:space="0" w:color="auto"/>
        <w:bottom w:val="none" w:sz="0" w:space="0" w:color="auto"/>
        <w:right w:val="none" w:sz="0" w:space="0" w:color="auto"/>
      </w:divBdr>
    </w:div>
    <w:div w:id="1717512144">
      <w:bodyDiv w:val="1"/>
      <w:marLeft w:val="0"/>
      <w:marRight w:val="0"/>
      <w:marTop w:val="0"/>
      <w:marBottom w:val="0"/>
      <w:divBdr>
        <w:top w:val="none" w:sz="0" w:space="0" w:color="auto"/>
        <w:left w:val="none" w:sz="0" w:space="0" w:color="auto"/>
        <w:bottom w:val="none" w:sz="0" w:space="0" w:color="auto"/>
        <w:right w:val="none" w:sz="0" w:space="0" w:color="auto"/>
      </w:divBdr>
    </w:div>
    <w:div w:id="1973436189">
      <w:bodyDiv w:val="1"/>
      <w:marLeft w:val="0"/>
      <w:marRight w:val="0"/>
      <w:marTop w:val="0"/>
      <w:marBottom w:val="0"/>
      <w:divBdr>
        <w:top w:val="none" w:sz="0" w:space="0" w:color="auto"/>
        <w:left w:val="none" w:sz="0" w:space="0" w:color="auto"/>
        <w:bottom w:val="none" w:sz="0" w:space="0" w:color="auto"/>
        <w:right w:val="none" w:sz="0" w:space="0" w:color="auto"/>
      </w:divBdr>
    </w:div>
    <w:div w:id="1990211839">
      <w:bodyDiv w:val="1"/>
      <w:marLeft w:val="0"/>
      <w:marRight w:val="0"/>
      <w:marTop w:val="0"/>
      <w:marBottom w:val="0"/>
      <w:divBdr>
        <w:top w:val="none" w:sz="0" w:space="0" w:color="auto"/>
        <w:left w:val="none" w:sz="0" w:space="0" w:color="auto"/>
        <w:bottom w:val="none" w:sz="0" w:space="0" w:color="auto"/>
        <w:right w:val="none" w:sz="0" w:space="0" w:color="auto"/>
      </w:divBdr>
    </w:div>
    <w:div w:id="2011642002">
      <w:bodyDiv w:val="1"/>
      <w:marLeft w:val="0"/>
      <w:marRight w:val="0"/>
      <w:marTop w:val="0"/>
      <w:marBottom w:val="0"/>
      <w:divBdr>
        <w:top w:val="none" w:sz="0" w:space="0" w:color="auto"/>
        <w:left w:val="none" w:sz="0" w:space="0" w:color="auto"/>
        <w:bottom w:val="none" w:sz="0" w:space="0" w:color="auto"/>
        <w:right w:val="none" w:sz="0" w:space="0" w:color="auto"/>
      </w:divBdr>
      <w:divsChild>
        <w:div w:id="632175750">
          <w:marLeft w:val="360"/>
          <w:marRight w:val="0"/>
          <w:marTop w:val="200"/>
          <w:marBottom w:val="0"/>
          <w:divBdr>
            <w:top w:val="none" w:sz="0" w:space="0" w:color="auto"/>
            <w:left w:val="none" w:sz="0" w:space="0" w:color="auto"/>
            <w:bottom w:val="none" w:sz="0" w:space="0" w:color="auto"/>
            <w:right w:val="none" w:sz="0" w:space="0" w:color="auto"/>
          </w:divBdr>
        </w:div>
        <w:div w:id="8219010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m.coe.int/strategy-for-roma-and-traveller-inclusion-2026-2030/native/48802b2713" TargetMode="External"/><Relationship Id="rId13" Type="http://schemas.openxmlformats.org/officeDocument/2006/relationships/hyperlink" Target="https://rm.coe.int/toolkit-for-police-officer-council-of-europe-standards-on-racially-mot/1680a619c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arch.coe.int/cm/en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ssembly.coe.int/nw/xml/XRef/Xref-XML2HTML-en.asp?fileid=17908&amp;lang=en" TargetMode="External"/><Relationship Id="rId5" Type="http://schemas.openxmlformats.org/officeDocument/2006/relationships/webSettings" Target="webSettings.xml"/><Relationship Id="rId15" Type="http://schemas.openxmlformats.org/officeDocument/2006/relationships/hyperlink" Target="https://rm.coe.int/prems-113825-eng-2558-cross-country-fact-sheet-volume-2-a4/native/48802ab5cc" TargetMode="External"/><Relationship Id="rId10" Type="http://schemas.openxmlformats.org/officeDocument/2006/relationships/hyperlink" Target="https://rm.coe.int/recommendation-cm-rec-2022-10-multilevel-policies-and-governance-for-i/1680b3b2e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m.coe.int/combating-hate-crime/488010c7e5" TargetMode="External"/><Relationship Id="rId14" Type="http://schemas.openxmlformats.org/officeDocument/2006/relationships/hyperlink" Target="https://rm.coe.int/prems-113825-eng-2558-cross-country-fact-sheet-volume-1-a4/native/48802ab5cb"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strategy-for-roma-and-traveller-inclusion-2026-2030/native/48802b271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83E99-1977-44C0-AB82-7134ECB95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4</Pages>
  <Words>1379</Words>
  <Characters>7585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TABA Oana</dc:creator>
  <cp:keywords/>
  <dc:description/>
  <cp:lastModifiedBy>TABA Oana</cp:lastModifiedBy>
  <cp:revision>11</cp:revision>
  <dcterms:created xsi:type="dcterms:W3CDTF">2025-12-10T14:40:00Z</dcterms:created>
  <dcterms:modified xsi:type="dcterms:W3CDTF">2026-07-01T14:48:00Z</dcterms:modified>
</cp:coreProperties>
</file>