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8A5B8E" w14:textId="77777777" w:rsidR="00EA35A6" w:rsidRPr="00EC54B6" w:rsidRDefault="00EA35A6" w:rsidP="00EA35A6">
      <w:pPr>
        <w:jc w:val="right"/>
        <w:rPr>
          <w:rFonts w:ascii="Arial" w:hAnsi="Arial" w:cs="Arial"/>
          <w:bCs/>
          <w:kern w:val="36"/>
        </w:rPr>
      </w:pPr>
    </w:p>
    <w:p w14:paraId="04E70D5D" w14:textId="77777777" w:rsidR="00EA35A6" w:rsidRPr="00EC54B6" w:rsidRDefault="00EA35A6" w:rsidP="00EA35A6">
      <w:pPr>
        <w:jc w:val="right"/>
        <w:rPr>
          <w:rFonts w:ascii="Arial" w:hAnsi="Arial" w:cs="Arial"/>
          <w:bCs/>
          <w:kern w:val="36"/>
        </w:rPr>
      </w:pPr>
    </w:p>
    <w:p w14:paraId="2EF853CC" w14:textId="77777777" w:rsidR="00EA35A6" w:rsidRPr="00EC54B6" w:rsidRDefault="00EA35A6" w:rsidP="00EA35A6">
      <w:pPr>
        <w:jc w:val="right"/>
        <w:rPr>
          <w:rFonts w:ascii="Arial" w:hAnsi="Arial" w:cs="Arial"/>
          <w:bCs/>
          <w:kern w:val="36"/>
        </w:rPr>
      </w:pPr>
    </w:p>
    <w:p w14:paraId="07B376A1" w14:textId="77777777" w:rsidR="00EA35A6" w:rsidRPr="00EC54B6" w:rsidRDefault="00EA35A6" w:rsidP="00EA35A6">
      <w:pPr>
        <w:jc w:val="right"/>
        <w:rPr>
          <w:rFonts w:ascii="Arial" w:hAnsi="Arial" w:cs="Arial"/>
          <w:bCs/>
          <w:kern w:val="36"/>
        </w:rPr>
      </w:pPr>
    </w:p>
    <w:p w14:paraId="3D444626" w14:textId="77777777" w:rsidR="00824B78" w:rsidRDefault="00824B78" w:rsidP="00EA35A6">
      <w:pPr>
        <w:jc w:val="right"/>
        <w:rPr>
          <w:rFonts w:ascii="Arial" w:hAnsi="Arial" w:cs="Arial"/>
          <w:bCs/>
          <w:kern w:val="36"/>
        </w:rPr>
      </w:pPr>
    </w:p>
    <w:p w14:paraId="0ADAB6D7" w14:textId="29806235" w:rsidR="00EA35A6" w:rsidRPr="00EC54B6" w:rsidRDefault="00EA35A6" w:rsidP="00EA35A6">
      <w:pPr>
        <w:jc w:val="right"/>
        <w:rPr>
          <w:rFonts w:ascii="Arial" w:hAnsi="Arial" w:cs="Arial"/>
          <w:bCs/>
          <w:kern w:val="36"/>
        </w:rPr>
      </w:pPr>
      <w:r w:rsidRPr="00EC54B6">
        <w:rPr>
          <w:rFonts w:ascii="Arial" w:hAnsi="Arial" w:cs="Arial"/>
          <w:bCs/>
          <w:kern w:val="36"/>
        </w:rPr>
        <w:t>DH-SYSC-IV(2021)R</w:t>
      </w:r>
      <w:r w:rsidR="00824B78">
        <w:rPr>
          <w:rFonts w:ascii="Arial" w:hAnsi="Arial" w:cs="Arial"/>
          <w:bCs/>
          <w:kern w:val="36"/>
        </w:rPr>
        <w:t>4</w:t>
      </w:r>
    </w:p>
    <w:p w14:paraId="03A4FA00" w14:textId="10621F56" w:rsidR="00EA35A6" w:rsidRPr="00EC54B6" w:rsidRDefault="00582FAF" w:rsidP="00EA35A6">
      <w:pPr>
        <w:jc w:val="right"/>
        <w:rPr>
          <w:rFonts w:ascii="Arial" w:hAnsi="Arial" w:cs="Arial"/>
          <w:bCs/>
          <w:kern w:val="36"/>
        </w:rPr>
      </w:pPr>
      <w:r>
        <w:rPr>
          <w:rFonts w:ascii="Arial" w:hAnsi="Arial" w:cs="Arial"/>
          <w:bCs/>
          <w:kern w:val="36"/>
        </w:rPr>
        <w:t>2</w:t>
      </w:r>
      <w:r w:rsidR="00824B78">
        <w:rPr>
          <w:rFonts w:ascii="Arial" w:hAnsi="Arial" w:cs="Arial"/>
          <w:bCs/>
          <w:kern w:val="36"/>
        </w:rPr>
        <w:t>4</w:t>
      </w:r>
      <w:r>
        <w:rPr>
          <w:rFonts w:ascii="Arial" w:hAnsi="Arial" w:cs="Arial"/>
          <w:bCs/>
          <w:kern w:val="36"/>
        </w:rPr>
        <w:t>/0</w:t>
      </w:r>
      <w:r w:rsidR="00824B78">
        <w:rPr>
          <w:rFonts w:ascii="Arial" w:hAnsi="Arial" w:cs="Arial"/>
          <w:bCs/>
          <w:kern w:val="36"/>
        </w:rPr>
        <w:t>9</w:t>
      </w:r>
      <w:r w:rsidR="00EA35A6" w:rsidRPr="00EC54B6">
        <w:rPr>
          <w:rFonts w:ascii="Arial" w:hAnsi="Arial" w:cs="Arial"/>
          <w:bCs/>
          <w:kern w:val="36"/>
        </w:rPr>
        <w:t>/2021</w:t>
      </w:r>
    </w:p>
    <w:p w14:paraId="6B1785B3" w14:textId="77777777" w:rsidR="00EA35A6" w:rsidRPr="00EC54B6" w:rsidRDefault="00EA35A6" w:rsidP="00EA35A6">
      <w:pPr>
        <w:jc w:val="right"/>
        <w:rPr>
          <w:rFonts w:ascii="Arial" w:hAnsi="Arial" w:cs="Arial"/>
          <w:bCs/>
          <w:kern w:val="36"/>
        </w:rPr>
      </w:pPr>
    </w:p>
    <w:p w14:paraId="00710A9C" w14:textId="77777777" w:rsidR="00EA35A6" w:rsidRPr="00EC54B6" w:rsidRDefault="00EA35A6" w:rsidP="00EA35A6">
      <w:pPr>
        <w:jc w:val="right"/>
        <w:rPr>
          <w:rFonts w:ascii="Arial" w:hAnsi="Arial" w:cs="Arial"/>
          <w:bCs/>
          <w:kern w:val="36"/>
        </w:rPr>
      </w:pPr>
    </w:p>
    <w:p w14:paraId="0BB0A96A" w14:textId="77777777" w:rsidR="00EA35A6" w:rsidRPr="00EC54B6" w:rsidRDefault="00EA35A6" w:rsidP="00EA35A6">
      <w:pPr>
        <w:jc w:val="right"/>
        <w:rPr>
          <w:rFonts w:ascii="Arial" w:hAnsi="Arial" w:cs="Arial"/>
          <w:bCs/>
          <w:kern w:val="36"/>
        </w:rPr>
      </w:pPr>
    </w:p>
    <w:p w14:paraId="135FF777" w14:textId="77777777" w:rsidR="00EA35A6" w:rsidRPr="00EC54B6" w:rsidRDefault="00EA35A6" w:rsidP="00EA35A6">
      <w:pPr>
        <w:jc w:val="right"/>
        <w:rPr>
          <w:rFonts w:ascii="Arial" w:hAnsi="Arial" w:cs="Arial"/>
          <w:bCs/>
          <w:kern w:val="36"/>
        </w:rPr>
      </w:pPr>
    </w:p>
    <w:p w14:paraId="63A558CC" w14:textId="77777777" w:rsidR="00EA35A6" w:rsidRPr="00EC54B6" w:rsidRDefault="00EA35A6" w:rsidP="00EA35A6">
      <w:pPr>
        <w:jc w:val="right"/>
        <w:rPr>
          <w:rFonts w:ascii="Arial" w:hAnsi="Arial" w:cs="Arial"/>
          <w:bCs/>
          <w:kern w:val="36"/>
        </w:rPr>
      </w:pPr>
    </w:p>
    <w:p w14:paraId="594C7405" w14:textId="77777777" w:rsidR="00EA35A6" w:rsidRPr="00EC54B6" w:rsidRDefault="00EA35A6" w:rsidP="00EA35A6">
      <w:pPr>
        <w:jc w:val="center"/>
        <w:rPr>
          <w:rFonts w:ascii="Arial" w:hAnsi="Arial" w:cs="Arial"/>
          <w:bCs/>
          <w:kern w:val="36"/>
        </w:rPr>
      </w:pPr>
      <w:r w:rsidRPr="00EC54B6">
        <w:rPr>
          <w:rFonts w:ascii="Arial" w:hAnsi="Arial" w:cs="Arial"/>
          <w:bCs/>
          <w:kern w:val="36"/>
        </w:rPr>
        <w:t xml:space="preserve">COMITÉ DIRECTEUR POUR LES DROITS DE L'HOMME </w:t>
      </w:r>
    </w:p>
    <w:p w14:paraId="650BC72B" w14:textId="77777777" w:rsidR="00EA35A6" w:rsidRPr="00EC54B6" w:rsidRDefault="00EA35A6" w:rsidP="00EA35A6">
      <w:pPr>
        <w:jc w:val="center"/>
        <w:rPr>
          <w:rFonts w:ascii="Arial" w:hAnsi="Arial" w:cs="Arial"/>
          <w:bCs/>
          <w:kern w:val="36"/>
        </w:rPr>
      </w:pPr>
    </w:p>
    <w:p w14:paraId="0FE4B748" w14:textId="77777777" w:rsidR="00EA35A6" w:rsidRPr="00EC54B6" w:rsidRDefault="00EA35A6" w:rsidP="00EA35A6">
      <w:pPr>
        <w:jc w:val="center"/>
        <w:rPr>
          <w:rFonts w:ascii="Arial" w:hAnsi="Arial" w:cs="Arial"/>
          <w:bCs/>
          <w:kern w:val="36"/>
        </w:rPr>
      </w:pPr>
      <w:r w:rsidRPr="00EC54B6">
        <w:rPr>
          <w:rFonts w:ascii="Arial" w:hAnsi="Arial" w:cs="Arial"/>
          <w:bCs/>
          <w:kern w:val="36"/>
        </w:rPr>
        <w:t>(CDDH)</w:t>
      </w:r>
    </w:p>
    <w:p w14:paraId="545805E5" w14:textId="77777777" w:rsidR="00EA35A6" w:rsidRPr="00EC54B6" w:rsidRDefault="00EA35A6" w:rsidP="00EA35A6">
      <w:pPr>
        <w:jc w:val="center"/>
        <w:rPr>
          <w:rFonts w:ascii="Arial" w:hAnsi="Arial" w:cs="Arial"/>
          <w:bCs/>
          <w:kern w:val="36"/>
        </w:rPr>
      </w:pPr>
      <w:r w:rsidRPr="00EC54B6">
        <w:rPr>
          <w:rFonts w:ascii="Arial" w:hAnsi="Arial" w:cs="Arial"/>
          <w:bCs/>
          <w:kern w:val="36"/>
        </w:rPr>
        <w:t>________</w:t>
      </w:r>
    </w:p>
    <w:p w14:paraId="4FE6F9A2" w14:textId="77777777" w:rsidR="00EA35A6" w:rsidRPr="00EC54B6" w:rsidRDefault="00EA35A6" w:rsidP="00EA35A6">
      <w:pPr>
        <w:jc w:val="center"/>
        <w:rPr>
          <w:rFonts w:ascii="Arial" w:hAnsi="Arial" w:cs="Arial"/>
          <w:bCs/>
          <w:kern w:val="36"/>
        </w:rPr>
      </w:pPr>
    </w:p>
    <w:p w14:paraId="6B0394B7" w14:textId="77777777" w:rsidR="00EA35A6" w:rsidRPr="00EC54B6" w:rsidRDefault="00EA35A6" w:rsidP="00EA35A6">
      <w:pPr>
        <w:jc w:val="center"/>
        <w:rPr>
          <w:rFonts w:ascii="Arial" w:hAnsi="Arial" w:cs="Arial"/>
          <w:bCs/>
        </w:rPr>
      </w:pPr>
      <w:r w:rsidRPr="00EC54B6">
        <w:rPr>
          <w:rFonts w:ascii="Arial" w:hAnsi="Arial" w:cs="Arial"/>
          <w:bCs/>
        </w:rPr>
        <w:t xml:space="preserve">COMITÉ D'EXPERTS SUR LE SYSTÈME </w:t>
      </w:r>
    </w:p>
    <w:p w14:paraId="036D1AA8" w14:textId="77777777" w:rsidR="00EA35A6" w:rsidRPr="00EC54B6" w:rsidRDefault="00EA35A6" w:rsidP="00EA35A6">
      <w:pPr>
        <w:jc w:val="center"/>
        <w:rPr>
          <w:rFonts w:ascii="Arial" w:hAnsi="Arial" w:cs="Arial"/>
          <w:bCs/>
        </w:rPr>
      </w:pPr>
      <w:r w:rsidRPr="00EC54B6">
        <w:rPr>
          <w:rFonts w:ascii="Arial" w:hAnsi="Arial" w:cs="Arial"/>
          <w:bCs/>
        </w:rPr>
        <w:t xml:space="preserve">DE LA CONVENTION EUROPÉENNE DES DROITS DE L'HOMME </w:t>
      </w:r>
    </w:p>
    <w:p w14:paraId="0BA46159" w14:textId="77777777" w:rsidR="00EA35A6" w:rsidRPr="00EC54B6" w:rsidRDefault="00EA35A6" w:rsidP="00EA35A6">
      <w:pPr>
        <w:jc w:val="center"/>
        <w:rPr>
          <w:rFonts w:ascii="Arial" w:hAnsi="Arial" w:cs="Arial"/>
          <w:bCs/>
        </w:rPr>
      </w:pPr>
    </w:p>
    <w:p w14:paraId="3C373D4B" w14:textId="77777777" w:rsidR="00EA35A6" w:rsidRPr="00EC54B6" w:rsidRDefault="00EA35A6" w:rsidP="00EA35A6">
      <w:pPr>
        <w:jc w:val="center"/>
        <w:rPr>
          <w:rFonts w:ascii="Arial" w:hAnsi="Arial" w:cs="Arial"/>
          <w:bCs/>
        </w:rPr>
      </w:pPr>
      <w:r w:rsidRPr="00EC54B6">
        <w:rPr>
          <w:rFonts w:ascii="Arial" w:hAnsi="Arial" w:cs="Arial"/>
          <w:bCs/>
        </w:rPr>
        <w:t xml:space="preserve"> (DH-SYSC) </w:t>
      </w:r>
    </w:p>
    <w:p w14:paraId="2E37354C" w14:textId="77777777" w:rsidR="00EA35A6" w:rsidRPr="00EC54B6" w:rsidRDefault="00EA35A6" w:rsidP="00EA35A6">
      <w:pPr>
        <w:jc w:val="center"/>
        <w:rPr>
          <w:rFonts w:ascii="Arial" w:hAnsi="Arial" w:cs="Arial"/>
          <w:bCs/>
          <w:kern w:val="36"/>
        </w:rPr>
      </w:pPr>
      <w:r w:rsidRPr="00EC54B6">
        <w:rPr>
          <w:rFonts w:ascii="Arial" w:hAnsi="Arial" w:cs="Arial"/>
          <w:bCs/>
          <w:kern w:val="36"/>
        </w:rPr>
        <w:t>________</w:t>
      </w:r>
    </w:p>
    <w:p w14:paraId="1704704A" w14:textId="77777777" w:rsidR="00EA35A6" w:rsidRPr="00EC54B6" w:rsidRDefault="00EA35A6" w:rsidP="00EA35A6">
      <w:pPr>
        <w:jc w:val="center"/>
        <w:rPr>
          <w:rFonts w:ascii="Arial" w:hAnsi="Arial" w:cs="Arial"/>
          <w:bCs/>
        </w:rPr>
      </w:pPr>
    </w:p>
    <w:p w14:paraId="20548BE5" w14:textId="77777777" w:rsidR="00EA35A6" w:rsidRPr="00EC54B6" w:rsidRDefault="00EA35A6" w:rsidP="00AF58FE">
      <w:pPr>
        <w:jc w:val="center"/>
        <w:rPr>
          <w:rFonts w:ascii="Arial" w:hAnsi="Arial" w:cs="Arial"/>
          <w:b/>
          <w:bCs/>
          <w:sz w:val="28"/>
        </w:rPr>
      </w:pPr>
      <w:r w:rsidRPr="00EC54B6">
        <w:rPr>
          <w:rFonts w:ascii="Arial" w:hAnsi="Arial" w:cs="Arial"/>
          <w:b/>
          <w:bCs/>
          <w:sz w:val="28"/>
        </w:rPr>
        <w:t xml:space="preserve">GROUPE DE RÉDACTION SUR LE TRAITEMENT </w:t>
      </w:r>
      <w:r w:rsidR="00AF58FE" w:rsidRPr="00EC54B6">
        <w:rPr>
          <w:rFonts w:ascii="Arial" w:hAnsi="Arial" w:cs="Arial"/>
          <w:b/>
          <w:bCs/>
          <w:sz w:val="28"/>
        </w:rPr>
        <w:t>ET LA RÉSOLUTION EFFICACE D’</w:t>
      </w:r>
      <w:r w:rsidRPr="00EC54B6">
        <w:rPr>
          <w:rFonts w:ascii="Arial" w:hAnsi="Arial" w:cs="Arial"/>
          <w:b/>
          <w:bCs/>
          <w:sz w:val="28"/>
        </w:rPr>
        <w:t xml:space="preserve">AFFAIRES </w:t>
      </w:r>
      <w:r w:rsidR="00AF58FE" w:rsidRPr="00EC54B6">
        <w:rPr>
          <w:rFonts w:ascii="Arial" w:hAnsi="Arial" w:cs="Arial"/>
          <w:b/>
          <w:bCs/>
          <w:sz w:val="28"/>
        </w:rPr>
        <w:t>CONCERNANT DES CONFLITS INTERÉTATIQUES</w:t>
      </w:r>
      <w:r w:rsidRPr="00EC54B6">
        <w:rPr>
          <w:rFonts w:ascii="Arial" w:hAnsi="Arial" w:cs="Arial"/>
          <w:b/>
          <w:bCs/>
          <w:sz w:val="28"/>
        </w:rPr>
        <w:t xml:space="preserve"> </w:t>
      </w:r>
    </w:p>
    <w:p w14:paraId="66878ED4" w14:textId="77777777" w:rsidR="00EA35A6" w:rsidRPr="00EC54B6" w:rsidRDefault="00EA35A6" w:rsidP="00EA35A6">
      <w:pPr>
        <w:jc w:val="center"/>
        <w:rPr>
          <w:rFonts w:cs="Arial"/>
          <w:sz w:val="28"/>
        </w:rPr>
      </w:pPr>
    </w:p>
    <w:p w14:paraId="797F5585" w14:textId="77777777" w:rsidR="00EA35A6" w:rsidRPr="00EC54B6" w:rsidRDefault="00EA35A6" w:rsidP="00EA35A6">
      <w:pPr>
        <w:jc w:val="center"/>
        <w:rPr>
          <w:rFonts w:ascii="Arial" w:hAnsi="Arial" w:cs="Arial"/>
          <w:b/>
          <w:bCs/>
          <w:sz w:val="28"/>
        </w:rPr>
      </w:pPr>
      <w:r w:rsidRPr="00EC54B6">
        <w:rPr>
          <w:rFonts w:ascii="Arial" w:hAnsi="Arial" w:cs="Arial"/>
          <w:b/>
          <w:bCs/>
          <w:sz w:val="28"/>
        </w:rPr>
        <w:t xml:space="preserve">(DH-SYSC-IV) </w:t>
      </w:r>
    </w:p>
    <w:p w14:paraId="2500CED9" w14:textId="77777777" w:rsidR="00EA35A6" w:rsidRPr="00EC54B6" w:rsidRDefault="00EA35A6" w:rsidP="00EA35A6">
      <w:pPr>
        <w:jc w:val="center"/>
        <w:rPr>
          <w:rFonts w:ascii="Arial" w:hAnsi="Arial" w:cs="Arial"/>
          <w:bCs/>
          <w:kern w:val="36"/>
        </w:rPr>
      </w:pPr>
      <w:r w:rsidRPr="00EC54B6">
        <w:rPr>
          <w:rFonts w:ascii="Arial" w:hAnsi="Arial" w:cs="Arial"/>
          <w:bCs/>
          <w:kern w:val="36"/>
        </w:rPr>
        <w:t>_________</w:t>
      </w:r>
    </w:p>
    <w:p w14:paraId="2B0C144E" w14:textId="77777777" w:rsidR="00EA35A6" w:rsidRPr="00EC54B6" w:rsidRDefault="00EA35A6" w:rsidP="00EA35A6">
      <w:pPr>
        <w:jc w:val="center"/>
        <w:rPr>
          <w:rFonts w:ascii="Arial" w:hAnsi="Arial" w:cs="Arial"/>
          <w:b/>
          <w:bCs/>
          <w:sz w:val="28"/>
        </w:rPr>
      </w:pPr>
    </w:p>
    <w:p w14:paraId="0973B407" w14:textId="77777777" w:rsidR="00EA35A6" w:rsidRPr="00EC54B6" w:rsidRDefault="00EA35A6" w:rsidP="00EA35A6">
      <w:pPr>
        <w:jc w:val="center"/>
        <w:rPr>
          <w:rFonts w:ascii="Arial" w:hAnsi="Arial" w:cs="Arial"/>
          <w:bCs/>
          <w:kern w:val="36"/>
          <w:sz w:val="28"/>
          <w:szCs w:val="28"/>
        </w:rPr>
      </w:pPr>
    </w:p>
    <w:p w14:paraId="36CE3328" w14:textId="44B36A37" w:rsidR="00EA35A6" w:rsidRPr="00EC54B6" w:rsidRDefault="00EA35A6" w:rsidP="00EA35A6">
      <w:pPr>
        <w:jc w:val="center"/>
        <w:rPr>
          <w:rFonts w:ascii="Arial" w:hAnsi="Arial" w:cs="Arial"/>
          <w:b/>
          <w:bCs/>
        </w:rPr>
      </w:pPr>
      <w:r w:rsidRPr="00EC54B6">
        <w:rPr>
          <w:rFonts w:ascii="Arial" w:hAnsi="Arial" w:cs="Arial"/>
          <w:b/>
          <w:bCs/>
          <w:kern w:val="36"/>
        </w:rPr>
        <w:t xml:space="preserve">RAPPORT DE </w:t>
      </w:r>
      <w:r w:rsidRPr="00EC54B6">
        <w:rPr>
          <w:rFonts w:ascii="Arial" w:hAnsi="Arial" w:cs="Arial"/>
          <w:b/>
          <w:bCs/>
        </w:rPr>
        <w:t>RÉUNION</w:t>
      </w:r>
    </w:p>
    <w:p w14:paraId="1F8D4B5E" w14:textId="77777777" w:rsidR="00EA35A6" w:rsidRPr="00EC54B6" w:rsidRDefault="00EA35A6" w:rsidP="00EA35A6">
      <w:pPr>
        <w:jc w:val="center"/>
        <w:rPr>
          <w:rFonts w:ascii="Arial" w:hAnsi="Arial" w:cs="Arial"/>
          <w:b/>
          <w:bCs/>
        </w:rPr>
      </w:pPr>
    </w:p>
    <w:p w14:paraId="0A9113B8" w14:textId="77777777" w:rsidR="00EA35A6" w:rsidRPr="00EC54B6" w:rsidRDefault="00EA35A6" w:rsidP="00EA35A6">
      <w:pPr>
        <w:jc w:val="center"/>
        <w:rPr>
          <w:rFonts w:ascii="Arial" w:hAnsi="Arial" w:cs="Arial"/>
          <w:bCs/>
          <w:kern w:val="36"/>
        </w:rPr>
      </w:pPr>
    </w:p>
    <w:p w14:paraId="7AAE20A7" w14:textId="77777777" w:rsidR="00EA35A6" w:rsidRPr="00EC54B6" w:rsidRDefault="00EA35A6" w:rsidP="00EA35A6">
      <w:pPr>
        <w:jc w:val="center"/>
        <w:rPr>
          <w:rFonts w:ascii="Arial" w:hAnsi="Arial" w:cs="Arial"/>
          <w:bCs/>
          <w:kern w:val="36"/>
        </w:rPr>
      </w:pPr>
    </w:p>
    <w:p w14:paraId="0527AA52" w14:textId="6C79CFDF" w:rsidR="00EA35A6" w:rsidRPr="00EC54B6" w:rsidRDefault="00824B78" w:rsidP="00EA35A6">
      <w:pPr>
        <w:jc w:val="center"/>
        <w:rPr>
          <w:rFonts w:ascii="Arial" w:hAnsi="Arial" w:cs="Arial"/>
          <w:bCs/>
          <w:kern w:val="36"/>
          <w:szCs w:val="28"/>
        </w:rPr>
      </w:pPr>
      <w:r>
        <w:rPr>
          <w:rFonts w:ascii="Arial" w:hAnsi="Arial" w:cs="Arial"/>
          <w:bCs/>
          <w:kern w:val="36"/>
          <w:szCs w:val="28"/>
        </w:rPr>
        <w:t>4</w:t>
      </w:r>
      <w:r w:rsidR="00EA35A6" w:rsidRPr="00EC54B6">
        <w:rPr>
          <w:rFonts w:ascii="Arial" w:hAnsi="Arial" w:cs="Arial"/>
          <w:bCs/>
          <w:kern w:val="36"/>
          <w:szCs w:val="28"/>
          <w:vertAlign w:val="superscript"/>
        </w:rPr>
        <w:t xml:space="preserve">e </w:t>
      </w:r>
      <w:r w:rsidR="00EA35A6" w:rsidRPr="00EC54B6">
        <w:rPr>
          <w:rFonts w:ascii="Arial" w:hAnsi="Arial" w:cs="Arial"/>
          <w:bCs/>
          <w:kern w:val="36"/>
          <w:szCs w:val="28"/>
        </w:rPr>
        <w:t xml:space="preserve">réunion </w:t>
      </w:r>
    </w:p>
    <w:p w14:paraId="5DBDC4CF" w14:textId="77777777" w:rsidR="00EA35A6" w:rsidRPr="00EC54B6" w:rsidRDefault="00EA35A6" w:rsidP="00EA35A6">
      <w:pPr>
        <w:jc w:val="center"/>
        <w:rPr>
          <w:rFonts w:ascii="Arial" w:hAnsi="Arial" w:cs="Arial"/>
          <w:bCs/>
          <w:kern w:val="36"/>
          <w:szCs w:val="28"/>
        </w:rPr>
      </w:pPr>
    </w:p>
    <w:p w14:paraId="54341BCE" w14:textId="4A949F87" w:rsidR="00EA35A6" w:rsidRPr="00EC54B6" w:rsidRDefault="00824B78" w:rsidP="00EA35A6">
      <w:pPr>
        <w:jc w:val="center"/>
        <w:rPr>
          <w:rFonts w:ascii="Arial" w:hAnsi="Arial" w:cs="Arial"/>
          <w:bCs/>
          <w:kern w:val="36"/>
          <w:szCs w:val="28"/>
        </w:rPr>
      </w:pPr>
      <w:r>
        <w:rPr>
          <w:rFonts w:ascii="Arial" w:hAnsi="Arial" w:cs="Arial"/>
          <w:bCs/>
          <w:kern w:val="36"/>
          <w:szCs w:val="28"/>
        </w:rPr>
        <w:t>22</w:t>
      </w:r>
      <w:r w:rsidR="00EA35A6" w:rsidRPr="00EC54B6">
        <w:rPr>
          <w:rFonts w:ascii="Arial" w:hAnsi="Arial" w:cs="Arial"/>
          <w:bCs/>
          <w:kern w:val="36"/>
          <w:szCs w:val="28"/>
        </w:rPr>
        <w:t>-</w:t>
      </w:r>
      <w:r>
        <w:rPr>
          <w:rFonts w:ascii="Arial" w:hAnsi="Arial" w:cs="Arial"/>
          <w:bCs/>
          <w:kern w:val="36"/>
          <w:szCs w:val="28"/>
        </w:rPr>
        <w:t xml:space="preserve">24 septembre </w:t>
      </w:r>
      <w:r w:rsidR="00EA35A6" w:rsidRPr="00EC54B6">
        <w:rPr>
          <w:rFonts w:ascii="Arial" w:hAnsi="Arial" w:cs="Arial"/>
          <w:bCs/>
          <w:kern w:val="36"/>
          <w:szCs w:val="28"/>
        </w:rPr>
        <w:t>2021 via visioconférence</w:t>
      </w:r>
    </w:p>
    <w:p w14:paraId="6E1B892C" w14:textId="77777777" w:rsidR="00EA35A6" w:rsidRPr="00EC54B6" w:rsidRDefault="00EA35A6" w:rsidP="00EA35A6">
      <w:pPr>
        <w:jc w:val="center"/>
        <w:rPr>
          <w:rFonts w:ascii="Arial" w:hAnsi="Arial" w:cs="Arial"/>
          <w:bCs/>
          <w:kern w:val="36"/>
        </w:rPr>
      </w:pPr>
    </w:p>
    <w:p w14:paraId="316A46EF" w14:textId="77777777" w:rsidR="00EA35A6" w:rsidRPr="00EC54B6" w:rsidRDefault="00EA35A6" w:rsidP="00EA35A6">
      <w:pPr>
        <w:jc w:val="center"/>
        <w:rPr>
          <w:rFonts w:ascii="Arial" w:hAnsi="Arial" w:cs="Arial"/>
          <w:bCs/>
          <w:kern w:val="36"/>
        </w:rPr>
      </w:pPr>
    </w:p>
    <w:p w14:paraId="553012AB" w14:textId="77777777" w:rsidR="00EA35A6" w:rsidRPr="00EC54B6" w:rsidRDefault="00EA35A6" w:rsidP="00EA35A6">
      <w:pPr>
        <w:jc w:val="both"/>
        <w:rPr>
          <w:rFonts w:ascii="Arial" w:hAnsi="Arial" w:cs="Arial"/>
          <w:b/>
          <w:szCs w:val="28"/>
          <w:u w:val="single"/>
          <w:lang w:eastAsia="en-GB"/>
        </w:rPr>
      </w:pPr>
    </w:p>
    <w:p w14:paraId="30490DC7" w14:textId="77777777" w:rsidR="00EA35A6" w:rsidRPr="00EC54B6" w:rsidRDefault="00EA35A6" w:rsidP="00EA35A6">
      <w:pPr>
        <w:rPr>
          <w:rFonts w:ascii="Arial" w:hAnsi="Arial" w:cs="Arial"/>
          <w:b/>
          <w:szCs w:val="28"/>
          <w:u w:val="single"/>
          <w:lang w:eastAsia="en-GB"/>
        </w:rPr>
      </w:pPr>
      <w:r w:rsidRPr="00EC54B6">
        <w:rPr>
          <w:rFonts w:ascii="Arial" w:hAnsi="Arial" w:cs="Arial"/>
          <w:b/>
          <w:szCs w:val="28"/>
          <w:u w:val="single"/>
          <w:lang w:eastAsia="en-GB"/>
        </w:rPr>
        <w:br w:type="page"/>
      </w:r>
    </w:p>
    <w:p w14:paraId="7DA25518" w14:textId="77777777" w:rsidR="00EA35A6" w:rsidRPr="00EC54B6" w:rsidRDefault="00EA35A6" w:rsidP="00EA35A6">
      <w:pPr>
        <w:ind w:left="2124" w:hanging="2124"/>
        <w:jc w:val="both"/>
        <w:rPr>
          <w:rFonts w:ascii="Arial" w:hAnsi="Arial" w:cs="Arial"/>
          <w:b/>
          <w:szCs w:val="28"/>
          <w:lang w:eastAsia="en-GB"/>
        </w:rPr>
      </w:pPr>
      <w:r w:rsidRPr="00EC54B6">
        <w:rPr>
          <w:rFonts w:ascii="Arial" w:hAnsi="Arial" w:cs="Arial"/>
          <w:b/>
          <w:szCs w:val="28"/>
          <w:u w:val="single"/>
          <w:lang w:eastAsia="en-GB"/>
        </w:rPr>
        <w:lastRenderedPageBreak/>
        <w:t>POINTS 1 ET 2 :</w:t>
      </w:r>
      <w:r w:rsidRPr="00EC54B6">
        <w:rPr>
          <w:rFonts w:ascii="Arial" w:hAnsi="Arial" w:cs="Arial"/>
          <w:b/>
          <w:szCs w:val="28"/>
          <w:lang w:eastAsia="en-GB"/>
        </w:rPr>
        <w:t xml:space="preserve"> </w:t>
      </w:r>
      <w:r w:rsidRPr="00EC54B6">
        <w:rPr>
          <w:rFonts w:ascii="Arial" w:hAnsi="Arial" w:cs="Arial"/>
          <w:b/>
          <w:szCs w:val="28"/>
          <w:lang w:eastAsia="en-GB"/>
        </w:rPr>
        <w:tab/>
        <w:t>OUVERTURE DE LA RÉUNION, ADOPTION DE L’ORDRE DU JOUR ET DE L’ORDRE DES TRAVAUX</w:t>
      </w:r>
    </w:p>
    <w:p w14:paraId="57A776B3" w14:textId="77777777" w:rsidR="00EA35A6" w:rsidRPr="00EC54B6" w:rsidRDefault="00EA35A6" w:rsidP="00EA35A6">
      <w:pPr>
        <w:contextualSpacing/>
        <w:jc w:val="both"/>
        <w:rPr>
          <w:rFonts w:ascii="Arial" w:hAnsi="Arial" w:cs="Arial"/>
          <w:sz w:val="22"/>
          <w:lang w:eastAsia="en-US"/>
        </w:rPr>
      </w:pPr>
    </w:p>
    <w:p w14:paraId="4E8189F7" w14:textId="684EEDFA" w:rsidR="00EA35A6" w:rsidRPr="00EC54B6" w:rsidRDefault="00EA35A6" w:rsidP="00EA35A6">
      <w:pPr>
        <w:numPr>
          <w:ilvl w:val="0"/>
          <w:numId w:val="1"/>
        </w:numPr>
        <w:ind w:left="0" w:firstLine="0"/>
        <w:contextualSpacing/>
        <w:jc w:val="both"/>
        <w:rPr>
          <w:rFonts w:ascii="Arial" w:hAnsi="Arial" w:cs="Arial"/>
          <w:sz w:val="22"/>
          <w:lang w:eastAsia="en-US"/>
        </w:rPr>
      </w:pPr>
      <w:r w:rsidRPr="00EC54B6">
        <w:rPr>
          <w:rFonts w:ascii="Arial" w:hAnsi="Arial" w:cs="Arial"/>
          <w:sz w:val="22"/>
          <w:lang w:eastAsia="en-US"/>
        </w:rPr>
        <w:t>Le Groupe de rédaction sur le</w:t>
      </w:r>
      <w:r w:rsidR="00252940" w:rsidRPr="00EC54B6">
        <w:rPr>
          <w:rFonts w:ascii="Arial" w:hAnsi="Arial" w:cs="Arial"/>
          <w:sz w:val="22"/>
          <w:lang w:eastAsia="en-US"/>
        </w:rPr>
        <w:t xml:space="preserve"> traitement </w:t>
      </w:r>
      <w:r w:rsidR="00F84244" w:rsidRPr="00EC54B6">
        <w:rPr>
          <w:rFonts w:ascii="Arial" w:hAnsi="Arial" w:cs="Arial"/>
          <w:sz w:val="22"/>
          <w:lang w:eastAsia="en-US"/>
        </w:rPr>
        <w:t xml:space="preserve">et la résolution </w:t>
      </w:r>
      <w:r w:rsidR="00252940" w:rsidRPr="00EC54B6">
        <w:rPr>
          <w:rFonts w:ascii="Arial" w:hAnsi="Arial" w:cs="Arial"/>
          <w:sz w:val="22"/>
          <w:lang w:eastAsia="en-US"/>
        </w:rPr>
        <w:t xml:space="preserve">efficace d’affaires </w:t>
      </w:r>
      <w:r w:rsidR="00F84244" w:rsidRPr="00EC54B6">
        <w:rPr>
          <w:rFonts w:ascii="Arial" w:hAnsi="Arial" w:cs="Arial"/>
          <w:sz w:val="22"/>
          <w:lang w:eastAsia="en-US"/>
        </w:rPr>
        <w:t xml:space="preserve">concernant des conflits interétatiques </w:t>
      </w:r>
      <w:r w:rsidRPr="00EC54B6">
        <w:rPr>
          <w:rFonts w:ascii="Arial" w:hAnsi="Arial" w:cs="Arial"/>
          <w:sz w:val="22"/>
          <w:lang w:eastAsia="en-US"/>
        </w:rPr>
        <w:t>(DH-SYSC-</w:t>
      </w:r>
      <w:r w:rsidR="00F84244" w:rsidRPr="00EC54B6">
        <w:rPr>
          <w:rFonts w:ascii="Arial" w:hAnsi="Arial" w:cs="Arial"/>
          <w:sz w:val="22"/>
          <w:lang w:eastAsia="en-US"/>
        </w:rPr>
        <w:t>I</w:t>
      </w:r>
      <w:r w:rsidRPr="00EC54B6">
        <w:rPr>
          <w:rFonts w:ascii="Arial" w:hAnsi="Arial" w:cs="Arial"/>
          <w:sz w:val="22"/>
          <w:lang w:eastAsia="en-US"/>
        </w:rPr>
        <w:t xml:space="preserve">V) a </w:t>
      </w:r>
      <w:r w:rsidR="00F84244" w:rsidRPr="00EC54B6">
        <w:rPr>
          <w:rFonts w:ascii="Arial" w:hAnsi="Arial" w:cs="Arial"/>
          <w:sz w:val="22"/>
          <w:lang w:eastAsia="en-US"/>
        </w:rPr>
        <w:t xml:space="preserve">tenu sa </w:t>
      </w:r>
      <w:r w:rsidR="00824B78">
        <w:rPr>
          <w:rFonts w:ascii="Arial" w:hAnsi="Arial" w:cs="Arial"/>
          <w:sz w:val="22"/>
          <w:lang w:eastAsia="en-US"/>
        </w:rPr>
        <w:t>4</w:t>
      </w:r>
      <w:r w:rsidRPr="00EC54B6">
        <w:rPr>
          <w:rFonts w:ascii="Arial" w:hAnsi="Arial" w:cs="Arial"/>
          <w:sz w:val="22"/>
          <w:vertAlign w:val="superscript"/>
          <w:lang w:eastAsia="en-US"/>
        </w:rPr>
        <w:t>e</w:t>
      </w:r>
      <w:r w:rsidRPr="00EC54B6">
        <w:rPr>
          <w:rFonts w:ascii="Arial" w:hAnsi="Arial" w:cs="Arial"/>
          <w:sz w:val="22"/>
          <w:lang w:eastAsia="en-US"/>
        </w:rPr>
        <w:t xml:space="preserve"> réunion à </w:t>
      </w:r>
      <w:r w:rsidR="00824B78">
        <w:rPr>
          <w:rFonts w:ascii="Arial" w:hAnsi="Arial" w:cs="Arial"/>
          <w:sz w:val="22"/>
          <w:lang w:eastAsia="en-US"/>
        </w:rPr>
        <w:t xml:space="preserve">Paris </w:t>
      </w:r>
      <w:r w:rsidRPr="00EC54B6">
        <w:rPr>
          <w:rFonts w:ascii="Arial" w:hAnsi="Arial" w:cs="Arial"/>
          <w:sz w:val="22"/>
          <w:lang w:eastAsia="en-US"/>
        </w:rPr>
        <w:t xml:space="preserve">du </w:t>
      </w:r>
      <w:r w:rsidR="00824B78">
        <w:rPr>
          <w:rFonts w:ascii="Arial" w:hAnsi="Arial" w:cs="Arial"/>
          <w:sz w:val="22"/>
          <w:lang w:eastAsia="en-US"/>
        </w:rPr>
        <w:t xml:space="preserve">22 </w:t>
      </w:r>
      <w:r w:rsidRPr="00EC54B6">
        <w:rPr>
          <w:rFonts w:ascii="Arial" w:hAnsi="Arial" w:cs="Arial"/>
          <w:sz w:val="22"/>
          <w:lang w:eastAsia="en-US"/>
        </w:rPr>
        <w:t xml:space="preserve">au </w:t>
      </w:r>
      <w:r w:rsidR="00824B78">
        <w:rPr>
          <w:rFonts w:ascii="Arial" w:hAnsi="Arial" w:cs="Arial"/>
          <w:sz w:val="22"/>
          <w:lang w:eastAsia="en-US"/>
        </w:rPr>
        <w:t>24 septembre 2</w:t>
      </w:r>
      <w:r w:rsidRPr="00EC54B6">
        <w:rPr>
          <w:rFonts w:ascii="Arial" w:hAnsi="Arial" w:cs="Arial"/>
          <w:sz w:val="22"/>
          <w:lang w:eastAsia="en-US"/>
        </w:rPr>
        <w:t xml:space="preserve">021 via visioconférence en raison des mesures liées à la pandémie de COVID-19. La réunion a été présidée par M. </w:t>
      </w:r>
      <w:r w:rsidR="00F84244" w:rsidRPr="00EC54B6">
        <w:rPr>
          <w:rFonts w:ascii="Arial" w:hAnsi="Arial" w:cs="Arial"/>
          <w:sz w:val="22"/>
          <w:lang w:eastAsia="en-US"/>
        </w:rPr>
        <w:t xml:space="preserve">Alain CHABLAIS </w:t>
      </w:r>
      <w:r w:rsidRPr="00EC54B6">
        <w:rPr>
          <w:rFonts w:ascii="Arial" w:hAnsi="Arial" w:cs="Arial"/>
          <w:sz w:val="22"/>
          <w:lang w:eastAsia="en-US"/>
        </w:rPr>
        <w:t>(</w:t>
      </w:r>
      <w:r w:rsidR="00F84244" w:rsidRPr="00EC54B6">
        <w:rPr>
          <w:rFonts w:ascii="Arial" w:hAnsi="Arial" w:cs="Arial"/>
          <w:sz w:val="22"/>
          <w:lang w:eastAsia="en-US"/>
        </w:rPr>
        <w:t>Suisse</w:t>
      </w:r>
      <w:r w:rsidRPr="00EC54B6">
        <w:rPr>
          <w:rFonts w:ascii="Arial" w:hAnsi="Arial" w:cs="Arial"/>
          <w:sz w:val="22"/>
          <w:lang w:eastAsia="en-US"/>
        </w:rPr>
        <w:t>). La liste des participants figure à l’</w:t>
      </w:r>
      <w:r w:rsidRPr="00EC54B6">
        <w:rPr>
          <w:rFonts w:ascii="Arial" w:hAnsi="Arial" w:cs="Arial"/>
          <w:sz w:val="22"/>
          <w:u w:val="single"/>
          <w:lang w:eastAsia="en-US"/>
        </w:rPr>
        <w:t>Annexe I</w:t>
      </w:r>
      <w:r w:rsidRPr="00EC54B6">
        <w:rPr>
          <w:rFonts w:ascii="Arial" w:hAnsi="Arial" w:cs="Arial"/>
          <w:sz w:val="22"/>
          <w:lang w:eastAsia="en-US"/>
        </w:rPr>
        <w:t>.</w:t>
      </w:r>
    </w:p>
    <w:p w14:paraId="5A96B9DF" w14:textId="77777777" w:rsidR="00EA35A6" w:rsidRPr="00EC54B6" w:rsidRDefault="00EA35A6" w:rsidP="00EA35A6">
      <w:pPr>
        <w:pStyle w:val="Paragraphedeliste"/>
        <w:spacing w:line="240" w:lineRule="auto"/>
        <w:ind w:left="0"/>
        <w:jc w:val="both"/>
        <w:rPr>
          <w:rFonts w:ascii="Arial" w:hAnsi="Arial" w:cs="Arial"/>
          <w:color w:val="000000" w:themeColor="text1"/>
          <w:lang w:val="fr-FR"/>
        </w:rPr>
      </w:pPr>
    </w:p>
    <w:p w14:paraId="6365847D" w14:textId="0A41C686" w:rsidR="00EA35A6" w:rsidRPr="00EC54B6" w:rsidRDefault="00EA35A6" w:rsidP="00EA35A6">
      <w:pPr>
        <w:pStyle w:val="Paragraphedeliste"/>
        <w:numPr>
          <w:ilvl w:val="0"/>
          <w:numId w:val="1"/>
        </w:numPr>
        <w:ind w:left="0" w:firstLine="0"/>
        <w:jc w:val="both"/>
        <w:rPr>
          <w:rFonts w:ascii="Arial" w:hAnsi="Arial" w:cs="Arial"/>
          <w:color w:val="000000" w:themeColor="text1"/>
          <w:lang w:val="fr-FR"/>
        </w:rPr>
      </w:pPr>
      <w:r w:rsidRPr="00EC54B6">
        <w:rPr>
          <w:rFonts w:ascii="Arial" w:hAnsi="Arial" w:cs="Arial"/>
          <w:color w:val="000000" w:themeColor="text1"/>
          <w:lang w:val="fr-FR"/>
        </w:rPr>
        <w:t xml:space="preserve">Le Groupe de rédaction </w:t>
      </w:r>
      <w:r w:rsidR="009411F3">
        <w:rPr>
          <w:rFonts w:ascii="Arial" w:hAnsi="Arial" w:cs="Arial"/>
          <w:color w:val="000000" w:themeColor="text1"/>
          <w:lang w:val="fr-FR"/>
        </w:rPr>
        <w:t>adopte</w:t>
      </w:r>
      <w:r w:rsidRPr="00EC54B6">
        <w:rPr>
          <w:rFonts w:ascii="Arial" w:hAnsi="Arial" w:cs="Arial"/>
          <w:color w:val="000000" w:themeColor="text1"/>
          <w:lang w:val="fr-FR"/>
        </w:rPr>
        <w:t xml:space="preserve"> l’ordre du jour (voir </w:t>
      </w:r>
      <w:r w:rsidRPr="00EC54B6">
        <w:rPr>
          <w:rFonts w:ascii="Arial" w:hAnsi="Arial" w:cs="Arial"/>
          <w:color w:val="000000" w:themeColor="text1"/>
          <w:u w:val="single"/>
          <w:lang w:val="fr-FR"/>
        </w:rPr>
        <w:t>Annexe II</w:t>
      </w:r>
      <w:r w:rsidRPr="00EC54B6">
        <w:rPr>
          <w:rFonts w:ascii="Arial" w:hAnsi="Arial" w:cs="Arial"/>
          <w:color w:val="000000" w:themeColor="text1"/>
          <w:lang w:val="fr-FR"/>
        </w:rPr>
        <w:t xml:space="preserve">) et l’ordre des travaux (voir </w:t>
      </w:r>
      <w:r w:rsidRPr="00EC54B6">
        <w:rPr>
          <w:rFonts w:ascii="Arial" w:hAnsi="Arial" w:cs="Arial"/>
          <w:color w:val="000000" w:themeColor="text1"/>
          <w:u w:val="single"/>
          <w:lang w:val="fr-FR"/>
        </w:rPr>
        <w:t>Annexe III</w:t>
      </w:r>
      <w:r w:rsidRPr="00EC54B6">
        <w:rPr>
          <w:rFonts w:ascii="Arial" w:hAnsi="Arial" w:cs="Arial"/>
          <w:color w:val="000000" w:themeColor="text1"/>
          <w:lang w:val="fr-FR"/>
        </w:rPr>
        <w:t>).</w:t>
      </w:r>
    </w:p>
    <w:p w14:paraId="48989F81" w14:textId="77777777" w:rsidR="00EA35A6" w:rsidRPr="00EC54B6" w:rsidRDefault="00EA35A6" w:rsidP="00EA35A6">
      <w:pPr>
        <w:pStyle w:val="Paragraphedeliste"/>
        <w:spacing w:line="240" w:lineRule="auto"/>
        <w:ind w:left="0"/>
        <w:jc w:val="both"/>
        <w:rPr>
          <w:rFonts w:ascii="Arial" w:hAnsi="Arial" w:cs="Arial"/>
          <w:lang w:val="fr-FR"/>
        </w:rPr>
      </w:pPr>
    </w:p>
    <w:p w14:paraId="68F0E87A" w14:textId="40E1EF05" w:rsidR="00EC54B6" w:rsidRPr="00CB7A37" w:rsidRDefault="00824B78" w:rsidP="00E46CFB">
      <w:pPr>
        <w:pStyle w:val="Paragraphedeliste"/>
        <w:numPr>
          <w:ilvl w:val="0"/>
          <w:numId w:val="1"/>
        </w:numPr>
        <w:spacing w:line="240" w:lineRule="auto"/>
        <w:ind w:left="0" w:firstLine="0"/>
        <w:jc w:val="both"/>
        <w:rPr>
          <w:rFonts w:ascii="Arial" w:hAnsi="Arial" w:cs="Arial"/>
          <w:u w:val="single"/>
          <w:lang w:val="fr-FR"/>
        </w:rPr>
      </w:pPr>
      <w:r w:rsidRPr="00CB7A37">
        <w:rPr>
          <w:rFonts w:ascii="Arial" w:hAnsi="Arial" w:cs="Arial"/>
          <w:lang w:val="fr-FR"/>
        </w:rPr>
        <w:t xml:space="preserve">M. Daniele CANGEMI, Chef du </w:t>
      </w:r>
      <w:r w:rsidR="00CB7A37" w:rsidRPr="00CB7A37">
        <w:rPr>
          <w:rFonts w:ascii="Arial" w:hAnsi="Arial" w:cs="Arial"/>
          <w:lang w:val="fr-FR"/>
        </w:rPr>
        <w:t>Service des activités normatives en matière de droits de l’homme, justice et coopération juridique</w:t>
      </w:r>
      <w:r w:rsidRPr="00CB7A37">
        <w:rPr>
          <w:rFonts w:ascii="Arial" w:hAnsi="Arial" w:cs="Arial"/>
          <w:lang w:val="fr-FR"/>
        </w:rPr>
        <w:t>, a souhaité la bienvenue aux participants</w:t>
      </w:r>
      <w:r w:rsidR="00CB7A37">
        <w:rPr>
          <w:rFonts w:ascii="Arial" w:hAnsi="Arial" w:cs="Arial"/>
          <w:lang w:val="fr-FR"/>
        </w:rPr>
        <w:t>. Il a souligné que la décision du Comité des Ministres « Garantir l’efficacité à long terme du système de la Convention européenne des droits de l’homme » adoptée à Hambourg le 21 mai 2021</w:t>
      </w:r>
      <w:r w:rsidR="00EA0E30">
        <w:rPr>
          <w:rFonts w:ascii="Arial" w:hAnsi="Arial" w:cs="Arial"/>
          <w:lang w:val="fr-FR"/>
        </w:rPr>
        <w:t xml:space="preserve"> a salué </w:t>
      </w:r>
      <w:r w:rsidR="00EA0E30" w:rsidRPr="00EA0E30">
        <w:rPr>
          <w:rFonts w:ascii="Arial" w:hAnsi="Arial" w:cs="Arial"/>
          <w:lang w:val="fr-FR"/>
        </w:rPr>
        <w:t>les travaux intergouvernementaux sur le traitement et la résolution efficace d'affaires concernant des conflits interétatiques.</w:t>
      </w:r>
      <w:r w:rsidRPr="00CB7A37">
        <w:rPr>
          <w:rFonts w:ascii="Arial" w:hAnsi="Arial" w:cs="Arial"/>
          <w:lang w:val="fr-FR"/>
        </w:rPr>
        <w:t xml:space="preserve"> Il a félicité le Groupe pour le travail accompli malgré les contraintes liées à la crise sanitaire</w:t>
      </w:r>
      <w:r w:rsidR="00EA0E30">
        <w:rPr>
          <w:rFonts w:ascii="Arial" w:hAnsi="Arial" w:cs="Arial"/>
          <w:lang w:val="fr-FR"/>
        </w:rPr>
        <w:t xml:space="preserve"> et</w:t>
      </w:r>
      <w:r w:rsidRPr="00CB7A37">
        <w:rPr>
          <w:rFonts w:ascii="Arial" w:hAnsi="Arial" w:cs="Arial"/>
          <w:lang w:val="fr-FR"/>
        </w:rPr>
        <w:t xml:space="preserve"> a </w:t>
      </w:r>
      <w:r w:rsidR="00EA0E30">
        <w:rPr>
          <w:rFonts w:ascii="Arial" w:hAnsi="Arial" w:cs="Arial"/>
          <w:lang w:val="fr-FR"/>
        </w:rPr>
        <w:t>encourag</w:t>
      </w:r>
      <w:r w:rsidRPr="00CB7A37">
        <w:rPr>
          <w:rFonts w:ascii="Arial" w:hAnsi="Arial" w:cs="Arial"/>
          <w:lang w:val="fr-FR"/>
        </w:rPr>
        <w:t>é les membres à finaliser le projet de rapport d'activité pour ce biennium dans le même esprit de compromis</w:t>
      </w:r>
      <w:r w:rsidR="00EA0E30">
        <w:rPr>
          <w:rFonts w:ascii="Arial" w:hAnsi="Arial" w:cs="Arial"/>
          <w:lang w:val="fr-FR"/>
        </w:rPr>
        <w:t xml:space="preserve"> que lors des précédentes réunions</w:t>
      </w:r>
      <w:r w:rsidRPr="00CB7A37">
        <w:rPr>
          <w:rFonts w:ascii="Arial" w:hAnsi="Arial" w:cs="Arial"/>
          <w:lang w:val="fr-FR"/>
        </w:rPr>
        <w:t xml:space="preserve">.  </w:t>
      </w:r>
    </w:p>
    <w:p w14:paraId="095D69A8" w14:textId="77777777" w:rsidR="00EA35A6" w:rsidRPr="00EC54B6" w:rsidRDefault="00EA35A6" w:rsidP="00EA35A6">
      <w:pPr>
        <w:jc w:val="both"/>
        <w:rPr>
          <w:rFonts w:ascii="Arial" w:hAnsi="Arial" w:cs="Arial"/>
          <w:u w:val="single"/>
        </w:rPr>
      </w:pPr>
    </w:p>
    <w:p w14:paraId="04CDAFA2" w14:textId="62478548" w:rsidR="00EA35A6" w:rsidRPr="00EC54B6" w:rsidRDefault="00EA35A6" w:rsidP="00824B78">
      <w:pPr>
        <w:tabs>
          <w:tab w:val="left" w:pos="0"/>
        </w:tabs>
        <w:autoSpaceDE w:val="0"/>
        <w:autoSpaceDN w:val="0"/>
        <w:adjustRightInd w:val="0"/>
        <w:ind w:left="1418" w:hanging="1418"/>
        <w:jc w:val="both"/>
        <w:rPr>
          <w:rFonts w:ascii="Arial" w:hAnsi="Arial" w:cs="Arial"/>
          <w:b/>
          <w:szCs w:val="28"/>
          <w:lang w:eastAsia="en-GB"/>
        </w:rPr>
      </w:pPr>
      <w:r w:rsidRPr="00EC54B6">
        <w:rPr>
          <w:rFonts w:ascii="Arial" w:hAnsi="Arial" w:cs="Arial"/>
          <w:b/>
          <w:szCs w:val="28"/>
          <w:u w:val="single"/>
          <w:lang w:eastAsia="en-GB"/>
        </w:rPr>
        <w:t>POINT 3 :</w:t>
      </w:r>
      <w:r w:rsidRPr="00EC54B6">
        <w:rPr>
          <w:rFonts w:ascii="Arial" w:hAnsi="Arial" w:cs="Arial"/>
          <w:b/>
          <w:szCs w:val="28"/>
          <w:lang w:eastAsia="en-GB"/>
        </w:rPr>
        <w:tab/>
        <w:t xml:space="preserve">PROJET DE </w:t>
      </w:r>
      <w:r w:rsidR="00716D32" w:rsidRPr="00EC54B6">
        <w:rPr>
          <w:rFonts w:ascii="Arial" w:hAnsi="Arial" w:cs="Arial"/>
          <w:b/>
          <w:szCs w:val="28"/>
          <w:lang w:eastAsia="en-GB"/>
        </w:rPr>
        <w:t xml:space="preserve">RAPPORT </w:t>
      </w:r>
      <w:r w:rsidR="00824B78">
        <w:rPr>
          <w:rFonts w:ascii="Arial" w:hAnsi="Arial" w:cs="Arial"/>
          <w:b/>
          <w:szCs w:val="28"/>
          <w:lang w:eastAsia="en-GB"/>
        </w:rPr>
        <w:t>D’ACTIVIT</w:t>
      </w:r>
      <w:r w:rsidR="00824B78" w:rsidRPr="00EC54B6">
        <w:rPr>
          <w:rFonts w:ascii="Arial" w:hAnsi="Arial" w:cs="Arial"/>
          <w:b/>
          <w:szCs w:val="28"/>
          <w:lang w:eastAsia="en-GB"/>
        </w:rPr>
        <w:t>É</w:t>
      </w:r>
      <w:r w:rsidR="00824B78">
        <w:rPr>
          <w:rFonts w:ascii="Arial" w:hAnsi="Arial" w:cs="Arial"/>
          <w:b/>
          <w:szCs w:val="28"/>
          <w:lang w:eastAsia="en-GB"/>
        </w:rPr>
        <w:t xml:space="preserve"> 2020-2021</w:t>
      </w:r>
    </w:p>
    <w:p w14:paraId="61D7921F" w14:textId="77777777" w:rsidR="00EA35A6" w:rsidRPr="00EC54B6" w:rsidRDefault="00EA35A6" w:rsidP="00EA35A6">
      <w:pPr>
        <w:tabs>
          <w:tab w:val="left" w:pos="0"/>
        </w:tabs>
        <w:autoSpaceDE w:val="0"/>
        <w:autoSpaceDN w:val="0"/>
        <w:adjustRightInd w:val="0"/>
        <w:ind w:left="1418" w:hanging="1418"/>
        <w:jc w:val="both"/>
        <w:rPr>
          <w:rFonts w:ascii="Arial" w:hAnsi="Arial" w:cs="Arial"/>
          <w:b/>
          <w:szCs w:val="28"/>
          <w:lang w:eastAsia="en-GB"/>
        </w:rPr>
      </w:pPr>
    </w:p>
    <w:p w14:paraId="249CD687" w14:textId="6B9DDA40" w:rsidR="00B30B98" w:rsidRPr="00D86968" w:rsidRDefault="00EA35A6" w:rsidP="00E46CFB">
      <w:pPr>
        <w:numPr>
          <w:ilvl w:val="0"/>
          <w:numId w:val="1"/>
        </w:numPr>
        <w:ind w:left="0" w:firstLine="0"/>
        <w:contextualSpacing/>
        <w:jc w:val="both"/>
        <w:rPr>
          <w:rFonts w:ascii="Arial" w:hAnsi="Arial" w:cs="Arial"/>
        </w:rPr>
      </w:pPr>
      <w:r w:rsidRPr="00A179F8">
        <w:rPr>
          <w:rFonts w:ascii="Arial" w:hAnsi="Arial" w:cs="Arial"/>
          <w:sz w:val="22"/>
          <w:lang w:eastAsia="en-US"/>
        </w:rPr>
        <w:t xml:space="preserve">Le Groupe de rédaction </w:t>
      </w:r>
      <w:r w:rsidR="00EA0E30" w:rsidRPr="00A179F8">
        <w:rPr>
          <w:rFonts w:ascii="Arial" w:hAnsi="Arial" w:cs="Arial"/>
          <w:sz w:val="22"/>
          <w:lang w:eastAsia="en-US"/>
        </w:rPr>
        <w:t xml:space="preserve">a </w:t>
      </w:r>
      <w:r w:rsidR="00B30B98" w:rsidRPr="00A179F8">
        <w:rPr>
          <w:rFonts w:ascii="Arial" w:hAnsi="Arial" w:cs="Arial"/>
          <w:sz w:val="22"/>
          <w:lang w:eastAsia="en-US"/>
        </w:rPr>
        <w:t>examin</w:t>
      </w:r>
      <w:r w:rsidR="00EA0E30" w:rsidRPr="00A179F8">
        <w:rPr>
          <w:rFonts w:ascii="Arial" w:hAnsi="Arial" w:cs="Arial"/>
          <w:sz w:val="22"/>
          <w:lang w:eastAsia="en-US"/>
        </w:rPr>
        <w:t>é</w:t>
      </w:r>
      <w:r w:rsidR="00716D32" w:rsidRPr="00A179F8">
        <w:rPr>
          <w:rFonts w:ascii="Arial" w:hAnsi="Arial" w:cs="Arial"/>
          <w:sz w:val="22"/>
          <w:lang w:eastAsia="en-US"/>
        </w:rPr>
        <w:t xml:space="preserve"> </w:t>
      </w:r>
      <w:r w:rsidR="00B30B98" w:rsidRPr="00A179F8">
        <w:rPr>
          <w:rFonts w:ascii="Arial" w:hAnsi="Arial" w:cs="Arial"/>
          <w:sz w:val="22"/>
          <w:lang w:eastAsia="en-US"/>
        </w:rPr>
        <w:t xml:space="preserve">le </w:t>
      </w:r>
      <w:r w:rsidR="00824B78" w:rsidRPr="00A179F8">
        <w:rPr>
          <w:rFonts w:ascii="Arial" w:hAnsi="Arial" w:cs="Arial"/>
          <w:sz w:val="22"/>
          <w:lang w:eastAsia="en-US"/>
        </w:rPr>
        <w:t xml:space="preserve">projet de Rapport d’activité </w:t>
      </w:r>
      <w:r w:rsidR="00EA0E30" w:rsidRPr="00A179F8">
        <w:rPr>
          <w:rFonts w:ascii="Arial" w:hAnsi="Arial" w:cs="Arial"/>
          <w:sz w:val="22"/>
          <w:lang w:eastAsia="en-US"/>
        </w:rPr>
        <w:t xml:space="preserve">2020-2021 </w:t>
      </w:r>
      <w:r w:rsidR="00824B78" w:rsidRPr="00A179F8">
        <w:rPr>
          <w:rFonts w:ascii="Arial" w:hAnsi="Arial" w:cs="Arial"/>
          <w:sz w:val="22"/>
          <w:lang w:eastAsia="en-US"/>
        </w:rPr>
        <w:t>(document DH-SYSC-IV(2021)02)</w:t>
      </w:r>
      <w:r w:rsidR="00DB087E" w:rsidRPr="00A179F8">
        <w:rPr>
          <w:rFonts w:ascii="Arial" w:hAnsi="Arial" w:cs="Arial"/>
          <w:sz w:val="22"/>
          <w:lang w:eastAsia="en-US"/>
        </w:rPr>
        <w:t xml:space="preserve"> </w:t>
      </w:r>
      <w:r w:rsidR="00824B78" w:rsidRPr="00A179F8">
        <w:rPr>
          <w:rFonts w:ascii="Arial" w:hAnsi="Arial" w:cs="Arial"/>
          <w:sz w:val="22"/>
          <w:lang w:eastAsia="en-US"/>
        </w:rPr>
        <w:t xml:space="preserve">préparé par les </w:t>
      </w:r>
      <w:r w:rsidR="0015255C">
        <w:rPr>
          <w:rFonts w:ascii="Arial" w:hAnsi="Arial" w:cs="Arial"/>
          <w:sz w:val="22"/>
          <w:lang w:eastAsia="en-US"/>
        </w:rPr>
        <w:t>C</w:t>
      </w:r>
      <w:r w:rsidR="0015255C" w:rsidRPr="00A179F8">
        <w:rPr>
          <w:rFonts w:ascii="Arial" w:hAnsi="Arial" w:cs="Arial"/>
          <w:sz w:val="22"/>
          <w:lang w:eastAsia="en-US"/>
        </w:rPr>
        <w:t>o</w:t>
      </w:r>
      <w:r w:rsidR="00824B78" w:rsidRPr="00A179F8">
        <w:rPr>
          <w:rFonts w:ascii="Arial" w:hAnsi="Arial" w:cs="Arial"/>
          <w:sz w:val="22"/>
          <w:lang w:eastAsia="en-US"/>
        </w:rPr>
        <w:t xml:space="preserve">-Rapporteurs sous </w:t>
      </w:r>
      <w:r w:rsidR="00824B78" w:rsidRPr="005C1252">
        <w:rPr>
          <w:rFonts w:ascii="Arial" w:hAnsi="Arial" w:cs="Arial"/>
          <w:sz w:val="22"/>
          <w:szCs w:val="22"/>
          <w:lang w:eastAsia="en-US"/>
        </w:rPr>
        <w:t>la direction du Président et du vice-Président</w:t>
      </w:r>
      <w:r w:rsidR="0015255C" w:rsidRPr="005C1252">
        <w:rPr>
          <w:rFonts w:ascii="Arial" w:hAnsi="Arial" w:cs="Arial"/>
          <w:sz w:val="22"/>
          <w:szCs w:val="22"/>
          <w:lang w:eastAsia="en-US"/>
        </w:rPr>
        <w:t xml:space="preserve"> et avec le soutien du Secrétariat</w:t>
      </w:r>
      <w:r w:rsidR="00824B78" w:rsidRPr="005C1252">
        <w:rPr>
          <w:rFonts w:ascii="Arial" w:hAnsi="Arial" w:cs="Arial"/>
          <w:sz w:val="22"/>
          <w:szCs w:val="22"/>
          <w:lang w:eastAsia="en-US"/>
        </w:rPr>
        <w:t>.</w:t>
      </w:r>
      <w:r w:rsidR="00EA0E30" w:rsidRPr="005C1252">
        <w:rPr>
          <w:rFonts w:ascii="Arial" w:hAnsi="Arial" w:cs="Arial"/>
          <w:sz w:val="22"/>
          <w:szCs w:val="22"/>
          <w:lang w:eastAsia="en-US"/>
        </w:rPr>
        <w:t xml:space="preserve"> Il a </w:t>
      </w:r>
      <w:r w:rsidR="00C82619">
        <w:rPr>
          <w:rFonts w:ascii="Arial" w:hAnsi="Arial" w:cs="Arial"/>
          <w:sz w:val="22"/>
          <w:szCs w:val="22"/>
          <w:lang w:eastAsia="en-US"/>
        </w:rPr>
        <w:t>examiné</w:t>
      </w:r>
      <w:r w:rsidR="00C82619" w:rsidRPr="005C1252">
        <w:rPr>
          <w:rFonts w:ascii="Arial" w:hAnsi="Arial" w:cs="Arial"/>
          <w:sz w:val="22"/>
          <w:szCs w:val="22"/>
          <w:lang w:eastAsia="en-US"/>
        </w:rPr>
        <w:t xml:space="preserve"> </w:t>
      </w:r>
      <w:r w:rsidR="00C82619">
        <w:rPr>
          <w:rFonts w:ascii="Arial" w:hAnsi="Arial" w:cs="Arial"/>
          <w:sz w:val="22"/>
          <w:szCs w:val="22"/>
          <w:lang w:eastAsia="en-US"/>
        </w:rPr>
        <w:t>le</w:t>
      </w:r>
      <w:r w:rsidR="00EA0E30" w:rsidRPr="005C1252">
        <w:rPr>
          <w:rFonts w:ascii="Arial" w:hAnsi="Arial" w:cs="Arial"/>
          <w:sz w:val="22"/>
          <w:szCs w:val="22"/>
          <w:lang w:eastAsia="en-US"/>
        </w:rPr>
        <w:t xml:space="preserve">s </w:t>
      </w:r>
      <w:r w:rsidR="00EA0E30" w:rsidRPr="00C82619">
        <w:rPr>
          <w:rFonts w:ascii="Arial" w:hAnsi="Arial" w:cs="Arial"/>
          <w:sz w:val="22"/>
          <w:szCs w:val="22"/>
          <w:lang w:eastAsia="en-US"/>
        </w:rPr>
        <w:t xml:space="preserve">amendements et commentaires soumis par les délégations avant </w:t>
      </w:r>
      <w:r w:rsidR="00A179F8" w:rsidRPr="00C82619">
        <w:rPr>
          <w:rFonts w:ascii="Arial" w:hAnsi="Arial" w:cs="Arial"/>
          <w:sz w:val="22"/>
          <w:szCs w:val="22"/>
          <w:lang w:eastAsia="en-US"/>
        </w:rPr>
        <w:t xml:space="preserve">la réunion </w:t>
      </w:r>
      <w:r w:rsidR="0015255C" w:rsidRPr="005C1252">
        <w:rPr>
          <w:rFonts w:ascii="Arial" w:hAnsi="Arial" w:cs="Arial"/>
          <w:sz w:val="22"/>
          <w:szCs w:val="22"/>
        </w:rPr>
        <w:t xml:space="preserve">(document DH-SYSC-IV(2021)03) </w:t>
      </w:r>
      <w:r w:rsidR="00A179F8" w:rsidRPr="00C82619">
        <w:rPr>
          <w:rFonts w:ascii="Arial" w:hAnsi="Arial" w:cs="Arial"/>
          <w:sz w:val="22"/>
          <w:szCs w:val="22"/>
          <w:lang w:eastAsia="en-US"/>
        </w:rPr>
        <w:t>ainsi que ceux soumis pendant la réunion. Le Groupe de rédaction</w:t>
      </w:r>
      <w:r w:rsidR="00A179F8" w:rsidRPr="005C1252">
        <w:rPr>
          <w:rFonts w:ascii="Arial" w:hAnsi="Arial" w:cs="Arial"/>
          <w:sz w:val="28"/>
          <w:szCs w:val="28"/>
          <w:lang w:eastAsia="en-US"/>
        </w:rPr>
        <w:t xml:space="preserve"> </w:t>
      </w:r>
      <w:r w:rsidR="00A179F8" w:rsidRPr="00A179F8">
        <w:rPr>
          <w:rFonts w:ascii="Arial" w:hAnsi="Arial" w:cs="Arial"/>
          <w:sz w:val="22"/>
          <w:szCs w:val="22"/>
          <w:lang w:eastAsia="en-US"/>
        </w:rPr>
        <w:t xml:space="preserve">a approuvé le texte </w:t>
      </w:r>
      <w:r w:rsidR="00D54F12">
        <w:rPr>
          <w:rFonts w:ascii="Arial" w:hAnsi="Arial" w:cs="Arial"/>
          <w:sz w:val="22"/>
          <w:szCs w:val="22"/>
          <w:lang w:eastAsia="en-US"/>
        </w:rPr>
        <w:t>de son</w:t>
      </w:r>
      <w:r w:rsidR="00A179F8" w:rsidRPr="00A179F8">
        <w:rPr>
          <w:rFonts w:ascii="Arial" w:hAnsi="Arial" w:cs="Arial"/>
          <w:sz w:val="22"/>
          <w:szCs w:val="22"/>
          <w:lang w:eastAsia="en-US"/>
        </w:rPr>
        <w:t xml:space="preserve"> rapport d’activité 2020-2021 tel qu’il figure </w:t>
      </w:r>
      <w:r w:rsidR="00A179F8">
        <w:rPr>
          <w:rFonts w:ascii="Arial" w:hAnsi="Arial" w:cs="Arial"/>
          <w:sz w:val="22"/>
          <w:szCs w:val="22"/>
          <w:lang w:eastAsia="en-US"/>
        </w:rPr>
        <w:t>à l’</w:t>
      </w:r>
      <w:r w:rsidR="00A179F8" w:rsidRPr="00A179F8">
        <w:rPr>
          <w:rFonts w:ascii="Arial" w:hAnsi="Arial" w:cs="Arial"/>
          <w:sz w:val="22"/>
          <w:szCs w:val="22"/>
          <w:lang w:eastAsia="en-US"/>
        </w:rPr>
        <w:t xml:space="preserve">Annexe IV </w:t>
      </w:r>
      <w:r w:rsidR="00824B78" w:rsidRPr="00A179F8">
        <w:rPr>
          <w:rFonts w:ascii="Arial" w:hAnsi="Arial" w:cs="Arial"/>
          <w:sz w:val="22"/>
          <w:szCs w:val="22"/>
          <w:lang w:eastAsia="en-US"/>
        </w:rPr>
        <w:t xml:space="preserve">et a décidé de le transmettre au DH-SYSC pour </w:t>
      </w:r>
      <w:r w:rsidR="00A179F8" w:rsidRPr="00A179F8">
        <w:rPr>
          <w:rFonts w:ascii="Arial" w:hAnsi="Arial" w:cs="Arial"/>
          <w:sz w:val="22"/>
          <w:szCs w:val="22"/>
          <w:lang w:eastAsia="en-US"/>
        </w:rPr>
        <w:t>éventuelle approbation</w:t>
      </w:r>
      <w:r w:rsidR="00824B78" w:rsidRPr="00A179F8">
        <w:rPr>
          <w:rFonts w:ascii="Arial" w:hAnsi="Arial" w:cs="Arial"/>
          <w:sz w:val="22"/>
          <w:szCs w:val="22"/>
          <w:lang w:eastAsia="en-US"/>
        </w:rPr>
        <w:t xml:space="preserve"> lors de sa 7</w:t>
      </w:r>
      <w:r w:rsidR="00A179F8" w:rsidRPr="00A179F8">
        <w:rPr>
          <w:rFonts w:ascii="Arial" w:hAnsi="Arial" w:cs="Arial"/>
          <w:sz w:val="22"/>
          <w:szCs w:val="22"/>
          <w:vertAlign w:val="superscript"/>
          <w:lang w:eastAsia="en-US"/>
        </w:rPr>
        <w:t>e</w:t>
      </w:r>
      <w:r w:rsidR="00A179F8">
        <w:rPr>
          <w:rFonts w:ascii="Arial" w:hAnsi="Arial" w:cs="Arial"/>
          <w:sz w:val="22"/>
          <w:szCs w:val="22"/>
          <w:lang w:eastAsia="en-US"/>
        </w:rPr>
        <w:t xml:space="preserve"> </w:t>
      </w:r>
      <w:r w:rsidR="00824B78" w:rsidRPr="00A179F8">
        <w:rPr>
          <w:rFonts w:ascii="Arial" w:hAnsi="Arial" w:cs="Arial"/>
          <w:sz w:val="22"/>
          <w:szCs w:val="22"/>
          <w:lang w:eastAsia="en-US"/>
        </w:rPr>
        <w:t>réunion (26-28 octobre</w:t>
      </w:r>
      <w:r w:rsidR="00D54F12">
        <w:rPr>
          <w:rFonts w:ascii="Arial" w:hAnsi="Arial" w:cs="Arial"/>
          <w:sz w:val="22"/>
          <w:szCs w:val="22"/>
          <w:lang w:eastAsia="en-US"/>
        </w:rPr>
        <w:t xml:space="preserve"> 2021</w:t>
      </w:r>
      <w:r w:rsidR="00824B78" w:rsidRPr="00A179F8">
        <w:rPr>
          <w:rFonts w:ascii="Arial" w:hAnsi="Arial" w:cs="Arial"/>
          <w:sz w:val="22"/>
          <w:szCs w:val="22"/>
          <w:lang w:eastAsia="en-US"/>
        </w:rPr>
        <w:t xml:space="preserve">), puis </w:t>
      </w:r>
      <w:r w:rsidR="00A179F8">
        <w:rPr>
          <w:rFonts w:ascii="Arial" w:hAnsi="Arial" w:cs="Arial"/>
          <w:sz w:val="22"/>
          <w:szCs w:val="22"/>
          <w:lang w:eastAsia="en-US"/>
        </w:rPr>
        <w:t>au</w:t>
      </w:r>
      <w:r w:rsidR="00824B78" w:rsidRPr="00A179F8">
        <w:rPr>
          <w:rFonts w:ascii="Arial" w:hAnsi="Arial" w:cs="Arial"/>
          <w:sz w:val="22"/>
          <w:szCs w:val="22"/>
          <w:lang w:eastAsia="en-US"/>
        </w:rPr>
        <w:t xml:space="preserve"> CDDH </w:t>
      </w:r>
      <w:r w:rsidR="00A179F8">
        <w:rPr>
          <w:rFonts w:ascii="Arial" w:hAnsi="Arial" w:cs="Arial"/>
          <w:sz w:val="22"/>
          <w:szCs w:val="22"/>
          <w:lang w:eastAsia="en-US"/>
        </w:rPr>
        <w:t>pour éventuelle adoption lors de sa 95</w:t>
      </w:r>
      <w:r w:rsidR="00A179F8" w:rsidRPr="00A179F8">
        <w:rPr>
          <w:rFonts w:ascii="Arial" w:hAnsi="Arial" w:cs="Arial"/>
          <w:sz w:val="22"/>
          <w:szCs w:val="22"/>
          <w:vertAlign w:val="superscript"/>
          <w:lang w:eastAsia="en-US"/>
        </w:rPr>
        <w:t>e</w:t>
      </w:r>
      <w:r w:rsidR="00A179F8">
        <w:rPr>
          <w:rFonts w:ascii="Arial" w:hAnsi="Arial" w:cs="Arial"/>
          <w:sz w:val="22"/>
          <w:szCs w:val="22"/>
          <w:lang w:eastAsia="en-US"/>
        </w:rPr>
        <w:t xml:space="preserve"> réunion (23-26</w:t>
      </w:r>
      <w:r w:rsidR="00824B78" w:rsidRPr="00A179F8">
        <w:rPr>
          <w:rFonts w:ascii="Arial" w:hAnsi="Arial" w:cs="Arial"/>
          <w:sz w:val="22"/>
          <w:szCs w:val="22"/>
          <w:lang w:eastAsia="en-US"/>
        </w:rPr>
        <w:t xml:space="preserve"> novembre 2021</w:t>
      </w:r>
      <w:r w:rsidR="00A179F8">
        <w:rPr>
          <w:rFonts w:ascii="Arial" w:hAnsi="Arial" w:cs="Arial"/>
          <w:sz w:val="22"/>
          <w:szCs w:val="22"/>
          <w:lang w:eastAsia="en-US"/>
        </w:rPr>
        <w:t>)</w:t>
      </w:r>
      <w:r w:rsidR="00824B78" w:rsidRPr="00A179F8">
        <w:rPr>
          <w:rFonts w:ascii="Arial" w:hAnsi="Arial" w:cs="Arial"/>
          <w:sz w:val="22"/>
          <w:szCs w:val="22"/>
          <w:lang w:eastAsia="en-US"/>
        </w:rPr>
        <w:t>.</w:t>
      </w:r>
    </w:p>
    <w:p w14:paraId="21CACC14" w14:textId="77777777" w:rsidR="00D86968" w:rsidRPr="00D86968" w:rsidRDefault="00D86968" w:rsidP="00D86968">
      <w:pPr>
        <w:contextualSpacing/>
        <w:jc w:val="both"/>
        <w:rPr>
          <w:rFonts w:ascii="Arial" w:hAnsi="Arial" w:cs="Arial"/>
        </w:rPr>
      </w:pPr>
    </w:p>
    <w:p w14:paraId="7A2B2021" w14:textId="2DABF923" w:rsidR="00D86968" w:rsidRPr="00D86968" w:rsidRDefault="00D86968" w:rsidP="00E46CFB">
      <w:pPr>
        <w:numPr>
          <w:ilvl w:val="0"/>
          <w:numId w:val="1"/>
        </w:numPr>
        <w:ind w:left="0" w:firstLine="0"/>
        <w:contextualSpacing/>
        <w:jc w:val="both"/>
        <w:rPr>
          <w:rFonts w:ascii="Arial" w:hAnsi="Arial" w:cs="Arial"/>
          <w:sz w:val="22"/>
          <w:szCs w:val="22"/>
          <w:lang w:eastAsia="en-US"/>
        </w:rPr>
      </w:pPr>
      <w:r w:rsidRPr="00D86968">
        <w:rPr>
          <w:rFonts w:ascii="Arial" w:hAnsi="Arial" w:cs="Arial"/>
          <w:sz w:val="22"/>
          <w:szCs w:val="22"/>
          <w:lang w:eastAsia="en-US"/>
        </w:rPr>
        <w:t>La délégation de la Fédération de Russie réserv</w:t>
      </w:r>
      <w:r>
        <w:rPr>
          <w:rFonts w:ascii="Arial" w:hAnsi="Arial" w:cs="Arial"/>
          <w:sz w:val="22"/>
          <w:szCs w:val="22"/>
          <w:lang w:eastAsia="en-US"/>
        </w:rPr>
        <w:t xml:space="preserve">e </w:t>
      </w:r>
      <w:r w:rsidRPr="00D86968">
        <w:rPr>
          <w:rFonts w:ascii="Arial" w:hAnsi="Arial" w:cs="Arial"/>
          <w:sz w:val="22"/>
          <w:szCs w:val="22"/>
          <w:lang w:eastAsia="en-US"/>
        </w:rPr>
        <w:t xml:space="preserve">sa position à l'égard de ce point et part du principe que le contenu du </w:t>
      </w:r>
      <w:r>
        <w:rPr>
          <w:rFonts w:ascii="Arial" w:hAnsi="Arial" w:cs="Arial"/>
          <w:sz w:val="22"/>
          <w:szCs w:val="22"/>
          <w:lang w:eastAsia="en-US"/>
        </w:rPr>
        <w:t>R</w:t>
      </w:r>
      <w:r w:rsidRPr="00D86968">
        <w:rPr>
          <w:rFonts w:ascii="Arial" w:hAnsi="Arial" w:cs="Arial"/>
          <w:sz w:val="22"/>
          <w:szCs w:val="22"/>
          <w:lang w:eastAsia="en-US"/>
        </w:rPr>
        <w:t xml:space="preserve">apport d'activité 2020-2021 est sans préjudice des </w:t>
      </w:r>
      <w:r>
        <w:rPr>
          <w:rFonts w:ascii="Arial" w:hAnsi="Arial" w:cs="Arial"/>
          <w:sz w:val="22"/>
          <w:szCs w:val="22"/>
          <w:lang w:eastAsia="en-US"/>
        </w:rPr>
        <w:t>discussions</w:t>
      </w:r>
      <w:r w:rsidRPr="00D86968">
        <w:rPr>
          <w:rFonts w:ascii="Arial" w:hAnsi="Arial" w:cs="Arial"/>
          <w:sz w:val="22"/>
          <w:szCs w:val="22"/>
          <w:lang w:eastAsia="en-US"/>
        </w:rPr>
        <w:t xml:space="preserve"> en cours</w:t>
      </w:r>
      <w:r>
        <w:rPr>
          <w:rFonts w:ascii="Arial" w:hAnsi="Arial" w:cs="Arial"/>
          <w:sz w:val="22"/>
          <w:szCs w:val="22"/>
          <w:lang w:eastAsia="en-US"/>
        </w:rPr>
        <w:t xml:space="preserve"> portant</w:t>
      </w:r>
      <w:r w:rsidRPr="00D86968">
        <w:rPr>
          <w:rFonts w:ascii="Arial" w:hAnsi="Arial" w:cs="Arial"/>
          <w:sz w:val="22"/>
          <w:szCs w:val="22"/>
          <w:lang w:eastAsia="en-US"/>
        </w:rPr>
        <w:t xml:space="preserve"> sur le traitement et le règlement efficace d</w:t>
      </w:r>
      <w:r>
        <w:rPr>
          <w:rFonts w:ascii="Arial" w:hAnsi="Arial" w:cs="Arial"/>
          <w:sz w:val="22"/>
          <w:szCs w:val="22"/>
          <w:lang w:eastAsia="en-US"/>
        </w:rPr>
        <w:t>’</w:t>
      </w:r>
      <w:r w:rsidRPr="00D86968">
        <w:rPr>
          <w:rFonts w:ascii="Arial" w:hAnsi="Arial" w:cs="Arial"/>
          <w:sz w:val="22"/>
          <w:szCs w:val="22"/>
          <w:lang w:eastAsia="en-US"/>
        </w:rPr>
        <w:t xml:space="preserve">affaires </w:t>
      </w:r>
      <w:r>
        <w:rPr>
          <w:rFonts w:ascii="Arial" w:hAnsi="Arial" w:cs="Arial"/>
          <w:sz w:val="22"/>
          <w:szCs w:val="22"/>
          <w:lang w:eastAsia="en-US"/>
        </w:rPr>
        <w:t>concernant</w:t>
      </w:r>
      <w:r w:rsidRPr="00D86968">
        <w:rPr>
          <w:rFonts w:ascii="Arial" w:hAnsi="Arial" w:cs="Arial"/>
          <w:sz w:val="22"/>
          <w:szCs w:val="22"/>
          <w:lang w:eastAsia="en-US"/>
        </w:rPr>
        <w:t xml:space="preserve"> </w:t>
      </w:r>
      <w:r>
        <w:rPr>
          <w:rFonts w:ascii="Arial" w:hAnsi="Arial" w:cs="Arial"/>
          <w:sz w:val="22"/>
          <w:szCs w:val="22"/>
          <w:lang w:eastAsia="en-US"/>
        </w:rPr>
        <w:t>des</w:t>
      </w:r>
      <w:r w:rsidRPr="00D86968">
        <w:rPr>
          <w:rFonts w:ascii="Arial" w:hAnsi="Arial" w:cs="Arial"/>
          <w:sz w:val="22"/>
          <w:szCs w:val="22"/>
          <w:lang w:eastAsia="en-US"/>
        </w:rPr>
        <w:t xml:space="preserve"> </w:t>
      </w:r>
      <w:r>
        <w:rPr>
          <w:rFonts w:ascii="Arial" w:hAnsi="Arial" w:cs="Arial"/>
          <w:sz w:val="22"/>
          <w:szCs w:val="22"/>
          <w:lang w:eastAsia="en-US"/>
        </w:rPr>
        <w:t>conflits</w:t>
      </w:r>
      <w:r w:rsidRPr="00D86968">
        <w:rPr>
          <w:rFonts w:ascii="Arial" w:hAnsi="Arial" w:cs="Arial"/>
          <w:sz w:val="22"/>
          <w:szCs w:val="22"/>
          <w:lang w:eastAsia="en-US"/>
        </w:rPr>
        <w:t xml:space="preserve"> interétatiques.</w:t>
      </w:r>
    </w:p>
    <w:p w14:paraId="6A3ED1EB" w14:textId="77777777" w:rsidR="00C82619" w:rsidRPr="005C1252" w:rsidRDefault="00C82619" w:rsidP="005C1252">
      <w:pPr>
        <w:contextualSpacing/>
        <w:jc w:val="both"/>
        <w:rPr>
          <w:rFonts w:ascii="Arial" w:hAnsi="Arial" w:cs="Arial"/>
        </w:rPr>
      </w:pPr>
    </w:p>
    <w:p w14:paraId="69A529FC" w14:textId="743FC0E8" w:rsidR="00C82619" w:rsidRPr="00A179F8" w:rsidRDefault="00C82619" w:rsidP="005C1252">
      <w:pPr>
        <w:numPr>
          <w:ilvl w:val="0"/>
          <w:numId w:val="1"/>
        </w:numPr>
        <w:ind w:left="0" w:firstLine="0"/>
        <w:contextualSpacing/>
        <w:jc w:val="both"/>
        <w:rPr>
          <w:rFonts w:ascii="Arial" w:hAnsi="Arial" w:cs="Arial"/>
        </w:rPr>
      </w:pPr>
      <w:r>
        <w:rPr>
          <w:rFonts w:ascii="Arial" w:hAnsi="Arial" w:cs="Arial"/>
          <w:sz w:val="22"/>
          <w:szCs w:val="22"/>
          <w:lang w:eastAsia="en-US"/>
        </w:rPr>
        <w:t>En ce qui concerne le rapport statistique fourni par le Greffe de la Cour sur les requêtes liées aux conflits interétatiques annexé au Rapport d’activité 2020-2021, le Groupe de rédaction convient d’inviter le Greffe à</w:t>
      </w:r>
      <w:r w:rsidRPr="00C82619">
        <w:rPr>
          <w:rFonts w:ascii="Arial" w:hAnsi="Arial" w:cs="Arial"/>
          <w:sz w:val="22"/>
          <w:szCs w:val="22"/>
          <w:lang w:eastAsia="en-US"/>
        </w:rPr>
        <w:t xml:space="preserve"> mettre à jour le</w:t>
      </w:r>
      <w:r w:rsidR="00D86968">
        <w:rPr>
          <w:rFonts w:ascii="Arial" w:hAnsi="Arial" w:cs="Arial"/>
          <w:sz w:val="22"/>
          <w:szCs w:val="22"/>
          <w:lang w:eastAsia="en-US"/>
        </w:rPr>
        <w:t xml:space="preserve"> rapport </w:t>
      </w:r>
      <w:r w:rsidRPr="00C82619">
        <w:rPr>
          <w:rFonts w:ascii="Arial" w:hAnsi="Arial" w:cs="Arial"/>
          <w:sz w:val="22"/>
          <w:szCs w:val="22"/>
          <w:lang w:eastAsia="en-US"/>
        </w:rPr>
        <w:t>statistique</w:t>
      </w:r>
      <w:r w:rsidR="00D86968">
        <w:rPr>
          <w:rFonts w:ascii="Arial" w:hAnsi="Arial" w:cs="Arial"/>
          <w:sz w:val="22"/>
          <w:szCs w:val="22"/>
          <w:lang w:eastAsia="en-US"/>
        </w:rPr>
        <w:t>,</w:t>
      </w:r>
      <w:r w:rsidRPr="00C82619">
        <w:rPr>
          <w:rFonts w:ascii="Arial" w:hAnsi="Arial" w:cs="Arial"/>
          <w:sz w:val="22"/>
          <w:szCs w:val="22"/>
          <w:lang w:eastAsia="en-US"/>
        </w:rPr>
        <w:t xml:space="preserve"> si possible avant </w:t>
      </w:r>
      <w:r>
        <w:rPr>
          <w:rFonts w:ascii="Arial" w:hAnsi="Arial" w:cs="Arial"/>
          <w:sz w:val="22"/>
          <w:szCs w:val="22"/>
          <w:lang w:eastAsia="en-US"/>
        </w:rPr>
        <w:t>l</w:t>
      </w:r>
      <w:r w:rsidRPr="00C82619">
        <w:rPr>
          <w:rFonts w:ascii="Arial" w:hAnsi="Arial" w:cs="Arial"/>
          <w:sz w:val="22"/>
          <w:szCs w:val="22"/>
          <w:lang w:eastAsia="en-US"/>
        </w:rPr>
        <w:t>a 7</w:t>
      </w:r>
      <w:r w:rsidRPr="005C1252">
        <w:rPr>
          <w:rFonts w:ascii="Arial" w:hAnsi="Arial" w:cs="Arial"/>
          <w:sz w:val="22"/>
          <w:szCs w:val="22"/>
          <w:vertAlign w:val="superscript"/>
          <w:lang w:eastAsia="en-US"/>
        </w:rPr>
        <w:t>e</w:t>
      </w:r>
      <w:r>
        <w:rPr>
          <w:rFonts w:ascii="Arial" w:hAnsi="Arial" w:cs="Arial"/>
          <w:sz w:val="22"/>
          <w:szCs w:val="22"/>
          <w:lang w:eastAsia="en-US"/>
        </w:rPr>
        <w:t xml:space="preserve"> </w:t>
      </w:r>
      <w:r w:rsidRPr="00C82619">
        <w:rPr>
          <w:rFonts w:ascii="Arial" w:hAnsi="Arial" w:cs="Arial"/>
          <w:sz w:val="22"/>
          <w:szCs w:val="22"/>
          <w:lang w:eastAsia="en-US"/>
        </w:rPr>
        <w:t>réunion</w:t>
      </w:r>
      <w:r>
        <w:rPr>
          <w:rFonts w:ascii="Arial" w:hAnsi="Arial" w:cs="Arial"/>
          <w:sz w:val="22"/>
          <w:szCs w:val="22"/>
          <w:lang w:eastAsia="en-US"/>
        </w:rPr>
        <w:t xml:space="preserve"> du DH-SYSC</w:t>
      </w:r>
      <w:r w:rsidRPr="00C82619">
        <w:rPr>
          <w:rFonts w:ascii="Arial" w:hAnsi="Arial" w:cs="Arial"/>
          <w:sz w:val="22"/>
          <w:szCs w:val="22"/>
          <w:lang w:eastAsia="en-US"/>
        </w:rPr>
        <w:t>. Le DH-SYSC-IV invit</w:t>
      </w:r>
      <w:r>
        <w:rPr>
          <w:rFonts w:ascii="Arial" w:hAnsi="Arial" w:cs="Arial"/>
          <w:sz w:val="22"/>
          <w:szCs w:val="22"/>
          <w:lang w:eastAsia="en-US"/>
        </w:rPr>
        <w:t>e</w:t>
      </w:r>
      <w:r w:rsidRPr="00C82619">
        <w:rPr>
          <w:rFonts w:ascii="Arial" w:hAnsi="Arial" w:cs="Arial"/>
          <w:sz w:val="22"/>
          <w:szCs w:val="22"/>
          <w:lang w:eastAsia="en-US"/>
        </w:rPr>
        <w:t xml:space="preserve"> les délégations souhaitant soumettre des commentaires concernant le rapport statistique</w:t>
      </w:r>
      <w:r w:rsidR="00D86968">
        <w:rPr>
          <w:rFonts w:ascii="Arial" w:hAnsi="Arial" w:cs="Arial"/>
          <w:sz w:val="22"/>
          <w:szCs w:val="22"/>
          <w:lang w:eastAsia="en-US"/>
        </w:rPr>
        <w:t xml:space="preserve">, y compris </w:t>
      </w:r>
      <w:r w:rsidR="001E2608">
        <w:rPr>
          <w:rFonts w:ascii="Arial" w:hAnsi="Arial" w:cs="Arial"/>
          <w:sz w:val="22"/>
          <w:szCs w:val="22"/>
          <w:lang w:eastAsia="en-US"/>
        </w:rPr>
        <w:t>concernant</w:t>
      </w:r>
      <w:r w:rsidR="00D86968">
        <w:rPr>
          <w:rFonts w:ascii="Arial" w:hAnsi="Arial" w:cs="Arial"/>
          <w:sz w:val="22"/>
          <w:szCs w:val="22"/>
          <w:lang w:eastAsia="en-US"/>
        </w:rPr>
        <w:t xml:space="preserve"> les dénominations officielles utilisées,</w:t>
      </w:r>
      <w:r w:rsidRPr="00C82619">
        <w:rPr>
          <w:rFonts w:ascii="Arial" w:hAnsi="Arial" w:cs="Arial"/>
          <w:sz w:val="22"/>
          <w:szCs w:val="22"/>
          <w:lang w:eastAsia="en-US"/>
        </w:rPr>
        <w:t xml:space="preserve"> à les transmettre au Secrétariat</w:t>
      </w:r>
      <w:r w:rsidR="00D86968">
        <w:rPr>
          <w:rFonts w:ascii="Arial" w:hAnsi="Arial" w:cs="Arial"/>
          <w:sz w:val="22"/>
          <w:szCs w:val="22"/>
          <w:lang w:eastAsia="en-US"/>
        </w:rPr>
        <w:t xml:space="preserve"> d’ici le 15 octobre 2021. Le Secrétariat </w:t>
      </w:r>
      <w:r w:rsidRPr="00C82619">
        <w:rPr>
          <w:rFonts w:ascii="Arial" w:hAnsi="Arial" w:cs="Arial"/>
          <w:sz w:val="22"/>
          <w:szCs w:val="22"/>
          <w:lang w:eastAsia="en-US"/>
        </w:rPr>
        <w:t xml:space="preserve">rassemblera les commentaires reçus et les transmettra au </w:t>
      </w:r>
      <w:r>
        <w:rPr>
          <w:rFonts w:ascii="Arial" w:hAnsi="Arial" w:cs="Arial"/>
          <w:sz w:val="22"/>
          <w:szCs w:val="22"/>
          <w:lang w:eastAsia="en-US"/>
        </w:rPr>
        <w:t>Greffe</w:t>
      </w:r>
      <w:r w:rsidRPr="00C82619">
        <w:rPr>
          <w:rFonts w:ascii="Arial" w:hAnsi="Arial" w:cs="Arial"/>
          <w:sz w:val="22"/>
          <w:szCs w:val="22"/>
          <w:lang w:eastAsia="en-US"/>
        </w:rPr>
        <w:t>.</w:t>
      </w:r>
    </w:p>
    <w:p w14:paraId="6CFACFBD" w14:textId="77777777" w:rsidR="004F0882" w:rsidRPr="00867FE0" w:rsidRDefault="004F0882" w:rsidP="004F0882">
      <w:pPr>
        <w:jc w:val="both"/>
        <w:rPr>
          <w:rFonts w:ascii="Arial" w:hAnsi="Arial" w:cs="Arial"/>
          <w:sz w:val="22"/>
        </w:rPr>
      </w:pPr>
    </w:p>
    <w:p w14:paraId="5BE93EAE" w14:textId="77777777" w:rsidR="00EA35A6" w:rsidRPr="00EC54B6" w:rsidRDefault="00EA35A6" w:rsidP="00EA35A6">
      <w:pPr>
        <w:contextualSpacing/>
        <w:jc w:val="both"/>
        <w:rPr>
          <w:rFonts w:ascii="Arial" w:hAnsi="Arial" w:cs="Arial"/>
          <w:b/>
          <w:szCs w:val="28"/>
          <w:u w:val="single"/>
          <w:lang w:eastAsia="en-GB"/>
        </w:rPr>
      </w:pPr>
    </w:p>
    <w:p w14:paraId="1E1690CD" w14:textId="23B0219B" w:rsidR="00EA35A6" w:rsidRPr="00EC54B6" w:rsidRDefault="00EA35A6" w:rsidP="00EA35A6">
      <w:pPr>
        <w:contextualSpacing/>
        <w:jc w:val="both"/>
        <w:rPr>
          <w:rFonts w:ascii="Arial" w:hAnsi="Arial" w:cs="Arial"/>
          <w:b/>
          <w:bCs/>
        </w:rPr>
      </w:pPr>
      <w:r w:rsidRPr="00EC54B6">
        <w:rPr>
          <w:rFonts w:ascii="Arial" w:hAnsi="Arial" w:cs="Arial"/>
          <w:b/>
          <w:szCs w:val="28"/>
          <w:u w:val="single"/>
          <w:lang w:eastAsia="en-GB"/>
        </w:rPr>
        <w:t>POINT</w:t>
      </w:r>
      <w:r w:rsidR="00947BAB" w:rsidRPr="00EC54B6">
        <w:rPr>
          <w:rFonts w:ascii="Arial" w:hAnsi="Arial" w:cs="Arial"/>
          <w:b/>
          <w:szCs w:val="28"/>
          <w:u w:val="single"/>
          <w:lang w:eastAsia="en-GB"/>
        </w:rPr>
        <w:t xml:space="preserve"> </w:t>
      </w:r>
      <w:r w:rsidR="00824B78">
        <w:rPr>
          <w:rFonts w:ascii="Arial" w:hAnsi="Arial" w:cs="Arial"/>
          <w:b/>
          <w:szCs w:val="28"/>
          <w:u w:val="single"/>
          <w:lang w:eastAsia="en-GB"/>
        </w:rPr>
        <w:t>4</w:t>
      </w:r>
      <w:r w:rsidRPr="00EC54B6">
        <w:rPr>
          <w:rFonts w:ascii="Arial" w:hAnsi="Arial" w:cs="Arial"/>
          <w:b/>
          <w:szCs w:val="28"/>
          <w:u w:val="single"/>
          <w:lang w:eastAsia="en-GB"/>
        </w:rPr>
        <w:t xml:space="preserve"> </w:t>
      </w:r>
      <w:r w:rsidRPr="00EC54B6">
        <w:rPr>
          <w:rFonts w:ascii="Arial" w:hAnsi="Arial" w:cs="Arial"/>
          <w:b/>
          <w:szCs w:val="28"/>
          <w:lang w:eastAsia="en-GB"/>
        </w:rPr>
        <w:t xml:space="preserve">: </w:t>
      </w:r>
      <w:r w:rsidRPr="00EC54B6">
        <w:rPr>
          <w:rFonts w:ascii="Arial" w:hAnsi="Arial" w:cs="Arial"/>
          <w:sz w:val="22"/>
          <w:szCs w:val="22"/>
        </w:rPr>
        <w:tab/>
      </w:r>
      <w:r w:rsidRPr="00EC54B6">
        <w:rPr>
          <w:rFonts w:ascii="Arial" w:hAnsi="Arial" w:cs="Arial"/>
          <w:b/>
          <w:bCs/>
        </w:rPr>
        <w:t xml:space="preserve">ÉGALITÉ DE GENRE </w:t>
      </w:r>
    </w:p>
    <w:p w14:paraId="62BDB80D" w14:textId="77777777" w:rsidR="00EA35A6" w:rsidRPr="00EC54B6" w:rsidRDefault="00EA35A6" w:rsidP="00EA35A6">
      <w:pPr>
        <w:contextualSpacing/>
        <w:jc w:val="both"/>
        <w:rPr>
          <w:rFonts w:ascii="Arial" w:hAnsi="Arial" w:cs="Arial"/>
          <w:b/>
          <w:bCs/>
          <w:sz w:val="22"/>
          <w:szCs w:val="22"/>
        </w:rPr>
      </w:pPr>
    </w:p>
    <w:p w14:paraId="5FD3A067" w14:textId="28F8866A" w:rsidR="00A179F8" w:rsidRDefault="00D411BC" w:rsidP="00D411BC">
      <w:pPr>
        <w:numPr>
          <w:ilvl w:val="0"/>
          <w:numId w:val="1"/>
        </w:numPr>
        <w:ind w:left="0" w:firstLine="0"/>
        <w:contextualSpacing/>
        <w:jc w:val="both"/>
        <w:rPr>
          <w:rFonts w:ascii="Arial" w:hAnsi="Arial" w:cs="Arial"/>
          <w:sz w:val="22"/>
          <w:szCs w:val="22"/>
        </w:rPr>
      </w:pPr>
      <w:r>
        <w:rPr>
          <w:rFonts w:ascii="Arial" w:hAnsi="Arial" w:cs="Arial"/>
          <w:sz w:val="22"/>
          <w:szCs w:val="22"/>
        </w:rPr>
        <w:t xml:space="preserve">Sur la base de la décision du CDDH </w:t>
      </w:r>
      <w:r w:rsidR="00C82619">
        <w:rPr>
          <w:rFonts w:ascii="Arial" w:hAnsi="Arial" w:cs="Arial"/>
          <w:sz w:val="22"/>
          <w:szCs w:val="22"/>
        </w:rPr>
        <w:t xml:space="preserve">à </w:t>
      </w:r>
      <w:r>
        <w:rPr>
          <w:rFonts w:ascii="Arial" w:hAnsi="Arial" w:cs="Arial"/>
          <w:sz w:val="22"/>
          <w:szCs w:val="22"/>
        </w:rPr>
        <w:t>sa 93</w:t>
      </w:r>
      <w:r w:rsidRPr="00D411BC">
        <w:rPr>
          <w:rFonts w:ascii="Arial" w:hAnsi="Arial" w:cs="Arial"/>
          <w:sz w:val="22"/>
          <w:szCs w:val="22"/>
          <w:vertAlign w:val="superscript"/>
        </w:rPr>
        <w:t>e</w:t>
      </w:r>
      <w:r>
        <w:rPr>
          <w:rFonts w:ascii="Arial" w:hAnsi="Arial" w:cs="Arial"/>
          <w:sz w:val="22"/>
          <w:szCs w:val="22"/>
        </w:rPr>
        <w:t xml:space="preserve"> réunion (14-16 décembre 2020) invitant ses organes subordonnés à prendre en compte la dimension d’égalité de genre dans le cadre de leurs travaux conformément à la fiche thématique pertinente (CDDH(2020)13), le DH-SYSC-IV a abord</w:t>
      </w:r>
      <w:r>
        <w:rPr>
          <w:rFonts w:ascii="Arial" w:hAnsi="Arial" w:cs="Arial"/>
          <w:sz w:val="22"/>
          <w:szCs w:val="22"/>
          <w:lang w:eastAsia="en-US"/>
        </w:rPr>
        <w:t>é</w:t>
      </w:r>
      <w:r>
        <w:rPr>
          <w:rFonts w:ascii="Arial" w:hAnsi="Arial" w:cs="Arial"/>
          <w:sz w:val="22"/>
          <w:szCs w:val="22"/>
        </w:rPr>
        <w:t xml:space="preserve"> cette question lors de sa 3</w:t>
      </w:r>
      <w:r w:rsidRPr="00D411BC">
        <w:rPr>
          <w:rFonts w:ascii="Arial" w:hAnsi="Arial" w:cs="Arial"/>
          <w:sz w:val="22"/>
          <w:szCs w:val="22"/>
          <w:vertAlign w:val="superscript"/>
        </w:rPr>
        <w:t>e</w:t>
      </w:r>
      <w:r>
        <w:rPr>
          <w:rFonts w:ascii="Arial" w:hAnsi="Arial" w:cs="Arial"/>
          <w:sz w:val="22"/>
          <w:szCs w:val="22"/>
        </w:rPr>
        <w:t xml:space="preserve"> réunion (14-16 avril 2021) et lors de la présente réunion. Il a </w:t>
      </w:r>
      <w:r w:rsidR="0015255C">
        <w:rPr>
          <w:rFonts w:ascii="Arial" w:hAnsi="Arial" w:cs="Arial"/>
          <w:sz w:val="22"/>
          <w:szCs w:val="22"/>
        </w:rPr>
        <w:t xml:space="preserve">considéré </w:t>
      </w:r>
      <w:r>
        <w:rPr>
          <w:rFonts w:ascii="Arial" w:hAnsi="Arial" w:cs="Arial"/>
          <w:sz w:val="22"/>
          <w:szCs w:val="22"/>
        </w:rPr>
        <w:t>que ses activités, y compris l</w:t>
      </w:r>
      <w:r w:rsidR="00C82619">
        <w:rPr>
          <w:rFonts w:ascii="Arial" w:hAnsi="Arial" w:cs="Arial"/>
          <w:sz w:val="22"/>
          <w:szCs w:val="22"/>
        </w:rPr>
        <w:t>’a</w:t>
      </w:r>
      <w:r>
        <w:rPr>
          <w:rFonts w:ascii="Arial" w:hAnsi="Arial" w:cs="Arial"/>
          <w:sz w:val="22"/>
          <w:szCs w:val="22"/>
        </w:rPr>
        <w:t>udi</w:t>
      </w:r>
      <w:r w:rsidR="00C82619">
        <w:rPr>
          <w:rFonts w:ascii="Arial" w:hAnsi="Arial" w:cs="Arial"/>
          <w:sz w:val="22"/>
          <w:szCs w:val="22"/>
        </w:rPr>
        <w:t>tion</w:t>
      </w:r>
      <w:r>
        <w:rPr>
          <w:rFonts w:ascii="Arial" w:hAnsi="Arial" w:cs="Arial"/>
          <w:sz w:val="22"/>
          <w:szCs w:val="22"/>
        </w:rPr>
        <w:t xml:space="preserve"> prévue avec des experts externes, </w:t>
      </w:r>
      <w:r>
        <w:rPr>
          <w:rFonts w:ascii="Arial" w:hAnsi="Arial" w:cs="Arial"/>
          <w:sz w:val="22"/>
          <w:szCs w:val="22"/>
        </w:rPr>
        <w:lastRenderedPageBreak/>
        <w:t xml:space="preserve">permettaient la participation équitable des femmes et des hommes. Aucun autre aspect de son analyse et de ses travaux n’a soulevé de question d’égalité de genre. </w:t>
      </w:r>
    </w:p>
    <w:p w14:paraId="038F035B" w14:textId="77777777" w:rsidR="00EA35A6" w:rsidRPr="00EC54B6" w:rsidRDefault="00EA35A6" w:rsidP="00EA35A6">
      <w:pPr>
        <w:contextualSpacing/>
        <w:jc w:val="both"/>
        <w:rPr>
          <w:rFonts w:ascii="Arial" w:hAnsi="Arial" w:cs="Arial"/>
          <w:sz w:val="22"/>
          <w:szCs w:val="22"/>
        </w:rPr>
      </w:pPr>
    </w:p>
    <w:p w14:paraId="208074CE" w14:textId="77777777" w:rsidR="00EA35A6" w:rsidRPr="00EC54B6" w:rsidRDefault="00EA35A6" w:rsidP="00EA35A6">
      <w:pPr>
        <w:pStyle w:val="Sansinterligne"/>
        <w:jc w:val="both"/>
        <w:rPr>
          <w:rFonts w:ascii="Arial" w:hAnsi="Arial" w:cs="Arial"/>
          <w:sz w:val="22"/>
          <w:szCs w:val="22"/>
        </w:rPr>
      </w:pPr>
    </w:p>
    <w:p w14:paraId="7B0DC5E5" w14:textId="7C2084E8" w:rsidR="00EA35A6" w:rsidRPr="00EC54B6" w:rsidRDefault="00EA35A6" w:rsidP="00EA35A6">
      <w:pPr>
        <w:tabs>
          <w:tab w:val="left" w:pos="0"/>
        </w:tabs>
        <w:autoSpaceDE w:val="0"/>
        <w:autoSpaceDN w:val="0"/>
        <w:adjustRightInd w:val="0"/>
        <w:ind w:left="1418" w:hanging="1418"/>
        <w:jc w:val="both"/>
        <w:rPr>
          <w:rFonts w:ascii="Arial" w:hAnsi="Arial" w:cs="Arial"/>
          <w:b/>
          <w:szCs w:val="28"/>
          <w:lang w:eastAsia="en-GB"/>
        </w:rPr>
      </w:pPr>
      <w:r w:rsidRPr="00EC54B6">
        <w:rPr>
          <w:rFonts w:ascii="Arial" w:hAnsi="Arial" w:cs="Arial"/>
          <w:b/>
          <w:szCs w:val="28"/>
          <w:u w:val="single"/>
          <w:lang w:eastAsia="en-GB"/>
        </w:rPr>
        <w:t>POINT</w:t>
      </w:r>
      <w:r w:rsidR="00947BAB" w:rsidRPr="00EC54B6">
        <w:rPr>
          <w:rFonts w:ascii="Arial" w:hAnsi="Arial" w:cs="Arial"/>
          <w:b/>
          <w:szCs w:val="28"/>
          <w:u w:val="single"/>
          <w:lang w:eastAsia="en-GB"/>
        </w:rPr>
        <w:t xml:space="preserve"> </w:t>
      </w:r>
      <w:r w:rsidR="003974C0">
        <w:rPr>
          <w:rFonts w:ascii="Arial" w:hAnsi="Arial" w:cs="Arial"/>
          <w:b/>
          <w:szCs w:val="28"/>
          <w:u w:val="single"/>
          <w:lang w:eastAsia="en-GB"/>
        </w:rPr>
        <w:t>5</w:t>
      </w:r>
      <w:r w:rsidRPr="00EC54B6">
        <w:rPr>
          <w:rFonts w:ascii="Arial" w:hAnsi="Arial" w:cs="Arial"/>
          <w:b/>
          <w:szCs w:val="28"/>
          <w:u w:val="single"/>
          <w:lang w:eastAsia="en-GB"/>
        </w:rPr>
        <w:t xml:space="preserve"> </w:t>
      </w:r>
      <w:r w:rsidRPr="00EC54B6">
        <w:rPr>
          <w:rFonts w:ascii="Arial" w:hAnsi="Arial" w:cs="Arial"/>
          <w:b/>
          <w:szCs w:val="28"/>
          <w:lang w:eastAsia="en-GB"/>
        </w:rPr>
        <w:t>:</w:t>
      </w:r>
      <w:r w:rsidRPr="00EC54B6">
        <w:rPr>
          <w:rFonts w:ascii="Arial" w:hAnsi="Arial" w:cs="Arial"/>
          <w:b/>
          <w:szCs w:val="28"/>
          <w:lang w:eastAsia="en-GB"/>
        </w:rPr>
        <w:tab/>
        <w:t xml:space="preserve">ORGANISATION DES TRAVAUX FUTURS </w:t>
      </w:r>
    </w:p>
    <w:p w14:paraId="5A6DD1D5" w14:textId="77777777" w:rsidR="00EA35A6" w:rsidRPr="00EC54B6" w:rsidRDefault="00EA35A6" w:rsidP="00EA35A6">
      <w:pPr>
        <w:pStyle w:val="Sansinterligne"/>
        <w:jc w:val="both"/>
        <w:rPr>
          <w:rFonts w:ascii="Arial" w:hAnsi="Arial" w:cs="Arial"/>
          <w:b/>
          <w:szCs w:val="28"/>
          <w:lang w:eastAsia="en-GB"/>
        </w:rPr>
      </w:pPr>
    </w:p>
    <w:p w14:paraId="1234A4C3" w14:textId="159F3DEE" w:rsidR="007F396E" w:rsidRPr="007F396E" w:rsidRDefault="00F063B8" w:rsidP="00CA7C5D">
      <w:pPr>
        <w:numPr>
          <w:ilvl w:val="0"/>
          <w:numId w:val="1"/>
        </w:numPr>
        <w:ind w:left="0" w:firstLine="0"/>
        <w:contextualSpacing/>
        <w:jc w:val="both"/>
        <w:rPr>
          <w:rFonts w:ascii="Arial" w:hAnsi="Arial" w:cs="Arial"/>
          <w:sz w:val="22"/>
        </w:rPr>
      </w:pPr>
      <w:r>
        <w:rPr>
          <w:rFonts w:ascii="Arial" w:hAnsi="Arial" w:cs="Arial"/>
          <w:sz w:val="22"/>
        </w:rPr>
        <w:t>Le Groupe de rédaction</w:t>
      </w:r>
      <w:r w:rsidR="00C82619">
        <w:rPr>
          <w:rFonts w:ascii="Arial" w:hAnsi="Arial" w:cs="Arial"/>
          <w:sz w:val="22"/>
        </w:rPr>
        <w:t xml:space="preserve"> prend note que l</w:t>
      </w:r>
      <w:r w:rsidR="007F396E" w:rsidRPr="007F396E">
        <w:rPr>
          <w:rFonts w:ascii="Arial" w:hAnsi="Arial" w:cs="Arial"/>
          <w:sz w:val="22"/>
        </w:rPr>
        <w:t xml:space="preserve">e projet de mandat pour le prochain </w:t>
      </w:r>
      <w:r w:rsidR="007F396E">
        <w:rPr>
          <w:rFonts w:ascii="Arial" w:hAnsi="Arial" w:cs="Arial"/>
          <w:sz w:val="22"/>
        </w:rPr>
        <w:t>quadriennium</w:t>
      </w:r>
      <w:r w:rsidR="007F396E" w:rsidRPr="007F396E">
        <w:rPr>
          <w:rFonts w:ascii="Arial" w:hAnsi="Arial" w:cs="Arial"/>
          <w:sz w:val="22"/>
        </w:rPr>
        <w:t xml:space="preserve"> </w:t>
      </w:r>
      <w:r w:rsidR="00C82619">
        <w:rPr>
          <w:rFonts w:ascii="Arial" w:hAnsi="Arial" w:cs="Arial"/>
          <w:sz w:val="22"/>
        </w:rPr>
        <w:t>est</w:t>
      </w:r>
      <w:r w:rsidR="00C82619" w:rsidRPr="007F396E">
        <w:rPr>
          <w:rFonts w:ascii="Arial" w:hAnsi="Arial" w:cs="Arial"/>
          <w:sz w:val="22"/>
        </w:rPr>
        <w:t xml:space="preserve"> </w:t>
      </w:r>
      <w:r w:rsidR="007F396E" w:rsidRPr="007F396E">
        <w:rPr>
          <w:rFonts w:ascii="Arial" w:hAnsi="Arial" w:cs="Arial"/>
          <w:sz w:val="22"/>
        </w:rPr>
        <w:t xml:space="preserve">en cours d'examen par le Comité des Ministres, </w:t>
      </w:r>
      <w:r w:rsidR="00C82619">
        <w:rPr>
          <w:rFonts w:ascii="Arial" w:hAnsi="Arial" w:cs="Arial"/>
          <w:sz w:val="22"/>
        </w:rPr>
        <w:t xml:space="preserve">selon lequel </w:t>
      </w:r>
      <w:r w:rsidR="007F396E" w:rsidRPr="007F396E">
        <w:rPr>
          <w:rFonts w:ascii="Arial" w:hAnsi="Arial" w:cs="Arial"/>
          <w:sz w:val="22"/>
        </w:rPr>
        <w:t>il est envisagé que les travaux sur le traitement et la résolution efficace d</w:t>
      </w:r>
      <w:r w:rsidR="007F396E">
        <w:rPr>
          <w:rFonts w:ascii="Arial" w:hAnsi="Arial" w:cs="Arial"/>
          <w:sz w:val="22"/>
        </w:rPr>
        <w:t>’</w:t>
      </w:r>
      <w:r w:rsidR="007F396E" w:rsidRPr="007F396E">
        <w:rPr>
          <w:rFonts w:ascii="Arial" w:hAnsi="Arial" w:cs="Arial"/>
          <w:sz w:val="22"/>
        </w:rPr>
        <w:t>affaires</w:t>
      </w:r>
      <w:r w:rsidR="007F396E">
        <w:rPr>
          <w:rFonts w:ascii="Arial" w:hAnsi="Arial" w:cs="Arial"/>
          <w:sz w:val="22"/>
        </w:rPr>
        <w:t xml:space="preserve"> concernant des conflits</w:t>
      </w:r>
      <w:r w:rsidR="007F396E" w:rsidRPr="007F396E">
        <w:rPr>
          <w:rFonts w:ascii="Arial" w:hAnsi="Arial" w:cs="Arial"/>
          <w:sz w:val="22"/>
        </w:rPr>
        <w:t xml:space="preserve"> interétatiques, y </w:t>
      </w:r>
      <w:r w:rsidR="007F396E" w:rsidRPr="00CA7C5D">
        <w:rPr>
          <w:rFonts w:ascii="Arial" w:hAnsi="Arial" w:cs="Arial"/>
          <w:sz w:val="22"/>
          <w:szCs w:val="22"/>
        </w:rPr>
        <w:t>compris</w:t>
      </w:r>
      <w:r w:rsidR="007F396E" w:rsidRPr="007F396E">
        <w:rPr>
          <w:rFonts w:ascii="Arial" w:hAnsi="Arial" w:cs="Arial"/>
          <w:sz w:val="22"/>
        </w:rPr>
        <w:t xml:space="preserve"> les éventuelles propositions pour le Comité des Ministres, se poursuivent jusqu'au 31 décembre 2022.</w:t>
      </w:r>
      <w:r w:rsidR="00C82619" w:rsidRPr="00C82619">
        <w:t xml:space="preserve"> </w:t>
      </w:r>
      <w:r w:rsidR="00C82619" w:rsidRPr="00C82619">
        <w:rPr>
          <w:rFonts w:ascii="Arial" w:hAnsi="Arial" w:cs="Arial"/>
          <w:sz w:val="22"/>
        </w:rPr>
        <w:t xml:space="preserve">Le Président a expliqué que, sous réserve des décisions pertinentes du Comité des Ministres et du CDDH, les travaux sur ces questions devraient se poursuivre selon la pratique </w:t>
      </w:r>
      <w:r w:rsidR="00C82619">
        <w:rPr>
          <w:rFonts w:ascii="Arial" w:hAnsi="Arial" w:cs="Arial"/>
          <w:sz w:val="22"/>
        </w:rPr>
        <w:t>habituelle</w:t>
      </w:r>
      <w:r w:rsidR="00C82619" w:rsidRPr="00C82619">
        <w:rPr>
          <w:rFonts w:ascii="Arial" w:hAnsi="Arial" w:cs="Arial"/>
          <w:sz w:val="22"/>
        </w:rPr>
        <w:t xml:space="preserve"> du CDDH, y compris la création</w:t>
      </w:r>
      <w:r w:rsidR="005C1252">
        <w:rPr>
          <w:rFonts w:ascii="Arial" w:hAnsi="Arial" w:cs="Arial"/>
          <w:sz w:val="22"/>
        </w:rPr>
        <w:t xml:space="preserve"> éventuelle</w:t>
      </w:r>
      <w:r w:rsidR="00C82619" w:rsidRPr="00C82619">
        <w:rPr>
          <w:rFonts w:ascii="Arial" w:hAnsi="Arial" w:cs="Arial"/>
          <w:sz w:val="22"/>
        </w:rPr>
        <w:t xml:space="preserve"> d'un groupe de rédaction.</w:t>
      </w:r>
      <w:r w:rsidR="00C82619">
        <w:rPr>
          <w:rFonts w:ascii="Arial" w:hAnsi="Arial" w:cs="Arial"/>
          <w:sz w:val="22"/>
        </w:rPr>
        <w:t xml:space="preserve"> </w:t>
      </w:r>
    </w:p>
    <w:p w14:paraId="08A1899C" w14:textId="77777777" w:rsidR="007F396E" w:rsidRPr="007F396E" w:rsidRDefault="007F396E" w:rsidP="007F396E">
      <w:pPr>
        <w:jc w:val="both"/>
        <w:rPr>
          <w:rFonts w:ascii="Arial" w:hAnsi="Arial" w:cs="Arial"/>
          <w:sz w:val="22"/>
        </w:rPr>
      </w:pPr>
    </w:p>
    <w:p w14:paraId="4C1C268B" w14:textId="77777777" w:rsidR="00EA35A6" w:rsidRPr="00EC54B6" w:rsidRDefault="00EA35A6" w:rsidP="00EA35A6">
      <w:pPr>
        <w:pStyle w:val="Sansinterligne"/>
        <w:jc w:val="both"/>
        <w:rPr>
          <w:rFonts w:ascii="Arial" w:hAnsi="Arial" w:cs="Arial"/>
          <w:b/>
          <w:szCs w:val="28"/>
          <w:lang w:eastAsia="en-GB"/>
        </w:rPr>
      </w:pPr>
    </w:p>
    <w:p w14:paraId="6EFF7A03" w14:textId="7CABA8DF" w:rsidR="00EA35A6" w:rsidRPr="00EC54B6" w:rsidRDefault="00EA35A6" w:rsidP="00EA35A6">
      <w:pPr>
        <w:pStyle w:val="Sansinterligne"/>
        <w:jc w:val="both"/>
        <w:rPr>
          <w:rFonts w:ascii="Arial" w:hAnsi="Arial" w:cs="Arial"/>
          <w:b/>
          <w:szCs w:val="28"/>
          <w:lang w:eastAsia="en-GB"/>
        </w:rPr>
      </w:pPr>
      <w:r w:rsidRPr="00EC54B6">
        <w:rPr>
          <w:rFonts w:ascii="Arial" w:hAnsi="Arial" w:cs="Arial"/>
          <w:b/>
          <w:szCs w:val="28"/>
          <w:u w:val="single"/>
          <w:lang w:eastAsia="en-GB"/>
        </w:rPr>
        <w:t>POINT</w:t>
      </w:r>
      <w:r w:rsidR="00947BAB" w:rsidRPr="00EC54B6">
        <w:rPr>
          <w:rFonts w:ascii="Arial" w:hAnsi="Arial" w:cs="Arial"/>
          <w:b/>
          <w:szCs w:val="28"/>
          <w:u w:val="single"/>
          <w:lang w:eastAsia="en-GB"/>
        </w:rPr>
        <w:t xml:space="preserve"> </w:t>
      </w:r>
      <w:r w:rsidR="003974C0">
        <w:rPr>
          <w:rFonts w:ascii="Arial" w:hAnsi="Arial" w:cs="Arial"/>
          <w:b/>
          <w:szCs w:val="28"/>
          <w:u w:val="single"/>
          <w:lang w:eastAsia="en-GB"/>
        </w:rPr>
        <w:t>6</w:t>
      </w:r>
      <w:r w:rsidRPr="00EC54B6">
        <w:rPr>
          <w:rFonts w:ascii="Arial" w:hAnsi="Arial" w:cs="Arial"/>
          <w:b/>
          <w:szCs w:val="28"/>
          <w:u w:val="single"/>
          <w:lang w:eastAsia="en-GB"/>
        </w:rPr>
        <w:t xml:space="preserve"> </w:t>
      </w:r>
      <w:r w:rsidRPr="00EC54B6">
        <w:rPr>
          <w:rFonts w:ascii="Arial" w:hAnsi="Arial" w:cs="Arial"/>
          <w:b/>
          <w:szCs w:val="28"/>
          <w:lang w:eastAsia="en-GB"/>
        </w:rPr>
        <w:t>:</w:t>
      </w:r>
      <w:r w:rsidRPr="00EC54B6">
        <w:rPr>
          <w:rFonts w:ascii="Arial" w:hAnsi="Arial" w:cs="Arial"/>
          <w:b/>
          <w:szCs w:val="28"/>
          <w:lang w:eastAsia="en-GB"/>
        </w:rPr>
        <w:tab/>
        <w:t xml:space="preserve">QUESTIONS DIVERSES </w:t>
      </w:r>
    </w:p>
    <w:p w14:paraId="59F8A4EC" w14:textId="77777777" w:rsidR="00EA35A6" w:rsidRPr="00EC54B6" w:rsidRDefault="00EA35A6" w:rsidP="00EA35A6">
      <w:pPr>
        <w:pStyle w:val="Sansinterligne"/>
        <w:jc w:val="both"/>
        <w:rPr>
          <w:rFonts w:ascii="Arial" w:hAnsi="Arial" w:cs="Arial"/>
          <w:b/>
          <w:szCs w:val="28"/>
          <w:lang w:eastAsia="en-GB"/>
        </w:rPr>
      </w:pPr>
    </w:p>
    <w:p w14:paraId="32DBD7DD" w14:textId="005C6F29" w:rsidR="00EA35A6" w:rsidRPr="00EC54B6" w:rsidRDefault="00EA35A6" w:rsidP="00CA7C5D">
      <w:pPr>
        <w:numPr>
          <w:ilvl w:val="0"/>
          <w:numId w:val="1"/>
        </w:numPr>
        <w:ind w:left="0" w:firstLine="0"/>
        <w:contextualSpacing/>
        <w:jc w:val="both"/>
        <w:rPr>
          <w:rFonts w:ascii="Arial" w:hAnsi="Arial" w:cs="Arial"/>
          <w:bCs/>
          <w:sz w:val="22"/>
          <w:szCs w:val="22"/>
          <w:lang w:eastAsia="en-GB"/>
        </w:rPr>
      </w:pPr>
      <w:r w:rsidRPr="00EC54B6">
        <w:rPr>
          <w:rFonts w:ascii="Arial" w:hAnsi="Arial" w:cs="Arial"/>
          <w:bCs/>
          <w:sz w:val="22"/>
          <w:szCs w:val="22"/>
          <w:lang w:eastAsia="en-GB"/>
        </w:rPr>
        <w:t>Aucun autre point n’a été discuté.</w:t>
      </w:r>
    </w:p>
    <w:p w14:paraId="36F502DE" w14:textId="77777777" w:rsidR="00EA35A6" w:rsidRPr="00EC54B6" w:rsidRDefault="00EA35A6" w:rsidP="00EA35A6">
      <w:pPr>
        <w:pStyle w:val="Sansinterligne"/>
        <w:jc w:val="both"/>
        <w:rPr>
          <w:rFonts w:ascii="Arial" w:hAnsi="Arial" w:cs="Arial"/>
          <w:bCs/>
          <w:sz w:val="22"/>
          <w:szCs w:val="22"/>
          <w:lang w:eastAsia="en-GB"/>
        </w:rPr>
      </w:pPr>
    </w:p>
    <w:p w14:paraId="707BC05C" w14:textId="77777777" w:rsidR="00EA35A6" w:rsidRPr="00EC54B6" w:rsidRDefault="00EA35A6" w:rsidP="00EA35A6">
      <w:pPr>
        <w:pStyle w:val="Sansinterligne"/>
        <w:jc w:val="both"/>
        <w:rPr>
          <w:rFonts w:ascii="Arial" w:hAnsi="Arial" w:cs="Arial"/>
          <w:sz w:val="22"/>
          <w:szCs w:val="22"/>
        </w:rPr>
      </w:pPr>
    </w:p>
    <w:p w14:paraId="568F6EB9" w14:textId="51B1B89C" w:rsidR="00EA35A6" w:rsidRPr="00EC54B6" w:rsidRDefault="00EA35A6" w:rsidP="00EA35A6">
      <w:pPr>
        <w:tabs>
          <w:tab w:val="left" w:pos="0"/>
        </w:tabs>
        <w:autoSpaceDE w:val="0"/>
        <w:autoSpaceDN w:val="0"/>
        <w:adjustRightInd w:val="0"/>
        <w:ind w:left="1418" w:hanging="1418"/>
        <w:jc w:val="both"/>
        <w:rPr>
          <w:rFonts w:ascii="Arial" w:hAnsi="Arial" w:cs="Arial"/>
          <w:b/>
          <w:szCs w:val="28"/>
          <w:lang w:eastAsia="en-GB"/>
        </w:rPr>
      </w:pPr>
      <w:r w:rsidRPr="00EC54B6">
        <w:rPr>
          <w:rFonts w:ascii="Arial" w:hAnsi="Arial" w:cs="Arial"/>
          <w:b/>
          <w:szCs w:val="28"/>
          <w:u w:val="single"/>
          <w:lang w:eastAsia="en-GB"/>
        </w:rPr>
        <w:t>POINT</w:t>
      </w:r>
      <w:r w:rsidR="00947BAB" w:rsidRPr="00EC54B6">
        <w:rPr>
          <w:rFonts w:ascii="Arial" w:hAnsi="Arial" w:cs="Arial"/>
          <w:b/>
          <w:szCs w:val="28"/>
          <w:u w:val="single"/>
          <w:lang w:eastAsia="en-GB"/>
        </w:rPr>
        <w:t xml:space="preserve"> </w:t>
      </w:r>
      <w:r w:rsidR="003974C0">
        <w:rPr>
          <w:rFonts w:ascii="Arial" w:hAnsi="Arial" w:cs="Arial"/>
          <w:b/>
          <w:szCs w:val="28"/>
          <w:u w:val="single"/>
          <w:lang w:eastAsia="en-GB"/>
        </w:rPr>
        <w:t>7</w:t>
      </w:r>
      <w:r w:rsidRPr="00EC54B6">
        <w:rPr>
          <w:rFonts w:ascii="Arial" w:hAnsi="Arial" w:cs="Arial"/>
          <w:b/>
          <w:szCs w:val="28"/>
          <w:u w:val="single"/>
          <w:lang w:eastAsia="en-GB"/>
        </w:rPr>
        <w:t xml:space="preserve"> </w:t>
      </w:r>
      <w:r w:rsidRPr="00EC54B6">
        <w:rPr>
          <w:rFonts w:ascii="Arial" w:hAnsi="Arial" w:cs="Arial"/>
          <w:b/>
          <w:szCs w:val="28"/>
          <w:lang w:eastAsia="en-GB"/>
        </w:rPr>
        <w:t xml:space="preserve">: </w:t>
      </w:r>
      <w:r w:rsidRPr="00EC54B6">
        <w:rPr>
          <w:rFonts w:ascii="Arial" w:hAnsi="Arial" w:cs="Arial"/>
          <w:b/>
          <w:szCs w:val="28"/>
          <w:lang w:eastAsia="en-GB"/>
        </w:rPr>
        <w:tab/>
        <w:t xml:space="preserve">ADOPTION DU RAPPORT DE RÉUNION </w:t>
      </w:r>
    </w:p>
    <w:p w14:paraId="57979F39" w14:textId="77777777" w:rsidR="00EA35A6" w:rsidRPr="00EC54B6" w:rsidRDefault="00EA35A6" w:rsidP="00EA35A6">
      <w:pPr>
        <w:tabs>
          <w:tab w:val="left" w:pos="0"/>
        </w:tabs>
        <w:autoSpaceDE w:val="0"/>
        <w:autoSpaceDN w:val="0"/>
        <w:adjustRightInd w:val="0"/>
        <w:ind w:left="1418" w:hanging="1418"/>
        <w:jc w:val="both"/>
        <w:rPr>
          <w:rFonts w:ascii="Arial" w:hAnsi="Arial" w:cs="Arial"/>
          <w:sz w:val="22"/>
          <w:lang w:eastAsia="en-US"/>
        </w:rPr>
      </w:pPr>
    </w:p>
    <w:p w14:paraId="795B72EE" w14:textId="65564492" w:rsidR="00EA35A6" w:rsidRPr="00EC54B6" w:rsidRDefault="00EA35A6" w:rsidP="00CA7C5D">
      <w:pPr>
        <w:numPr>
          <w:ilvl w:val="0"/>
          <w:numId w:val="1"/>
        </w:numPr>
        <w:ind w:left="0" w:firstLine="0"/>
        <w:contextualSpacing/>
        <w:jc w:val="both"/>
        <w:rPr>
          <w:rFonts w:ascii="Arial" w:hAnsi="Arial" w:cs="Arial"/>
          <w:sz w:val="22"/>
          <w:lang w:eastAsia="en-US"/>
        </w:rPr>
      </w:pPr>
      <w:r w:rsidRPr="00EC54B6">
        <w:rPr>
          <w:rFonts w:ascii="Arial" w:hAnsi="Arial" w:cs="Arial"/>
          <w:sz w:val="22"/>
          <w:lang w:eastAsia="en-US"/>
        </w:rPr>
        <w:t>À l’issue de la réunion, le Groupe</w:t>
      </w:r>
      <w:r w:rsidR="00F063B8">
        <w:rPr>
          <w:rFonts w:ascii="Arial" w:hAnsi="Arial" w:cs="Arial"/>
          <w:sz w:val="22"/>
          <w:lang w:eastAsia="en-US"/>
        </w:rPr>
        <w:t xml:space="preserve"> de rédaction </w:t>
      </w:r>
      <w:r w:rsidR="00F97922">
        <w:rPr>
          <w:rFonts w:ascii="Arial" w:hAnsi="Arial" w:cs="Arial"/>
          <w:sz w:val="22"/>
          <w:lang w:eastAsia="en-US"/>
        </w:rPr>
        <w:t xml:space="preserve">a </w:t>
      </w:r>
      <w:r w:rsidRPr="00EC54B6">
        <w:rPr>
          <w:rFonts w:ascii="Arial" w:hAnsi="Arial" w:cs="Arial"/>
          <w:sz w:val="22"/>
          <w:lang w:eastAsia="en-US"/>
        </w:rPr>
        <w:t>adopt</w:t>
      </w:r>
      <w:r w:rsidR="00F063B8">
        <w:rPr>
          <w:rFonts w:ascii="Arial" w:hAnsi="Arial" w:cs="Arial"/>
          <w:sz w:val="22"/>
          <w:lang w:eastAsia="en-US"/>
        </w:rPr>
        <w:t>é</w:t>
      </w:r>
      <w:r w:rsidRPr="00EC54B6">
        <w:rPr>
          <w:rFonts w:ascii="Arial" w:hAnsi="Arial" w:cs="Arial"/>
          <w:sz w:val="22"/>
          <w:lang w:eastAsia="en-US"/>
        </w:rPr>
        <w:t xml:space="preserve"> le présent rapport de réunion</w:t>
      </w:r>
      <w:r w:rsidR="005C1252">
        <w:rPr>
          <w:rFonts w:ascii="Arial" w:hAnsi="Arial" w:cs="Arial"/>
          <w:sz w:val="22"/>
          <w:lang w:eastAsia="en-US"/>
        </w:rPr>
        <w:t xml:space="preserve"> </w:t>
      </w:r>
      <w:r w:rsidR="007565E2">
        <w:rPr>
          <w:rFonts w:ascii="Arial" w:hAnsi="Arial" w:cs="Arial"/>
          <w:sz w:val="22"/>
          <w:lang w:eastAsia="en-US"/>
        </w:rPr>
        <w:t xml:space="preserve">en anglais et en français. </w:t>
      </w:r>
    </w:p>
    <w:p w14:paraId="445504EE" w14:textId="77777777" w:rsidR="00EA35A6" w:rsidRPr="00EC54B6" w:rsidRDefault="00EA35A6" w:rsidP="00EA35A6">
      <w:pPr>
        <w:pStyle w:val="Paragraphedeliste"/>
        <w:spacing w:after="0" w:line="240" w:lineRule="auto"/>
        <w:ind w:left="0"/>
        <w:jc w:val="both"/>
        <w:rPr>
          <w:rFonts w:ascii="Arial" w:hAnsi="Arial" w:cs="Arial"/>
          <w:lang w:val="fr-FR"/>
        </w:rPr>
      </w:pPr>
    </w:p>
    <w:p w14:paraId="0CAAEAAB" w14:textId="77777777" w:rsidR="00EA35A6" w:rsidRPr="00EC54B6" w:rsidRDefault="00EA35A6" w:rsidP="00EA35A6">
      <w:pPr>
        <w:pStyle w:val="Paragraphedeliste"/>
        <w:spacing w:after="0" w:line="240" w:lineRule="auto"/>
        <w:ind w:left="0"/>
        <w:jc w:val="both"/>
        <w:rPr>
          <w:rFonts w:ascii="Arial" w:hAnsi="Arial" w:cs="Arial"/>
          <w:lang w:val="fr-FR"/>
        </w:rPr>
      </w:pPr>
    </w:p>
    <w:p w14:paraId="13F94B2F" w14:textId="77777777" w:rsidR="00EA35A6" w:rsidRPr="00EC54B6" w:rsidRDefault="00EA35A6" w:rsidP="00EA35A6">
      <w:pPr>
        <w:pStyle w:val="Paragraphedeliste"/>
        <w:spacing w:after="0" w:line="240" w:lineRule="auto"/>
        <w:ind w:left="0"/>
        <w:jc w:val="both"/>
        <w:rPr>
          <w:rFonts w:ascii="Arial" w:hAnsi="Arial" w:cs="Arial"/>
          <w:lang w:val="fr-FR"/>
        </w:rPr>
      </w:pPr>
    </w:p>
    <w:p w14:paraId="5DC6123B" w14:textId="77777777" w:rsidR="00EA35A6" w:rsidRPr="00EC54B6" w:rsidRDefault="00EA35A6" w:rsidP="00EA35A6">
      <w:pPr>
        <w:pStyle w:val="Paragraphedeliste"/>
        <w:spacing w:after="0" w:line="240" w:lineRule="auto"/>
        <w:ind w:left="0"/>
        <w:jc w:val="both"/>
        <w:rPr>
          <w:rFonts w:ascii="Arial" w:hAnsi="Arial" w:cs="Arial"/>
          <w:lang w:val="fr-FR"/>
        </w:rPr>
      </w:pPr>
    </w:p>
    <w:p w14:paraId="12B63834" w14:textId="77777777" w:rsidR="00EA35A6" w:rsidRPr="00EC54B6" w:rsidRDefault="00EA35A6" w:rsidP="00EA35A6">
      <w:pPr>
        <w:pStyle w:val="Paragraphedeliste"/>
        <w:spacing w:after="0" w:line="240" w:lineRule="auto"/>
        <w:ind w:left="0"/>
        <w:jc w:val="both"/>
        <w:rPr>
          <w:rFonts w:ascii="Arial" w:hAnsi="Arial" w:cs="Arial"/>
          <w:lang w:val="fr-FR"/>
        </w:rPr>
      </w:pPr>
    </w:p>
    <w:p w14:paraId="7396E367" w14:textId="77777777" w:rsidR="00EA35A6" w:rsidRPr="00EC54B6" w:rsidRDefault="00EA35A6" w:rsidP="00EA35A6">
      <w:pPr>
        <w:pStyle w:val="Paragraphedeliste"/>
        <w:spacing w:after="0" w:line="240" w:lineRule="auto"/>
        <w:ind w:left="0"/>
        <w:jc w:val="center"/>
        <w:rPr>
          <w:rFonts w:ascii="Arial" w:hAnsi="Arial" w:cs="Arial"/>
          <w:lang w:val="fr-FR"/>
        </w:rPr>
      </w:pPr>
      <w:r w:rsidRPr="00EC54B6">
        <w:rPr>
          <w:rFonts w:ascii="Arial" w:hAnsi="Arial" w:cs="Arial"/>
          <w:b/>
          <w:bCs/>
          <w:lang w:val="fr-FR"/>
        </w:rPr>
        <w:t>*</w:t>
      </w:r>
      <w:r w:rsidRPr="00EC54B6">
        <w:rPr>
          <w:rFonts w:ascii="Arial" w:hAnsi="Arial" w:cs="Arial"/>
          <w:b/>
          <w:bCs/>
          <w:lang w:val="fr-FR"/>
        </w:rPr>
        <w:tab/>
        <w:t>*</w:t>
      </w:r>
      <w:r w:rsidRPr="00EC54B6">
        <w:rPr>
          <w:rFonts w:ascii="Arial" w:hAnsi="Arial" w:cs="Arial"/>
          <w:b/>
          <w:bCs/>
          <w:lang w:val="fr-FR"/>
        </w:rPr>
        <w:tab/>
        <w:t>*</w:t>
      </w:r>
    </w:p>
    <w:p w14:paraId="7E9ECF50" w14:textId="7AADFAEB" w:rsidR="001938B3" w:rsidRDefault="001938B3">
      <w:r>
        <w:br w:type="page"/>
      </w:r>
    </w:p>
    <w:p w14:paraId="33C4C822" w14:textId="77777777" w:rsidR="001938B3" w:rsidRDefault="001938B3" w:rsidP="001938B3">
      <w:pPr>
        <w:jc w:val="center"/>
        <w:rPr>
          <w:rFonts w:ascii="Arial" w:hAnsi="Arial" w:cs="Arial"/>
          <w:sz w:val="22"/>
          <w:szCs w:val="22"/>
          <w:u w:val="single"/>
        </w:rPr>
      </w:pPr>
      <w:r w:rsidRPr="001938B3">
        <w:rPr>
          <w:rFonts w:ascii="Arial" w:hAnsi="Arial" w:cs="Arial"/>
          <w:sz w:val="22"/>
          <w:szCs w:val="22"/>
          <w:u w:val="single"/>
        </w:rPr>
        <w:lastRenderedPageBreak/>
        <w:t>Annexe I</w:t>
      </w:r>
    </w:p>
    <w:p w14:paraId="40CAAEAB" w14:textId="77777777" w:rsidR="001938B3" w:rsidRDefault="001938B3" w:rsidP="001938B3">
      <w:pPr>
        <w:jc w:val="center"/>
        <w:rPr>
          <w:rFonts w:ascii="Arial" w:hAnsi="Arial" w:cs="Arial"/>
          <w:sz w:val="22"/>
          <w:szCs w:val="22"/>
          <w:u w:val="single"/>
        </w:rPr>
      </w:pPr>
    </w:p>
    <w:p w14:paraId="0FE1B810" w14:textId="77777777" w:rsidR="00BE12CF" w:rsidRDefault="001938B3" w:rsidP="001938B3">
      <w:pPr>
        <w:jc w:val="center"/>
        <w:rPr>
          <w:rFonts w:ascii="Arial" w:hAnsi="Arial" w:cs="Arial"/>
          <w:b/>
          <w:bCs/>
          <w:sz w:val="22"/>
          <w:szCs w:val="22"/>
        </w:rPr>
      </w:pPr>
      <w:r w:rsidRPr="001938B3">
        <w:rPr>
          <w:rFonts w:ascii="Arial" w:hAnsi="Arial" w:cs="Arial"/>
          <w:b/>
          <w:bCs/>
          <w:sz w:val="22"/>
          <w:szCs w:val="22"/>
        </w:rPr>
        <w:t>Liste des participants</w:t>
      </w:r>
    </w:p>
    <w:p w14:paraId="11463A97" w14:textId="1AEE12DA" w:rsidR="009E5118" w:rsidRPr="009E5118" w:rsidRDefault="009E5118" w:rsidP="009E5118">
      <w:pPr>
        <w:spacing w:before="240" w:after="120"/>
        <w:rPr>
          <w:rFonts w:ascii="Arial" w:hAnsi="Arial" w:cs="Arial"/>
          <w:b/>
          <w:kern w:val="36"/>
          <w:sz w:val="22"/>
          <w:szCs w:val="22"/>
          <w:lang w:val="de-DE" w:eastAsia="en-US"/>
        </w:rPr>
      </w:pPr>
      <w:r w:rsidRPr="009E5118">
        <w:rPr>
          <w:rFonts w:ascii="Arial" w:hAnsi="Arial" w:cs="Arial"/>
          <w:b/>
          <w:kern w:val="36"/>
          <w:sz w:val="22"/>
          <w:szCs w:val="22"/>
          <w:lang w:val="de-DE" w:eastAsia="en-US"/>
        </w:rPr>
        <w:t>MEMBRES</w:t>
      </w:r>
    </w:p>
    <w:tbl>
      <w:tblPr>
        <w:tblStyle w:val="Grilledutableau1"/>
        <w:tblW w:w="0" w:type="auto"/>
        <w:tblLook w:val="04A0" w:firstRow="1" w:lastRow="0" w:firstColumn="1" w:lastColumn="0" w:noHBand="0" w:noVBand="1"/>
      </w:tblPr>
      <w:tblGrid>
        <w:gridCol w:w="2635"/>
        <w:gridCol w:w="6421"/>
      </w:tblGrid>
      <w:tr w:rsidR="009E5118" w:rsidRPr="009E5118" w14:paraId="0028C75B" w14:textId="77777777" w:rsidTr="004F4086">
        <w:trPr>
          <w:trHeight w:val="624"/>
        </w:trPr>
        <w:tc>
          <w:tcPr>
            <w:tcW w:w="2635" w:type="dxa"/>
          </w:tcPr>
          <w:p w14:paraId="4E4262BD" w14:textId="791AF9CC" w:rsidR="009E5118" w:rsidRPr="009E5118" w:rsidRDefault="009E5118" w:rsidP="009E5118">
            <w:pPr>
              <w:tabs>
                <w:tab w:val="right" w:pos="9600"/>
              </w:tabs>
              <w:rPr>
                <w:rFonts w:ascii="Arial" w:eastAsia="Calibri" w:hAnsi="Arial" w:cs="Arial"/>
                <w:b/>
                <w:sz w:val="20"/>
                <w:lang w:eastAsia="en-GB"/>
              </w:rPr>
            </w:pPr>
            <w:r w:rsidRPr="009E5118">
              <w:rPr>
                <w:rFonts w:ascii="Arial" w:eastAsia="Calibri" w:hAnsi="Arial" w:cs="Arial"/>
                <w:b/>
                <w:sz w:val="20"/>
                <w:lang w:eastAsia="en-GB"/>
              </w:rPr>
              <w:t>ARMÉNIE</w:t>
            </w:r>
          </w:p>
        </w:tc>
        <w:tc>
          <w:tcPr>
            <w:tcW w:w="6421" w:type="dxa"/>
            <w:tcMar>
              <w:top w:w="85" w:type="dxa"/>
              <w:bottom w:w="85" w:type="dxa"/>
            </w:tcMar>
          </w:tcPr>
          <w:p w14:paraId="63D2B9C2" w14:textId="6F310C56" w:rsidR="009E5118" w:rsidRPr="009E5118" w:rsidRDefault="00512900" w:rsidP="009E5118">
            <w:pPr>
              <w:jc w:val="both"/>
              <w:rPr>
                <w:rFonts w:ascii="Arial" w:eastAsia="Calibri" w:hAnsi="Arial" w:cs="Arial"/>
                <w:b/>
                <w:sz w:val="20"/>
                <w:shd w:val="clear" w:color="auto" w:fill="FFFFFF"/>
                <w:lang w:eastAsia="en-GB"/>
              </w:rPr>
            </w:pPr>
            <w:r>
              <w:rPr>
                <w:rFonts w:ascii="Arial" w:eastAsia="Calibri" w:hAnsi="Arial" w:cs="Arial"/>
                <w:b/>
                <w:sz w:val="20"/>
                <w:shd w:val="clear" w:color="auto" w:fill="FFFFFF"/>
                <w:lang w:eastAsia="en-GB"/>
              </w:rPr>
              <w:t>M.</w:t>
            </w:r>
            <w:r w:rsidR="009E5118" w:rsidRPr="009E5118">
              <w:rPr>
                <w:rFonts w:ascii="Arial" w:eastAsia="Calibri" w:hAnsi="Arial" w:cs="Arial"/>
                <w:b/>
                <w:sz w:val="20"/>
                <w:shd w:val="clear" w:color="auto" w:fill="FFFFFF"/>
                <w:lang w:eastAsia="en-GB"/>
              </w:rPr>
              <w:t xml:space="preserve"> Yeghishe KIRAKOSYAN </w:t>
            </w:r>
          </w:p>
          <w:p w14:paraId="262D4429" w14:textId="77777777" w:rsidR="009E5118" w:rsidRPr="009E5118" w:rsidRDefault="009E5118" w:rsidP="009E5118">
            <w:pPr>
              <w:jc w:val="both"/>
              <w:rPr>
                <w:rFonts w:ascii="Arial" w:eastAsia="Calibri" w:hAnsi="Arial" w:cs="Arial"/>
                <w:bCs w:val="0"/>
                <w:sz w:val="20"/>
                <w:shd w:val="clear" w:color="auto" w:fill="FFFFFF"/>
                <w:lang w:eastAsia="en-GB"/>
              </w:rPr>
            </w:pPr>
            <w:r w:rsidRPr="009E5118">
              <w:rPr>
                <w:rFonts w:ascii="Arial" w:eastAsia="Calibri" w:hAnsi="Arial" w:cs="Arial"/>
                <w:bCs w:val="0"/>
                <w:sz w:val="20"/>
                <w:shd w:val="clear" w:color="auto" w:fill="FFFFFF"/>
                <w:lang w:eastAsia="en-GB"/>
              </w:rPr>
              <w:t xml:space="preserve">Government Agent of the Republic of Armenia before the European Court of Human Rights (ECtHR) </w:t>
            </w:r>
          </w:p>
          <w:p w14:paraId="319C95F6" w14:textId="77777777" w:rsidR="009E5118" w:rsidRPr="009E5118" w:rsidRDefault="009E5118" w:rsidP="009E5118">
            <w:pPr>
              <w:jc w:val="both"/>
              <w:rPr>
                <w:rFonts w:ascii="Arial" w:eastAsia="Calibri" w:hAnsi="Arial" w:cs="Arial"/>
                <w:bCs w:val="0"/>
                <w:sz w:val="20"/>
                <w:shd w:val="clear" w:color="auto" w:fill="FFFFFF"/>
                <w:lang w:eastAsia="en-GB"/>
              </w:rPr>
            </w:pPr>
          </w:p>
          <w:p w14:paraId="5F31D9A1" w14:textId="007CD256" w:rsidR="009E5118" w:rsidRPr="009E5118" w:rsidRDefault="00512900" w:rsidP="009E5118">
            <w:pPr>
              <w:jc w:val="both"/>
              <w:rPr>
                <w:rFonts w:ascii="Arial" w:eastAsia="Calibri" w:hAnsi="Arial" w:cs="Arial"/>
                <w:b/>
                <w:sz w:val="20"/>
                <w:shd w:val="clear" w:color="auto" w:fill="FFFFFF"/>
                <w:lang w:eastAsia="en-GB"/>
              </w:rPr>
            </w:pPr>
            <w:r>
              <w:rPr>
                <w:rFonts w:ascii="Arial" w:eastAsia="Calibri" w:hAnsi="Arial" w:cs="Arial"/>
                <w:b/>
                <w:sz w:val="20"/>
                <w:shd w:val="clear" w:color="auto" w:fill="FFFFFF"/>
                <w:lang w:eastAsia="en-GB"/>
              </w:rPr>
              <w:t>Mme</w:t>
            </w:r>
            <w:r w:rsidR="009E5118" w:rsidRPr="009E5118">
              <w:rPr>
                <w:rFonts w:ascii="Arial" w:eastAsia="Calibri" w:hAnsi="Arial" w:cs="Arial"/>
                <w:b/>
                <w:sz w:val="20"/>
                <w:shd w:val="clear" w:color="auto" w:fill="FFFFFF"/>
                <w:lang w:eastAsia="en-GB"/>
              </w:rPr>
              <w:t xml:space="preserve"> Karine VARDANYAN </w:t>
            </w:r>
          </w:p>
          <w:p w14:paraId="1676D879" w14:textId="77777777" w:rsidR="009E5118" w:rsidRPr="009E5118" w:rsidRDefault="009E5118" w:rsidP="009E5118">
            <w:pPr>
              <w:jc w:val="both"/>
              <w:rPr>
                <w:rFonts w:ascii="Arial" w:eastAsia="Calibri" w:hAnsi="Arial" w:cs="Arial"/>
                <w:bCs w:val="0"/>
                <w:sz w:val="20"/>
                <w:shd w:val="clear" w:color="auto" w:fill="FFFFFF"/>
                <w:lang w:eastAsia="en-GB"/>
              </w:rPr>
            </w:pPr>
            <w:r w:rsidRPr="009E5118">
              <w:rPr>
                <w:rFonts w:ascii="Arial" w:eastAsia="Calibri" w:hAnsi="Arial" w:cs="Arial"/>
                <w:bCs w:val="0"/>
                <w:sz w:val="20"/>
                <w:shd w:val="clear" w:color="auto" w:fill="FFFFFF"/>
                <w:lang w:eastAsia="en-GB"/>
              </w:rPr>
              <w:t xml:space="preserve">Attaché,International Multilateral Treaties Division, Department of Treaties and International Law Ministry of Foreign Affairs of Armenia  </w:t>
            </w:r>
          </w:p>
          <w:p w14:paraId="685B4B68" w14:textId="77777777" w:rsidR="009E5118" w:rsidRPr="009E5118" w:rsidRDefault="009E5118" w:rsidP="009E5118">
            <w:pPr>
              <w:jc w:val="both"/>
              <w:rPr>
                <w:rFonts w:ascii="Arial" w:eastAsia="Calibri" w:hAnsi="Arial" w:cs="Arial"/>
                <w:bCs w:val="0"/>
                <w:sz w:val="20"/>
                <w:shd w:val="clear" w:color="auto" w:fill="FFFFFF"/>
                <w:lang w:eastAsia="en-GB"/>
              </w:rPr>
            </w:pPr>
          </w:p>
          <w:p w14:paraId="1168D07E" w14:textId="3EB8F6A6" w:rsidR="009E5118" w:rsidRPr="009E5118" w:rsidRDefault="00512900" w:rsidP="009E5118">
            <w:pPr>
              <w:jc w:val="both"/>
              <w:rPr>
                <w:rFonts w:ascii="Arial" w:eastAsia="Calibri" w:hAnsi="Arial" w:cs="Arial"/>
                <w:b/>
                <w:sz w:val="20"/>
                <w:shd w:val="clear" w:color="auto" w:fill="FFFFFF"/>
                <w:lang w:eastAsia="en-GB"/>
              </w:rPr>
            </w:pPr>
            <w:r>
              <w:rPr>
                <w:rFonts w:ascii="Arial" w:eastAsia="Calibri" w:hAnsi="Arial" w:cs="Arial"/>
                <w:b/>
                <w:sz w:val="20"/>
                <w:shd w:val="clear" w:color="auto" w:fill="FFFFFF"/>
                <w:lang w:eastAsia="en-GB"/>
              </w:rPr>
              <w:t>M.</w:t>
            </w:r>
            <w:r w:rsidR="009E5118" w:rsidRPr="009E5118">
              <w:rPr>
                <w:rFonts w:ascii="Arial" w:eastAsia="Calibri" w:hAnsi="Arial" w:cs="Arial"/>
                <w:b/>
                <w:sz w:val="20"/>
                <w:shd w:val="clear" w:color="auto" w:fill="FFFFFF"/>
                <w:lang w:eastAsia="en-GB"/>
              </w:rPr>
              <w:t xml:space="preserve"> Liparit DRMEYAN </w:t>
            </w:r>
          </w:p>
          <w:p w14:paraId="7D1320FA" w14:textId="77777777" w:rsidR="009E5118" w:rsidRPr="009E5118" w:rsidRDefault="009E5118" w:rsidP="009E5118">
            <w:pPr>
              <w:jc w:val="both"/>
              <w:rPr>
                <w:rFonts w:ascii="Arial" w:eastAsia="Calibri" w:hAnsi="Arial" w:cs="Arial"/>
                <w:bCs w:val="0"/>
                <w:sz w:val="20"/>
                <w:shd w:val="clear" w:color="auto" w:fill="FFFFFF"/>
                <w:lang w:eastAsia="en-GB"/>
              </w:rPr>
            </w:pPr>
            <w:r w:rsidRPr="009E5118">
              <w:rPr>
                <w:rFonts w:ascii="Arial" w:eastAsia="Calibri" w:hAnsi="Arial" w:cs="Arial"/>
                <w:bCs w:val="0"/>
                <w:sz w:val="20"/>
                <w:shd w:val="clear" w:color="auto" w:fill="FFFFFF"/>
                <w:lang w:eastAsia="en-GB"/>
              </w:rPr>
              <w:t>Head of the Government Agent's Office of the Republic of Armenia before the European Court of Human Rights (ECtHR)</w:t>
            </w:r>
          </w:p>
          <w:p w14:paraId="61E5014B" w14:textId="77777777" w:rsidR="009E5118" w:rsidRPr="009E5118" w:rsidRDefault="009E5118" w:rsidP="009E5118">
            <w:pPr>
              <w:jc w:val="both"/>
              <w:rPr>
                <w:rFonts w:ascii="Arial" w:eastAsia="Calibri" w:hAnsi="Arial" w:cs="Arial"/>
                <w:bCs w:val="0"/>
                <w:sz w:val="20"/>
                <w:shd w:val="clear" w:color="auto" w:fill="FFFFFF"/>
                <w:lang w:eastAsia="en-GB"/>
              </w:rPr>
            </w:pPr>
          </w:p>
          <w:p w14:paraId="296F786F" w14:textId="763BC197" w:rsidR="009E5118" w:rsidRPr="009E5118" w:rsidRDefault="00512900" w:rsidP="009E5118">
            <w:pPr>
              <w:jc w:val="both"/>
              <w:rPr>
                <w:rFonts w:ascii="Arial" w:eastAsia="Calibri" w:hAnsi="Arial" w:cs="Arial"/>
                <w:b/>
                <w:sz w:val="20"/>
                <w:shd w:val="clear" w:color="auto" w:fill="FFFFFF"/>
                <w:lang w:eastAsia="en-GB"/>
              </w:rPr>
            </w:pPr>
            <w:r>
              <w:rPr>
                <w:rFonts w:ascii="Arial" w:eastAsia="Calibri" w:hAnsi="Arial" w:cs="Arial"/>
                <w:b/>
                <w:sz w:val="20"/>
                <w:shd w:val="clear" w:color="auto" w:fill="FFFFFF"/>
                <w:lang w:eastAsia="en-GB"/>
              </w:rPr>
              <w:t>Mme</w:t>
            </w:r>
            <w:r w:rsidR="009E5118" w:rsidRPr="009E5118">
              <w:rPr>
                <w:rFonts w:ascii="Arial" w:eastAsia="Calibri" w:hAnsi="Arial" w:cs="Arial"/>
                <w:b/>
                <w:sz w:val="20"/>
                <w:shd w:val="clear" w:color="auto" w:fill="FFFFFF"/>
                <w:lang w:eastAsia="en-GB"/>
              </w:rPr>
              <w:t xml:space="preserve"> Diana KARAZYAN </w:t>
            </w:r>
          </w:p>
          <w:p w14:paraId="346BFA2A" w14:textId="77777777" w:rsidR="009E5118" w:rsidRPr="009E5118" w:rsidRDefault="009E5118" w:rsidP="009E5118">
            <w:pPr>
              <w:jc w:val="both"/>
              <w:rPr>
                <w:rFonts w:ascii="Arial" w:eastAsia="Calibri" w:hAnsi="Arial" w:cs="Arial"/>
                <w:bCs w:val="0"/>
                <w:sz w:val="20"/>
                <w:shd w:val="clear" w:color="auto" w:fill="FFFFFF"/>
                <w:lang w:eastAsia="en-GB"/>
              </w:rPr>
            </w:pPr>
            <w:r w:rsidRPr="009E5118">
              <w:rPr>
                <w:rFonts w:ascii="Arial" w:eastAsia="Calibri" w:hAnsi="Arial" w:cs="Arial"/>
                <w:bCs w:val="0"/>
                <w:sz w:val="20"/>
                <w:shd w:val="clear" w:color="auto" w:fill="FFFFFF"/>
                <w:lang w:eastAsia="en-GB"/>
              </w:rPr>
              <w:t xml:space="preserve">Head of the Department for Representation of the Interests of the Republic of Armenia before the European Court of Human Rights (ECtHR), the Government Agent's Office of the Republic of Armenia before the European Court of Human Rights (ECtHR) </w:t>
            </w:r>
          </w:p>
          <w:p w14:paraId="2D68EDCF" w14:textId="77777777" w:rsidR="009E5118" w:rsidRPr="009E5118" w:rsidRDefault="009E5118" w:rsidP="009E5118">
            <w:pPr>
              <w:jc w:val="both"/>
              <w:rPr>
                <w:rFonts w:ascii="Arial" w:eastAsia="Calibri" w:hAnsi="Arial" w:cs="Arial"/>
                <w:bCs w:val="0"/>
                <w:sz w:val="20"/>
                <w:shd w:val="clear" w:color="auto" w:fill="FFFFFF"/>
                <w:lang w:eastAsia="en-GB"/>
              </w:rPr>
            </w:pPr>
          </w:p>
          <w:p w14:paraId="2D77DBCB" w14:textId="2E4BE571" w:rsidR="009E5118" w:rsidRPr="009E5118" w:rsidRDefault="00512900" w:rsidP="009E5118">
            <w:pPr>
              <w:jc w:val="both"/>
              <w:rPr>
                <w:rFonts w:ascii="Arial" w:eastAsia="Calibri" w:hAnsi="Arial" w:cs="Arial"/>
                <w:b/>
                <w:sz w:val="20"/>
                <w:shd w:val="clear" w:color="auto" w:fill="FFFFFF"/>
                <w:lang w:eastAsia="en-GB"/>
              </w:rPr>
            </w:pPr>
            <w:r>
              <w:rPr>
                <w:rFonts w:ascii="Arial" w:eastAsia="Calibri" w:hAnsi="Arial" w:cs="Arial"/>
                <w:b/>
                <w:sz w:val="20"/>
                <w:shd w:val="clear" w:color="auto" w:fill="FFFFFF"/>
                <w:lang w:eastAsia="en-GB"/>
              </w:rPr>
              <w:t>Mme</w:t>
            </w:r>
            <w:r w:rsidR="009E5118" w:rsidRPr="009E5118">
              <w:rPr>
                <w:rFonts w:ascii="Arial" w:eastAsia="Calibri" w:hAnsi="Arial" w:cs="Arial"/>
                <w:b/>
                <w:sz w:val="20"/>
                <w:shd w:val="clear" w:color="auto" w:fill="FFFFFF"/>
                <w:lang w:eastAsia="en-GB"/>
              </w:rPr>
              <w:t xml:space="preserve"> Ntiana LEONIDI </w:t>
            </w:r>
          </w:p>
          <w:p w14:paraId="6A37BA0F" w14:textId="3B500EEA" w:rsidR="009E5118" w:rsidRPr="009E5118" w:rsidRDefault="009E5118" w:rsidP="009E5118">
            <w:pPr>
              <w:jc w:val="both"/>
              <w:rPr>
                <w:rFonts w:ascii="Arial" w:eastAsia="Calibri" w:hAnsi="Arial" w:cs="Arial"/>
                <w:bCs w:val="0"/>
                <w:sz w:val="20"/>
                <w:shd w:val="clear" w:color="auto" w:fill="FFFFFF"/>
                <w:lang w:eastAsia="en-GB"/>
              </w:rPr>
            </w:pPr>
            <w:r w:rsidRPr="009E5118">
              <w:rPr>
                <w:rFonts w:ascii="Arial" w:eastAsia="Calibri" w:hAnsi="Arial" w:cs="Arial"/>
                <w:bCs w:val="0"/>
                <w:sz w:val="20"/>
                <w:shd w:val="clear" w:color="auto" w:fill="FFFFFF"/>
                <w:lang w:eastAsia="en-GB"/>
              </w:rPr>
              <w:t>Chief specialist at the Department for Representation of the Interests of the Republic of Armenia before the European Court of Human Rights (ECtHR), the Government Agent's Office of the Republic of Armenia before the European Court of Human Rights</w:t>
            </w:r>
          </w:p>
          <w:p w14:paraId="76E9BDF1" w14:textId="77777777" w:rsidR="009E5118" w:rsidRPr="009E5118" w:rsidRDefault="009E5118" w:rsidP="009E5118">
            <w:pPr>
              <w:jc w:val="both"/>
              <w:rPr>
                <w:rFonts w:ascii="Arial" w:eastAsia="Calibri" w:hAnsi="Arial" w:cs="Arial"/>
                <w:bCs w:val="0"/>
                <w:sz w:val="20"/>
                <w:shd w:val="clear" w:color="auto" w:fill="FFFFFF"/>
                <w:lang w:eastAsia="en-GB"/>
              </w:rPr>
            </w:pPr>
            <w:r w:rsidRPr="009E5118">
              <w:rPr>
                <w:rFonts w:ascii="Arial" w:eastAsia="Calibri" w:hAnsi="Arial" w:cs="Arial"/>
                <w:bCs w:val="0"/>
                <w:sz w:val="20"/>
                <w:shd w:val="clear" w:color="auto" w:fill="FFFFFF"/>
                <w:lang w:eastAsia="en-GB"/>
              </w:rPr>
              <w:t>(ECtHR)</w:t>
            </w:r>
          </w:p>
        </w:tc>
      </w:tr>
      <w:tr w:rsidR="009E5118" w:rsidRPr="00306F2F" w14:paraId="2D47207B" w14:textId="77777777" w:rsidTr="004F4086">
        <w:trPr>
          <w:trHeight w:val="2740"/>
        </w:trPr>
        <w:tc>
          <w:tcPr>
            <w:tcW w:w="2635" w:type="dxa"/>
          </w:tcPr>
          <w:p w14:paraId="3774AAD4" w14:textId="03A88949" w:rsidR="009E5118" w:rsidRPr="009E5118" w:rsidRDefault="009E5118" w:rsidP="009E5118">
            <w:pPr>
              <w:tabs>
                <w:tab w:val="right" w:pos="9600"/>
              </w:tabs>
              <w:rPr>
                <w:rFonts w:ascii="Arial" w:eastAsia="Calibri" w:hAnsi="Arial" w:cs="Arial"/>
                <w:b/>
                <w:sz w:val="20"/>
                <w:lang w:eastAsia="en-GB"/>
              </w:rPr>
            </w:pPr>
            <w:r w:rsidRPr="009E5118">
              <w:rPr>
                <w:rFonts w:ascii="Arial" w:eastAsia="Calibri" w:hAnsi="Arial" w:cs="Arial"/>
                <w:b/>
                <w:sz w:val="20"/>
                <w:lang w:eastAsia="en-GB"/>
              </w:rPr>
              <w:t xml:space="preserve">AZERBAÏDJAN </w:t>
            </w:r>
          </w:p>
          <w:p w14:paraId="11CA4669" w14:textId="77777777" w:rsidR="009E5118" w:rsidRPr="009E5118" w:rsidRDefault="009E5118" w:rsidP="009E5118">
            <w:pPr>
              <w:tabs>
                <w:tab w:val="right" w:pos="9600"/>
              </w:tabs>
              <w:rPr>
                <w:rFonts w:ascii="Arial" w:eastAsia="Calibri" w:hAnsi="Arial" w:cs="Arial"/>
                <w:b/>
                <w:sz w:val="20"/>
                <w:lang w:eastAsia="en-GB"/>
              </w:rPr>
            </w:pPr>
          </w:p>
        </w:tc>
        <w:tc>
          <w:tcPr>
            <w:tcW w:w="6421" w:type="dxa"/>
            <w:tcMar>
              <w:top w:w="85" w:type="dxa"/>
              <w:bottom w:w="85" w:type="dxa"/>
            </w:tcMar>
          </w:tcPr>
          <w:p w14:paraId="260D87E2" w14:textId="5A87C527" w:rsidR="00B30B72" w:rsidRDefault="00B30B72" w:rsidP="00B30B72">
            <w:pPr>
              <w:jc w:val="both"/>
              <w:rPr>
                <w:rFonts w:ascii="Times New Roman" w:hAnsi="Times New Roman"/>
                <w:bCs w:val="0"/>
                <w:szCs w:val="24"/>
              </w:rPr>
            </w:pPr>
            <w:r>
              <w:rPr>
                <w:rFonts w:ascii="Arial" w:hAnsi="Arial" w:cs="Arial"/>
                <w:b/>
                <w:bCs w:val="0"/>
                <w:color w:val="000000"/>
                <w:sz w:val="20"/>
              </w:rPr>
              <w:t>M. Habib ABDULLAYEV</w:t>
            </w:r>
          </w:p>
          <w:p w14:paraId="7022AC29" w14:textId="77777777" w:rsidR="00B30B72" w:rsidRDefault="00B30B72" w:rsidP="00B30B72">
            <w:pPr>
              <w:rPr>
                <w:rFonts w:ascii="Helvetica" w:hAnsi="Helvetica" w:cs="Calibri"/>
                <w:sz w:val="22"/>
                <w:szCs w:val="22"/>
              </w:rPr>
            </w:pPr>
            <w:r>
              <w:rPr>
                <w:rFonts w:ascii="Arial" w:hAnsi="Arial" w:cs="Arial"/>
                <w:color w:val="000000"/>
                <w:sz w:val="20"/>
              </w:rPr>
              <w:t>Head of the Human Rights Division</w:t>
            </w:r>
            <w:r>
              <w:rPr>
                <w:rFonts w:ascii="Arial" w:hAnsi="Arial" w:cs="Arial"/>
                <w:color w:val="000000"/>
                <w:sz w:val="20"/>
              </w:rPr>
              <w:br/>
              <w:t>Department for Work with Law Enforcement Bodies</w:t>
            </w:r>
          </w:p>
          <w:p w14:paraId="7D339089" w14:textId="77777777" w:rsidR="00B30B72" w:rsidRDefault="00B30B72" w:rsidP="00B30B72">
            <w:pPr>
              <w:rPr>
                <w:rFonts w:ascii="Helvetica" w:hAnsi="Helvetica"/>
              </w:rPr>
            </w:pPr>
            <w:r>
              <w:rPr>
                <w:rFonts w:ascii="Arial" w:hAnsi="Arial" w:cs="Arial"/>
                <w:color w:val="000000"/>
                <w:sz w:val="20"/>
              </w:rPr>
              <w:t>Administration of President</w:t>
            </w:r>
            <w:r>
              <w:rPr>
                <w:rFonts w:ascii="Arial" w:hAnsi="Arial" w:cs="Arial"/>
                <w:sz w:val="20"/>
              </w:rPr>
              <w:t> of the </w:t>
            </w:r>
            <w:r>
              <w:rPr>
                <w:rFonts w:ascii="Arial" w:hAnsi="Arial" w:cs="Arial"/>
                <w:color w:val="000000"/>
                <w:sz w:val="20"/>
              </w:rPr>
              <w:t>Republic of Azerbaijan</w:t>
            </w:r>
          </w:p>
          <w:p w14:paraId="3E3CCA7C" w14:textId="77777777" w:rsidR="00B30B72" w:rsidRDefault="00B30B72" w:rsidP="00B30B72">
            <w:pPr>
              <w:rPr>
                <w:rFonts w:ascii="Times New Roman" w:hAnsi="Times New Roman"/>
                <w:szCs w:val="24"/>
              </w:rPr>
            </w:pPr>
            <w:r>
              <w:rPr>
                <w:rFonts w:ascii="Arial" w:hAnsi="Arial" w:cs="Arial"/>
                <w:sz w:val="20"/>
              </w:rPr>
              <w:t> </w:t>
            </w:r>
          </w:p>
          <w:p w14:paraId="3D30D47C" w14:textId="7584302F" w:rsidR="00B30B72" w:rsidRDefault="00B30B72" w:rsidP="00B30B72">
            <w:pPr>
              <w:rPr>
                <w:rFonts w:ascii="Times New Roman" w:hAnsi="Times New Roman"/>
                <w:szCs w:val="24"/>
              </w:rPr>
            </w:pPr>
            <w:r>
              <w:rPr>
                <w:rFonts w:ascii="Arial" w:hAnsi="Arial" w:cs="Arial"/>
                <w:b/>
                <w:bCs w:val="0"/>
                <w:color w:val="000000"/>
                <w:sz w:val="20"/>
              </w:rPr>
              <w:t>Mme Zhala IBRAHIMOVA</w:t>
            </w:r>
          </w:p>
          <w:p w14:paraId="15545FEF" w14:textId="77777777" w:rsidR="00B30B72" w:rsidRDefault="00B30B72" w:rsidP="00B30B72">
            <w:pPr>
              <w:rPr>
                <w:rFonts w:ascii="Times New Roman" w:hAnsi="Times New Roman"/>
                <w:szCs w:val="24"/>
              </w:rPr>
            </w:pPr>
            <w:r>
              <w:rPr>
                <w:rFonts w:ascii="Arial" w:hAnsi="Arial" w:cs="Arial"/>
                <w:color w:val="000000"/>
                <w:sz w:val="20"/>
              </w:rPr>
              <w:t>Deputy to the Permanent Representative</w:t>
            </w:r>
          </w:p>
          <w:p w14:paraId="60F100DB" w14:textId="77777777" w:rsidR="00B30B72" w:rsidRDefault="00B30B72" w:rsidP="00B30B72">
            <w:pPr>
              <w:rPr>
                <w:rFonts w:ascii="Times New Roman" w:hAnsi="Times New Roman"/>
                <w:szCs w:val="24"/>
              </w:rPr>
            </w:pPr>
            <w:r>
              <w:rPr>
                <w:rFonts w:ascii="Arial" w:hAnsi="Arial" w:cs="Arial"/>
                <w:color w:val="000000"/>
                <w:sz w:val="20"/>
              </w:rPr>
              <w:t>of the Republic of Azerbaijan to the Council of Europe</w:t>
            </w:r>
          </w:p>
          <w:p w14:paraId="18BAB1C5" w14:textId="16F627A5" w:rsidR="00B30B72" w:rsidRDefault="00B30B72" w:rsidP="00B30B72">
            <w:pPr>
              <w:rPr>
                <w:rFonts w:ascii="Times New Roman" w:hAnsi="Times New Roman"/>
                <w:szCs w:val="24"/>
              </w:rPr>
            </w:pPr>
            <w:r>
              <w:rPr>
                <w:rFonts w:ascii="Arial" w:hAnsi="Arial" w:cs="Arial"/>
                <w:b/>
                <w:bCs w:val="0"/>
                <w:color w:val="000000"/>
                <w:sz w:val="20"/>
              </w:rPr>
              <w:br/>
              <w:t>M. Shahin ABBASOV</w:t>
            </w:r>
          </w:p>
          <w:p w14:paraId="4D428EBC" w14:textId="77777777" w:rsidR="00B30B72" w:rsidRDefault="00B30B72" w:rsidP="00B30B72">
            <w:pPr>
              <w:rPr>
                <w:rFonts w:ascii="Arial" w:hAnsi="Arial" w:cs="Arial"/>
                <w:color w:val="000000"/>
                <w:sz w:val="20"/>
              </w:rPr>
            </w:pPr>
            <w:r>
              <w:rPr>
                <w:rFonts w:ascii="Arial" w:hAnsi="Arial" w:cs="Arial"/>
                <w:color w:val="000000"/>
                <w:sz w:val="20"/>
              </w:rPr>
              <w:t>Senior consultant of the Human Rights Division</w:t>
            </w:r>
          </w:p>
          <w:p w14:paraId="0D6A96AB" w14:textId="77777777" w:rsidR="00B30B72" w:rsidRPr="00B30B72" w:rsidRDefault="00B30B72" w:rsidP="00B30B72">
            <w:pPr>
              <w:rPr>
                <w:rFonts w:ascii="Helvetica" w:hAnsi="Helvetica" w:cs="Calibri"/>
                <w:sz w:val="22"/>
                <w:szCs w:val="22"/>
              </w:rPr>
            </w:pPr>
            <w:r>
              <w:rPr>
                <w:rFonts w:ascii="Arial" w:hAnsi="Arial" w:cs="Arial"/>
                <w:color w:val="000000"/>
                <w:sz w:val="20"/>
              </w:rPr>
              <w:t>Department for Work with Law Enforcement Bodies</w:t>
            </w:r>
          </w:p>
          <w:p w14:paraId="4D22E5D4" w14:textId="77777777" w:rsidR="00B30B72" w:rsidRDefault="00B30B72" w:rsidP="00B30B72">
            <w:pPr>
              <w:rPr>
                <w:rFonts w:ascii="Helvetica" w:hAnsi="Helvetica"/>
              </w:rPr>
            </w:pPr>
            <w:r>
              <w:rPr>
                <w:rFonts w:ascii="Arial" w:hAnsi="Arial" w:cs="Arial"/>
                <w:color w:val="000000"/>
                <w:sz w:val="20"/>
              </w:rPr>
              <w:t>Administration of President</w:t>
            </w:r>
            <w:r>
              <w:rPr>
                <w:rFonts w:ascii="Arial" w:hAnsi="Arial" w:cs="Arial"/>
                <w:sz w:val="20"/>
              </w:rPr>
              <w:t> of the </w:t>
            </w:r>
            <w:r>
              <w:rPr>
                <w:rFonts w:ascii="Arial" w:hAnsi="Arial" w:cs="Arial"/>
                <w:color w:val="000000"/>
                <w:sz w:val="20"/>
              </w:rPr>
              <w:t>Republic of Azerbaijan</w:t>
            </w:r>
          </w:p>
          <w:p w14:paraId="4ED7C956" w14:textId="77777777" w:rsidR="00B30B72" w:rsidRDefault="00B30B72" w:rsidP="00B30B72">
            <w:pPr>
              <w:rPr>
                <w:rFonts w:ascii="Helvetica" w:hAnsi="Helvetica"/>
              </w:rPr>
            </w:pPr>
          </w:p>
          <w:p w14:paraId="4753C17B" w14:textId="6542E0E1" w:rsidR="00B30B72" w:rsidRDefault="00B30B72" w:rsidP="00B30B72">
            <w:pPr>
              <w:rPr>
                <w:rFonts w:ascii="Times New Roman" w:hAnsi="Times New Roman"/>
                <w:szCs w:val="24"/>
              </w:rPr>
            </w:pPr>
            <w:r>
              <w:rPr>
                <w:rFonts w:ascii="Arial" w:hAnsi="Arial" w:cs="Arial"/>
                <w:b/>
                <w:bCs w:val="0"/>
                <w:color w:val="000000"/>
                <w:sz w:val="20"/>
              </w:rPr>
              <w:t>M. Elnur ALIYEV</w:t>
            </w:r>
          </w:p>
          <w:p w14:paraId="73327255" w14:textId="77777777" w:rsidR="00B30B72" w:rsidRDefault="00B30B72" w:rsidP="00B30B72">
            <w:pPr>
              <w:rPr>
                <w:rFonts w:ascii="Arial" w:hAnsi="Arial" w:cs="Arial"/>
                <w:color w:val="000000"/>
                <w:sz w:val="20"/>
              </w:rPr>
            </w:pPr>
            <w:r>
              <w:rPr>
                <w:rFonts w:ascii="Arial" w:hAnsi="Arial" w:cs="Arial"/>
                <w:color w:val="000000"/>
                <w:sz w:val="20"/>
              </w:rPr>
              <w:t>Lead consultant of the Human Rights Division</w:t>
            </w:r>
            <w:r>
              <w:rPr>
                <w:rFonts w:ascii="Arial" w:hAnsi="Arial" w:cs="Arial"/>
                <w:b/>
                <w:bCs w:val="0"/>
                <w:color w:val="000000"/>
                <w:sz w:val="20"/>
              </w:rPr>
              <w:br/>
            </w:r>
            <w:r>
              <w:rPr>
                <w:rFonts w:ascii="Arial" w:hAnsi="Arial" w:cs="Arial"/>
                <w:color w:val="000000"/>
                <w:sz w:val="20"/>
              </w:rPr>
              <w:t>Department for Work with Law Enforcement Bodies</w:t>
            </w:r>
          </w:p>
          <w:p w14:paraId="532AD556" w14:textId="7159213C" w:rsidR="00E46CFB" w:rsidRPr="009E5118" w:rsidRDefault="00B30B72" w:rsidP="00B30B72">
            <w:pPr>
              <w:rPr>
                <w:rFonts w:ascii="Arial" w:eastAsia="Calibri" w:hAnsi="Arial" w:cs="Arial"/>
                <w:bCs w:val="0"/>
                <w:sz w:val="20"/>
                <w:lang w:eastAsia="en-GB"/>
              </w:rPr>
            </w:pPr>
            <w:r>
              <w:rPr>
                <w:rFonts w:ascii="Arial" w:hAnsi="Arial" w:cs="Arial"/>
                <w:color w:val="000000"/>
                <w:sz w:val="20"/>
              </w:rPr>
              <w:t>Administration of President</w:t>
            </w:r>
            <w:r>
              <w:rPr>
                <w:rFonts w:ascii="Arial" w:hAnsi="Arial" w:cs="Arial"/>
                <w:sz w:val="20"/>
              </w:rPr>
              <w:t> of the </w:t>
            </w:r>
            <w:r>
              <w:rPr>
                <w:rFonts w:ascii="Arial" w:hAnsi="Arial" w:cs="Arial"/>
                <w:color w:val="000000"/>
                <w:sz w:val="20"/>
              </w:rPr>
              <w:t>Republic of Azerbaijan</w:t>
            </w:r>
          </w:p>
        </w:tc>
      </w:tr>
      <w:tr w:rsidR="009E5118" w:rsidRPr="00306F2F" w14:paraId="3F803590" w14:textId="77777777" w:rsidTr="004F4086">
        <w:trPr>
          <w:trHeight w:val="624"/>
        </w:trPr>
        <w:tc>
          <w:tcPr>
            <w:tcW w:w="2635" w:type="dxa"/>
          </w:tcPr>
          <w:p w14:paraId="0758E8DE" w14:textId="77777777" w:rsidR="009E5118" w:rsidRPr="009E5118" w:rsidRDefault="009E5118" w:rsidP="009E5118">
            <w:pPr>
              <w:jc w:val="both"/>
              <w:rPr>
                <w:rFonts w:ascii="Arial" w:eastAsia="Calibri" w:hAnsi="Arial" w:cs="Arial"/>
                <w:b/>
                <w:spacing w:val="-2"/>
                <w:sz w:val="20"/>
                <w:lang w:eastAsia="en-GB"/>
              </w:rPr>
            </w:pPr>
            <w:r w:rsidRPr="009E5118">
              <w:rPr>
                <w:rFonts w:ascii="Arial" w:eastAsia="Calibri" w:hAnsi="Arial" w:cs="Arial"/>
                <w:b/>
                <w:sz w:val="20"/>
                <w:lang w:eastAsia="en-GB"/>
              </w:rPr>
              <w:t>BOSNIE-HERZÉGOVINE</w:t>
            </w:r>
            <w:r w:rsidRPr="009E5118">
              <w:rPr>
                <w:rFonts w:ascii="Arial" w:eastAsia="Calibri" w:hAnsi="Arial" w:cs="Arial"/>
                <w:b/>
                <w:spacing w:val="-2"/>
                <w:sz w:val="20"/>
                <w:lang w:eastAsia="en-GB"/>
              </w:rPr>
              <w:t xml:space="preserve"> </w:t>
            </w:r>
          </w:p>
        </w:tc>
        <w:tc>
          <w:tcPr>
            <w:tcW w:w="6421" w:type="dxa"/>
            <w:tcMar>
              <w:top w:w="85" w:type="dxa"/>
              <w:bottom w:w="85" w:type="dxa"/>
            </w:tcMar>
          </w:tcPr>
          <w:p w14:paraId="78EA407F" w14:textId="66699E3B" w:rsidR="009E5118" w:rsidRPr="009E5118" w:rsidRDefault="00512900" w:rsidP="009E5118">
            <w:pPr>
              <w:rPr>
                <w:rFonts w:ascii="Arial" w:eastAsia="Calibri" w:hAnsi="Arial" w:cs="Arial"/>
                <w:b/>
                <w:bCs w:val="0"/>
                <w:sz w:val="20"/>
                <w:lang w:eastAsia="en-GB"/>
              </w:rPr>
            </w:pPr>
            <w:r>
              <w:rPr>
                <w:rFonts w:ascii="Arial" w:eastAsia="Calibri" w:hAnsi="Arial" w:cs="Arial"/>
                <w:b/>
                <w:bCs w:val="0"/>
                <w:sz w:val="20"/>
                <w:lang w:eastAsia="en-GB"/>
              </w:rPr>
              <w:t>Mme</w:t>
            </w:r>
            <w:r w:rsidR="009E5118" w:rsidRPr="009E5118">
              <w:rPr>
                <w:rFonts w:ascii="Arial" w:eastAsia="Calibri" w:hAnsi="Arial" w:cs="Arial"/>
                <w:b/>
                <w:bCs w:val="0"/>
                <w:sz w:val="20"/>
                <w:lang w:eastAsia="en-GB"/>
              </w:rPr>
              <w:t xml:space="preserve"> Jelena CVIJETIC</w:t>
            </w:r>
          </w:p>
          <w:p w14:paraId="4DB93CA6" w14:textId="77777777" w:rsidR="009E5118" w:rsidRPr="009E5118" w:rsidRDefault="009E5118" w:rsidP="009E5118">
            <w:pPr>
              <w:rPr>
                <w:rFonts w:ascii="Arial" w:eastAsia="Calibri" w:hAnsi="Arial" w:cs="Arial"/>
                <w:bCs w:val="0"/>
                <w:sz w:val="20"/>
                <w:shd w:val="clear" w:color="auto" w:fill="FFFFFF"/>
                <w:lang w:eastAsia="en-GB"/>
              </w:rPr>
            </w:pPr>
            <w:r w:rsidRPr="009E5118">
              <w:rPr>
                <w:rFonts w:ascii="Arial" w:eastAsia="Calibri" w:hAnsi="Arial" w:cs="Arial"/>
                <w:bCs w:val="0"/>
                <w:sz w:val="20"/>
                <w:shd w:val="clear" w:color="auto" w:fill="FFFFFF"/>
                <w:lang w:eastAsia="en-GB"/>
              </w:rPr>
              <w:t>Acting Agent of the Council of Ministers of Bosnia and Herzegovina before the European Court of Human Rights</w:t>
            </w:r>
          </w:p>
          <w:p w14:paraId="56589787" w14:textId="77777777" w:rsidR="009E5118" w:rsidRPr="009E5118" w:rsidRDefault="009E5118" w:rsidP="009E5118">
            <w:pPr>
              <w:rPr>
                <w:rFonts w:ascii="Arial" w:eastAsia="Calibri" w:hAnsi="Arial" w:cs="Arial"/>
                <w:bCs w:val="0"/>
                <w:sz w:val="20"/>
                <w:lang w:eastAsia="en-GB"/>
              </w:rPr>
            </w:pPr>
          </w:p>
          <w:p w14:paraId="1FB9ED1D" w14:textId="7230034D" w:rsidR="009E5118" w:rsidRPr="009E5118" w:rsidRDefault="00512900" w:rsidP="009E5118">
            <w:pPr>
              <w:rPr>
                <w:rFonts w:ascii="Arial" w:eastAsia="Calibri" w:hAnsi="Arial" w:cs="Arial"/>
                <w:b/>
                <w:bCs w:val="0"/>
                <w:sz w:val="20"/>
                <w:lang w:val="en-US" w:eastAsia="en-GB"/>
              </w:rPr>
            </w:pPr>
            <w:r>
              <w:rPr>
                <w:rFonts w:ascii="Arial" w:eastAsia="Calibri" w:hAnsi="Arial" w:cs="Arial"/>
                <w:b/>
                <w:bCs w:val="0"/>
                <w:sz w:val="20"/>
                <w:lang w:val="en-US" w:eastAsia="en-GB"/>
              </w:rPr>
              <w:t>Mme</w:t>
            </w:r>
            <w:r w:rsidR="009E5118" w:rsidRPr="009E5118">
              <w:rPr>
                <w:rFonts w:ascii="Arial" w:eastAsia="Calibri" w:hAnsi="Arial" w:cs="Arial"/>
                <w:b/>
                <w:bCs w:val="0"/>
                <w:sz w:val="20"/>
                <w:lang w:val="en-US" w:eastAsia="en-GB"/>
              </w:rPr>
              <w:t xml:space="preserve"> Monika MIJIC</w:t>
            </w:r>
          </w:p>
          <w:p w14:paraId="3ACA278F" w14:textId="77777777" w:rsidR="009E5118" w:rsidRPr="009E5118" w:rsidRDefault="009E5118" w:rsidP="009E5118">
            <w:pPr>
              <w:rPr>
                <w:bCs w:val="0"/>
                <w:lang w:val="en-US" w:eastAsia="en-GB"/>
              </w:rPr>
            </w:pPr>
            <w:r w:rsidRPr="009E5118">
              <w:rPr>
                <w:rFonts w:ascii="Arial" w:eastAsia="Calibri" w:hAnsi="Arial" w:cs="Arial"/>
                <w:bCs w:val="0"/>
                <w:sz w:val="20"/>
                <w:shd w:val="clear" w:color="auto" w:fill="FFFFFF"/>
                <w:lang w:eastAsia="en-GB"/>
              </w:rPr>
              <w:t>Acting Agent of the Council of Ministers of Bosnia and Herzegovina before the European Court of Human Rights</w:t>
            </w:r>
            <w:r w:rsidRPr="009E5118">
              <w:rPr>
                <w:bCs w:val="0"/>
                <w:lang w:val="en-US" w:eastAsia="en-GB"/>
              </w:rPr>
              <w:t xml:space="preserve"> </w:t>
            </w:r>
          </w:p>
          <w:p w14:paraId="785C715D" w14:textId="77777777" w:rsidR="009E5118" w:rsidRPr="009E5118" w:rsidRDefault="009E5118" w:rsidP="009E5118">
            <w:pPr>
              <w:rPr>
                <w:rFonts w:ascii="Arial" w:eastAsia="Calibri" w:hAnsi="Arial" w:cs="Arial"/>
                <w:bCs w:val="0"/>
                <w:sz w:val="20"/>
                <w:lang w:val="en-US" w:eastAsia="en-GB"/>
              </w:rPr>
            </w:pPr>
          </w:p>
          <w:p w14:paraId="0D75E384" w14:textId="6D0A1C9C" w:rsidR="009E5118" w:rsidRPr="009E5118" w:rsidRDefault="00512900" w:rsidP="009E5118">
            <w:pPr>
              <w:rPr>
                <w:rFonts w:ascii="Arial" w:eastAsia="Calibri" w:hAnsi="Arial" w:cs="Arial"/>
                <w:b/>
                <w:bCs w:val="0"/>
                <w:sz w:val="20"/>
                <w:lang w:val="en-US" w:eastAsia="en-GB"/>
              </w:rPr>
            </w:pPr>
            <w:r>
              <w:rPr>
                <w:rFonts w:ascii="Arial" w:eastAsia="Calibri" w:hAnsi="Arial" w:cs="Arial"/>
                <w:b/>
                <w:bCs w:val="0"/>
                <w:sz w:val="20"/>
                <w:lang w:val="en-US" w:eastAsia="en-GB"/>
              </w:rPr>
              <w:t>Mme</w:t>
            </w:r>
            <w:r w:rsidR="009E5118" w:rsidRPr="009E5118">
              <w:rPr>
                <w:rFonts w:ascii="Arial" w:eastAsia="Calibri" w:hAnsi="Arial" w:cs="Arial"/>
                <w:b/>
                <w:bCs w:val="0"/>
                <w:sz w:val="20"/>
                <w:lang w:val="en-US" w:eastAsia="en-GB"/>
              </w:rPr>
              <w:t xml:space="preserve"> Harisa BACVIC </w:t>
            </w:r>
          </w:p>
          <w:p w14:paraId="7EA5F3A0" w14:textId="77777777" w:rsidR="009E5118" w:rsidRPr="009E5118" w:rsidRDefault="009E5118" w:rsidP="009E5118">
            <w:pPr>
              <w:rPr>
                <w:rFonts w:ascii="Arial" w:eastAsia="Calibri" w:hAnsi="Arial" w:cs="Arial"/>
                <w:bCs w:val="0"/>
                <w:sz w:val="20"/>
                <w:shd w:val="clear" w:color="auto" w:fill="FFFFFF"/>
                <w:lang w:eastAsia="en-GB"/>
              </w:rPr>
            </w:pPr>
            <w:r w:rsidRPr="009E5118">
              <w:rPr>
                <w:rFonts w:ascii="Arial" w:eastAsia="Calibri" w:hAnsi="Arial" w:cs="Arial"/>
                <w:bCs w:val="0"/>
                <w:sz w:val="20"/>
                <w:shd w:val="clear" w:color="auto" w:fill="FFFFFF"/>
                <w:lang w:eastAsia="en-GB"/>
              </w:rPr>
              <w:lastRenderedPageBreak/>
              <w:t>Acting Agent of the Council of Ministers of Bosnia and Herzegovina before the European Court of Human Rights</w:t>
            </w:r>
          </w:p>
        </w:tc>
      </w:tr>
      <w:tr w:rsidR="009E5118" w:rsidRPr="00306F2F" w14:paraId="38B4C633" w14:textId="77777777" w:rsidTr="004F4086">
        <w:trPr>
          <w:trHeight w:val="601"/>
        </w:trPr>
        <w:tc>
          <w:tcPr>
            <w:tcW w:w="2635" w:type="dxa"/>
          </w:tcPr>
          <w:p w14:paraId="3493B9A4" w14:textId="73A75609" w:rsidR="009E5118" w:rsidRPr="009E5118" w:rsidRDefault="009E5118" w:rsidP="009E5118">
            <w:pPr>
              <w:jc w:val="both"/>
              <w:rPr>
                <w:rFonts w:ascii="Arial" w:eastAsia="Calibri" w:hAnsi="Arial" w:cs="Arial"/>
                <w:b/>
                <w:sz w:val="20"/>
                <w:lang w:val="en-US" w:eastAsia="en-GB"/>
              </w:rPr>
            </w:pPr>
            <w:r w:rsidRPr="009E5118">
              <w:rPr>
                <w:rFonts w:ascii="Arial" w:eastAsia="Calibri" w:hAnsi="Arial" w:cs="Arial"/>
                <w:b/>
                <w:sz w:val="20"/>
                <w:lang w:eastAsia="en-GB"/>
              </w:rPr>
              <w:lastRenderedPageBreak/>
              <w:t xml:space="preserve">CROATIE </w:t>
            </w:r>
          </w:p>
          <w:p w14:paraId="2245AABC" w14:textId="77777777" w:rsidR="009E5118" w:rsidRPr="009E5118" w:rsidRDefault="009E5118" w:rsidP="009E5118">
            <w:pPr>
              <w:tabs>
                <w:tab w:val="right" w:pos="9600"/>
              </w:tabs>
              <w:rPr>
                <w:rFonts w:ascii="Arial" w:eastAsia="Calibri" w:hAnsi="Arial" w:cs="Arial"/>
                <w:b/>
                <w:sz w:val="20"/>
                <w:lang w:eastAsia="en-GB"/>
              </w:rPr>
            </w:pPr>
          </w:p>
        </w:tc>
        <w:tc>
          <w:tcPr>
            <w:tcW w:w="6421" w:type="dxa"/>
            <w:tcMar>
              <w:top w:w="85" w:type="dxa"/>
              <w:bottom w:w="85" w:type="dxa"/>
            </w:tcMar>
          </w:tcPr>
          <w:p w14:paraId="65B3C630" w14:textId="559A5B30" w:rsidR="009E5118" w:rsidRPr="009E5118" w:rsidRDefault="00512900" w:rsidP="009E5118">
            <w:pPr>
              <w:jc w:val="both"/>
              <w:rPr>
                <w:rFonts w:ascii="Arial" w:eastAsia="Calibri" w:hAnsi="Arial" w:cs="Arial"/>
                <w:b/>
                <w:sz w:val="20"/>
                <w:lang w:val="en-US" w:eastAsia="en-GB"/>
              </w:rPr>
            </w:pPr>
            <w:r>
              <w:rPr>
                <w:rFonts w:ascii="Arial" w:eastAsia="Calibri" w:hAnsi="Arial" w:cs="Arial"/>
                <w:b/>
                <w:sz w:val="20"/>
                <w:lang w:val="en-US" w:eastAsia="en-GB"/>
              </w:rPr>
              <w:t>Mme</w:t>
            </w:r>
            <w:r w:rsidR="009E5118" w:rsidRPr="009E5118">
              <w:rPr>
                <w:rFonts w:ascii="Arial" w:eastAsia="Calibri" w:hAnsi="Arial" w:cs="Arial"/>
                <w:b/>
                <w:sz w:val="20"/>
                <w:lang w:val="en-US" w:eastAsia="en-GB"/>
              </w:rPr>
              <w:t xml:space="preserve"> Štefica STAŽNIK</w:t>
            </w:r>
          </w:p>
          <w:p w14:paraId="0C24F07B" w14:textId="77777777" w:rsidR="009E5118" w:rsidRDefault="009E5118" w:rsidP="009E5118">
            <w:pPr>
              <w:jc w:val="both"/>
              <w:rPr>
                <w:rFonts w:ascii="Arial" w:eastAsia="Calibri" w:hAnsi="Arial" w:cs="Arial"/>
                <w:bCs w:val="0"/>
                <w:sz w:val="20"/>
                <w:lang w:val="en-US" w:eastAsia="en-GB"/>
              </w:rPr>
            </w:pPr>
            <w:r w:rsidRPr="009E5118">
              <w:rPr>
                <w:rFonts w:ascii="Arial" w:eastAsia="Calibri" w:hAnsi="Arial" w:cs="Arial"/>
                <w:bCs w:val="0"/>
                <w:sz w:val="20"/>
                <w:lang w:val="en-US" w:eastAsia="en-GB"/>
              </w:rPr>
              <w:t>Representative, Office of the Representative of the Republic of Croatia before the ECHR</w:t>
            </w:r>
          </w:p>
          <w:p w14:paraId="751CE3DA" w14:textId="77777777" w:rsidR="00D13262" w:rsidRDefault="00D13262" w:rsidP="009E5118">
            <w:pPr>
              <w:jc w:val="both"/>
              <w:rPr>
                <w:rFonts w:ascii="Arial" w:eastAsia="Calibri" w:hAnsi="Arial" w:cs="Arial"/>
                <w:bCs w:val="0"/>
                <w:sz w:val="20"/>
                <w:lang w:val="en-US" w:eastAsia="en-GB"/>
              </w:rPr>
            </w:pPr>
          </w:p>
          <w:p w14:paraId="0C378668" w14:textId="494DE59C" w:rsidR="00D13262" w:rsidRPr="00D13262" w:rsidRDefault="00D13262" w:rsidP="00D13262">
            <w:pPr>
              <w:jc w:val="both"/>
              <w:rPr>
                <w:rFonts w:ascii="Arial" w:eastAsia="Calibri" w:hAnsi="Arial" w:cs="Arial"/>
                <w:b/>
                <w:sz w:val="20"/>
                <w:lang w:val="en-US" w:eastAsia="en-GB"/>
              </w:rPr>
            </w:pPr>
            <w:r w:rsidRPr="00D13262">
              <w:rPr>
                <w:rFonts w:ascii="Arial" w:eastAsia="Calibri" w:hAnsi="Arial" w:cs="Arial"/>
                <w:b/>
                <w:sz w:val="20"/>
                <w:lang w:val="en-US" w:eastAsia="en-GB"/>
              </w:rPr>
              <w:t>M</w:t>
            </w:r>
            <w:r>
              <w:rPr>
                <w:rFonts w:ascii="Arial" w:eastAsia="Calibri" w:hAnsi="Arial" w:cs="Arial"/>
                <w:b/>
                <w:sz w:val="20"/>
                <w:lang w:val="en-US" w:eastAsia="en-GB"/>
              </w:rPr>
              <w:t>me</w:t>
            </w:r>
            <w:r w:rsidRPr="00D13262">
              <w:rPr>
                <w:rFonts w:ascii="Arial" w:eastAsia="Calibri" w:hAnsi="Arial" w:cs="Arial"/>
                <w:b/>
                <w:sz w:val="20"/>
                <w:lang w:val="en-US" w:eastAsia="en-GB"/>
              </w:rPr>
              <w:t xml:space="preserve"> Narcisa BEĆIREVIĆ</w:t>
            </w:r>
          </w:p>
          <w:p w14:paraId="3CC6FBC0" w14:textId="0034E68C" w:rsidR="00D13262" w:rsidRPr="00D13262" w:rsidRDefault="00D13262" w:rsidP="009E5118">
            <w:pPr>
              <w:jc w:val="both"/>
              <w:rPr>
                <w:rFonts w:ascii="Arial" w:eastAsia="Calibri" w:hAnsi="Arial" w:cs="Arial"/>
                <w:bCs w:val="0"/>
                <w:sz w:val="20"/>
                <w:lang w:val="en-US" w:eastAsia="en-GB"/>
              </w:rPr>
            </w:pPr>
            <w:r w:rsidRPr="00D13262">
              <w:rPr>
                <w:rFonts w:ascii="Arial" w:eastAsia="Calibri" w:hAnsi="Arial" w:cs="Arial"/>
                <w:bCs w:val="0"/>
                <w:sz w:val="20"/>
                <w:lang w:val="en-US" w:eastAsia="en-GB"/>
              </w:rPr>
              <w:t>Minister Plenipotentiary at Ministry of Foreign and European Affairs</w:t>
            </w:r>
          </w:p>
        </w:tc>
      </w:tr>
      <w:tr w:rsidR="009E5118" w:rsidRPr="00306F2F" w14:paraId="6CB4D3B1" w14:textId="77777777" w:rsidTr="004F4086">
        <w:trPr>
          <w:trHeight w:val="624"/>
        </w:trPr>
        <w:tc>
          <w:tcPr>
            <w:tcW w:w="2635" w:type="dxa"/>
          </w:tcPr>
          <w:p w14:paraId="0A245704" w14:textId="759C9106" w:rsidR="009E5118" w:rsidRPr="009E5118" w:rsidRDefault="009E5118" w:rsidP="009E5118">
            <w:pPr>
              <w:rPr>
                <w:rFonts w:ascii="Arial" w:eastAsia="Calibri" w:hAnsi="Arial" w:cs="Arial"/>
                <w:b/>
                <w:spacing w:val="-2"/>
                <w:sz w:val="20"/>
                <w:lang w:val="en-US" w:eastAsia="en-GB"/>
              </w:rPr>
            </w:pPr>
            <w:r w:rsidRPr="009E5118">
              <w:rPr>
                <w:rFonts w:ascii="Arial" w:eastAsia="Calibri" w:hAnsi="Arial" w:cs="Arial"/>
                <w:b/>
                <w:sz w:val="20"/>
                <w:lang w:eastAsia="en-GB"/>
              </w:rPr>
              <w:t xml:space="preserve">CHYPRE </w:t>
            </w:r>
          </w:p>
          <w:p w14:paraId="2F2AE8AE" w14:textId="77777777" w:rsidR="009E5118" w:rsidRPr="009E5118" w:rsidRDefault="009E5118" w:rsidP="009E5118">
            <w:pPr>
              <w:jc w:val="both"/>
              <w:rPr>
                <w:rFonts w:ascii="Arial" w:eastAsia="Calibri" w:hAnsi="Arial" w:cs="Arial"/>
                <w:b/>
                <w:spacing w:val="-2"/>
                <w:sz w:val="20"/>
                <w:lang w:eastAsia="en-GB"/>
              </w:rPr>
            </w:pPr>
          </w:p>
        </w:tc>
        <w:tc>
          <w:tcPr>
            <w:tcW w:w="6421" w:type="dxa"/>
            <w:tcMar>
              <w:top w:w="85" w:type="dxa"/>
              <w:bottom w:w="85" w:type="dxa"/>
            </w:tcMar>
          </w:tcPr>
          <w:p w14:paraId="1C2D25D8" w14:textId="7B81860A" w:rsidR="009E5118" w:rsidRPr="009E5118" w:rsidRDefault="00512900" w:rsidP="009E5118">
            <w:pPr>
              <w:jc w:val="both"/>
              <w:rPr>
                <w:rFonts w:ascii="Arial" w:eastAsia="Calibri" w:hAnsi="Arial" w:cs="Arial"/>
                <w:b/>
                <w:sz w:val="20"/>
                <w:shd w:val="clear" w:color="auto" w:fill="FFFFFF"/>
                <w:lang w:eastAsia="en-GB"/>
              </w:rPr>
            </w:pPr>
            <w:r>
              <w:rPr>
                <w:rFonts w:ascii="Arial" w:eastAsia="Calibri" w:hAnsi="Arial" w:cs="Arial"/>
                <w:b/>
                <w:sz w:val="20"/>
                <w:shd w:val="clear" w:color="auto" w:fill="FFFFFF"/>
                <w:lang w:eastAsia="en-GB"/>
              </w:rPr>
              <w:t>Mme</w:t>
            </w:r>
            <w:r w:rsidR="009E5118" w:rsidRPr="009E5118">
              <w:rPr>
                <w:rFonts w:ascii="Arial" w:eastAsia="Calibri" w:hAnsi="Arial" w:cs="Arial"/>
                <w:b/>
                <w:sz w:val="20"/>
                <w:shd w:val="clear" w:color="auto" w:fill="FFFFFF"/>
                <w:lang w:eastAsia="en-GB"/>
              </w:rPr>
              <w:t xml:space="preserve"> Theodora CHRISTODOULIDOU</w:t>
            </w:r>
          </w:p>
          <w:p w14:paraId="0B117FA7" w14:textId="77777777" w:rsidR="009E5118" w:rsidRPr="009E5118" w:rsidRDefault="009E5118" w:rsidP="009E5118">
            <w:pPr>
              <w:jc w:val="both"/>
              <w:rPr>
                <w:rFonts w:ascii="Arial" w:eastAsia="Calibri" w:hAnsi="Arial" w:cs="Arial"/>
                <w:bCs w:val="0"/>
                <w:sz w:val="20"/>
                <w:shd w:val="clear" w:color="auto" w:fill="FFFFFF"/>
                <w:lang w:eastAsia="en-GB"/>
              </w:rPr>
            </w:pPr>
            <w:r w:rsidRPr="009E5118">
              <w:rPr>
                <w:rFonts w:ascii="Arial" w:eastAsia="Calibri" w:hAnsi="Arial" w:cs="Arial"/>
                <w:bCs w:val="0"/>
                <w:sz w:val="20"/>
                <w:shd w:val="clear" w:color="auto" w:fill="FFFFFF"/>
                <w:lang w:eastAsia="en-GB"/>
              </w:rPr>
              <w:t>Counsel A of the Republic of Cyprus</w:t>
            </w:r>
          </w:p>
          <w:p w14:paraId="395AD547" w14:textId="77777777" w:rsidR="009E5118" w:rsidRPr="009E5118" w:rsidRDefault="009E5118" w:rsidP="009E5118">
            <w:pPr>
              <w:jc w:val="both"/>
              <w:rPr>
                <w:rFonts w:ascii="Arial" w:eastAsia="Calibri" w:hAnsi="Arial" w:cs="Arial"/>
                <w:bCs w:val="0"/>
                <w:iCs/>
                <w:lang w:val="en-US" w:eastAsia="en-GB"/>
              </w:rPr>
            </w:pPr>
            <w:r w:rsidRPr="009E5118">
              <w:rPr>
                <w:rFonts w:ascii="Arial" w:eastAsia="Calibri" w:hAnsi="Arial" w:cs="Arial"/>
                <w:bCs w:val="0"/>
                <w:sz w:val="20"/>
                <w:shd w:val="clear" w:color="auto" w:fill="FFFFFF"/>
                <w:lang w:eastAsia="en-GB"/>
              </w:rPr>
              <w:t>Law Office of the Republic of Cyprus</w:t>
            </w:r>
          </w:p>
        </w:tc>
      </w:tr>
      <w:tr w:rsidR="009E5118" w:rsidRPr="009E5118" w14:paraId="5206DF75" w14:textId="77777777" w:rsidTr="004F4086">
        <w:trPr>
          <w:trHeight w:val="624"/>
        </w:trPr>
        <w:tc>
          <w:tcPr>
            <w:tcW w:w="2635" w:type="dxa"/>
          </w:tcPr>
          <w:p w14:paraId="702A1167" w14:textId="127499D4" w:rsidR="009E5118" w:rsidRPr="009E5118" w:rsidRDefault="009E5118" w:rsidP="009E5118">
            <w:pPr>
              <w:rPr>
                <w:rFonts w:ascii="Arial" w:eastAsia="Calibri" w:hAnsi="Arial" w:cs="Arial"/>
                <w:b/>
                <w:spacing w:val="-2"/>
                <w:sz w:val="20"/>
                <w:lang w:val="en-US" w:eastAsia="en-GB"/>
              </w:rPr>
            </w:pPr>
            <w:r w:rsidRPr="009E5118">
              <w:rPr>
                <w:rFonts w:ascii="Arial" w:eastAsia="Calibri" w:hAnsi="Arial" w:cs="Arial"/>
                <w:b/>
                <w:sz w:val="20"/>
                <w:lang w:eastAsia="en-GB"/>
              </w:rPr>
              <w:t>RÉPUBLIQUE TCHÈQUE</w:t>
            </w:r>
            <w:r w:rsidRPr="009E5118">
              <w:rPr>
                <w:rFonts w:ascii="Arial" w:eastAsia="Calibri" w:hAnsi="Arial" w:cs="Arial"/>
                <w:b/>
                <w:spacing w:val="-2"/>
                <w:sz w:val="20"/>
                <w:lang w:val="en-US" w:eastAsia="en-GB"/>
              </w:rPr>
              <w:t xml:space="preserve"> </w:t>
            </w:r>
          </w:p>
          <w:p w14:paraId="18EA9009" w14:textId="77777777" w:rsidR="009E5118" w:rsidRPr="009E5118" w:rsidRDefault="009E5118" w:rsidP="009E5118">
            <w:pPr>
              <w:jc w:val="both"/>
              <w:rPr>
                <w:rFonts w:ascii="Arial" w:eastAsia="Calibri" w:hAnsi="Arial" w:cs="Arial"/>
                <w:b/>
                <w:spacing w:val="-2"/>
                <w:sz w:val="20"/>
                <w:lang w:eastAsia="en-GB"/>
              </w:rPr>
            </w:pPr>
          </w:p>
        </w:tc>
        <w:tc>
          <w:tcPr>
            <w:tcW w:w="6421" w:type="dxa"/>
            <w:tcMar>
              <w:top w:w="85" w:type="dxa"/>
              <w:bottom w:w="85" w:type="dxa"/>
            </w:tcMar>
          </w:tcPr>
          <w:p w14:paraId="79A4673B" w14:textId="27CEA938" w:rsidR="009E5118" w:rsidRPr="009E5118" w:rsidRDefault="00512900" w:rsidP="009E5118">
            <w:pPr>
              <w:jc w:val="both"/>
              <w:rPr>
                <w:rFonts w:ascii="Arial" w:eastAsia="Calibri" w:hAnsi="Arial" w:cs="Arial"/>
                <w:b/>
                <w:bCs w:val="0"/>
                <w:sz w:val="20"/>
                <w:lang w:val="en-US" w:eastAsia="en-GB"/>
              </w:rPr>
            </w:pPr>
            <w:r>
              <w:rPr>
                <w:rFonts w:ascii="Arial" w:eastAsia="Calibri" w:hAnsi="Arial" w:cs="Arial"/>
                <w:b/>
                <w:bCs w:val="0"/>
                <w:sz w:val="20"/>
                <w:lang w:val="en-US" w:eastAsia="en-GB"/>
              </w:rPr>
              <w:t>Mme</w:t>
            </w:r>
            <w:r w:rsidR="009E5118" w:rsidRPr="009E5118">
              <w:rPr>
                <w:rFonts w:ascii="Arial" w:eastAsia="Calibri" w:hAnsi="Arial" w:cs="Arial"/>
                <w:b/>
                <w:bCs w:val="0"/>
                <w:sz w:val="20"/>
                <w:lang w:val="en-US" w:eastAsia="en-GB"/>
              </w:rPr>
              <w:t xml:space="preserve"> Martina JIRSOVA</w:t>
            </w:r>
          </w:p>
          <w:p w14:paraId="33194AF4" w14:textId="77777777" w:rsidR="009E5118" w:rsidRPr="009E5118" w:rsidRDefault="009E5118" w:rsidP="009E5118">
            <w:pPr>
              <w:jc w:val="both"/>
              <w:rPr>
                <w:rFonts w:ascii="Arial" w:eastAsia="Calibri" w:hAnsi="Arial" w:cs="Arial"/>
                <w:bCs w:val="0"/>
                <w:sz w:val="20"/>
                <w:lang w:val="en-US" w:eastAsia="en-GB"/>
              </w:rPr>
            </w:pPr>
            <w:r w:rsidRPr="009E5118">
              <w:rPr>
                <w:rFonts w:ascii="Arial" w:eastAsia="Calibri" w:hAnsi="Arial" w:cs="Arial"/>
                <w:bCs w:val="0"/>
                <w:sz w:val="20"/>
                <w:lang w:val="en-US" w:eastAsia="en-GB"/>
              </w:rPr>
              <w:t>Advisor at the Office of the Czech Government Agent</w:t>
            </w:r>
          </w:p>
          <w:p w14:paraId="6C5D4AAE" w14:textId="77777777" w:rsidR="009E5118" w:rsidRPr="009E5118" w:rsidRDefault="009E5118" w:rsidP="009E5118">
            <w:pPr>
              <w:jc w:val="both"/>
              <w:rPr>
                <w:rFonts w:ascii="Arial" w:eastAsia="Calibri" w:hAnsi="Arial" w:cs="Arial"/>
                <w:bCs w:val="0"/>
                <w:sz w:val="20"/>
                <w:lang w:eastAsia="en-GB"/>
              </w:rPr>
            </w:pPr>
            <w:r w:rsidRPr="009E5118">
              <w:rPr>
                <w:rFonts w:ascii="Arial" w:eastAsia="Calibri" w:hAnsi="Arial" w:cs="Arial"/>
                <w:bCs w:val="0"/>
                <w:sz w:val="20"/>
                <w:lang w:val="en-US" w:eastAsia="en-GB"/>
              </w:rPr>
              <w:t>Ministry of Justice</w:t>
            </w:r>
            <w:r w:rsidRPr="009E5118">
              <w:rPr>
                <w:rFonts w:ascii="Arial" w:eastAsia="Calibri" w:hAnsi="Arial" w:cs="Arial"/>
                <w:sz w:val="20"/>
                <w:lang w:val="en-US" w:eastAsia="en-GB"/>
              </w:rPr>
              <w:t xml:space="preserve"> </w:t>
            </w:r>
          </w:p>
        </w:tc>
      </w:tr>
      <w:tr w:rsidR="009E5118" w:rsidRPr="009E5118" w14:paraId="2ED6EF12" w14:textId="77777777" w:rsidTr="004F4086">
        <w:trPr>
          <w:trHeight w:val="624"/>
        </w:trPr>
        <w:tc>
          <w:tcPr>
            <w:tcW w:w="2635" w:type="dxa"/>
          </w:tcPr>
          <w:p w14:paraId="6CB77B38" w14:textId="1E3E1D3B" w:rsidR="009E5118" w:rsidRPr="009E5118" w:rsidRDefault="009E5118" w:rsidP="009E5118">
            <w:pPr>
              <w:jc w:val="both"/>
              <w:rPr>
                <w:rFonts w:ascii="Arial" w:eastAsia="Calibri" w:hAnsi="Arial" w:cs="Arial"/>
                <w:b/>
                <w:sz w:val="20"/>
                <w:lang w:val="en-US" w:eastAsia="en-GB"/>
              </w:rPr>
            </w:pPr>
            <w:r w:rsidRPr="009E5118">
              <w:rPr>
                <w:rFonts w:ascii="Arial" w:eastAsia="Calibri" w:hAnsi="Arial" w:cs="Arial"/>
                <w:b/>
                <w:sz w:val="20"/>
                <w:lang w:eastAsia="en-GB"/>
              </w:rPr>
              <w:t>FINLANDE</w:t>
            </w:r>
          </w:p>
          <w:p w14:paraId="55FF0CE0" w14:textId="77777777" w:rsidR="009E5118" w:rsidRPr="009E5118" w:rsidRDefault="009E5118" w:rsidP="009E5118">
            <w:pPr>
              <w:jc w:val="both"/>
              <w:rPr>
                <w:rFonts w:ascii="Arial" w:eastAsia="Calibri" w:hAnsi="Arial" w:cs="Arial"/>
                <w:b/>
                <w:spacing w:val="-2"/>
                <w:sz w:val="20"/>
                <w:lang w:eastAsia="en-GB"/>
              </w:rPr>
            </w:pPr>
          </w:p>
        </w:tc>
        <w:tc>
          <w:tcPr>
            <w:tcW w:w="6421" w:type="dxa"/>
            <w:tcMar>
              <w:top w:w="85" w:type="dxa"/>
              <w:bottom w:w="85" w:type="dxa"/>
            </w:tcMar>
          </w:tcPr>
          <w:p w14:paraId="349DDF31" w14:textId="01DC4CB6" w:rsidR="009E5118" w:rsidRPr="009E5118" w:rsidRDefault="00512900" w:rsidP="009E5118">
            <w:pPr>
              <w:rPr>
                <w:rFonts w:ascii="Arial" w:eastAsia="Calibri" w:hAnsi="Arial" w:cs="Arial"/>
                <w:bCs w:val="0"/>
                <w:sz w:val="20"/>
                <w:shd w:val="clear" w:color="auto" w:fill="FFFFFF"/>
                <w:lang w:eastAsia="en-GB"/>
              </w:rPr>
            </w:pPr>
            <w:r>
              <w:rPr>
                <w:rFonts w:ascii="Arial" w:eastAsia="Calibri" w:hAnsi="Arial" w:cs="Arial"/>
                <w:b/>
                <w:sz w:val="20"/>
                <w:shd w:val="clear" w:color="auto" w:fill="FFFFFF"/>
                <w:lang w:eastAsia="en-GB"/>
              </w:rPr>
              <w:t>Mme</w:t>
            </w:r>
            <w:r w:rsidR="009E5118" w:rsidRPr="009E5118">
              <w:rPr>
                <w:rFonts w:ascii="Arial" w:eastAsia="Calibri" w:hAnsi="Arial" w:cs="Arial"/>
                <w:b/>
                <w:sz w:val="20"/>
                <w:shd w:val="clear" w:color="auto" w:fill="FFFFFF"/>
                <w:lang w:eastAsia="en-GB"/>
              </w:rPr>
              <w:t xml:space="preserve"> Satu SISTONEN</w:t>
            </w:r>
            <w:r w:rsidR="009E5118" w:rsidRPr="009E5118">
              <w:rPr>
                <w:rFonts w:ascii="Arial" w:eastAsia="Calibri" w:hAnsi="Arial" w:cs="Arial"/>
                <w:bCs w:val="0"/>
                <w:sz w:val="20"/>
                <w:shd w:val="clear" w:color="auto" w:fill="FFFFFF"/>
                <w:lang w:eastAsia="en-GB"/>
              </w:rPr>
              <w:br/>
              <w:t>Deputy Director, Legal Counsellor</w:t>
            </w:r>
            <w:r w:rsidR="009E5118" w:rsidRPr="009E5118">
              <w:rPr>
                <w:rFonts w:ascii="Arial" w:eastAsia="Calibri" w:hAnsi="Arial" w:cs="Arial"/>
                <w:bCs w:val="0"/>
                <w:sz w:val="20"/>
                <w:shd w:val="clear" w:color="auto" w:fill="FFFFFF"/>
                <w:lang w:eastAsia="en-GB"/>
              </w:rPr>
              <w:br/>
              <w:t>Unit for Human Rights Courts and Conventions</w:t>
            </w:r>
          </w:p>
          <w:p w14:paraId="27883145" w14:textId="77777777" w:rsidR="009E5118" w:rsidRPr="009E5118" w:rsidRDefault="009E5118" w:rsidP="009E5118">
            <w:pPr>
              <w:rPr>
                <w:rFonts w:ascii="Arial" w:eastAsia="Calibri" w:hAnsi="Arial" w:cs="Arial"/>
                <w:bCs w:val="0"/>
                <w:lang w:val="en-US" w:eastAsia="en-GB"/>
              </w:rPr>
            </w:pPr>
            <w:r w:rsidRPr="009E5118">
              <w:rPr>
                <w:rFonts w:ascii="Arial" w:eastAsia="Calibri" w:hAnsi="Arial" w:cs="Arial"/>
                <w:bCs w:val="0"/>
                <w:sz w:val="20"/>
                <w:shd w:val="clear" w:color="auto" w:fill="FFFFFF"/>
                <w:lang w:eastAsia="en-GB"/>
              </w:rPr>
              <w:t>Legal Service</w:t>
            </w:r>
            <w:r w:rsidRPr="009E5118">
              <w:rPr>
                <w:rFonts w:ascii="Arial" w:eastAsia="Calibri" w:hAnsi="Arial" w:cs="Arial"/>
                <w:bCs w:val="0"/>
                <w:lang w:val="en-US" w:eastAsia="en-GB"/>
              </w:rPr>
              <w:t xml:space="preserve"> </w:t>
            </w:r>
          </w:p>
        </w:tc>
      </w:tr>
      <w:tr w:rsidR="009E5118" w:rsidRPr="00306F2F" w14:paraId="4F4A775C" w14:textId="77777777" w:rsidTr="004F4086">
        <w:trPr>
          <w:trHeight w:val="624"/>
        </w:trPr>
        <w:tc>
          <w:tcPr>
            <w:tcW w:w="2635" w:type="dxa"/>
          </w:tcPr>
          <w:p w14:paraId="069E5890" w14:textId="4FF41149" w:rsidR="009E5118" w:rsidRPr="009E5118" w:rsidRDefault="009E5118" w:rsidP="009E5118">
            <w:pPr>
              <w:jc w:val="both"/>
              <w:rPr>
                <w:rFonts w:ascii="Arial" w:eastAsia="Calibri" w:hAnsi="Arial" w:cs="Arial"/>
                <w:b/>
                <w:sz w:val="20"/>
                <w:lang w:val="en-US" w:eastAsia="en-GB"/>
              </w:rPr>
            </w:pPr>
            <w:r w:rsidRPr="009E5118">
              <w:rPr>
                <w:rFonts w:ascii="Arial" w:eastAsia="Calibri" w:hAnsi="Arial" w:cs="Arial"/>
                <w:b/>
                <w:sz w:val="20"/>
                <w:lang w:eastAsia="en-GB"/>
              </w:rPr>
              <w:t xml:space="preserve">GÉORGIE </w:t>
            </w:r>
          </w:p>
          <w:p w14:paraId="03B849AF" w14:textId="77777777" w:rsidR="009E5118" w:rsidRPr="009E5118" w:rsidRDefault="009E5118" w:rsidP="009E5118">
            <w:pPr>
              <w:tabs>
                <w:tab w:val="right" w:pos="9600"/>
              </w:tabs>
              <w:rPr>
                <w:rFonts w:ascii="Arial" w:eastAsia="Calibri" w:hAnsi="Arial" w:cs="Arial"/>
                <w:b/>
                <w:sz w:val="20"/>
                <w:lang w:eastAsia="en-GB"/>
              </w:rPr>
            </w:pPr>
          </w:p>
        </w:tc>
        <w:tc>
          <w:tcPr>
            <w:tcW w:w="6421" w:type="dxa"/>
            <w:tcMar>
              <w:top w:w="85" w:type="dxa"/>
              <w:bottom w:w="85" w:type="dxa"/>
            </w:tcMar>
          </w:tcPr>
          <w:p w14:paraId="0499B553" w14:textId="45A1E15A" w:rsidR="009E5118" w:rsidRPr="009E5118" w:rsidRDefault="00512900" w:rsidP="009E5118">
            <w:pPr>
              <w:jc w:val="both"/>
              <w:rPr>
                <w:rFonts w:ascii="Arial" w:eastAsia="Calibri" w:hAnsi="Arial" w:cs="Arial"/>
                <w:bCs w:val="0"/>
                <w:sz w:val="20"/>
                <w:shd w:val="clear" w:color="auto" w:fill="FFFFFF"/>
                <w:lang w:eastAsia="en-GB"/>
              </w:rPr>
            </w:pPr>
            <w:r>
              <w:rPr>
                <w:rFonts w:ascii="Arial" w:eastAsia="Calibri" w:hAnsi="Arial" w:cs="Arial"/>
                <w:b/>
                <w:sz w:val="20"/>
                <w:shd w:val="clear" w:color="auto" w:fill="FFFFFF"/>
                <w:lang w:eastAsia="en-GB"/>
              </w:rPr>
              <w:t>Mme</w:t>
            </w:r>
            <w:r w:rsidR="009E5118" w:rsidRPr="009E5118">
              <w:rPr>
                <w:rFonts w:ascii="Arial" w:eastAsia="Calibri" w:hAnsi="Arial" w:cs="Arial"/>
                <w:b/>
                <w:sz w:val="20"/>
                <w:shd w:val="clear" w:color="auto" w:fill="FFFFFF"/>
                <w:lang w:eastAsia="en-GB"/>
              </w:rPr>
              <w:t xml:space="preserve"> Nino NIKOLAISHVILI</w:t>
            </w:r>
            <w:r w:rsidR="009E5118" w:rsidRPr="009E5118">
              <w:rPr>
                <w:rFonts w:ascii="Arial" w:eastAsia="Calibri" w:hAnsi="Arial" w:cs="Arial"/>
                <w:bCs w:val="0"/>
                <w:sz w:val="20"/>
                <w:shd w:val="clear" w:color="auto" w:fill="FFFFFF"/>
                <w:lang w:eastAsia="en-GB"/>
              </w:rPr>
              <w:t xml:space="preserve"> </w:t>
            </w:r>
          </w:p>
          <w:p w14:paraId="126F30AD" w14:textId="77777777" w:rsidR="009E5118" w:rsidRDefault="009E5118" w:rsidP="009E5118">
            <w:pPr>
              <w:jc w:val="both"/>
              <w:rPr>
                <w:rFonts w:ascii="Arial" w:eastAsia="Calibri" w:hAnsi="Arial" w:cs="Arial"/>
                <w:bCs w:val="0"/>
                <w:sz w:val="20"/>
                <w:shd w:val="clear" w:color="auto" w:fill="FFFFFF"/>
                <w:lang w:eastAsia="en-GB"/>
              </w:rPr>
            </w:pPr>
            <w:r w:rsidRPr="009E5118">
              <w:rPr>
                <w:rFonts w:ascii="Arial" w:eastAsia="Calibri" w:hAnsi="Arial" w:cs="Arial"/>
                <w:bCs w:val="0"/>
                <w:sz w:val="20"/>
                <w:shd w:val="clear" w:color="auto" w:fill="FFFFFF"/>
                <w:lang w:eastAsia="en-GB"/>
              </w:rPr>
              <w:t>Head of the Department of State Representation in International Courts, Ministry of Justice of Georgia</w:t>
            </w:r>
          </w:p>
          <w:p w14:paraId="17278917" w14:textId="77777777" w:rsidR="00DB4673" w:rsidRDefault="00DB4673" w:rsidP="009E5118">
            <w:pPr>
              <w:jc w:val="both"/>
              <w:rPr>
                <w:rFonts w:ascii="Arial" w:eastAsia="Calibri" w:hAnsi="Arial" w:cs="Arial"/>
                <w:bCs w:val="0"/>
                <w:sz w:val="20"/>
                <w:shd w:val="clear" w:color="auto" w:fill="FFFFFF"/>
                <w:lang w:eastAsia="en-GB"/>
              </w:rPr>
            </w:pPr>
          </w:p>
          <w:p w14:paraId="62C2F099" w14:textId="4492CBCA" w:rsidR="00DB4673" w:rsidRPr="00DB4673" w:rsidRDefault="00DB4673" w:rsidP="00DB4673">
            <w:pPr>
              <w:jc w:val="both"/>
              <w:rPr>
                <w:rFonts w:ascii="Arial" w:eastAsia="Calibri" w:hAnsi="Arial" w:cs="Arial"/>
                <w:b/>
                <w:sz w:val="20"/>
                <w:shd w:val="clear" w:color="auto" w:fill="FFFFFF"/>
                <w:lang w:eastAsia="en-GB"/>
              </w:rPr>
            </w:pPr>
            <w:r w:rsidRPr="00DB4673">
              <w:rPr>
                <w:rFonts w:ascii="Arial" w:eastAsia="Calibri" w:hAnsi="Arial" w:cs="Arial"/>
                <w:b/>
                <w:sz w:val="20"/>
                <w:shd w:val="clear" w:color="auto" w:fill="FFFFFF"/>
                <w:lang w:eastAsia="en-GB"/>
              </w:rPr>
              <w:t>M</w:t>
            </w:r>
            <w:r w:rsidR="00AA14BA">
              <w:rPr>
                <w:rFonts w:ascii="Arial" w:eastAsia="Calibri" w:hAnsi="Arial" w:cs="Arial"/>
                <w:b/>
                <w:sz w:val="20"/>
                <w:shd w:val="clear" w:color="auto" w:fill="FFFFFF"/>
                <w:lang w:eastAsia="en-GB"/>
              </w:rPr>
              <w:t>.</w:t>
            </w:r>
            <w:r w:rsidR="00AA14BA">
              <w:rPr>
                <w:rFonts w:eastAsia="Calibri"/>
                <w:b/>
                <w:lang w:eastAsia="en-GB"/>
              </w:rPr>
              <w:t xml:space="preserve"> </w:t>
            </w:r>
            <w:r w:rsidRPr="00DB4673">
              <w:rPr>
                <w:rFonts w:ascii="Arial" w:eastAsia="Calibri" w:hAnsi="Arial" w:cs="Arial"/>
                <w:b/>
                <w:sz w:val="20"/>
                <w:shd w:val="clear" w:color="auto" w:fill="FFFFFF"/>
                <w:lang w:eastAsia="en-GB"/>
              </w:rPr>
              <w:t>Anri KURDGHELASHVILI</w:t>
            </w:r>
          </w:p>
          <w:p w14:paraId="17CDDAAA" w14:textId="615113F1" w:rsidR="00DB4673" w:rsidRPr="009E5118" w:rsidRDefault="00DB4673" w:rsidP="00DB4673">
            <w:pPr>
              <w:jc w:val="both"/>
              <w:rPr>
                <w:rFonts w:ascii="Arial" w:eastAsia="Calibri" w:hAnsi="Arial" w:cs="Arial"/>
                <w:bCs w:val="0"/>
                <w:sz w:val="20"/>
                <w:shd w:val="clear" w:color="auto" w:fill="FFFFFF"/>
                <w:lang w:eastAsia="en-GB"/>
              </w:rPr>
            </w:pPr>
            <w:r w:rsidRPr="00DB4673">
              <w:rPr>
                <w:rFonts w:ascii="Arial" w:eastAsia="Calibri" w:hAnsi="Arial" w:cs="Arial"/>
                <w:bCs w:val="0"/>
                <w:sz w:val="20"/>
                <w:shd w:val="clear" w:color="auto" w:fill="FFFFFF"/>
                <w:lang w:val="en-US" w:eastAsia="en-GB"/>
              </w:rPr>
              <w:t xml:space="preserve">Legal Advisor, Department of State Representation to International Courts, Ministry </w:t>
            </w:r>
            <w:r>
              <w:rPr>
                <w:rFonts w:ascii="Arial" w:eastAsia="Calibri" w:hAnsi="Arial" w:cs="Arial"/>
                <w:bCs w:val="0"/>
                <w:sz w:val="20"/>
                <w:shd w:val="clear" w:color="auto" w:fill="FFFFFF"/>
                <w:lang w:val="en-US" w:eastAsia="en-GB"/>
              </w:rPr>
              <w:t>o</w:t>
            </w:r>
            <w:r w:rsidRPr="00DB4673">
              <w:rPr>
                <w:rFonts w:ascii="Arial" w:eastAsia="Calibri" w:hAnsi="Arial" w:cs="Arial"/>
                <w:bCs w:val="0"/>
                <w:sz w:val="20"/>
                <w:shd w:val="clear" w:color="auto" w:fill="FFFFFF"/>
                <w:lang w:val="en-US" w:eastAsia="en-GB"/>
              </w:rPr>
              <w:t xml:space="preserve">f Justice </w:t>
            </w:r>
            <w:r>
              <w:rPr>
                <w:rFonts w:ascii="Arial" w:eastAsia="Calibri" w:hAnsi="Arial" w:cs="Arial"/>
                <w:bCs w:val="0"/>
                <w:sz w:val="20"/>
                <w:shd w:val="clear" w:color="auto" w:fill="FFFFFF"/>
                <w:lang w:val="en-US" w:eastAsia="en-GB"/>
              </w:rPr>
              <w:t>o</w:t>
            </w:r>
            <w:r w:rsidRPr="00DB4673">
              <w:rPr>
                <w:rFonts w:ascii="Arial" w:eastAsia="Calibri" w:hAnsi="Arial" w:cs="Arial"/>
                <w:bCs w:val="0"/>
                <w:sz w:val="20"/>
                <w:shd w:val="clear" w:color="auto" w:fill="FFFFFF"/>
                <w:lang w:val="en-US" w:eastAsia="en-GB"/>
              </w:rPr>
              <w:t>f Georgia</w:t>
            </w:r>
            <w:r w:rsidRPr="009E5118">
              <w:rPr>
                <w:rFonts w:ascii="Arial" w:eastAsia="Calibri" w:hAnsi="Arial" w:cs="Arial"/>
                <w:bCs w:val="0"/>
                <w:sz w:val="20"/>
                <w:shd w:val="clear" w:color="auto" w:fill="FFFFFF"/>
                <w:lang w:eastAsia="en-GB"/>
              </w:rPr>
              <w:t xml:space="preserve"> </w:t>
            </w:r>
          </w:p>
        </w:tc>
      </w:tr>
      <w:tr w:rsidR="009E5118" w:rsidRPr="007565E2" w14:paraId="442EF772" w14:textId="77777777" w:rsidTr="004F4086">
        <w:trPr>
          <w:trHeight w:val="624"/>
        </w:trPr>
        <w:tc>
          <w:tcPr>
            <w:tcW w:w="2635" w:type="dxa"/>
          </w:tcPr>
          <w:p w14:paraId="76D1E8D3" w14:textId="67F83636" w:rsidR="009E5118" w:rsidRPr="009E5118" w:rsidRDefault="009E5118" w:rsidP="009E5118">
            <w:pPr>
              <w:jc w:val="both"/>
              <w:rPr>
                <w:rFonts w:ascii="Arial" w:eastAsia="Calibri" w:hAnsi="Arial" w:cs="Arial"/>
                <w:b/>
                <w:spacing w:val="-2"/>
                <w:sz w:val="20"/>
                <w:lang w:val="en-US" w:eastAsia="en-GB"/>
              </w:rPr>
            </w:pPr>
            <w:r w:rsidRPr="009E5118">
              <w:rPr>
                <w:rFonts w:ascii="Arial" w:eastAsia="Calibri" w:hAnsi="Arial" w:cs="Arial"/>
                <w:b/>
                <w:sz w:val="20"/>
                <w:lang w:eastAsia="en-GB"/>
              </w:rPr>
              <w:t>ALLEMAGNE</w:t>
            </w:r>
          </w:p>
        </w:tc>
        <w:tc>
          <w:tcPr>
            <w:tcW w:w="6421" w:type="dxa"/>
            <w:tcMar>
              <w:top w:w="85" w:type="dxa"/>
              <w:bottom w:w="85" w:type="dxa"/>
            </w:tcMar>
          </w:tcPr>
          <w:p w14:paraId="6DDDCFC6" w14:textId="6AC9FF25" w:rsidR="009E5118" w:rsidRPr="009E5118" w:rsidRDefault="00512900" w:rsidP="009E5118">
            <w:pPr>
              <w:rPr>
                <w:rFonts w:ascii="Arial" w:eastAsia="Calibri" w:hAnsi="Arial" w:cs="Arial"/>
                <w:b/>
                <w:bCs w:val="0"/>
                <w:sz w:val="20"/>
                <w:lang w:val="en-US" w:eastAsia="en-GB"/>
              </w:rPr>
            </w:pPr>
            <w:r>
              <w:rPr>
                <w:rFonts w:ascii="Arial" w:eastAsia="Calibri" w:hAnsi="Arial" w:cs="Arial"/>
                <w:b/>
                <w:bCs w:val="0"/>
                <w:sz w:val="20"/>
                <w:lang w:val="en-US" w:eastAsia="en-GB"/>
              </w:rPr>
              <w:t>Mme</w:t>
            </w:r>
            <w:r w:rsidR="009E5118" w:rsidRPr="009E5118">
              <w:rPr>
                <w:rFonts w:ascii="Arial" w:eastAsia="Calibri" w:hAnsi="Arial" w:cs="Arial"/>
                <w:b/>
                <w:bCs w:val="0"/>
                <w:sz w:val="20"/>
                <w:lang w:val="en-US" w:eastAsia="en-GB"/>
              </w:rPr>
              <w:t xml:space="preserve"> Kathrin MELLECH </w:t>
            </w:r>
          </w:p>
          <w:p w14:paraId="66C38BF4" w14:textId="454A9854" w:rsidR="009E5118" w:rsidRDefault="009E5118" w:rsidP="009E5118">
            <w:pPr>
              <w:rPr>
                <w:rFonts w:ascii="Arial" w:eastAsia="Calibri" w:hAnsi="Arial" w:cs="Arial"/>
                <w:bCs w:val="0"/>
                <w:sz w:val="20"/>
                <w:lang w:val="en-US" w:eastAsia="en-GB"/>
              </w:rPr>
            </w:pPr>
            <w:r w:rsidRPr="009E5118">
              <w:rPr>
                <w:rFonts w:ascii="Arial" w:eastAsia="Calibri" w:hAnsi="Arial" w:cs="Arial"/>
                <w:bCs w:val="0"/>
                <w:sz w:val="20"/>
                <w:lang w:val="en-US" w:eastAsia="en-GB"/>
              </w:rPr>
              <w:t>Division for Human Rights Bundesministerium der Justiz und für Verbraucherschutz - Federal Ministry of Justice and Consumer Protection</w:t>
            </w:r>
          </w:p>
          <w:p w14:paraId="59C2A0A3" w14:textId="77777777" w:rsidR="00E46CFB" w:rsidRDefault="00E46CFB" w:rsidP="009E5118">
            <w:pPr>
              <w:rPr>
                <w:rFonts w:ascii="Arial" w:eastAsia="Calibri" w:hAnsi="Arial" w:cs="Arial"/>
                <w:bCs w:val="0"/>
                <w:sz w:val="20"/>
                <w:lang w:val="en-US" w:eastAsia="en-GB"/>
              </w:rPr>
            </w:pPr>
          </w:p>
          <w:p w14:paraId="76DCEDE6" w14:textId="77777777" w:rsidR="00E46CFB" w:rsidRPr="00E46CFB" w:rsidRDefault="00E46CFB" w:rsidP="00E46CFB">
            <w:pPr>
              <w:pStyle w:val="Textebrut"/>
              <w:rPr>
                <w:rFonts w:ascii="Arial" w:hAnsi="Arial" w:cs="Arial"/>
                <w:sz w:val="20"/>
                <w:szCs w:val="20"/>
              </w:rPr>
            </w:pPr>
            <w:r w:rsidRPr="00E46CFB">
              <w:rPr>
                <w:rFonts w:ascii="Arial" w:hAnsi="Arial" w:cs="Arial"/>
                <w:b/>
                <w:bCs w:val="0"/>
                <w:sz w:val="20"/>
                <w:szCs w:val="20"/>
              </w:rPr>
              <w:t>Dr. Hans-Jörg</w:t>
            </w:r>
            <w:r w:rsidRPr="00E46CFB">
              <w:rPr>
                <w:rFonts w:ascii="Arial" w:hAnsi="Arial" w:cs="Arial"/>
                <w:sz w:val="20"/>
                <w:szCs w:val="20"/>
              </w:rPr>
              <w:t xml:space="preserve"> </w:t>
            </w:r>
            <w:r w:rsidRPr="00E46CFB">
              <w:rPr>
                <w:rFonts w:ascii="Arial" w:hAnsi="Arial" w:cs="Arial"/>
                <w:b/>
                <w:bCs w:val="0"/>
                <w:sz w:val="20"/>
                <w:szCs w:val="20"/>
              </w:rPr>
              <w:t>BEHRENS</w:t>
            </w:r>
          </w:p>
          <w:p w14:paraId="7178D923" w14:textId="0061DC3C" w:rsidR="00E46CFB" w:rsidRPr="009E5118" w:rsidRDefault="00E46CFB" w:rsidP="00E46CFB">
            <w:pPr>
              <w:pStyle w:val="Textebrut"/>
              <w:rPr>
                <w:rFonts w:ascii="Arial" w:eastAsia="Calibri" w:hAnsi="Arial" w:cs="Arial"/>
                <w:bCs w:val="0"/>
                <w:sz w:val="20"/>
                <w:lang w:eastAsia="en-GB"/>
              </w:rPr>
            </w:pPr>
            <w:r w:rsidRPr="00E46CFB">
              <w:rPr>
                <w:rFonts w:ascii="Arial" w:hAnsi="Arial" w:cs="Arial"/>
                <w:sz w:val="20"/>
                <w:szCs w:val="20"/>
              </w:rPr>
              <w:t>LL.M. (London), Ministerialrat</w:t>
            </w:r>
            <w:r w:rsidRPr="009E5118">
              <w:rPr>
                <w:rFonts w:ascii="Arial" w:eastAsia="Calibri" w:hAnsi="Arial" w:cs="Arial"/>
                <w:bCs w:val="0"/>
                <w:sz w:val="20"/>
                <w:lang w:eastAsia="en-GB"/>
              </w:rPr>
              <w:t xml:space="preserve"> </w:t>
            </w:r>
          </w:p>
        </w:tc>
      </w:tr>
      <w:tr w:rsidR="009E5118" w:rsidRPr="009E5118" w14:paraId="5321807C" w14:textId="77777777" w:rsidTr="004F4086">
        <w:trPr>
          <w:trHeight w:val="624"/>
        </w:trPr>
        <w:tc>
          <w:tcPr>
            <w:tcW w:w="2635" w:type="dxa"/>
          </w:tcPr>
          <w:p w14:paraId="58D7A143" w14:textId="3844AB8E" w:rsidR="009E5118" w:rsidRPr="009E5118" w:rsidRDefault="009E5118" w:rsidP="009E5118">
            <w:pPr>
              <w:jc w:val="both"/>
              <w:rPr>
                <w:rFonts w:ascii="Arial" w:eastAsia="Calibri" w:hAnsi="Arial" w:cs="Arial"/>
                <w:b/>
                <w:spacing w:val="-2"/>
                <w:sz w:val="20"/>
                <w:lang w:val="en-US" w:eastAsia="en-GB"/>
              </w:rPr>
            </w:pPr>
            <w:r w:rsidRPr="009E5118">
              <w:rPr>
                <w:rFonts w:ascii="Arial" w:eastAsia="Calibri" w:hAnsi="Arial" w:cs="Arial"/>
                <w:b/>
                <w:sz w:val="20"/>
                <w:lang w:eastAsia="en-GB"/>
              </w:rPr>
              <w:t>GRÈCE</w:t>
            </w:r>
          </w:p>
        </w:tc>
        <w:tc>
          <w:tcPr>
            <w:tcW w:w="6421" w:type="dxa"/>
            <w:tcMar>
              <w:top w:w="85" w:type="dxa"/>
              <w:bottom w:w="85" w:type="dxa"/>
            </w:tcMar>
          </w:tcPr>
          <w:p w14:paraId="635260CD" w14:textId="253CF25E" w:rsidR="009E5118" w:rsidRPr="009E5118" w:rsidRDefault="00512900" w:rsidP="009E5118">
            <w:pPr>
              <w:rPr>
                <w:rFonts w:ascii="Arial" w:eastAsia="Calibri" w:hAnsi="Arial" w:cs="Arial"/>
                <w:b/>
                <w:sz w:val="20"/>
                <w:lang w:val="fr-FR" w:eastAsia="en-GB"/>
              </w:rPr>
            </w:pPr>
            <w:r>
              <w:rPr>
                <w:rFonts w:ascii="Arial" w:eastAsia="Calibri" w:hAnsi="Arial" w:cs="Arial"/>
                <w:b/>
                <w:sz w:val="20"/>
                <w:lang w:val="fr-FR" w:eastAsia="en-GB"/>
              </w:rPr>
              <w:t>M.</w:t>
            </w:r>
            <w:r w:rsidR="009E5118" w:rsidRPr="009E5118">
              <w:rPr>
                <w:rFonts w:ascii="Arial" w:eastAsia="Calibri" w:hAnsi="Arial" w:cs="Arial"/>
                <w:b/>
                <w:sz w:val="20"/>
                <w:lang w:val="fr-FR" w:eastAsia="en-GB"/>
              </w:rPr>
              <w:t xml:space="preserve"> Elias KASTANAS</w:t>
            </w:r>
          </w:p>
          <w:p w14:paraId="6A589407" w14:textId="77777777" w:rsidR="009E5118" w:rsidRPr="009E5118" w:rsidRDefault="009E5118" w:rsidP="009E5118">
            <w:pPr>
              <w:rPr>
                <w:rFonts w:ascii="Arial" w:eastAsia="Calibri" w:hAnsi="Arial" w:cs="Arial"/>
                <w:bCs w:val="0"/>
                <w:sz w:val="20"/>
                <w:lang w:val="fr-FR" w:eastAsia="en-GB"/>
              </w:rPr>
            </w:pPr>
            <w:r w:rsidRPr="009E5118">
              <w:rPr>
                <w:rFonts w:ascii="Arial" w:eastAsia="Calibri" w:hAnsi="Arial" w:cs="Arial"/>
                <w:bCs w:val="0"/>
                <w:sz w:val="20"/>
                <w:lang w:val="fr-FR" w:eastAsia="en-GB"/>
              </w:rPr>
              <w:t>Conseiller juridique adjoint</w:t>
            </w:r>
          </w:p>
          <w:p w14:paraId="6333BE89" w14:textId="77777777" w:rsidR="009E5118" w:rsidRPr="009E5118" w:rsidRDefault="009E5118" w:rsidP="009E5118">
            <w:pPr>
              <w:rPr>
                <w:rFonts w:ascii="Arial" w:eastAsia="Calibri" w:hAnsi="Arial" w:cs="Arial"/>
                <w:bCs w:val="0"/>
                <w:sz w:val="20"/>
                <w:szCs w:val="21"/>
                <w:lang w:val="fr-FR" w:eastAsia="en-GB"/>
              </w:rPr>
            </w:pPr>
            <w:r w:rsidRPr="009E5118">
              <w:rPr>
                <w:rFonts w:ascii="Arial" w:eastAsia="Calibri" w:hAnsi="Arial" w:cs="Arial"/>
                <w:bCs w:val="0"/>
                <w:sz w:val="20"/>
                <w:lang w:val="fr-FR" w:eastAsia="en-GB"/>
              </w:rPr>
              <w:t>Service juridique, Ministère des Affaires Étrangères</w:t>
            </w:r>
            <w:r w:rsidRPr="009E5118">
              <w:rPr>
                <w:rFonts w:ascii="Arial" w:eastAsia="Calibri" w:hAnsi="Arial" w:cs="Arial"/>
                <w:bCs w:val="0"/>
                <w:sz w:val="20"/>
                <w:szCs w:val="21"/>
                <w:lang w:val="fr-FR" w:eastAsia="en-GB"/>
              </w:rPr>
              <w:t xml:space="preserve"> </w:t>
            </w:r>
          </w:p>
        </w:tc>
      </w:tr>
      <w:tr w:rsidR="004F4086" w:rsidRPr="00306F2F" w14:paraId="3205C32A" w14:textId="77777777" w:rsidTr="004F4086">
        <w:trPr>
          <w:trHeight w:val="624"/>
        </w:trPr>
        <w:tc>
          <w:tcPr>
            <w:tcW w:w="2635" w:type="dxa"/>
          </w:tcPr>
          <w:p w14:paraId="0DD9D3E2" w14:textId="77777777" w:rsidR="004F4086" w:rsidRPr="00FF4961" w:rsidRDefault="004F4086" w:rsidP="004F4086">
            <w:pPr>
              <w:jc w:val="both"/>
              <w:rPr>
                <w:rFonts w:ascii="Arial" w:hAnsi="Arial" w:cs="Arial"/>
                <w:b/>
                <w:bCs w:val="0"/>
                <w:sz w:val="20"/>
                <w:lang w:val="en-US"/>
              </w:rPr>
            </w:pPr>
            <w:r w:rsidRPr="00FF4961">
              <w:rPr>
                <w:rFonts w:ascii="Arial" w:hAnsi="Arial" w:cs="Arial"/>
                <w:b/>
                <w:sz w:val="20"/>
                <w:lang w:val="en-US"/>
              </w:rPr>
              <w:t xml:space="preserve">LIECHTENSTEIN </w:t>
            </w:r>
          </w:p>
          <w:p w14:paraId="5BE146B9" w14:textId="77777777" w:rsidR="004F4086" w:rsidRPr="009E5118" w:rsidRDefault="004F4086" w:rsidP="004F4086">
            <w:pPr>
              <w:jc w:val="both"/>
              <w:rPr>
                <w:rFonts w:ascii="Arial" w:eastAsia="Calibri" w:hAnsi="Arial" w:cs="Arial"/>
                <w:b/>
                <w:sz w:val="20"/>
                <w:lang w:eastAsia="en-GB"/>
              </w:rPr>
            </w:pPr>
          </w:p>
        </w:tc>
        <w:tc>
          <w:tcPr>
            <w:tcW w:w="6421" w:type="dxa"/>
            <w:tcMar>
              <w:top w:w="85" w:type="dxa"/>
              <w:bottom w:w="85" w:type="dxa"/>
            </w:tcMar>
          </w:tcPr>
          <w:p w14:paraId="78A24BFB" w14:textId="2276C46C" w:rsidR="004F4086" w:rsidRPr="00D13262" w:rsidRDefault="004F4086" w:rsidP="004F4086">
            <w:pPr>
              <w:rPr>
                <w:rFonts w:ascii="Arial" w:hAnsi="Arial" w:cs="Arial"/>
                <w:b/>
                <w:bCs w:val="0"/>
                <w:sz w:val="20"/>
                <w:lang w:val="fr-FR"/>
              </w:rPr>
            </w:pPr>
            <w:r w:rsidRPr="00D13262">
              <w:rPr>
                <w:rFonts w:ascii="Arial" w:hAnsi="Arial" w:cs="Arial"/>
                <w:b/>
                <w:sz w:val="20"/>
                <w:lang w:val="fr-FR"/>
              </w:rPr>
              <w:t>M</w:t>
            </w:r>
            <w:r w:rsidR="00B326A9" w:rsidRPr="00D13262">
              <w:rPr>
                <w:rFonts w:ascii="Arial" w:hAnsi="Arial" w:cs="Arial"/>
                <w:b/>
                <w:sz w:val="20"/>
                <w:lang w:val="fr-FR"/>
              </w:rPr>
              <w:t>me</w:t>
            </w:r>
            <w:r w:rsidRPr="00D13262">
              <w:rPr>
                <w:rFonts w:ascii="Arial" w:hAnsi="Arial" w:cs="Arial"/>
                <w:b/>
                <w:sz w:val="20"/>
                <w:lang w:val="fr-FR"/>
              </w:rPr>
              <w:t xml:space="preserve"> Helen LOREZ</w:t>
            </w:r>
          </w:p>
          <w:p w14:paraId="0549D5F2" w14:textId="77777777" w:rsidR="004F4086" w:rsidRPr="00D13262" w:rsidRDefault="004F4086" w:rsidP="004F4086">
            <w:pPr>
              <w:rPr>
                <w:rFonts w:ascii="Arial" w:hAnsi="Arial" w:cs="Arial"/>
                <w:sz w:val="20"/>
                <w:lang w:val="fr-FR"/>
              </w:rPr>
            </w:pPr>
            <w:r w:rsidRPr="00D13262">
              <w:rPr>
                <w:rFonts w:ascii="Arial" w:hAnsi="Arial" w:cs="Arial"/>
                <w:sz w:val="20"/>
                <w:lang w:val="fr-FR"/>
              </w:rPr>
              <w:t>Deputy Permanent Representative</w:t>
            </w:r>
          </w:p>
          <w:p w14:paraId="6C63216A" w14:textId="7CA15ED5" w:rsidR="004F4086" w:rsidRDefault="004F4086" w:rsidP="004F4086">
            <w:pPr>
              <w:rPr>
                <w:rFonts w:ascii="Arial" w:eastAsia="Calibri" w:hAnsi="Arial" w:cs="Arial"/>
                <w:b/>
                <w:sz w:val="20"/>
                <w:lang w:eastAsia="en-GB"/>
              </w:rPr>
            </w:pPr>
            <w:r w:rsidRPr="00FF4961">
              <w:rPr>
                <w:rFonts w:ascii="Arial" w:hAnsi="Arial" w:cs="Arial"/>
                <w:sz w:val="20"/>
                <w:lang w:val="en-US"/>
              </w:rPr>
              <w:t>Permanent</w:t>
            </w:r>
            <w:r w:rsidRPr="00FF4961">
              <w:rPr>
                <w:sz w:val="20"/>
              </w:rPr>
              <w:t xml:space="preserve"> </w:t>
            </w:r>
            <w:r w:rsidRPr="00FF4961">
              <w:rPr>
                <w:rFonts w:ascii="Arial" w:hAnsi="Arial" w:cs="Arial"/>
                <w:sz w:val="20"/>
                <w:lang w:val="en-US"/>
              </w:rPr>
              <w:t xml:space="preserve">Representation of Liechtenstein to the Council of Europe </w:t>
            </w:r>
          </w:p>
        </w:tc>
      </w:tr>
      <w:tr w:rsidR="009E5118" w:rsidRPr="00306F2F" w14:paraId="4054842C" w14:textId="77777777" w:rsidTr="004F4086">
        <w:trPr>
          <w:trHeight w:val="624"/>
        </w:trPr>
        <w:tc>
          <w:tcPr>
            <w:tcW w:w="2635" w:type="dxa"/>
          </w:tcPr>
          <w:p w14:paraId="21426610" w14:textId="77777777" w:rsidR="009E5118" w:rsidRPr="009E5118" w:rsidRDefault="009E5118" w:rsidP="009E5118">
            <w:pPr>
              <w:rPr>
                <w:rFonts w:ascii="Arial" w:eastAsia="Calibri" w:hAnsi="Arial" w:cs="Arial"/>
                <w:b/>
                <w:sz w:val="20"/>
                <w:lang w:val="pt-PT" w:eastAsia="en-GB"/>
              </w:rPr>
            </w:pPr>
            <w:r w:rsidRPr="009E5118">
              <w:rPr>
                <w:rFonts w:ascii="Arial" w:eastAsia="Calibri" w:hAnsi="Arial" w:cs="Arial"/>
                <w:b/>
                <w:sz w:val="20"/>
                <w:lang w:val="fr-FR" w:eastAsia="en-GB"/>
              </w:rPr>
              <w:t>RÉPUBLIQUE DE MOLDOVA</w:t>
            </w:r>
          </w:p>
          <w:p w14:paraId="0B5224F8" w14:textId="77777777" w:rsidR="009E5118" w:rsidRPr="009E5118" w:rsidRDefault="009E5118" w:rsidP="009E5118">
            <w:pPr>
              <w:tabs>
                <w:tab w:val="right" w:pos="9600"/>
              </w:tabs>
              <w:rPr>
                <w:rFonts w:ascii="Arial" w:eastAsia="Calibri" w:hAnsi="Arial" w:cs="Arial"/>
                <w:b/>
                <w:sz w:val="20"/>
                <w:lang w:val="fr-FR" w:eastAsia="en-GB"/>
              </w:rPr>
            </w:pPr>
          </w:p>
        </w:tc>
        <w:tc>
          <w:tcPr>
            <w:tcW w:w="6421" w:type="dxa"/>
            <w:tcMar>
              <w:top w:w="85" w:type="dxa"/>
              <w:bottom w:w="85" w:type="dxa"/>
            </w:tcMar>
          </w:tcPr>
          <w:p w14:paraId="3431DA15" w14:textId="3DCA70A4" w:rsidR="00201BDB" w:rsidRPr="0031279F" w:rsidRDefault="00201BDB" w:rsidP="00201BDB">
            <w:pPr>
              <w:shd w:val="clear" w:color="auto" w:fill="FFFFFF"/>
              <w:rPr>
                <w:rFonts w:ascii="Arial" w:eastAsia="Calibri" w:hAnsi="Arial" w:cs="Arial"/>
                <w:b/>
                <w:bCs w:val="0"/>
                <w:sz w:val="20"/>
                <w:shd w:val="clear" w:color="auto" w:fill="FFFFFF"/>
                <w:lang w:eastAsia="en-GB"/>
              </w:rPr>
            </w:pPr>
            <w:r w:rsidRPr="0031279F">
              <w:rPr>
                <w:rFonts w:ascii="Arial" w:eastAsia="Calibri" w:hAnsi="Arial" w:cs="Arial"/>
                <w:b/>
                <w:sz w:val="20"/>
                <w:shd w:val="clear" w:color="auto" w:fill="FFFFFF"/>
                <w:lang w:eastAsia="en-GB"/>
              </w:rPr>
              <w:t>M</w:t>
            </w:r>
            <w:r>
              <w:rPr>
                <w:rFonts w:ascii="Arial" w:eastAsia="Calibri" w:hAnsi="Arial" w:cs="Arial"/>
                <w:b/>
                <w:sz w:val="20"/>
                <w:shd w:val="clear" w:color="auto" w:fill="FFFFFF"/>
                <w:lang w:eastAsia="en-GB"/>
              </w:rPr>
              <w:t>me</w:t>
            </w:r>
            <w:r w:rsidRPr="0031279F">
              <w:rPr>
                <w:rFonts w:ascii="Arial" w:eastAsia="Calibri" w:hAnsi="Arial" w:cs="Arial"/>
                <w:b/>
                <w:sz w:val="20"/>
                <w:shd w:val="clear" w:color="auto" w:fill="FFFFFF"/>
                <w:lang w:eastAsia="en-GB"/>
              </w:rPr>
              <w:t xml:space="preserve"> Doina MAIMESCU </w:t>
            </w:r>
          </w:p>
          <w:p w14:paraId="778826D3" w14:textId="77777777" w:rsidR="00201BDB" w:rsidRPr="0031279F" w:rsidRDefault="00201BDB" w:rsidP="00201BDB">
            <w:pPr>
              <w:shd w:val="clear" w:color="auto" w:fill="FFFFFF"/>
              <w:rPr>
                <w:rFonts w:ascii="Arial" w:eastAsia="Calibri" w:hAnsi="Arial" w:cs="Arial"/>
                <w:sz w:val="20"/>
                <w:shd w:val="clear" w:color="auto" w:fill="FFFFFF"/>
                <w:lang w:eastAsia="en-GB"/>
              </w:rPr>
            </w:pPr>
            <w:r w:rsidRPr="0031279F">
              <w:rPr>
                <w:rFonts w:ascii="Arial" w:eastAsia="Calibri" w:hAnsi="Arial" w:cs="Arial"/>
                <w:sz w:val="20"/>
                <w:shd w:val="clear" w:color="auto" w:fill="FFFFFF"/>
                <w:lang w:eastAsia="en-GB"/>
              </w:rPr>
              <w:t xml:space="preserve">Head of the Governmental Agent Department of the Ministry of Justice </w:t>
            </w:r>
          </w:p>
          <w:p w14:paraId="3D466CA1" w14:textId="77777777" w:rsidR="00201BDB" w:rsidRPr="0031279F" w:rsidRDefault="00201BDB" w:rsidP="00201BDB">
            <w:pPr>
              <w:shd w:val="clear" w:color="auto" w:fill="FFFFFF"/>
              <w:rPr>
                <w:rFonts w:ascii="Arial" w:eastAsia="Calibri" w:hAnsi="Arial" w:cs="Arial"/>
                <w:sz w:val="20"/>
                <w:shd w:val="clear" w:color="auto" w:fill="FFFFFF"/>
                <w:lang w:eastAsia="en-GB"/>
              </w:rPr>
            </w:pPr>
          </w:p>
          <w:p w14:paraId="51C23F9E" w14:textId="1241F113" w:rsidR="00201BDB" w:rsidRPr="0031279F" w:rsidRDefault="00201BDB" w:rsidP="00201BDB">
            <w:pPr>
              <w:shd w:val="clear" w:color="auto" w:fill="FFFFFF"/>
              <w:rPr>
                <w:rFonts w:ascii="Arial" w:eastAsia="Calibri" w:hAnsi="Arial" w:cs="Arial"/>
                <w:b/>
                <w:bCs w:val="0"/>
                <w:sz w:val="20"/>
                <w:shd w:val="clear" w:color="auto" w:fill="FFFFFF"/>
                <w:lang w:eastAsia="en-GB"/>
              </w:rPr>
            </w:pPr>
            <w:r w:rsidRPr="0031279F">
              <w:rPr>
                <w:rFonts w:ascii="Arial" w:eastAsia="Calibri" w:hAnsi="Arial" w:cs="Arial"/>
                <w:b/>
                <w:sz w:val="20"/>
                <w:shd w:val="clear" w:color="auto" w:fill="FFFFFF"/>
                <w:lang w:eastAsia="en-GB"/>
              </w:rPr>
              <w:t>M</w:t>
            </w:r>
            <w:r>
              <w:rPr>
                <w:rFonts w:ascii="Arial" w:eastAsia="Calibri" w:hAnsi="Arial" w:cs="Arial"/>
                <w:b/>
                <w:sz w:val="20"/>
                <w:shd w:val="clear" w:color="auto" w:fill="FFFFFF"/>
                <w:lang w:eastAsia="en-GB"/>
              </w:rPr>
              <w:t>me</w:t>
            </w:r>
            <w:r w:rsidRPr="0031279F">
              <w:rPr>
                <w:rFonts w:ascii="Arial" w:eastAsia="Calibri" w:hAnsi="Arial" w:cs="Arial"/>
                <w:b/>
                <w:sz w:val="20"/>
                <w:shd w:val="clear" w:color="auto" w:fill="FFFFFF"/>
                <w:lang w:eastAsia="en-GB"/>
              </w:rPr>
              <w:t xml:space="preserve"> Mihaela MARTINOV-GUCEAC</w:t>
            </w:r>
          </w:p>
          <w:p w14:paraId="46A84464" w14:textId="240F7627" w:rsidR="009E5118" w:rsidRPr="009E5118" w:rsidRDefault="00201BDB" w:rsidP="00201BDB">
            <w:pPr>
              <w:shd w:val="clear" w:color="auto" w:fill="FFFFFF"/>
              <w:rPr>
                <w:rFonts w:ascii="Arial" w:eastAsia="Calibri" w:hAnsi="Arial" w:cs="Arial"/>
                <w:bCs w:val="0"/>
                <w:sz w:val="20"/>
                <w:lang w:val="en-US" w:eastAsia="en-GB"/>
              </w:rPr>
            </w:pPr>
            <w:r w:rsidRPr="0031279F">
              <w:rPr>
                <w:rFonts w:ascii="Arial" w:eastAsia="Calibri" w:hAnsi="Arial" w:cs="Arial"/>
                <w:sz w:val="20"/>
                <w:shd w:val="clear" w:color="auto" w:fill="FFFFFF"/>
                <w:lang w:eastAsia="en-GB"/>
              </w:rPr>
              <w:t>Deputy to the Permanent Representative of the Republic of Moldova to the Council of Europe</w:t>
            </w:r>
          </w:p>
        </w:tc>
      </w:tr>
      <w:tr w:rsidR="009E5118" w:rsidRPr="00306F2F" w14:paraId="3A3275A1" w14:textId="77777777" w:rsidTr="004F4086">
        <w:trPr>
          <w:trHeight w:val="624"/>
        </w:trPr>
        <w:tc>
          <w:tcPr>
            <w:tcW w:w="2635" w:type="dxa"/>
          </w:tcPr>
          <w:p w14:paraId="394AB062" w14:textId="77777777" w:rsidR="009E5118" w:rsidRPr="009E5118" w:rsidRDefault="009E5118" w:rsidP="009E5118">
            <w:pPr>
              <w:jc w:val="both"/>
              <w:rPr>
                <w:rFonts w:ascii="Arial" w:eastAsia="Calibri" w:hAnsi="Arial" w:cs="Arial"/>
                <w:b/>
                <w:sz w:val="20"/>
                <w:lang w:eastAsia="en-GB"/>
              </w:rPr>
            </w:pPr>
            <w:r w:rsidRPr="009E5118">
              <w:rPr>
                <w:rFonts w:ascii="Arial" w:eastAsia="Calibri" w:hAnsi="Arial" w:cs="Arial"/>
                <w:b/>
                <w:sz w:val="20"/>
                <w:lang w:eastAsia="en-GB"/>
              </w:rPr>
              <w:t xml:space="preserve">PAYS-BAS </w:t>
            </w:r>
          </w:p>
          <w:p w14:paraId="015D7639" w14:textId="77777777" w:rsidR="009E5118" w:rsidRPr="009E5118" w:rsidRDefault="009E5118" w:rsidP="009E5118">
            <w:pPr>
              <w:jc w:val="both"/>
              <w:rPr>
                <w:rFonts w:ascii="Arial" w:eastAsia="Calibri" w:hAnsi="Arial" w:cs="Arial"/>
                <w:b/>
                <w:spacing w:val="-2"/>
                <w:sz w:val="20"/>
                <w:lang w:eastAsia="en-GB"/>
              </w:rPr>
            </w:pPr>
          </w:p>
        </w:tc>
        <w:tc>
          <w:tcPr>
            <w:tcW w:w="6421" w:type="dxa"/>
            <w:tcMar>
              <w:top w:w="85" w:type="dxa"/>
              <w:bottom w:w="85" w:type="dxa"/>
            </w:tcMar>
          </w:tcPr>
          <w:p w14:paraId="798D1B48" w14:textId="54BE7B06" w:rsidR="009E5118" w:rsidRPr="009E5118" w:rsidRDefault="00512900" w:rsidP="009E5118">
            <w:pPr>
              <w:rPr>
                <w:rFonts w:ascii="Arial" w:eastAsia="Calibri" w:hAnsi="Arial" w:cs="Arial"/>
                <w:bCs w:val="0"/>
                <w:sz w:val="20"/>
                <w:lang w:val="en-US" w:eastAsia="en-GB"/>
              </w:rPr>
            </w:pPr>
            <w:r>
              <w:rPr>
                <w:rFonts w:ascii="Arial" w:eastAsia="Calibri" w:hAnsi="Arial" w:cs="Arial"/>
                <w:b/>
                <w:bCs w:val="0"/>
                <w:sz w:val="20"/>
                <w:lang w:val="en-US" w:eastAsia="en-GB"/>
              </w:rPr>
              <w:t>Mme</w:t>
            </w:r>
            <w:r w:rsidR="009E5118" w:rsidRPr="009E5118">
              <w:rPr>
                <w:rFonts w:ascii="Arial" w:eastAsia="Calibri" w:hAnsi="Arial" w:cs="Arial"/>
                <w:b/>
                <w:bCs w:val="0"/>
                <w:sz w:val="20"/>
                <w:lang w:val="en-US" w:eastAsia="en-GB"/>
              </w:rPr>
              <w:t xml:space="preserve"> Anne AAGTEN</w:t>
            </w:r>
          </w:p>
          <w:p w14:paraId="355C8A4D" w14:textId="77777777" w:rsidR="009E5118" w:rsidRPr="009E5118" w:rsidRDefault="009E5118" w:rsidP="009E5118">
            <w:pPr>
              <w:rPr>
                <w:rFonts w:ascii="Arial" w:eastAsia="Calibri" w:hAnsi="Arial" w:cs="Arial"/>
                <w:bCs w:val="0"/>
                <w:sz w:val="20"/>
                <w:lang w:eastAsia="en-GB"/>
              </w:rPr>
            </w:pPr>
            <w:r w:rsidRPr="009E5118">
              <w:rPr>
                <w:rFonts w:ascii="Arial" w:eastAsia="Calibri" w:hAnsi="Arial" w:cs="Arial"/>
                <w:bCs w:val="0"/>
                <w:sz w:val="20"/>
                <w:lang w:val="en-US" w:eastAsia="en-GB"/>
              </w:rPr>
              <w:t>LLM Legal Officer, Ministry of Foreign Affairs, Legal Affairs Department, International Law Division (DJZ/IR)</w:t>
            </w:r>
          </w:p>
        </w:tc>
      </w:tr>
      <w:tr w:rsidR="009E5118" w:rsidRPr="00306F2F" w14:paraId="1A268713" w14:textId="77777777" w:rsidTr="004F4086">
        <w:trPr>
          <w:trHeight w:val="624"/>
        </w:trPr>
        <w:tc>
          <w:tcPr>
            <w:tcW w:w="2635" w:type="dxa"/>
          </w:tcPr>
          <w:p w14:paraId="3CD76A2B" w14:textId="3D763CAE" w:rsidR="009E5118" w:rsidRPr="009E5118" w:rsidRDefault="009E5118" w:rsidP="009E5118">
            <w:pPr>
              <w:jc w:val="both"/>
              <w:rPr>
                <w:rFonts w:ascii="Arial" w:eastAsia="Calibri" w:hAnsi="Arial" w:cs="Arial"/>
                <w:b/>
                <w:sz w:val="20"/>
                <w:lang w:eastAsia="en-GB"/>
              </w:rPr>
            </w:pPr>
            <w:r w:rsidRPr="009E5118">
              <w:rPr>
                <w:rFonts w:ascii="Arial" w:eastAsia="Calibri" w:hAnsi="Arial" w:cs="Arial"/>
                <w:b/>
                <w:sz w:val="20"/>
                <w:lang w:eastAsia="en-GB"/>
              </w:rPr>
              <w:t>NORVÈGE</w:t>
            </w:r>
          </w:p>
        </w:tc>
        <w:tc>
          <w:tcPr>
            <w:tcW w:w="6421" w:type="dxa"/>
            <w:tcMar>
              <w:top w:w="85" w:type="dxa"/>
              <w:bottom w:w="85" w:type="dxa"/>
            </w:tcMar>
          </w:tcPr>
          <w:p w14:paraId="2F10D4CE" w14:textId="3D90C8F8" w:rsidR="009E5118" w:rsidRPr="009E5118" w:rsidRDefault="00512900" w:rsidP="009E5118">
            <w:pPr>
              <w:rPr>
                <w:rFonts w:ascii="Arial" w:hAnsi="Arial" w:cs="Arial"/>
                <w:b/>
                <w:color w:val="000000"/>
                <w:sz w:val="20"/>
                <w:lang w:eastAsia="en-GB"/>
              </w:rPr>
            </w:pPr>
            <w:r>
              <w:rPr>
                <w:rFonts w:ascii="Arial" w:hAnsi="Arial" w:cs="Arial"/>
                <w:b/>
                <w:color w:val="000000"/>
                <w:sz w:val="20"/>
                <w:lang w:eastAsia="en-GB"/>
              </w:rPr>
              <w:t>M.</w:t>
            </w:r>
            <w:r w:rsidR="009E5118" w:rsidRPr="009E5118">
              <w:rPr>
                <w:rFonts w:ascii="Arial" w:hAnsi="Arial" w:cs="Arial"/>
                <w:b/>
                <w:color w:val="000000"/>
                <w:sz w:val="20"/>
                <w:lang w:eastAsia="en-GB"/>
              </w:rPr>
              <w:t xml:space="preserve"> Morten RUUD</w:t>
            </w:r>
          </w:p>
          <w:p w14:paraId="33C0ACDE" w14:textId="77777777" w:rsidR="009E5118" w:rsidRPr="009E5118" w:rsidRDefault="009E5118" w:rsidP="009E5118">
            <w:pPr>
              <w:rPr>
                <w:rFonts w:ascii="Arial" w:hAnsi="Arial" w:cs="Arial"/>
                <w:bCs w:val="0"/>
                <w:color w:val="000000"/>
                <w:sz w:val="20"/>
                <w:lang w:eastAsia="en-GB"/>
              </w:rPr>
            </w:pPr>
            <w:r w:rsidRPr="009E5118">
              <w:rPr>
                <w:rFonts w:ascii="Arial" w:hAnsi="Arial" w:cs="Arial"/>
                <w:bCs w:val="0"/>
                <w:color w:val="000000"/>
                <w:sz w:val="20"/>
                <w:lang w:eastAsia="en-GB"/>
              </w:rPr>
              <w:lastRenderedPageBreak/>
              <w:t xml:space="preserve">Special Adviser  Norwegian Ministry of Justice and Public Security, Legislation, Department, Oslo </w:t>
            </w:r>
          </w:p>
          <w:p w14:paraId="01B485D0" w14:textId="77777777" w:rsidR="009E5118" w:rsidRPr="009E5118" w:rsidRDefault="009E5118" w:rsidP="009E5118">
            <w:pPr>
              <w:rPr>
                <w:rFonts w:ascii="Arial" w:eastAsia="Calibri" w:hAnsi="Arial" w:cs="Arial"/>
                <w:bCs w:val="0"/>
                <w:sz w:val="20"/>
                <w:lang w:eastAsia="en-GB"/>
              </w:rPr>
            </w:pPr>
          </w:p>
          <w:p w14:paraId="057E22C8" w14:textId="59E68FB8" w:rsidR="009E5118" w:rsidRPr="009E5118" w:rsidRDefault="00512900" w:rsidP="009E5118">
            <w:pPr>
              <w:rPr>
                <w:rFonts w:ascii="Arial" w:hAnsi="Arial" w:cs="Arial"/>
                <w:b/>
                <w:color w:val="000000"/>
                <w:sz w:val="20"/>
                <w:lang w:eastAsia="en-GB"/>
              </w:rPr>
            </w:pPr>
            <w:r>
              <w:rPr>
                <w:rFonts w:ascii="Arial" w:hAnsi="Arial" w:cs="Arial"/>
                <w:b/>
                <w:color w:val="000000"/>
                <w:sz w:val="20"/>
                <w:lang w:eastAsia="en-GB"/>
              </w:rPr>
              <w:t>M.</w:t>
            </w:r>
            <w:r w:rsidR="009E5118" w:rsidRPr="009E5118">
              <w:rPr>
                <w:rFonts w:ascii="Arial" w:hAnsi="Arial" w:cs="Arial"/>
                <w:b/>
                <w:color w:val="000000"/>
                <w:sz w:val="20"/>
                <w:lang w:eastAsia="en-GB"/>
              </w:rPr>
              <w:t xml:space="preserve"> Geir ULFSTEIN </w:t>
            </w:r>
          </w:p>
          <w:p w14:paraId="5308F832" w14:textId="77777777" w:rsidR="009E5118" w:rsidRPr="009E5118" w:rsidRDefault="009E5118" w:rsidP="009E5118">
            <w:pPr>
              <w:rPr>
                <w:rFonts w:ascii="Arial" w:eastAsia="Calibri" w:hAnsi="Arial" w:cs="Arial"/>
                <w:bCs w:val="0"/>
                <w:sz w:val="20"/>
                <w:lang w:eastAsia="en-GB"/>
              </w:rPr>
            </w:pPr>
            <w:r w:rsidRPr="009E5118">
              <w:rPr>
                <w:rFonts w:ascii="Arial" w:hAnsi="Arial" w:cs="Arial"/>
                <w:bCs w:val="0"/>
                <w:color w:val="000000"/>
                <w:sz w:val="20"/>
                <w:lang w:eastAsia="en-GB"/>
              </w:rPr>
              <w:t>Co-director of </w:t>
            </w:r>
            <w:hyperlink r:id="rId8" w:history="1">
              <w:r w:rsidRPr="009E5118">
                <w:rPr>
                  <w:rFonts w:ascii="Arial" w:hAnsi="Arial" w:cs="Arial"/>
                  <w:bCs w:val="0"/>
                  <w:color w:val="000000"/>
                  <w:sz w:val="20"/>
                  <w:lang w:eastAsia="en-GB"/>
                </w:rPr>
                <w:t>PluriCourts – Centre for the Study of the Legitimate Roles of the Judiciary in the Global Order</w:t>
              </w:r>
            </w:hyperlink>
            <w:r w:rsidRPr="009E5118">
              <w:rPr>
                <w:rFonts w:ascii="Arial" w:hAnsi="Arial" w:cs="Arial"/>
                <w:bCs w:val="0"/>
                <w:color w:val="000000"/>
                <w:sz w:val="20"/>
                <w:lang w:eastAsia="en-GB"/>
              </w:rPr>
              <w:t>, University of Oslo</w:t>
            </w:r>
            <w:r w:rsidRPr="009E5118">
              <w:rPr>
                <w:rFonts w:ascii="Arial" w:eastAsia="Calibri" w:hAnsi="Arial" w:cs="Arial"/>
                <w:bCs w:val="0"/>
                <w:sz w:val="20"/>
                <w:lang w:eastAsia="en-GB"/>
              </w:rPr>
              <w:t xml:space="preserve"> </w:t>
            </w:r>
          </w:p>
        </w:tc>
      </w:tr>
      <w:tr w:rsidR="009E5118" w:rsidRPr="00306F2F" w14:paraId="7E5FC7FC" w14:textId="77777777" w:rsidTr="004F4086">
        <w:trPr>
          <w:trHeight w:val="624"/>
        </w:trPr>
        <w:tc>
          <w:tcPr>
            <w:tcW w:w="2635" w:type="dxa"/>
          </w:tcPr>
          <w:p w14:paraId="5318A431" w14:textId="7C02ADBC" w:rsidR="009E5118" w:rsidRPr="009E5118" w:rsidRDefault="009E5118" w:rsidP="009E5118">
            <w:pPr>
              <w:autoSpaceDE w:val="0"/>
              <w:autoSpaceDN w:val="0"/>
              <w:adjustRightInd w:val="0"/>
              <w:rPr>
                <w:rFonts w:ascii="Arial" w:eastAsia="Calibri" w:hAnsi="Arial" w:cs="Arial"/>
                <w:b/>
                <w:sz w:val="20"/>
                <w:lang w:eastAsia="en-GB"/>
              </w:rPr>
            </w:pPr>
            <w:r w:rsidRPr="009E5118">
              <w:rPr>
                <w:rFonts w:ascii="Arial" w:eastAsia="Calibri" w:hAnsi="Arial" w:cs="Arial"/>
                <w:b/>
                <w:sz w:val="20"/>
                <w:lang w:eastAsia="en-GB"/>
              </w:rPr>
              <w:lastRenderedPageBreak/>
              <w:t>POLOGNE</w:t>
            </w:r>
          </w:p>
        </w:tc>
        <w:tc>
          <w:tcPr>
            <w:tcW w:w="6421" w:type="dxa"/>
            <w:tcMar>
              <w:top w:w="85" w:type="dxa"/>
              <w:bottom w:w="85" w:type="dxa"/>
            </w:tcMar>
          </w:tcPr>
          <w:p w14:paraId="735FBFCB" w14:textId="6BE3A237" w:rsidR="009E5118" w:rsidRPr="009E5118" w:rsidRDefault="00512900" w:rsidP="009E5118">
            <w:pPr>
              <w:rPr>
                <w:rFonts w:ascii="Arial" w:hAnsi="Arial" w:cs="Arial"/>
                <w:b/>
                <w:color w:val="000000"/>
                <w:sz w:val="20"/>
                <w:lang w:eastAsia="en-GB"/>
              </w:rPr>
            </w:pPr>
            <w:r>
              <w:rPr>
                <w:rFonts w:ascii="Arial" w:hAnsi="Arial" w:cs="Arial"/>
                <w:b/>
                <w:color w:val="000000"/>
                <w:sz w:val="20"/>
                <w:lang w:eastAsia="en-GB"/>
              </w:rPr>
              <w:t>Mme</w:t>
            </w:r>
            <w:r w:rsidR="009E5118" w:rsidRPr="009E5118">
              <w:rPr>
                <w:rFonts w:ascii="Arial" w:hAnsi="Arial" w:cs="Arial"/>
                <w:b/>
                <w:color w:val="000000"/>
                <w:sz w:val="20"/>
                <w:lang w:eastAsia="en-GB"/>
              </w:rPr>
              <w:t xml:space="preserve"> Magdalena BOROWSKA</w:t>
            </w:r>
          </w:p>
          <w:p w14:paraId="3B4DC057" w14:textId="77777777" w:rsidR="009E5118" w:rsidRPr="009E5118" w:rsidRDefault="009E5118" w:rsidP="009E5118">
            <w:pPr>
              <w:rPr>
                <w:rFonts w:ascii="Arial" w:hAnsi="Arial" w:cs="Arial"/>
                <w:bCs w:val="0"/>
                <w:color w:val="000000"/>
                <w:sz w:val="20"/>
                <w:lang w:eastAsia="en-GB"/>
              </w:rPr>
            </w:pPr>
            <w:r w:rsidRPr="009E5118">
              <w:rPr>
                <w:rFonts w:ascii="Arial" w:hAnsi="Arial" w:cs="Arial"/>
                <w:bCs w:val="0"/>
                <w:color w:val="000000"/>
                <w:sz w:val="20"/>
                <w:lang w:eastAsia="en-GB"/>
              </w:rPr>
              <w:t>Departament Prawno-Traktatowy</w:t>
            </w:r>
          </w:p>
          <w:p w14:paraId="30D88B2B" w14:textId="77777777" w:rsidR="009E5118" w:rsidRPr="009E5118" w:rsidRDefault="009E5118" w:rsidP="009E5118">
            <w:pPr>
              <w:rPr>
                <w:rFonts w:ascii="Arial" w:hAnsi="Arial" w:cs="Arial"/>
                <w:bCs w:val="0"/>
                <w:color w:val="000000"/>
                <w:sz w:val="20"/>
                <w:lang w:eastAsia="en-GB"/>
              </w:rPr>
            </w:pPr>
            <w:r w:rsidRPr="009E5118">
              <w:rPr>
                <w:rFonts w:ascii="Arial" w:hAnsi="Arial" w:cs="Arial"/>
                <w:bCs w:val="0"/>
                <w:color w:val="000000"/>
                <w:sz w:val="20"/>
                <w:lang w:eastAsia="en-GB"/>
              </w:rPr>
              <w:t>Ministerstwo Spraw Zagranicznych</w:t>
            </w:r>
          </w:p>
        </w:tc>
      </w:tr>
      <w:tr w:rsidR="009E5118" w:rsidRPr="00306F2F" w14:paraId="37EFC00B" w14:textId="77777777" w:rsidTr="004F4086">
        <w:trPr>
          <w:trHeight w:val="624"/>
        </w:trPr>
        <w:tc>
          <w:tcPr>
            <w:tcW w:w="2635" w:type="dxa"/>
          </w:tcPr>
          <w:p w14:paraId="3B8806CF" w14:textId="0DCFECED" w:rsidR="009E5118" w:rsidRPr="009E5118" w:rsidRDefault="009E5118" w:rsidP="009E5118">
            <w:pPr>
              <w:jc w:val="both"/>
              <w:rPr>
                <w:rFonts w:ascii="Arial" w:eastAsia="Calibri" w:hAnsi="Arial" w:cs="Arial"/>
                <w:b/>
                <w:sz w:val="20"/>
                <w:lang w:eastAsia="en-GB"/>
              </w:rPr>
            </w:pPr>
            <w:r w:rsidRPr="009E5118">
              <w:rPr>
                <w:rFonts w:ascii="Arial" w:eastAsia="Calibri" w:hAnsi="Arial" w:cs="Arial"/>
                <w:b/>
                <w:sz w:val="20"/>
                <w:lang w:eastAsia="en-GB"/>
              </w:rPr>
              <w:t>ROUMANIE</w:t>
            </w:r>
          </w:p>
        </w:tc>
        <w:tc>
          <w:tcPr>
            <w:tcW w:w="6421" w:type="dxa"/>
            <w:tcMar>
              <w:top w:w="85" w:type="dxa"/>
              <w:bottom w:w="85" w:type="dxa"/>
            </w:tcMar>
          </w:tcPr>
          <w:p w14:paraId="6C79FB34" w14:textId="38935495" w:rsidR="009E5118" w:rsidRPr="009E5118" w:rsidRDefault="00512900" w:rsidP="009E5118">
            <w:pPr>
              <w:rPr>
                <w:rFonts w:ascii="Arial" w:hAnsi="Arial" w:cs="Arial"/>
                <w:b/>
                <w:color w:val="000000"/>
                <w:sz w:val="20"/>
                <w:lang w:eastAsia="en-GB"/>
              </w:rPr>
            </w:pPr>
            <w:r>
              <w:rPr>
                <w:rFonts w:ascii="Arial" w:hAnsi="Arial" w:cs="Arial"/>
                <w:b/>
                <w:color w:val="000000"/>
                <w:sz w:val="20"/>
                <w:lang w:eastAsia="en-GB"/>
              </w:rPr>
              <w:t>Mme</w:t>
            </w:r>
            <w:r w:rsidR="009E5118" w:rsidRPr="009E5118">
              <w:rPr>
                <w:rFonts w:ascii="Arial" w:hAnsi="Arial" w:cs="Arial"/>
                <w:b/>
                <w:color w:val="000000"/>
                <w:sz w:val="20"/>
                <w:lang w:eastAsia="en-GB"/>
              </w:rPr>
              <w:t xml:space="preserve"> Mirela PASCARU</w:t>
            </w:r>
          </w:p>
          <w:p w14:paraId="1EA6E916" w14:textId="77777777" w:rsidR="009E5118" w:rsidRPr="009E5118" w:rsidRDefault="009E5118" w:rsidP="009E5118">
            <w:pPr>
              <w:rPr>
                <w:rFonts w:ascii="Arial" w:hAnsi="Arial" w:cs="Arial"/>
                <w:bCs w:val="0"/>
                <w:color w:val="000000"/>
                <w:sz w:val="20"/>
                <w:lang w:eastAsia="en-GB"/>
              </w:rPr>
            </w:pPr>
            <w:r w:rsidRPr="009E5118">
              <w:rPr>
                <w:rFonts w:ascii="Arial" w:hAnsi="Arial" w:cs="Arial"/>
                <w:bCs w:val="0"/>
                <w:color w:val="000000"/>
                <w:sz w:val="20"/>
                <w:lang w:eastAsia="en-GB"/>
              </w:rPr>
              <w:t xml:space="preserve">Deputy director </w:t>
            </w:r>
          </w:p>
          <w:p w14:paraId="0448B9C0" w14:textId="77777777" w:rsidR="009E5118" w:rsidRPr="009E5118" w:rsidRDefault="009E5118" w:rsidP="009E5118">
            <w:pPr>
              <w:rPr>
                <w:rFonts w:ascii="Arial" w:hAnsi="Arial" w:cs="Arial"/>
                <w:bCs w:val="0"/>
                <w:color w:val="000000"/>
                <w:sz w:val="20"/>
                <w:lang w:eastAsia="en-GB"/>
              </w:rPr>
            </w:pPr>
            <w:r w:rsidRPr="009E5118">
              <w:rPr>
                <w:rFonts w:ascii="Arial" w:hAnsi="Arial" w:cs="Arial"/>
                <w:bCs w:val="0"/>
                <w:color w:val="000000"/>
                <w:sz w:val="20"/>
                <w:lang w:eastAsia="en-GB"/>
              </w:rPr>
              <w:t>International Law and EU Law Division</w:t>
            </w:r>
          </w:p>
          <w:p w14:paraId="750ABC89" w14:textId="77777777" w:rsidR="009E5118" w:rsidRPr="009E5118" w:rsidRDefault="009E5118" w:rsidP="009E5118">
            <w:pPr>
              <w:rPr>
                <w:rFonts w:ascii="Arial" w:eastAsia="Calibri" w:hAnsi="Arial" w:cs="Arial"/>
                <w:bCs w:val="0"/>
                <w:sz w:val="20"/>
                <w:lang w:val="en-US" w:eastAsia="en-GB"/>
              </w:rPr>
            </w:pPr>
            <w:r w:rsidRPr="009E5118">
              <w:rPr>
                <w:rFonts w:ascii="Arial" w:hAnsi="Arial" w:cs="Arial"/>
                <w:bCs w:val="0"/>
                <w:color w:val="000000"/>
                <w:sz w:val="20"/>
                <w:lang w:eastAsia="en-GB"/>
              </w:rPr>
              <w:t>Ministry of Foreign Affairs of Romania</w:t>
            </w:r>
            <w:r w:rsidRPr="009E5118">
              <w:rPr>
                <w:rFonts w:ascii="Arial" w:eastAsia="Calibri" w:hAnsi="Arial" w:cs="Arial"/>
                <w:bCs w:val="0"/>
                <w:sz w:val="20"/>
                <w:lang w:val="en-US" w:eastAsia="en-GB"/>
              </w:rPr>
              <w:t xml:space="preserve"> </w:t>
            </w:r>
          </w:p>
        </w:tc>
      </w:tr>
      <w:tr w:rsidR="009E5118" w:rsidRPr="00DF1F2A" w14:paraId="6FACA561" w14:textId="77777777" w:rsidTr="004F4086">
        <w:trPr>
          <w:trHeight w:val="624"/>
        </w:trPr>
        <w:tc>
          <w:tcPr>
            <w:tcW w:w="2635" w:type="dxa"/>
          </w:tcPr>
          <w:p w14:paraId="03A72B9C" w14:textId="49F40105" w:rsidR="009E5118" w:rsidRPr="009E5118" w:rsidRDefault="009E5118" w:rsidP="009E5118">
            <w:pPr>
              <w:jc w:val="both"/>
              <w:rPr>
                <w:rFonts w:ascii="Arial" w:eastAsia="Calibri" w:hAnsi="Arial" w:cs="Arial"/>
                <w:b/>
                <w:sz w:val="20"/>
                <w:lang w:val="fr-FR" w:eastAsia="en-GB"/>
              </w:rPr>
            </w:pPr>
            <w:r w:rsidRPr="009E5118">
              <w:rPr>
                <w:rFonts w:ascii="Arial" w:eastAsia="Calibri" w:hAnsi="Arial" w:cs="Arial"/>
                <w:b/>
                <w:sz w:val="20"/>
                <w:lang w:val="fr-FR" w:eastAsia="en-GB"/>
              </w:rPr>
              <w:t>FÉDÉRATION DE RUSSIE</w:t>
            </w:r>
          </w:p>
        </w:tc>
        <w:tc>
          <w:tcPr>
            <w:tcW w:w="6421" w:type="dxa"/>
            <w:tcMar>
              <w:top w:w="85" w:type="dxa"/>
              <w:bottom w:w="85" w:type="dxa"/>
            </w:tcMar>
          </w:tcPr>
          <w:p w14:paraId="3AC8D9C1" w14:textId="1EEE1DE2" w:rsidR="00516A54" w:rsidRPr="00516A54" w:rsidRDefault="00516A54" w:rsidP="00516A54">
            <w:pPr>
              <w:jc w:val="both"/>
              <w:rPr>
                <w:rFonts w:ascii="Arial" w:eastAsia="Calibri" w:hAnsi="Arial" w:cs="Arial"/>
                <w:b/>
                <w:sz w:val="20"/>
                <w:lang w:val="fr-FR" w:eastAsia="en-GB"/>
              </w:rPr>
            </w:pPr>
            <w:r w:rsidRPr="00516A54">
              <w:rPr>
                <w:rFonts w:ascii="Arial" w:eastAsia="Calibri" w:hAnsi="Arial" w:cs="Arial"/>
                <w:b/>
                <w:sz w:val="20"/>
                <w:lang w:val="fr-FR" w:eastAsia="en-GB"/>
              </w:rPr>
              <w:t>M. Roman SEDOV</w:t>
            </w:r>
          </w:p>
          <w:p w14:paraId="1D2DCA25" w14:textId="0F21A65A" w:rsidR="00516A54" w:rsidRDefault="00516A54" w:rsidP="00516A54">
            <w:pPr>
              <w:jc w:val="both"/>
              <w:rPr>
                <w:rFonts w:ascii="Arial" w:eastAsia="Calibri" w:hAnsi="Arial" w:cs="Arial"/>
                <w:bCs w:val="0"/>
                <w:sz w:val="20"/>
                <w:lang w:val="fr-FR" w:eastAsia="en-GB"/>
              </w:rPr>
            </w:pPr>
            <w:r w:rsidRPr="00516A54">
              <w:rPr>
                <w:rFonts w:ascii="Arial" w:eastAsia="Calibri" w:hAnsi="Arial" w:cs="Arial"/>
                <w:bCs w:val="0"/>
                <w:sz w:val="20"/>
                <w:lang w:val="fr-FR" w:eastAsia="en-GB"/>
              </w:rPr>
              <w:t xml:space="preserve">Représentant de l'appareil extérieur du Bureau du Procureur Général de la Fédération de Russie </w:t>
            </w:r>
          </w:p>
          <w:p w14:paraId="18F77A34" w14:textId="77777777" w:rsidR="00516A54" w:rsidRPr="00516A54" w:rsidRDefault="00516A54" w:rsidP="00516A54">
            <w:pPr>
              <w:jc w:val="both"/>
              <w:rPr>
                <w:rFonts w:ascii="Arial" w:eastAsia="Calibri" w:hAnsi="Arial" w:cs="Arial"/>
                <w:bCs w:val="0"/>
                <w:sz w:val="20"/>
                <w:lang w:val="fr-FR" w:eastAsia="en-GB"/>
              </w:rPr>
            </w:pPr>
          </w:p>
          <w:p w14:paraId="00B0B1C8" w14:textId="1F6109DE" w:rsidR="00516A54" w:rsidRPr="00516A54" w:rsidRDefault="00516A54" w:rsidP="00516A54">
            <w:pPr>
              <w:jc w:val="both"/>
              <w:rPr>
                <w:rFonts w:ascii="Arial" w:eastAsia="Calibri" w:hAnsi="Arial" w:cs="Arial"/>
                <w:b/>
                <w:sz w:val="20"/>
                <w:lang w:val="fr-FR" w:eastAsia="en-GB"/>
              </w:rPr>
            </w:pPr>
            <w:r w:rsidRPr="00516A54">
              <w:rPr>
                <w:rFonts w:ascii="Arial" w:eastAsia="Calibri" w:hAnsi="Arial" w:cs="Arial"/>
                <w:b/>
                <w:sz w:val="20"/>
                <w:lang w:val="fr-FR" w:eastAsia="en-GB"/>
              </w:rPr>
              <w:t>M. Alexander MOLCHANOV</w:t>
            </w:r>
          </w:p>
          <w:p w14:paraId="0D0C77B7" w14:textId="77777777" w:rsidR="00516A54" w:rsidRDefault="00516A54" w:rsidP="00516A54">
            <w:pPr>
              <w:jc w:val="both"/>
              <w:rPr>
                <w:rFonts w:ascii="Arial" w:eastAsia="Calibri" w:hAnsi="Arial" w:cs="Arial"/>
                <w:bCs w:val="0"/>
                <w:sz w:val="20"/>
                <w:lang w:val="fr-FR" w:eastAsia="en-GB"/>
              </w:rPr>
            </w:pPr>
            <w:r w:rsidRPr="00516A54">
              <w:rPr>
                <w:rFonts w:ascii="Arial" w:eastAsia="Calibri" w:hAnsi="Arial" w:cs="Arial"/>
                <w:bCs w:val="0"/>
                <w:sz w:val="20"/>
                <w:lang w:val="fr-FR" w:eastAsia="en-GB"/>
              </w:rPr>
              <w:t xml:space="preserve">Représentant de l'appareil extérieur du Bureau du Procureur Général de la Fédération de Russie </w:t>
            </w:r>
          </w:p>
          <w:p w14:paraId="631B8150" w14:textId="77777777" w:rsidR="00516A54" w:rsidRPr="00516A54" w:rsidRDefault="00516A54" w:rsidP="00516A54">
            <w:pPr>
              <w:jc w:val="both"/>
              <w:rPr>
                <w:rFonts w:ascii="Arial" w:eastAsia="Calibri" w:hAnsi="Arial" w:cs="Arial"/>
                <w:bCs w:val="0"/>
                <w:sz w:val="20"/>
                <w:lang w:val="fr-FR" w:eastAsia="en-GB"/>
              </w:rPr>
            </w:pPr>
          </w:p>
          <w:p w14:paraId="313CC1C4" w14:textId="77777777" w:rsidR="00516A54" w:rsidRPr="00516A54" w:rsidRDefault="00516A54" w:rsidP="00516A54">
            <w:pPr>
              <w:jc w:val="both"/>
              <w:rPr>
                <w:rFonts w:ascii="Arial" w:eastAsia="Calibri" w:hAnsi="Arial" w:cs="Arial"/>
                <w:b/>
                <w:sz w:val="20"/>
                <w:lang w:val="fr-FR" w:eastAsia="en-GB"/>
              </w:rPr>
            </w:pPr>
            <w:r w:rsidRPr="00516A54">
              <w:rPr>
                <w:rFonts w:ascii="Arial" w:eastAsia="Calibri" w:hAnsi="Arial" w:cs="Arial"/>
                <w:b/>
                <w:sz w:val="20"/>
                <w:lang w:val="fr-FR" w:eastAsia="en-GB"/>
              </w:rPr>
              <w:t>M. Konstantin KOSORUKOV</w:t>
            </w:r>
          </w:p>
          <w:p w14:paraId="36742CA0" w14:textId="467C11C3" w:rsidR="00516A54" w:rsidRDefault="00516A54" w:rsidP="00516A54">
            <w:pPr>
              <w:jc w:val="both"/>
              <w:rPr>
                <w:rFonts w:ascii="Arial" w:eastAsia="Calibri" w:hAnsi="Arial" w:cs="Arial"/>
                <w:bCs w:val="0"/>
                <w:sz w:val="20"/>
                <w:lang w:val="fr-FR" w:eastAsia="en-GB"/>
              </w:rPr>
            </w:pPr>
            <w:r w:rsidRPr="00516A54">
              <w:rPr>
                <w:rFonts w:ascii="Arial" w:eastAsia="Calibri" w:hAnsi="Arial" w:cs="Arial"/>
                <w:bCs w:val="0"/>
                <w:sz w:val="20"/>
                <w:lang w:val="fr-FR" w:eastAsia="en-GB"/>
              </w:rPr>
              <w:t>Adjoint au Représentant Permanent de la Fédération de Russie aupr</w:t>
            </w:r>
            <w:r>
              <w:rPr>
                <w:rFonts w:ascii="Arial" w:eastAsia="Calibri" w:hAnsi="Arial" w:cs="Arial"/>
                <w:bCs w:val="0"/>
                <w:sz w:val="20"/>
                <w:lang w:val="fr-FR" w:eastAsia="en-GB"/>
              </w:rPr>
              <w:t>è</w:t>
            </w:r>
            <w:r w:rsidRPr="00516A54">
              <w:rPr>
                <w:rFonts w:ascii="Arial" w:eastAsia="Calibri" w:hAnsi="Arial" w:cs="Arial"/>
                <w:bCs w:val="0"/>
                <w:sz w:val="20"/>
                <w:lang w:val="fr-FR" w:eastAsia="en-GB"/>
              </w:rPr>
              <w:t>s du Conseil de l' Europe</w:t>
            </w:r>
          </w:p>
          <w:p w14:paraId="2F8397AA" w14:textId="77777777" w:rsidR="00516A54" w:rsidRPr="00516A54" w:rsidRDefault="00516A54" w:rsidP="00516A54">
            <w:pPr>
              <w:jc w:val="both"/>
              <w:rPr>
                <w:rFonts w:ascii="Arial" w:eastAsia="Calibri" w:hAnsi="Arial" w:cs="Arial"/>
                <w:bCs w:val="0"/>
                <w:sz w:val="20"/>
                <w:lang w:val="fr-FR" w:eastAsia="en-GB"/>
              </w:rPr>
            </w:pPr>
          </w:p>
          <w:p w14:paraId="21E0D98F" w14:textId="0C69FC71" w:rsidR="00516A54" w:rsidRPr="00516A54" w:rsidRDefault="00516A54" w:rsidP="00516A54">
            <w:pPr>
              <w:jc w:val="both"/>
              <w:rPr>
                <w:rFonts w:ascii="Arial" w:eastAsia="Calibri" w:hAnsi="Arial" w:cs="Arial"/>
                <w:b/>
                <w:sz w:val="20"/>
                <w:lang w:val="en-US" w:eastAsia="en-GB"/>
              </w:rPr>
            </w:pPr>
            <w:r w:rsidRPr="00516A54">
              <w:rPr>
                <w:rFonts w:ascii="Arial" w:eastAsia="Calibri" w:hAnsi="Arial" w:cs="Arial"/>
                <w:b/>
                <w:sz w:val="20"/>
                <w:lang w:val="en-US" w:eastAsia="en-GB"/>
              </w:rPr>
              <w:t>M</w:t>
            </w:r>
            <w:r>
              <w:rPr>
                <w:rFonts w:ascii="Arial" w:eastAsia="Calibri" w:hAnsi="Arial" w:cs="Arial"/>
                <w:b/>
                <w:sz w:val="20"/>
                <w:lang w:val="en-US" w:eastAsia="en-GB"/>
              </w:rPr>
              <w:t>me</w:t>
            </w:r>
            <w:r w:rsidRPr="00516A54">
              <w:rPr>
                <w:rFonts w:ascii="Arial" w:eastAsia="Calibri" w:hAnsi="Arial" w:cs="Arial"/>
                <w:b/>
                <w:sz w:val="20"/>
                <w:lang w:val="en-US" w:eastAsia="en-GB"/>
              </w:rPr>
              <w:t xml:space="preserve"> Olga ZINCHENKO</w:t>
            </w:r>
          </w:p>
          <w:p w14:paraId="085F22D1" w14:textId="4C05909D" w:rsidR="00516A54" w:rsidRPr="00516A54" w:rsidRDefault="00516A54" w:rsidP="00516A54">
            <w:pPr>
              <w:jc w:val="both"/>
              <w:rPr>
                <w:rFonts w:ascii="Arial" w:eastAsia="Calibri" w:hAnsi="Arial" w:cs="Arial"/>
                <w:bCs w:val="0"/>
                <w:sz w:val="20"/>
                <w:lang w:eastAsia="en-GB"/>
              </w:rPr>
            </w:pPr>
            <w:r w:rsidRPr="00516A54">
              <w:rPr>
                <w:rFonts w:ascii="Arial" w:eastAsia="Calibri" w:hAnsi="Arial" w:cs="Arial"/>
                <w:bCs w:val="0"/>
                <w:sz w:val="20"/>
                <w:lang w:val="en-US" w:eastAsia="en-GB"/>
              </w:rPr>
              <w:t>Third Secretary of the Department for Humanitarian Cooperation and Human Rights of the Ministry of Foreign Affairs of the Russian Federation</w:t>
            </w:r>
            <w:r w:rsidRPr="00516A54">
              <w:rPr>
                <w:rFonts w:ascii="Arial" w:eastAsia="Calibri" w:hAnsi="Arial" w:cs="Arial"/>
                <w:bCs w:val="0"/>
                <w:sz w:val="20"/>
                <w:lang w:eastAsia="en-GB"/>
              </w:rPr>
              <w:t xml:space="preserve"> </w:t>
            </w:r>
          </w:p>
          <w:p w14:paraId="44C75D61" w14:textId="77777777" w:rsidR="00516A54" w:rsidRPr="00516A54" w:rsidRDefault="00516A54" w:rsidP="00516A54">
            <w:pPr>
              <w:jc w:val="both"/>
              <w:rPr>
                <w:rFonts w:ascii="Arial" w:eastAsia="Calibri" w:hAnsi="Arial" w:cs="Arial"/>
                <w:bCs w:val="0"/>
                <w:sz w:val="20"/>
                <w:lang w:eastAsia="en-GB"/>
              </w:rPr>
            </w:pPr>
          </w:p>
          <w:p w14:paraId="5EAB60C7" w14:textId="083273E2" w:rsidR="00DF1F2A" w:rsidRPr="00D86968" w:rsidRDefault="00516A54" w:rsidP="00516A54">
            <w:pPr>
              <w:rPr>
                <w:rFonts w:ascii="Arial" w:eastAsia="Calibri" w:hAnsi="Arial" w:cs="Arial"/>
                <w:bCs w:val="0"/>
                <w:sz w:val="20"/>
                <w:lang w:val="fr-FR" w:eastAsia="en-GB"/>
              </w:rPr>
            </w:pPr>
            <w:r w:rsidRPr="00516A54">
              <w:rPr>
                <w:rFonts w:ascii="Arial" w:eastAsia="Calibri" w:hAnsi="Arial" w:cs="Arial"/>
                <w:b/>
                <w:sz w:val="20"/>
                <w:lang w:val="fr-FR" w:eastAsia="en-GB"/>
              </w:rPr>
              <w:t>M. Vladislav ERMAKOV</w:t>
            </w:r>
            <w:r w:rsidRPr="00516A54">
              <w:rPr>
                <w:rFonts w:ascii="Arial" w:eastAsia="Calibri" w:hAnsi="Arial" w:cs="Arial"/>
                <w:bCs w:val="0"/>
                <w:sz w:val="20"/>
                <w:lang w:val="fr-FR" w:eastAsia="en-GB"/>
              </w:rPr>
              <w:br/>
              <w:t>Adjoint au Représentant Permanent de la Fédération de Russie aupr</w:t>
            </w:r>
            <w:r>
              <w:rPr>
                <w:rFonts w:ascii="Arial" w:eastAsia="Calibri" w:hAnsi="Arial" w:cs="Arial"/>
                <w:bCs w:val="0"/>
                <w:sz w:val="20"/>
                <w:lang w:val="fr-FR" w:eastAsia="en-GB"/>
              </w:rPr>
              <w:t>è</w:t>
            </w:r>
            <w:r w:rsidRPr="00516A54">
              <w:rPr>
                <w:rFonts w:ascii="Arial" w:eastAsia="Calibri" w:hAnsi="Arial" w:cs="Arial"/>
                <w:bCs w:val="0"/>
                <w:sz w:val="20"/>
                <w:lang w:val="fr-FR" w:eastAsia="en-GB"/>
              </w:rPr>
              <w:t>s du Conseil de l' Europe</w:t>
            </w:r>
          </w:p>
        </w:tc>
      </w:tr>
      <w:tr w:rsidR="009E5118" w:rsidRPr="00306F2F" w14:paraId="2A090C28" w14:textId="77777777" w:rsidTr="004F4086">
        <w:trPr>
          <w:trHeight w:val="624"/>
        </w:trPr>
        <w:tc>
          <w:tcPr>
            <w:tcW w:w="2635" w:type="dxa"/>
          </w:tcPr>
          <w:p w14:paraId="4D517A71" w14:textId="30D7FEFA" w:rsidR="009E5118" w:rsidRPr="009E5118" w:rsidRDefault="009E5118" w:rsidP="009E5118">
            <w:pPr>
              <w:jc w:val="both"/>
              <w:rPr>
                <w:rFonts w:ascii="Arial" w:eastAsia="Calibri" w:hAnsi="Arial" w:cs="Arial"/>
                <w:b/>
                <w:spacing w:val="-2"/>
                <w:sz w:val="20"/>
                <w:lang w:eastAsia="en-GB"/>
              </w:rPr>
            </w:pPr>
            <w:r w:rsidRPr="009E5118">
              <w:rPr>
                <w:rFonts w:ascii="Arial" w:eastAsia="Calibri" w:hAnsi="Arial" w:cs="Arial"/>
                <w:b/>
                <w:sz w:val="20"/>
                <w:lang w:eastAsia="en-GB"/>
              </w:rPr>
              <w:t>SERBIE</w:t>
            </w:r>
          </w:p>
        </w:tc>
        <w:tc>
          <w:tcPr>
            <w:tcW w:w="6421" w:type="dxa"/>
            <w:tcMar>
              <w:top w:w="85" w:type="dxa"/>
              <w:bottom w:w="85" w:type="dxa"/>
            </w:tcMar>
          </w:tcPr>
          <w:p w14:paraId="49D312CC" w14:textId="5FB1C5C4" w:rsidR="009E5118" w:rsidRPr="009E5118" w:rsidRDefault="00512900" w:rsidP="009E5118">
            <w:pPr>
              <w:rPr>
                <w:rFonts w:ascii="Arial" w:eastAsia="Calibri" w:hAnsi="Arial" w:cs="Arial"/>
                <w:b/>
                <w:sz w:val="20"/>
                <w:lang w:val="en-US" w:eastAsia="en-GB"/>
              </w:rPr>
            </w:pPr>
            <w:r>
              <w:rPr>
                <w:rFonts w:ascii="Arial" w:eastAsia="Calibri" w:hAnsi="Arial" w:cs="Arial"/>
                <w:b/>
                <w:sz w:val="20"/>
                <w:lang w:val="en-US" w:eastAsia="en-GB"/>
              </w:rPr>
              <w:t>M.</w:t>
            </w:r>
            <w:r w:rsidR="009E5118" w:rsidRPr="009E5118">
              <w:rPr>
                <w:rFonts w:ascii="Arial" w:eastAsia="Calibri" w:hAnsi="Arial" w:cs="Arial"/>
                <w:b/>
                <w:sz w:val="20"/>
                <w:lang w:val="en-US" w:eastAsia="en-GB"/>
              </w:rPr>
              <w:t xml:space="preserve"> Aleksandar V. GAJIĆ</w:t>
            </w:r>
          </w:p>
          <w:p w14:paraId="25D651B3" w14:textId="7367EF52" w:rsidR="009E5118" w:rsidRPr="009E5118" w:rsidRDefault="009E5118" w:rsidP="003539DC">
            <w:pPr>
              <w:rPr>
                <w:rFonts w:ascii="Arial" w:eastAsia="Calibri" w:hAnsi="Arial" w:cs="Arial"/>
                <w:bCs w:val="0"/>
                <w:sz w:val="20"/>
                <w:lang w:eastAsia="en-GB"/>
              </w:rPr>
            </w:pPr>
            <w:r w:rsidRPr="009E5118">
              <w:rPr>
                <w:rFonts w:ascii="Arial" w:eastAsia="Calibri" w:hAnsi="Arial" w:cs="Arial"/>
                <w:bCs w:val="0"/>
                <w:sz w:val="20"/>
                <w:lang w:val="en-US" w:eastAsia="en-GB"/>
              </w:rPr>
              <w:t>PhD, Chief Legal Advisor at the Ministry of Foreign Affairs and Professor at the Faculty of Law, University of Belgrade</w:t>
            </w:r>
          </w:p>
        </w:tc>
      </w:tr>
      <w:tr w:rsidR="009E5118" w:rsidRPr="00306F2F" w14:paraId="015D140B" w14:textId="77777777" w:rsidTr="004F4086">
        <w:trPr>
          <w:trHeight w:val="624"/>
        </w:trPr>
        <w:tc>
          <w:tcPr>
            <w:tcW w:w="2635" w:type="dxa"/>
          </w:tcPr>
          <w:p w14:paraId="382422FD" w14:textId="695D79CF" w:rsidR="009E5118" w:rsidRPr="009E5118" w:rsidRDefault="009E5118" w:rsidP="009E5118">
            <w:pPr>
              <w:jc w:val="both"/>
              <w:rPr>
                <w:rFonts w:ascii="Arial" w:eastAsia="Calibri" w:hAnsi="Arial" w:cs="Arial"/>
                <w:b/>
                <w:spacing w:val="-2"/>
                <w:sz w:val="20"/>
                <w:lang w:eastAsia="en-GB"/>
              </w:rPr>
            </w:pPr>
            <w:r w:rsidRPr="009E5118">
              <w:rPr>
                <w:rFonts w:ascii="Arial" w:eastAsia="Calibri" w:hAnsi="Arial" w:cs="Arial"/>
                <w:b/>
                <w:sz w:val="20"/>
                <w:lang w:eastAsia="en-GB"/>
              </w:rPr>
              <w:t>SLOVÉNIE</w:t>
            </w:r>
          </w:p>
        </w:tc>
        <w:tc>
          <w:tcPr>
            <w:tcW w:w="6421" w:type="dxa"/>
            <w:tcMar>
              <w:top w:w="85" w:type="dxa"/>
              <w:bottom w:w="85" w:type="dxa"/>
            </w:tcMar>
          </w:tcPr>
          <w:p w14:paraId="5D5F1030" w14:textId="0A727EA0" w:rsidR="009E5118" w:rsidRPr="009E5118" w:rsidRDefault="00512900" w:rsidP="009E5118">
            <w:pPr>
              <w:rPr>
                <w:rFonts w:ascii="Arial" w:eastAsia="Calibri" w:hAnsi="Arial" w:cs="Arial"/>
                <w:b/>
                <w:sz w:val="20"/>
                <w:lang w:val="en-US" w:eastAsia="en-GB"/>
              </w:rPr>
            </w:pPr>
            <w:r>
              <w:rPr>
                <w:rFonts w:ascii="Arial" w:eastAsia="Calibri" w:hAnsi="Arial" w:cs="Arial"/>
                <w:b/>
                <w:sz w:val="20"/>
                <w:lang w:val="en-US" w:eastAsia="en-GB"/>
              </w:rPr>
              <w:t>Mme</w:t>
            </w:r>
            <w:r w:rsidR="009E5118" w:rsidRPr="009E5118">
              <w:rPr>
                <w:rFonts w:ascii="Arial" w:eastAsia="Calibri" w:hAnsi="Arial" w:cs="Arial"/>
                <w:b/>
                <w:sz w:val="20"/>
                <w:lang w:val="en-US" w:eastAsia="en-GB"/>
              </w:rPr>
              <w:t xml:space="preserve"> Mateja ŠTRUMELJ PIŠKUR</w:t>
            </w:r>
          </w:p>
          <w:p w14:paraId="22FCD7D5" w14:textId="77777777" w:rsidR="009E5118" w:rsidRPr="009E5118" w:rsidRDefault="009E5118" w:rsidP="009E5118">
            <w:pPr>
              <w:rPr>
                <w:rFonts w:ascii="Arial" w:eastAsia="Calibri" w:hAnsi="Arial" w:cs="Arial"/>
                <w:bCs w:val="0"/>
                <w:sz w:val="20"/>
                <w:lang w:val="en-US" w:eastAsia="en-GB"/>
              </w:rPr>
            </w:pPr>
            <w:r w:rsidRPr="009E5118">
              <w:rPr>
                <w:rFonts w:ascii="Arial" w:eastAsia="Calibri" w:hAnsi="Arial" w:cs="Arial"/>
                <w:bCs w:val="0"/>
                <w:sz w:val="20"/>
                <w:lang w:val="en-US" w:eastAsia="en-GB"/>
              </w:rPr>
              <w:t>Head of the International Law Department</w:t>
            </w:r>
          </w:p>
          <w:p w14:paraId="58F0CA6A" w14:textId="77777777" w:rsidR="009E5118" w:rsidRPr="009E5118" w:rsidRDefault="009E5118" w:rsidP="009E5118">
            <w:pPr>
              <w:rPr>
                <w:rFonts w:ascii="Arial" w:eastAsia="Calibri" w:hAnsi="Arial" w:cs="Arial"/>
                <w:bCs w:val="0"/>
                <w:sz w:val="20"/>
                <w:lang w:eastAsia="en-GB"/>
              </w:rPr>
            </w:pPr>
            <w:r w:rsidRPr="009E5118">
              <w:rPr>
                <w:rFonts w:ascii="Arial" w:eastAsia="Calibri" w:hAnsi="Arial" w:cs="Arial"/>
                <w:bCs w:val="0"/>
                <w:sz w:val="20"/>
                <w:lang w:val="en-US" w:eastAsia="en-GB"/>
              </w:rPr>
              <w:t>Directorate for International Law and Protection of Interests, Ministry of Foreign Affairs</w:t>
            </w:r>
            <w:r w:rsidRPr="009E5118">
              <w:rPr>
                <w:rFonts w:ascii="Arial" w:eastAsia="Calibri" w:hAnsi="Arial" w:cs="Arial"/>
                <w:bCs w:val="0"/>
                <w:sz w:val="20"/>
                <w:lang w:eastAsia="en-GB"/>
              </w:rPr>
              <w:t xml:space="preserve"> </w:t>
            </w:r>
          </w:p>
          <w:p w14:paraId="28921BA7" w14:textId="77777777" w:rsidR="009E5118" w:rsidRPr="009E5118" w:rsidRDefault="009E5118" w:rsidP="009E5118">
            <w:pPr>
              <w:rPr>
                <w:rFonts w:ascii="Arial" w:eastAsia="Calibri" w:hAnsi="Arial" w:cs="Arial"/>
                <w:bCs w:val="0"/>
                <w:sz w:val="20"/>
                <w:lang w:eastAsia="en-GB"/>
              </w:rPr>
            </w:pPr>
          </w:p>
          <w:p w14:paraId="083B92AA" w14:textId="26E1832E" w:rsidR="009E5118" w:rsidRPr="009E5118" w:rsidRDefault="00512900" w:rsidP="009E5118">
            <w:pPr>
              <w:rPr>
                <w:rFonts w:eastAsia="Calibri"/>
                <w:bCs w:val="0"/>
                <w:sz w:val="20"/>
                <w:lang w:eastAsia="en-GB"/>
              </w:rPr>
            </w:pPr>
            <w:r>
              <w:rPr>
                <w:rFonts w:ascii="Arial" w:eastAsia="Calibri" w:hAnsi="Arial" w:cs="Arial"/>
                <w:b/>
                <w:sz w:val="20"/>
                <w:lang w:eastAsia="en-GB"/>
              </w:rPr>
              <w:t>Mme</w:t>
            </w:r>
            <w:r w:rsidR="009E5118" w:rsidRPr="009E5118">
              <w:rPr>
                <w:rFonts w:ascii="Arial" w:eastAsia="Calibri" w:hAnsi="Arial" w:cs="Arial"/>
                <w:b/>
                <w:sz w:val="20"/>
                <w:lang w:eastAsia="en-GB"/>
              </w:rPr>
              <w:t xml:space="preserve"> Jasna FURLANIČ</w:t>
            </w:r>
            <w:r w:rsidR="009E5118" w:rsidRPr="009E5118">
              <w:rPr>
                <w:rFonts w:eastAsia="Calibri"/>
                <w:bCs w:val="0"/>
                <w:sz w:val="20"/>
                <w:lang w:eastAsia="en-GB"/>
              </w:rPr>
              <w:t xml:space="preserve"> </w:t>
            </w:r>
          </w:p>
          <w:p w14:paraId="707631B0" w14:textId="77777777" w:rsidR="009E5118" w:rsidRPr="009E5118" w:rsidRDefault="009E5118" w:rsidP="009E5118">
            <w:pPr>
              <w:rPr>
                <w:rFonts w:eastAsia="Calibri"/>
                <w:bCs w:val="0"/>
                <w:lang w:val="en-US" w:eastAsia="en-GB"/>
              </w:rPr>
            </w:pPr>
            <w:r w:rsidRPr="009E5118">
              <w:rPr>
                <w:rFonts w:ascii="Arial" w:eastAsia="Calibri" w:hAnsi="Arial" w:cs="Arial"/>
                <w:bCs w:val="0"/>
                <w:sz w:val="20"/>
                <w:lang w:val="en-US" w:eastAsia="en-GB"/>
              </w:rPr>
              <w:t>Expert, International Law Department , Ministry of Foreign Affairs of the Republic of Slovenia</w:t>
            </w:r>
            <w:r w:rsidRPr="009E5118">
              <w:rPr>
                <w:rFonts w:eastAsia="Calibri"/>
                <w:bCs w:val="0"/>
                <w:lang w:val="en-US" w:eastAsia="en-GB"/>
              </w:rPr>
              <w:t xml:space="preserve"> </w:t>
            </w:r>
          </w:p>
        </w:tc>
      </w:tr>
      <w:tr w:rsidR="009E5118" w:rsidRPr="00306F2F" w14:paraId="26507C90" w14:textId="77777777" w:rsidTr="004F4086">
        <w:trPr>
          <w:trHeight w:val="624"/>
        </w:trPr>
        <w:tc>
          <w:tcPr>
            <w:tcW w:w="2635" w:type="dxa"/>
          </w:tcPr>
          <w:p w14:paraId="6AD69B12" w14:textId="4216F4DB" w:rsidR="009E5118" w:rsidRPr="009E5118" w:rsidRDefault="009E5118" w:rsidP="009E5118">
            <w:pPr>
              <w:rPr>
                <w:rFonts w:ascii="Arial" w:eastAsia="Calibri" w:hAnsi="Arial" w:cs="Arial"/>
                <w:b/>
                <w:sz w:val="20"/>
                <w:lang w:eastAsia="en-GB"/>
              </w:rPr>
            </w:pPr>
            <w:r w:rsidRPr="009E5118">
              <w:rPr>
                <w:rFonts w:ascii="Arial" w:eastAsia="Calibri" w:hAnsi="Arial" w:cs="Arial"/>
                <w:b/>
                <w:sz w:val="20"/>
                <w:lang w:eastAsia="en-GB"/>
              </w:rPr>
              <w:t>SUÈDE</w:t>
            </w:r>
          </w:p>
        </w:tc>
        <w:tc>
          <w:tcPr>
            <w:tcW w:w="6421" w:type="dxa"/>
            <w:tcMar>
              <w:top w:w="85" w:type="dxa"/>
              <w:bottom w:w="85" w:type="dxa"/>
            </w:tcMar>
          </w:tcPr>
          <w:p w14:paraId="460800C5" w14:textId="1C60AC6A" w:rsidR="009E5118" w:rsidRPr="009E5118" w:rsidRDefault="00512900" w:rsidP="009E5118">
            <w:pPr>
              <w:rPr>
                <w:rFonts w:ascii="Arial" w:eastAsia="Calibri" w:hAnsi="Arial" w:cs="Arial"/>
                <w:b/>
                <w:sz w:val="20"/>
                <w:lang w:val="en-US" w:eastAsia="sv-SE"/>
              </w:rPr>
            </w:pPr>
            <w:r>
              <w:rPr>
                <w:rFonts w:ascii="Arial" w:eastAsia="Calibri" w:hAnsi="Arial" w:cs="Arial"/>
                <w:b/>
                <w:sz w:val="20"/>
                <w:lang w:val="en-US" w:eastAsia="sv-SE"/>
              </w:rPr>
              <w:t>Mme</w:t>
            </w:r>
            <w:r w:rsidR="009E5118" w:rsidRPr="009E5118">
              <w:rPr>
                <w:rFonts w:ascii="Arial" w:eastAsia="Calibri" w:hAnsi="Arial" w:cs="Arial"/>
                <w:b/>
                <w:sz w:val="20"/>
                <w:lang w:val="en-US" w:eastAsia="sv-SE"/>
              </w:rPr>
              <w:t xml:space="preserve"> Helen Lindquist</w:t>
            </w:r>
          </w:p>
          <w:p w14:paraId="3C1254EB" w14:textId="77777777" w:rsidR="009E5118" w:rsidRPr="009E5118" w:rsidRDefault="009E5118" w:rsidP="009E5118">
            <w:pPr>
              <w:rPr>
                <w:rFonts w:ascii="Arial" w:eastAsia="Calibri" w:hAnsi="Arial" w:cs="Arial"/>
                <w:bCs w:val="0"/>
                <w:sz w:val="20"/>
                <w:lang w:eastAsia="en-GB"/>
              </w:rPr>
            </w:pPr>
            <w:r w:rsidRPr="009E5118">
              <w:rPr>
                <w:rFonts w:ascii="Arial" w:eastAsia="Calibri" w:hAnsi="Arial" w:cs="Arial"/>
                <w:bCs w:val="0"/>
                <w:sz w:val="20"/>
                <w:lang w:val="en-US" w:eastAsia="sv-SE"/>
              </w:rPr>
              <w:t>Deputy Director</w:t>
            </w:r>
            <w:r w:rsidRPr="009E5118">
              <w:rPr>
                <w:rFonts w:ascii="Arial" w:eastAsia="Calibri" w:hAnsi="Arial" w:cs="Arial"/>
                <w:bCs w:val="0"/>
                <w:sz w:val="20"/>
                <w:lang w:val="en-US" w:eastAsia="sv-SE"/>
              </w:rPr>
              <w:br/>
              <w:t>Ministry for Foreign Affairs</w:t>
            </w:r>
            <w:r w:rsidRPr="009E5118">
              <w:rPr>
                <w:rFonts w:ascii="Arial" w:eastAsia="Calibri" w:hAnsi="Arial" w:cs="Arial"/>
                <w:bCs w:val="0"/>
                <w:sz w:val="20"/>
                <w:lang w:val="en-US" w:eastAsia="sv-SE"/>
              </w:rPr>
              <w:br/>
              <w:t>Department for International Law, Human Rights and Treaty Law</w:t>
            </w:r>
          </w:p>
        </w:tc>
      </w:tr>
      <w:tr w:rsidR="009E5118" w:rsidRPr="009E5118" w14:paraId="425087B4" w14:textId="77777777" w:rsidTr="004F4086">
        <w:trPr>
          <w:trHeight w:val="624"/>
        </w:trPr>
        <w:tc>
          <w:tcPr>
            <w:tcW w:w="2635" w:type="dxa"/>
          </w:tcPr>
          <w:p w14:paraId="78C754D6" w14:textId="05BC5CAA" w:rsidR="009E5118" w:rsidRPr="009E5118" w:rsidRDefault="009E5118" w:rsidP="009E5118">
            <w:pPr>
              <w:jc w:val="both"/>
              <w:rPr>
                <w:rFonts w:ascii="Arial" w:eastAsia="Calibri" w:hAnsi="Arial" w:cs="Arial"/>
                <w:b/>
                <w:sz w:val="20"/>
                <w:lang w:eastAsia="en-GB"/>
              </w:rPr>
            </w:pPr>
            <w:r w:rsidRPr="009E5118">
              <w:rPr>
                <w:rFonts w:ascii="Arial" w:eastAsia="Calibri" w:hAnsi="Arial" w:cs="Arial"/>
                <w:b/>
                <w:sz w:val="20"/>
                <w:lang w:eastAsia="en-GB"/>
              </w:rPr>
              <w:t xml:space="preserve">SUISSE </w:t>
            </w:r>
            <w:r w:rsidRPr="009E5118">
              <w:rPr>
                <w:rFonts w:ascii="Arial" w:eastAsia="Calibri" w:hAnsi="Arial" w:cs="Arial"/>
                <w:bCs w:val="0"/>
                <w:sz w:val="20"/>
                <w:lang w:eastAsia="en-GB"/>
              </w:rPr>
              <w:t>(Présidence)</w:t>
            </w:r>
          </w:p>
        </w:tc>
        <w:tc>
          <w:tcPr>
            <w:tcW w:w="6421" w:type="dxa"/>
            <w:tcMar>
              <w:top w:w="85" w:type="dxa"/>
              <w:bottom w:w="85" w:type="dxa"/>
            </w:tcMar>
          </w:tcPr>
          <w:p w14:paraId="120E7C3F" w14:textId="77777777" w:rsidR="009E5118" w:rsidRPr="009E5118" w:rsidRDefault="009E5118" w:rsidP="009E5118">
            <w:pPr>
              <w:jc w:val="both"/>
              <w:rPr>
                <w:rFonts w:ascii="Arial" w:eastAsia="Calibri" w:hAnsi="Arial" w:cs="Arial"/>
                <w:bCs w:val="0"/>
                <w:sz w:val="20"/>
                <w:lang w:val="fr-CH" w:eastAsia="en-GB"/>
              </w:rPr>
            </w:pPr>
            <w:r w:rsidRPr="009E5118">
              <w:rPr>
                <w:rFonts w:ascii="Arial" w:eastAsia="Calibri" w:hAnsi="Arial" w:cs="Arial"/>
                <w:b/>
                <w:color w:val="000000"/>
                <w:sz w:val="20"/>
                <w:lang w:val="fr-CH" w:eastAsia="de-CH"/>
              </w:rPr>
              <w:t>M. Alain CHABLAIS</w:t>
            </w:r>
          </w:p>
          <w:p w14:paraId="50C142F2" w14:textId="77777777" w:rsidR="009E5118" w:rsidRPr="009E5118" w:rsidRDefault="009E5118" w:rsidP="009E5118">
            <w:pPr>
              <w:jc w:val="both"/>
              <w:rPr>
                <w:rFonts w:eastAsia="Calibri"/>
                <w:bCs w:val="0"/>
                <w:sz w:val="20"/>
                <w:lang w:val="fr-FR"/>
              </w:rPr>
            </w:pPr>
            <w:r w:rsidRPr="009E5118">
              <w:rPr>
                <w:rFonts w:ascii="Arial" w:eastAsia="Calibri" w:hAnsi="Arial" w:cs="Arial"/>
                <w:bCs w:val="0"/>
                <w:sz w:val="20"/>
                <w:lang w:val="fr-CH" w:eastAsia="en-GB"/>
              </w:rPr>
              <w:t>Dr. iur., Département fédéral de justice et police DFJP, Office fédéral de la justice OFJ, Agent du Gouvernement suisse devant la Cour européenne des droits de l’Homme</w:t>
            </w:r>
            <w:r w:rsidRPr="009E5118">
              <w:rPr>
                <w:rFonts w:eastAsia="Calibri"/>
                <w:bCs w:val="0"/>
                <w:sz w:val="20"/>
                <w:lang w:val="fr-FR"/>
              </w:rPr>
              <w:t xml:space="preserve"> </w:t>
            </w:r>
          </w:p>
          <w:p w14:paraId="21321163" w14:textId="77777777" w:rsidR="009E5118" w:rsidRPr="009E5118" w:rsidRDefault="009E5118" w:rsidP="009E5118">
            <w:pPr>
              <w:jc w:val="both"/>
              <w:rPr>
                <w:rFonts w:ascii="Arial" w:eastAsia="Calibri" w:hAnsi="Arial" w:cs="Arial"/>
                <w:bCs w:val="0"/>
                <w:sz w:val="20"/>
                <w:lang w:val="fr-CH" w:eastAsia="en-GB"/>
              </w:rPr>
            </w:pPr>
            <w:r w:rsidRPr="009E5118">
              <w:rPr>
                <w:rFonts w:ascii="Arial" w:eastAsia="Calibri" w:hAnsi="Arial" w:cs="Arial"/>
                <w:bCs w:val="0"/>
                <w:sz w:val="20"/>
                <w:lang w:val="fr-FR" w:eastAsia="en-GB"/>
              </w:rPr>
              <w:t xml:space="preserve"> </w:t>
            </w:r>
          </w:p>
          <w:p w14:paraId="18D1C3C8" w14:textId="1A9AB144" w:rsidR="009E5118" w:rsidRPr="009E5118" w:rsidRDefault="00512900" w:rsidP="009E5118">
            <w:pPr>
              <w:rPr>
                <w:rFonts w:ascii="Arial" w:eastAsia="Calibri" w:hAnsi="Arial" w:cs="Arial"/>
                <w:bCs w:val="0"/>
                <w:sz w:val="20"/>
                <w:lang w:val="de-CH" w:eastAsia="en-GB"/>
              </w:rPr>
            </w:pPr>
            <w:r>
              <w:rPr>
                <w:rFonts w:ascii="Arial" w:eastAsia="Calibri" w:hAnsi="Arial" w:cs="Arial"/>
                <w:b/>
                <w:color w:val="000000"/>
                <w:sz w:val="20"/>
                <w:lang w:val="fr-CH" w:eastAsia="de-CH"/>
              </w:rPr>
              <w:lastRenderedPageBreak/>
              <w:t>M.</w:t>
            </w:r>
            <w:r w:rsidR="009E5118" w:rsidRPr="009E5118">
              <w:rPr>
                <w:rFonts w:ascii="Arial" w:eastAsia="Calibri" w:hAnsi="Arial" w:cs="Arial"/>
                <w:b/>
                <w:color w:val="000000"/>
                <w:sz w:val="20"/>
                <w:lang w:val="fr-CH" w:eastAsia="de-CH"/>
              </w:rPr>
              <w:t xml:space="preserve"> Adrian SCHEIDEGGER</w:t>
            </w:r>
            <w:r w:rsidR="009E5118" w:rsidRPr="009E5118">
              <w:rPr>
                <w:rFonts w:ascii="Arial" w:eastAsia="Calibri" w:hAnsi="Arial" w:cs="Arial"/>
                <w:b/>
                <w:color w:val="000000"/>
                <w:sz w:val="20"/>
                <w:lang w:val="fr-CH" w:eastAsia="de-CH"/>
              </w:rPr>
              <w:br/>
            </w:r>
            <w:r w:rsidR="009E5118" w:rsidRPr="009E5118">
              <w:rPr>
                <w:rFonts w:ascii="Arial" w:eastAsia="Calibri" w:hAnsi="Arial" w:cs="Arial"/>
                <w:bCs w:val="0"/>
                <w:color w:val="000000"/>
                <w:sz w:val="20"/>
                <w:lang w:val="fr-CH" w:eastAsia="de-CH"/>
              </w:rPr>
              <w:t>Agent suppléant du Gouvernement suisse devant la Cour européenne des droits de l'Homme le CAT, le CEDR, le CEDAW et le CDE</w:t>
            </w:r>
            <w:r w:rsidR="009E5118" w:rsidRPr="009E5118">
              <w:rPr>
                <w:rFonts w:ascii="Arial" w:eastAsia="Calibri" w:hAnsi="Arial" w:cs="Arial"/>
                <w:bCs w:val="0"/>
                <w:color w:val="000000"/>
                <w:sz w:val="20"/>
                <w:lang w:val="fr-CH" w:eastAsia="de-CH"/>
              </w:rPr>
              <w:br/>
              <w:t>Représentation de la Suisse devant la Cour européenne des droits de l'Homme, le CAT, le CEDR, le CEDEF et le CDE</w:t>
            </w:r>
          </w:p>
        </w:tc>
      </w:tr>
      <w:tr w:rsidR="009E5118" w:rsidRPr="009E5118" w14:paraId="7D8E8F27" w14:textId="77777777" w:rsidTr="004F4086">
        <w:trPr>
          <w:trHeight w:val="47"/>
        </w:trPr>
        <w:tc>
          <w:tcPr>
            <w:tcW w:w="2635" w:type="dxa"/>
          </w:tcPr>
          <w:p w14:paraId="2672D923" w14:textId="263B96D6" w:rsidR="009E5118" w:rsidRPr="009E5118" w:rsidRDefault="009E5118" w:rsidP="009E5118">
            <w:pPr>
              <w:jc w:val="both"/>
              <w:rPr>
                <w:rFonts w:ascii="Arial" w:eastAsia="Calibri" w:hAnsi="Arial" w:cs="Arial"/>
                <w:b/>
                <w:sz w:val="20"/>
                <w:lang w:eastAsia="en-GB"/>
              </w:rPr>
            </w:pPr>
            <w:r w:rsidRPr="009E5118">
              <w:rPr>
                <w:rFonts w:ascii="Arial" w:eastAsia="Calibri" w:hAnsi="Arial" w:cs="Arial"/>
                <w:b/>
                <w:sz w:val="20"/>
                <w:lang w:eastAsia="en-GB"/>
              </w:rPr>
              <w:lastRenderedPageBreak/>
              <w:t>TURQUIE</w:t>
            </w:r>
          </w:p>
          <w:p w14:paraId="1F00D7E7" w14:textId="77777777" w:rsidR="009E5118" w:rsidRPr="009E5118" w:rsidRDefault="009E5118" w:rsidP="009E5118">
            <w:pPr>
              <w:tabs>
                <w:tab w:val="right" w:pos="9600"/>
              </w:tabs>
              <w:rPr>
                <w:rFonts w:ascii="Arial" w:eastAsia="Calibri" w:hAnsi="Arial" w:cs="Arial"/>
                <w:b/>
                <w:sz w:val="20"/>
                <w:lang w:eastAsia="en-GB"/>
              </w:rPr>
            </w:pPr>
          </w:p>
        </w:tc>
        <w:tc>
          <w:tcPr>
            <w:tcW w:w="6421" w:type="dxa"/>
            <w:tcMar>
              <w:top w:w="85" w:type="dxa"/>
              <w:bottom w:w="85" w:type="dxa"/>
            </w:tcMar>
          </w:tcPr>
          <w:p w14:paraId="7E6777A1" w14:textId="2D3126BF" w:rsidR="009E5118" w:rsidRPr="009E5118" w:rsidRDefault="00512900" w:rsidP="009E5118">
            <w:pPr>
              <w:rPr>
                <w:rFonts w:ascii="Arial" w:eastAsia="Calibri" w:hAnsi="Arial" w:cs="Arial"/>
                <w:b/>
                <w:color w:val="000000"/>
                <w:sz w:val="20"/>
                <w:lang w:val="fr-CH" w:eastAsia="de-CH"/>
              </w:rPr>
            </w:pPr>
            <w:r>
              <w:rPr>
                <w:rFonts w:ascii="Arial" w:eastAsia="Calibri" w:hAnsi="Arial" w:cs="Arial"/>
                <w:b/>
                <w:color w:val="000000"/>
                <w:sz w:val="20"/>
                <w:lang w:val="fr-CH" w:eastAsia="de-CH"/>
              </w:rPr>
              <w:t>Mme</w:t>
            </w:r>
            <w:r w:rsidR="009E5118" w:rsidRPr="009E5118">
              <w:rPr>
                <w:rFonts w:ascii="Arial" w:eastAsia="Calibri" w:hAnsi="Arial" w:cs="Arial"/>
                <w:b/>
                <w:color w:val="000000"/>
                <w:sz w:val="20"/>
                <w:lang w:val="fr-CH" w:eastAsia="de-CH"/>
              </w:rPr>
              <w:t xml:space="preserve"> Duygu ÇELIK </w:t>
            </w:r>
          </w:p>
          <w:p w14:paraId="62655CF6" w14:textId="77777777" w:rsidR="009E5118" w:rsidRPr="009E5118" w:rsidRDefault="009E5118" w:rsidP="009E5118">
            <w:pPr>
              <w:rPr>
                <w:rFonts w:ascii="Arial" w:eastAsia="Calibri" w:hAnsi="Arial" w:cs="Arial"/>
                <w:bCs w:val="0"/>
                <w:color w:val="000000"/>
                <w:sz w:val="20"/>
                <w:lang w:val="fr-CH" w:eastAsia="de-CH"/>
              </w:rPr>
            </w:pPr>
            <w:r w:rsidRPr="009E5118">
              <w:rPr>
                <w:rFonts w:ascii="Arial" w:eastAsia="Calibri" w:hAnsi="Arial" w:cs="Arial"/>
                <w:bCs w:val="0"/>
                <w:color w:val="000000"/>
                <w:sz w:val="20"/>
                <w:lang w:val="fr-CH" w:eastAsia="de-CH"/>
              </w:rPr>
              <w:t>Experte juridique</w:t>
            </w:r>
          </w:p>
          <w:p w14:paraId="65AC44C6" w14:textId="77777777" w:rsidR="009E5118" w:rsidRPr="009E5118" w:rsidRDefault="009E5118" w:rsidP="009E5118">
            <w:pPr>
              <w:rPr>
                <w:rFonts w:ascii="Arial" w:eastAsia="Calibri" w:hAnsi="Arial" w:cs="Arial"/>
                <w:bCs w:val="0"/>
                <w:color w:val="000000"/>
                <w:sz w:val="20"/>
                <w:lang w:val="fr-CH" w:eastAsia="de-CH"/>
              </w:rPr>
            </w:pPr>
            <w:r w:rsidRPr="009E5118">
              <w:rPr>
                <w:rFonts w:ascii="Arial" w:eastAsia="Calibri" w:hAnsi="Arial" w:cs="Arial"/>
                <w:bCs w:val="0"/>
                <w:color w:val="000000"/>
                <w:sz w:val="20"/>
                <w:lang w:val="fr-CH" w:eastAsia="de-CH"/>
              </w:rPr>
              <w:t xml:space="preserve">Ministère des Affaires Étrangères </w:t>
            </w:r>
          </w:p>
          <w:p w14:paraId="1CD73FFD" w14:textId="77777777" w:rsidR="009E5118" w:rsidRPr="009E5118" w:rsidRDefault="009E5118" w:rsidP="009E5118">
            <w:pPr>
              <w:rPr>
                <w:rFonts w:ascii="Arial" w:eastAsia="Calibri" w:hAnsi="Arial" w:cs="Arial"/>
                <w:bCs w:val="0"/>
                <w:sz w:val="20"/>
                <w:lang w:val="de-DE" w:eastAsia="sv-SE"/>
              </w:rPr>
            </w:pPr>
          </w:p>
          <w:p w14:paraId="08BEA182" w14:textId="3E4E7E6D" w:rsidR="009E5118" w:rsidRPr="009E5118" w:rsidRDefault="00512900" w:rsidP="009E5118">
            <w:pPr>
              <w:rPr>
                <w:rFonts w:ascii="Arial" w:eastAsia="Calibri" w:hAnsi="Arial" w:cs="Arial"/>
                <w:b/>
                <w:color w:val="000000"/>
                <w:sz w:val="20"/>
                <w:lang w:val="fr-CH" w:eastAsia="de-CH"/>
              </w:rPr>
            </w:pPr>
            <w:r>
              <w:rPr>
                <w:rFonts w:ascii="Arial" w:eastAsia="Calibri" w:hAnsi="Arial" w:cs="Arial"/>
                <w:b/>
                <w:color w:val="000000"/>
                <w:sz w:val="20"/>
                <w:lang w:val="fr-CH" w:eastAsia="de-CH"/>
              </w:rPr>
              <w:t>Mme</w:t>
            </w:r>
            <w:r w:rsidR="009E5118" w:rsidRPr="009E5118">
              <w:rPr>
                <w:rFonts w:ascii="Arial" w:eastAsia="Calibri" w:hAnsi="Arial" w:cs="Arial"/>
                <w:b/>
                <w:color w:val="000000"/>
                <w:sz w:val="20"/>
                <w:lang w:val="fr-CH" w:eastAsia="de-CH"/>
              </w:rPr>
              <w:t xml:space="preserve"> Ayşen EMÜLER</w:t>
            </w:r>
          </w:p>
          <w:p w14:paraId="1446AE7A" w14:textId="77777777" w:rsidR="009E5118" w:rsidRPr="009E5118" w:rsidRDefault="009E5118" w:rsidP="009E5118">
            <w:pPr>
              <w:rPr>
                <w:rFonts w:ascii="Arial" w:eastAsia="Calibri" w:hAnsi="Arial" w:cs="Arial"/>
                <w:bCs w:val="0"/>
                <w:color w:val="000000"/>
                <w:sz w:val="20"/>
                <w:lang w:val="fr-CH" w:eastAsia="de-CH"/>
              </w:rPr>
            </w:pPr>
            <w:r w:rsidRPr="009E5118">
              <w:rPr>
                <w:rFonts w:ascii="Arial" w:eastAsia="Calibri" w:hAnsi="Arial" w:cs="Arial"/>
                <w:bCs w:val="0"/>
                <w:color w:val="000000"/>
                <w:sz w:val="20"/>
                <w:lang w:val="fr-CH" w:eastAsia="de-CH"/>
              </w:rPr>
              <w:t>Experte juridique</w:t>
            </w:r>
          </w:p>
          <w:p w14:paraId="76A04546" w14:textId="77777777" w:rsidR="009E5118" w:rsidRPr="009E5118" w:rsidRDefault="009E5118" w:rsidP="009E5118">
            <w:pPr>
              <w:rPr>
                <w:rFonts w:ascii="Arial" w:eastAsia="Calibri" w:hAnsi="Arial" w:cs="Arial"/>
                <w:bCs w:val="0"/>
                <w:color w:val="000000"/>
                <w:sz w:val="20"/>
                <w:lang w:val="fr-CH" w:eastAsia="de-CH"/>
              </w:rPr>
            </w:pPr>
            <w:r w:rsidRPr="009E5118">
              <w:rPr>
                <w:rFonts w:ascii="Arial" w:eastAsia="Calibri" w:hAnsi="Arial" w:cs="Arial"/>
                <w:bCs w:val="0"/>
                <w:color w:val="000000"/>
                <w:sz w:val="20"/>
                <w:lang w:val="fr-CH" w:eastAsia="de-CH"/>
              </w:rPr>
              <w:t>Ministère des Affaires Étrangères</w:t>
            </w:r>
          </w:p>
        </w:tc>
      </w:tr>
      <w:tr w:rsidR="001A7718" w:rsidRPr="00306F2F" w14:paraId="1F27A1A2" w14:textId="77777777" w:rsidTr="004F4086">
        <w:trPr>
          <w:trHeight w:val="47"/>
        </w:trPr>
        <w:tc>
          <w:tcPr>
            <w:tcW w:w="2635" w:type="dxa"/>
          </w:tcPr>
          <w:p w14:paraId="75C78164" w14:textId="0A2A96DD" w:rsidR="001A7718" w:rsidRPr="009E5118" w:rsidRDefault="001A7718" w:rsidP="009E5118">
            <w:pPr>
              <w:jc w:val="both"/>
              <w:rPr>
                <w:rFonts w:ascii="Arial" w:eastAsia="Calibri" w:hAnsi="Arial" w:cs="Arial"/>
                <w:b/>
                <w:sz w:val="20"/>
                <w:lang w:eastAsia="en-GB"/>
              </w:rPr>
            </w:pPr>
            <w:r>
              <w:rPr>
                <w:rFonts w:ascii="Arial" w:eastAsia="Calibri" w:hAnsi="Arial" w:cs="Arial"/>
                <w:b/>
                <w:sz w:val="20"/>
                <w:lang w:eastAsia="en-GB"/>
              </w:rPr>
              <w:t>ROYAUME-UNI</w:t>
            </w:r>
          </w:p>
        </w:tc>
        <w:tc>
          <w:tcPr>
            <w:tcW w:w="6421" w:type="dxa"/>
            <w:tcMar>
              <w:top w:w="85" w:type="dxa"/>
              <w:bottom w:w="85" w:type="dxa"/>
            </w:tcMar>
          </w:tcPr>
          <w:p w14:paraId="27C84248" w14:textId="77777777" w:rsidR="001A7718" w:rsidRDefault="001A7718" w:rsidP="001A7718">
            <w:pPr>
              <w:spacing w:line="276" w:lineRule="auto"/>
              <w:rPr>
                <w:rFonts w:ascii="Arial" w:eastAsia="Calibri" w:hAnsi="Arial" w:cs="Arial"/>
                <w:b/>
                <w:color w:val="000000"/>
                <w:sz w:val="22"/>
                <w:szCs w:val="22"/>
                <w:lang w:eastAsia="de-CH"/>
              </w:rPr>
            </w:pPr>
            <w:r w:rsidRPr="001A7718">
              <w:rPr>
                <w:rFonts w:ascii="Arial" w:eastAsia="Calibri" w:hAnsi="Arial" w:cs="Arial"/>
                <w:b/>
                <w:color w:val="000000"/>
                <w:sz w:val="22"/>
                <w:szCs w:val="22"/>
                <w:lang w:eastAsia="de-CH"/>
              </w:rPr>
              <w:t>Mr James GAUGHAN</w:t>
            </w:r>
          </w:p>
          <w:p w14:paraId="01BBDD5B" w14:textId="48A39800" w:rsidR="001A7718" w:rsidRPr="001A7718" w:rsidRDefault="001A7718" w:rsidP="001A7718">
            <w:pPr>
              <w:spacing w:line="276" w:lineRule="auto"/>
              <w:rPr>
                <w:rFonts w:ascii="Arial" w:eastAsia="Calibri" w:hAnsi="Arial" w:cs="Arial"/>
                <w:b/>
                <w:color w:val="000000"/>
                <w:sz w:val="20"/>
                <w:lang w:val="de-DE" w:eastAsia="de-CH"/>
              </w:rPr>
            </w:pPr>
            <w:r w:rsidRPr="001A7718">
              <w:rPr>
                <w:rFonts w:ascii="Arial" w:eastAsia="Calibri" w:hAnsi="Arial" w:cs="Arial"/>
                <w:bCs w:val="0"/>
                <w:sz w:val="22"/>
                <w:szCs w:val="22"/>
                <w:lang w:val="de-DE" w:eastAsia="sv-SE"/>
              </w:rPr>
              <w:t>Legal Directorate, Foreign and Commonwealth Office</w:t>
            </w:r>
          </w:p>
        </w:tc>
      </w:tr>
    </w:tbl>
    <w:p w14:paraId="6116CDC4" w14:textId="38704451" w:rsidR="009E5118" w:rsidRPr="009E5118" w:rsidRDefault="009E5118" w:rsidP="009E5118">
      <w:pPr>
        <w:tabs>
          <w:tab w:val="right" w:pos="9600"/>
        </w:tabs>
        <w:spacing w:before="360" w:after="120" w:line="276" w:lineRule="auto"/>
        <w:rPr>
          <w:rFonts w:ascii="Arial" w:eastAsia="Calibri" w:hAnsi="Arial" w:cs="Arial"/>
          <w:i/>
          <w:iCs/>
          <w:sz w:val="20"/>
          <w:szCs w:val="20"/>
          <w:lang w:eastAsia="en-US"/>
        </w:rPr>
      </w:pPr>
      <w:r w:rsidRPr="009E5118">
        <w:rPr>
          <w:rFonts w:ascii="Arial" w:eastAsia="Calibri" w:hAnsi="Arial" w:cs="Arial"/>
          <w:b/>
          <w:bCs/>
          <w:sz w:val="20"/>
          <w:szCs w:val="20"/>
          <w:lang w:eastAsia="en-US"/>
        </w:rPr>
        <w:t>PARTICIPANTS</w:t>
      </w:r>
    </w:p>
    <w:tbl>
      <w:tblPr>
        <w:tblStyle w:val="Grilledutableau1"/>
        <w:tblW w:w="0" w:type="auto"/>
        <w:tblLook w:val="04A0" w:firstRow="1" w:lastRow="0" w:firstColumn="1" w:lastColumn="0" w:noHBand="0" w:noVBand="1"/>
      </w:tblPr>
      <w:tblGrid>
        <w:gridCol w:w="2633"/>
        <w:gridCol w:w="6423"/>
      </w:tblGrid>
      <w:tr w:rsidR="009E5118" w:rsidRPr="00306F2F" w14:paraId="1D1B8AE5" w14:textId="77777777" w:rsidTr="00306F2F">
        <w:trPr>
          <w:trHeight w:val="56"/>
        </w:trPr>
        <w:tc>
          <w:tcPr>
            <w:tcW w:w="2633" w:type="dxa"/>
          </w:tcPr>
          <w:p w14:paraId="42E0C91F" w14:textId="5716689B" w:rsidR="009E5118" w:rsidRPr="009E5118" w:rsidRDefault="009E5118" w:rsidP="009E5118">
            <w:pPr>
              <w:rPr>
                <w:rFonts w:ascii="Arial" w:eastAsia="Calibri" w:hAnsi="Arial" w:cs="Arial"/>
                <w:b/>
                <w:bCs w:val="0"/>
                <w:sz w:val="20"/>
                <w:lang w:val="fr-FR" w:eastAsia="en-GB"/>
              </w:rPr>
            </w:pPr>
            <w:r w:rsidRPr="009E5118">
              <w:rPr>
                <w:rFonts w:ascii="Arial" w:eastAsia="Calibri" w:hAnsi="Arial" w:cs="Arial"/>
                <w:b/>
                <w:bCs w:val="0"/>
                <w:sz w:val="20"/>
                <w:lang w:val="pt-PT" w:eastAsia="en-GB"/>
              </w:rPr>
              <w:t>Greffe de la Cour européenne des droits de l’homme</w:t>
            </w:r>
          </w:p>
        </w:tc>
        <w:tc>
          <w:tcPr>
            <w:tcW w:w="6423" w:type="dxa"/>
            <w:tcMar>
              <w:top w:w="85" w:type="dxa"/>
              <w:bottom w:w="85" w:type="dxa"/>
            </w:tcMar>
          </w:tcPr>
          <w:p w14:paraId="69CB3454" w14:textId="7F6722FE" w:rsidR="009E5118" w:rsidRPr="001A7718" w:rsidRDefault="00512900" w:rsidP="009E5118">
            <w:pPr>
              <w:rPr>
                <w:rFonts w:ascii="Arial" w:eastAsia="Calibri" w:hAnsi="Arial" w:cs="Arial"/>
                <w:b/>
                <w:sz w:val="20"/>
                <w:lang w:eastAsia="en-GB"/>
              </w:rPr>
            </w:pPr>
            <w:r w:rsidRPr="001A7718">
              <w:rPr>
                <w:rFonts w:ascii="Arial" w:eastAsia="Calibri" w:hAnsi="Arial" w:cs="Arial"/>
                <w:b/>
                <w:sz w:val="20"/>
                <w:lang w:eastAsia="en-GB"/>
              </w:rPr>
              <w:t>M.</w:t>
            </w:r>
            <w:r w:rsidR="009E5118" w:rsidRPr="001A7718">
              <w:rPr>
                <w:rFonts w:ascii="Arial" w:eastAsia="Calibri" w:hAnsi="Arial" w:cs="Arial"/>
                <w:b/>
                <w:sz w:val="20"/>
                <w:lang w:eastAsia="en-GB"/>
              </w:rPr>
              <w:t xml:space="preserve"> Anders MANSSON</w:t>
            </w:r>
          </w:p>
          <w:p w14:paraId="33A35C60" w14:textId="77777777" w:rsidR="009E5118" w:rsidRPr="009E5118" w:rsidRDefault="009E5118" w:rsidP="009E5118">
            <w:pPr>
              <w:rPr>
                <w:rFonts w:ascii="Arial" w:eastAsia="Calibri" w:hAnsi="Arial" w:cs="Arial"/>
                <w:b/>
                <w:sz w:val="20"/>
                <w:lang w:val="en-US" w:eastAsia="en-GB"/>
              </w:rPr>
            </w:pPr>
            <w:r w:rsidRPr="009E5118">
              <w:rPr>
                <w:rFonts w:ascii="Arial" w:eastAsia="Calibri" w:hAnsi="Arial" w:cs="Arial"/>
                <w:bCs w:val="0"/>
                <w:sz w:val="20"/>
                <w:lang w:val="pt-PT" w:eastAsia="en-GB"/>
              </w:rPr>
              <w:t>Registrar and Deputy Registrar</w:t>
            </w:r>
          </w:p>
        </w:tc>
      </w:tr>
      <w:tr w:rsidR="009E5118" w:rsidRPr="00306F2F" w14:paraId="193178D2" w14:textId="77777777" w:rsidTr="00306F2F">
        <w:trPr>
          <w:trHeight w:val="624"/>
        </w:trPr>
        <w:tc>
          <w:tcPr>
            <w:tcW w:w="2633" w:type="dxa"/>
          </w:tcPr>
          <w:p w14:paraId="344385A9" w14:textId="39046609" w:rsidR="009E5118" w:rsidRPr="009E5118" w:rsidRDefault="009E5118" w:rsidP="009E5118">
            <w:pPr>
              <w:rPr>
                <w:rFonts w:ascii="Arial" w:eastAsia="Calibri" w:hAnsi="Arial" w:cs="Arial"/>
                <w:b/>
                <w:sz w:val="20"/>
                <w:lang w:val="fr-FR" w:eastAsia="en-GB"/>
              </w:rPr>
            </w:pPr>
            <w:r w:rsidRPr="009E5118">
              <w:rPr>
                <w:rFonts w:ascii="Arial" w:eastAsia="Calibri" w:hAnsi="Arial" w:cs="Arial"/>
                <w:b/>
                <w:sz w:val="20"/>
                <w:lang w:val="fr-FR" w:eastAsia="en-GB"/>
              </w:rPr>
              <w:t>Secrétariat du Comité juridique et du droit international public (CAHDI)</w:t>
            </w:r>
          </w:p>
        </w:tc>
        <w:tc>
          <w:tcPr>
            <w:tcW w:w="6423" w:type="dxa"/>
            <w:tcMar>
              <w:top w:w="85" w:type="dxa"/>
              <w:bottom w:w="85" w:type="dxa"/>
            </w:tcMar>
          </w:tcPr>
          <w:p w14:paraId="1D6B74A5" w14:textId="0ED2C816" w:rsidR="009E5118" w:rsidRPr="009E5118" w:rsidRDefault="00512900" w:rsidP="009E5118">
            <w:pPr>
              <w:keepNext/>
              <w:rPr>
                <w:rFonts w:ascii="Arial" w:eastAsia="Calibri" w:hAnsi="Arial" w:cs="Arial"/>
                <w:b/>
                <w:sz w:val="20"/>
                <w:lang w:eastAsia="en-GB"/>
              </w:rPr>
            </w:pPr>
            <w:r>
              <w:rPr>
                <w:rFonts w:ascii="Arial" w:eastAsia="Calibri" w:hAnsi="Arial" w:cs="Arial"/>
                <w:b/>
                <w:sz w:val="20"/>
                <w:lang w:eastAsia="en-GB"/>
              </w:rPr>
              <w:t>Mme</w:t>
            </w:r>
            <w:r w:rsidR="009E5118" w:rsidRPr="009E5118">
              <w:rPr>
                <w:rFonts w:ascii="Arial" w:eastAsia="Calibri" w:hAnsi="Arial" w:cs="Arial"/>
                <w:b/>
                <w:sz w:val="20"/>
                <w:lang w:eastAsia="en-GB"/>
              </w:rPr>
              <w:t xml:space="preserve"> Irene SUOMINEN</w:t>
            </w:r>
          </w:p>
          <w:p w14:paraId="3E66A606" w14:textId="77777777" w:rsidR="009E5118" w:rsidRPr="009E5118" w:rsidRDefault="009E5118" w:rsidP="009E5118">
            <w:pPr>
              <w:keepNext/>
              <w:rPr>
                <w:rFonts w:ascii="Arial" w:eastAsia="Calibri" w:hAnsi="Arial" w:cs="Arial"/>
                <w:bCs w:val="0"/>
                <w:sz w:val="20"/>
                <w:lang w:eastAsia="en-GB"/>
              </w:rPr>
            </w:pPr>
            <w:r w:rsidRPr="009E5118">
              <w:rPr>
                <w:rFonts w:ascii="Arial" w:eastAsia="Calibri" w:hAnsi="Arial" w:cs="Arial"/>
                <w:bCs w:val="0"/>
                <w:sz w:val="20"/>
                <w:lang w:eastAsia="en-GB"/>
              </w:rPr>
              <w:t xml:space="preserve">Legal Advisor </w:t>
            </w:r>
          </w:p>
          <w:p w14:paraId="02FC03FB" w14:textId="77777777" w:rsidR="009E5118" w:rsidRPr="009E5118" w:rsidRDefault="009E5118" w:rsidP="009E5118">
            <w:pPr>
              <w:keepNext/>
              <w:rPr>
                <w:rFonts w:ascii="Arial" w:eastAsia="Calibri" w:hAnsi="Arial" w:cs="Arial"/>
                <w:b/>
                <w:sz w:val="20"/>
                <w:lang w:eastAsia="en-GB"/>
              </w:rPr>
            </w:pPr>
            <w:r w:rsidRPr="009E5118">
              <w:rPr>
                <w:rFonts w:ascii="Arial" w:eastAsia="Calibri" w:hAnsi="Arial" w:cs="Arial"/>
                <w:bCs w:val="0"/>
                <w:sz w:val="20"/>
                <w:lang w:eastAsia="en-GB"/>
              </w:rPr>
              <w:t xml:space="preserve">Legal Advice and Litigation Department </w:t>
            </w:r>
          </w:p>
        </w:tc>
      </w:tr>
      <w:tr w:rsidR="009E5118" w:rsidRPr="009E5118" w14:paraId="0E15104A" w14:textId="77777777" w:rsidTr="00306F2F">
        <w:trPr>
          <w:trHeight w:val="624"/>
        </w:trPr>
        <w:tc>
          <w:tcPr>
            <w:tcW w:w="2633" w:type="dxa"/>
          </w:tcPr>
          <w:p w14:paraId="19F4D275" w14:textId="78CB3172" w:rsidR="009E5118" w:rsidRPr="009E5118" w:rsidRDefault="009E5118" w:rsidP="009E5118">
            <w:pPr>
              <w:rPr>
                <w:rFonts w:ascii="Arial" w:eastAsia="Calibri" w:hAnsi="Arial" w:cs="Arial"/>
                <w:b/>
                <w:sz w:val="20"/>
                <w:lang w:val="fr-FR" w:eastAsia="en-GB"/>
              </w:rPr>
            </w:pPr>
            <w:r w:rsidRPr="009E5118">
              <w:rPr>
                <w:rFonts w:ascii="Arial" w:eastAsia="Calibri" w:hAnsi="Arial" w:cs="Arial"/>
                <w:b/>
                <w:sz w:val="20"/>
                <w:lang w:val="fr-FR" w:eastAsia="en-GB"/>
              </w:rPr>
              <w:t>Conférence des OING du Conseil de l’Europe</w:t>
            </w:r>
          </w:p>
          <w:p w14:paraId="603A8587" w14:textId="77777777" w:rsidR="009E5118" w:rsidRPr="009E5118" w:rsidRDefault="009E5118" w:rsidP="009E5118">
            <w:pPr>
              <w:rPr>
                <w:rFonts w:ascii="Arial" w:eastAsia="Calibri" w:hAnsi="Arial" w:cs="Arial"/>
                <w:b/>
                <w:sz w:val="20"/>
                <w:lang w:val="fr-FR" w:eastAsia="en-GB"/>
              </w:rPr>
            </w:pPr>
          </w:p>
        </w:tc>
        <w:tc>
          <w:tcPr>
            <w:tcW w:w="6423" w:type="dxa"/>
            <w:tcMar>
              <w:top w:w="85" w:type="dxa"/>
              <w:bottom w:w="85" w:type="dxa"/>
            </w:tcMar>
          </w:tcPr>
          <w:p w14:paraId="402180A2" w14:textId="1934121C" w:rsidR="009E5118" w:rsidRPr="009E5118" w:rsidRDefault="00512900" w:rsidP="009E5118">
            <w:pPr>
              <w:keepNext/>
              <w:rPr>
                <w:rFonts w:ascii="Arial" w:eastAsia="Calibri" w:hAnsi="Arial" w:cs="Arial"/>
                <w:bCs w:val="0"/>
                <w:sz w:val="20"/>
                <w:lang w:eastAsia="en-GB"/>
              </w:rPr>
            </w:pPr>
            <w:r>
              <w:rPr>
                <w:rFonts w:ascii="Arial" w:eastAsia="Calibri" w:hAnsi="Arial" w:cs="Arial"/>
                <w:b/>
                <w:sz w:val="20"/>
                <w:lang w:eastAsia="en-GB"/>
              </w:rPr>
              <w:t>M.</w:t>
            </w:r>
            <w:r w:rsidR="009E5118" w:rsidRPr="009E5118">
              <w:rPr>
                <w:rFonts w:ascii="Arial" w:eastAsia="Calibri" w:hAnsi="Arial" w:cs="Arial"/>
                <w:b/>
                <w:sz w:val="20"/>
                <w:lang w:eastAsia="en-GB"/>
              </w:rPr>
              <w:t xml:space="preserve"> Jeremy McBride</w:t>
            </w:r>
          </w:p>
          <w:p w14:paraId="6050929A" w14:textId="77777777" w:rsidR="009E5118" w:rsidRPr="009E5118" w:rsidRDefault="009E5118" w:rsidP="009E5118">
            <w:pPr>
              <w:keepNext/>
              <w:rPr>
                <w:rFonts w:ascii="Arial" w:eastAsia="Calibri" w:hAnsi="Arial" w:cs="Arial"/>
                <w:bCs w:val="0"/>
                <w:sz w:val="20"/>
                <w:lang w:eastAsia="en-GB"/>
              </w:rPr>
            </w:pPr>
          </w:p>
        </w:tc>
      </w:tr>
    </w:tbl>
    <w:p w14:paraId="5B4104C4" w14:textId="45CCC6A4" w:rsidR="009E5118" w:rsidRPr="009E5118" w:rsidRDefault="009E5118" w:rsidP="00171980">
      <w:pPr>
        <w:tabs>
          <w:tab w:val="right" w:pos="9600"/>
        </w:tabs>
        <w:spacing w:before="360" w:after="120" w:line="276" w:lineRule="auto"/>
        <w:rPr>
          <w:rFonts w:ascii="Arial" w:eastAsia="Calibri" w:hAnsi="Arial" w:cs="Arial"/>
          <w:b/>
          <w:bCs/>
          <w:sz w:val="20"/>
          <w:szCs w:val="20"/>
          <w:lang w:val="en-GB" w:eastAsia="en-US"/>
        </w:rPr>
      </w:pPr>
      <w:r w:rsidRPr="009E5118">
        <w:rPr>
          <w:rFonts w:ascii="Arial" w:eastAsia="Calibri" w:hAnsi="Arial" w:cs="Arial"/>
          <w:b/>
          <w:bCs/>
          <w:sz w:val="20"/>
          <w:szCs w:val="20"/>
          <w:lang w:val="en-GB" w:eastAsia="en-US"/>
        </w:rPr>
        <w:t>OBSERVATEURS</w:t>
      </w:r>
    </w:p>
    <w:tbl>
      <w:tblPr>
        <w:tblStyle w:val="Grilledutableau1"/>
        <w:tblW w:w="0" w:type="auto"/>
        <w:tblLook w:val="04A0" w:firstRow="1" w:lastRow="0" w:firstColumn="1" w:lastColumn="0" w:noHBand="0" w:noVBand="1"/>
      </w:tblPr>
      <w:tblGrid>
        <w:gridCol w:w="2615"/>
        <w:gridCol w:w="6441"/>
      </w:tblGrid>
      <w:tr w:rsidR="009E5118" w:rsidRPr="009E5118" w14:paraId="7C15139D" w14:textId="77777777" w:rsidTr="00171980">
        <w:trPr>
          <w:trHeight w:val="192"/>
        </w:trPr>
        <w:tc>
          <w:tcPr>
            <w:tcW w:w="2689" w:type="dxa"/>
          </w:tcPr>
          <w:p w14:paraId="60AD273A" w14:textId="0D74DED0" w:rsidR="009E5118" w:rsidRPr="009E5118" w:rsidRDefault="009E5118" w:rsidP="00171980">
            <w:pPr>
              <w:rPr>
                <w:rFonts w:ascii="Arial" w:eastAsia="Calibri" w:hAnsi="Arial" w:cs="Arial"/>
                <w:bCs w:val="0"/>
                <w:i/>
                <w:iCs/>
                <w:sz w:val="20"/>
                <w:lang w:eastAsia="en-GB"/>
              </w:rPr>
            </w:pPr>
            <w:r w:rsidRPr="009E5118">
              <w:rPr>
                <w:rFonts w:ascii="Arial" w:eastAsia="Calibri" w:hAnsi="Arial" w:cs="Arial"/>
                <w:b/>
                <w:bCs w:val="0"/>
                <w:sz w:val="20"/>
                <w:lang w:eastAsia="en-GB"/>
              </w:rPr>
              <w:t xml:space="preserve">SAINT-SIÈGE </w:t>
            </w:r>
          </w:p>
        </w:tc>
        <w:tc>
          <w:tcPr>
            <w:tcW w:w="6661" w:type="dxa"/>
          </w:tcPr>
          <w:p w14:paraId="6DC6BB87" w14:textId="51EF4165" w:rsidR="009E5118" w:rsidRPr="009E5118" w:rsidRDefault="00512900" w:rsidP="009E5118">
            <w:pPr>
              <w:rPr>
                <w:rFonts w:ascii="Arial" w:eastAsia="Calibri" w:hAnsi="Arial" w:cs="Arial"/>
                <w:bCs w:val="0"/>
                <w:sz w:val="20"/>
                <w:lang w:eastAsia="en-GB"/>
              </w:rPr>
            </w:pPr>
            <w:r>
              <w:rPr>
                <w:rFonts w:ascii="Arial" w:eastAsia="Calibri" w:hAnsi="Arial" w:cs="Arial"/>
                <w:b/>
                <w:sz w:val="20"/>
                <w:lang w:val="en-US" w:eastAsia="en-GB"/>
              </w:rPr>
              <w:t>M.</w:t>
            </w:r>
            <w:r w:rsidR="009E5118" w:rsidRPr="009E5118">
              <w:rPr>
                <w:rFonts w:ascii="Arial" w:eastAsia="Calibri" w:hAnsi="Arial" w:cs="Arial"/>
                <w:b/>
                <w:sz w:val="20"/>
                <w:lang w:val="en-US" w:eastAsia="en-GB"/>
              </w:rPr>
              <w:t xml:space="preserve"> Grégor PUPPINCK</w:t>
            </w:r>
          </w:p>
        </w:tc>
      </w:tr>
    </w:tbl>
    <w:p w14:paraId="4F9E6BB0" w14:textId="3A2F7CAF" w:rsidR="009E5118" w:rsidRPr="009E5118" w:rsidRDefault="009E5118" w:rsidP="00171980">
      <w:pPr>
        <w:tabs>
          <w:tab w:val="right" w:pos="9600"/>
        </w:tabs>
        <w:spacing w:before="360" w:after="120" w:line="276" w:lineRule="auto"/>
        <w:rPr>
          <w:rFonts w:ascii="Arial" w:eastAsia="Calibri" w:hAnsi="Arial" w:cs="Arial"/>
          <w:b/>
          <w:bCs/>
          <w:sz w:val="20"/>
          <w:szCs w:val="20"/>
          <w:lang w:val="en-GB" w:eastAsia="en-US"/>
        </w:rPr>
      </w:pPr>
      <w:r w:rsidRPr="009E5118">
        <w:rPr>
          <w:rFonts w:ascii="Arial" w:eastAsia="Calibri" w:hAnsi="Arial" w:cs="Arial"/>
          <w:b/>
          <w:bCs/>
          <w:sz w:val="20"/>
          <w:szCs w:val="20"/>
          <w:lang w:val="en-GB" w:eastAsia="en-US"/>
        </w:rPr>
        <w:t>SECRÉTARIAT</w:t>
      </w:r>
    </w:p>
    <w:tbl>
      <w:tblPr>
        <w:tblStyle w:val="Grilledutableau1"/>
        <w:tblW w:w="0" w:type="auto"/>
        <w:tblLook w:val="04A0" w:firstRow="1" w:lastRow="0" w:firstColumn="1" w:lastColumn="0" w:noHBand="0" w:noVBand="1"/>
      </w:tblPr>
      <w:tblGrid>
        <w:gridCol w:w="2620"/>
        <w:gridCol w:w="6436"/>
      </w:tblGrid>
      <w:tr w:rsidR="009E5118" w:rsidRPr="00306F2F" w14:paraId="57B3A5A7" w14:textId="77777777" w:rsidTr="00E46CFB">
        <w:trPr>
          <w:trHeight w:val="624"/>
        </w:trPr>
        <w:tc>
          <w:tcPr>
            <w:tcW w:w="2689" w:type="dxa"/>
          </w:tcPr>
          <w:p w14:paraId="3F7EC407" w14:textId="77777777" w:rsidR="009E5118" w:rsidRPr="009E5118" w:rsidRDefault="009E5118" w:rsidP="00171980">
            <w:pPr>
              <w:tabs>
                <w:tab w:val="left" w:pos="-720"/>
              </w:tabs>
              <w:suppressAutoHyphens/>
              <w:ind w:right="48"/>
              <w:rPr>
                <w:rFonts w:ascii="Arial" w:eastAsia="Calibri" w:hAnsi="Arial" w:cs="Arial"/>
                <w:b/>
                <w:bCs w:val="0"/>
                <w:spacing w:val="-2"/>
                <w:sz w:val="20"/>
                <w:lang w:val="fr-FR" w:eastAsia="en-GB"/>
              </w:rPr>
            </w:pPr>
            <w:r w:rsidRPr="009E5118">
              <w:rPr>
                <w:rFonts w:ascii="Arial" w:eastAsia="Calibri" w:hAnsi="Arial" w:cs="Arial"/>
                <w:b/>
                <w:bCs w:val="0"/>
                <w:spacing w:val="-2"/>
                <w:sz w:val="20"/>
                <w:lang w:val="fr-FR" w:eastAsia="en-GB"/>
              </w:rPr>
              <w:t>DGI – Droits de l’homme et État de droit</w:t>
            </w:r>
          </w:p>
          <w:p w14:paraId="7D3319DB" w14:textId="77777777" w:rsidR="009E5118" w:rsidRPr="009E5118" w:rsidRDefault="009E5118" w:rsidP="00171980">
            <w:pPr>
              <w:tabs>
                <w:tab w:val="left" w:pos="-720"/>
              </w:tabs>
              <w:suppressAutoHyphens/>
              <w:ind w:right="48"/>
              <w:rPr>
                <w:rFonts w:ascii="Arial" w:eastAsia="Calibri" w:hAnsi="Arial" w:cs="Arial"/>
                <w:b/>
                <w:bCs w:val="0"/>
                <w:spacing w:val="-2"/>
                <w:sz w:val="20"/>
                <w:lang w:val="fr-FR" w:eastAsia="en-GB"/>
              </w:rPr>
            </w:pPr>
            <w:r w:rsidRPr="009E5118">
              <w:rPr>
                <w:rFonts w:ascii="Arial" w:eastAsia="Calibri" w:hAnsi="Arial" w:cs="Arial"/>
                <w:b/>
                <w:bCs w:val="0"/>
                <w:spacing w:val="-2"/>
                <w:sz w:val="20"/>
                <w:lang w:val="fr-FR" w:eastAsia="en-GB"/>
              </w:rPr>
              <w:t>Conseil de l’Europe</w:t>
            </w:r>
          </w:p>
          <w:p w14:paraId="2C73D42E" w14:textId="77777777" w:rsidR="009E5118" w:rsidRPr="009E5118" w:rsidRDefault="009E5118" w:rsidP="00171980">
            <w:pPr>
              <w:tabs>
                <w:tab w:val="left" w:pos="-720"/>
              </w:tabs>
              <w:suppressAutoHyphens/>
              <w:ind w:right="48"/>
              <w:rPr>
                <w:rFonts w:ascii="Arial" w:eastAsia="Calibri" w:hAnsi="Arial" w:cs="Arial"/>
                <w:bCs w:val="0"/>
                <w:sz w:val="20"/>
                <w:lang w:val="fr-FR" w:eastAsia="en-GB"/>
              </w:rPr>
            </w:pPr>
            <w:r w:rsidRPr="009E5118">
              <w:rPr>
                <w:rFonts w:ascii="Arial" w:eastAsia="Calibri" w:hAnsi="Arial" w:cs="Arial"/>
                <w:b/>
                <w:bCs w:val="0"/>
                <w:spacing w:val="-2"/>
                <w:sz w:val="20"/>
                <w:lang w:val="fr-FR" w:eastAsia="en-GB"/>
              </w:rPr>
              <w:t>F-67075 Strasbourg Cedex</w:t>
            </w:r>
          </w:p>
        </w:tc>
        <w:tc>
          <w:tcPr>
            <w:tcW w:w="6661" w:type="dxa"/>
          </w:tcPr>
          <w:p w14:paraId="729FB8A8" w14:textId="150EAB1D" w:rsidR="009E5118" w:rsidRPr="001A7718" w:rsidRDefault="00512900" w:rsidP="009E5118">
            <w:pPr>
              <w:tabs>
                <w:tab w:val="left" w:pos="-720"/>
              </w:tabs>
              <w:suppressAutoHyphens/>
              <w:ind w:right="63"/>
              <w:jc w:val="both"/>
              <w:rPr>
                <w:rFonts w:ascii="Arial" w:eastAsia="Calibri" w:hAnsi="Arial" w:cs="Arial"/>
                <w:b/>
                <w:spacing w:val="-2"/>
                <w:sz w:val="20"/>
                <w:lang w:val="fr-FR" w:eastAsia="en-GB"/>
              </w:rPr>
            </w:pPr>
            <w:r w:rsidRPr="001A7718">
              <w:rPr>
                <w:rFonts w:ascii="Arial" w:eastAsia="Calibri" w:hAnsi="Arial" w:cs="Arial"/>
                <w:b/>
                <w:spacing w:val="-2"/>
                <w:sz w:val="20"/>
                <w:lang w:val="fr-FR" w:eastAsia="en-GB"/>
              </w:rPr>
              <w:t>M.</w:t>
            </w:r>
            <w:r w:rsidR="009E5118" w:rsidRPr="001A7718">
              <w:rPr>
                <w:rFonts w:ascii="Arial" w:eastAsia="Calibri" w:hAnsi="Arial" w:cs="Arial"/>
                <w:b/>
                <w:spacing w:val="-2"/>
                <w:sz w:val="20"/>
                <w:lang w:val="fr-FR" w:eastAsia="en-GB"/>
              </w:rPr>
              <w:t xml:space="preserve"> Daniele CANGEMI </w:t>
            </w:r>
          </w:p>
          <w:p w14:paraId="747BFDF6" w14:textId="4ACF1B11" w:rsidR="009E5118" w:rsidRPr="009E5118" w:rsidRDefault="009E5118" w:rsidP="009E5118">
            <w:pPr>
              <w:tabs>
                <w:tab w:val="left" w:pos="-720"/>
              </w:tabs>
              <w:suppressAutoHyphens/>
              <w:ind w:right="63"/>
              <w:jc w:val="both"/>
              <w:rPr>
                <w:rFonts w:ascii="Arial" w:eastAsia="Calibri" w:hAnsi="Arial" w:cs="Arial"/>
                <w:bCs w:val="0"/>
                <w:spacing w:val="-2"/>
                <w:sz w:val="20"/>
                <w:lang w:val="fr-FR" w:eastAsia="en-GB"/>
              </w:rPr>
            </w:pPr>
            <w:r w:rsidRPr="009E5118">
              <w:rPr>
                <w:rFonts w:ascii="Arial" w:eastAsia="Calibri" w:hAnsi="Arial" w:cs="Arial"/>
                <w:bCs w:val="0"/>
                <w:spacing w:val="-2"/>
                <w:sz w:val="20"/>
                <w:lang w:val="fr-FR" w:eastAsia="en-GB"/>
              </w:rPr>
              <w:t>Chef de Service</w:t>
            </w:r>
          </w:p>
          <w:p w14:paraId="53CACD2A" w14:textId="064E3EAF" w:rsidR="009E5118" w:rsidRPr="009E5118" w:rsidRDefault="009E5118" w:rsidP="009E5118">
            <w:pPr>
              <w:tabs>
                <w:tab w:val="left" w:pos="-720"/>
              </w:tabs>
              <w:suppressAutoHyphens/>
              <w:ind w:right="63"/>
              <w:jc w:val="both"/>
              <w:rPr>
                <w:rFonts w:ascii="Arial" w:eastAsia="Calibri" w:hAnsi="Arial" w:cs="Arial"/>
                <w:b/>
                <w:spacing w:val="-2"/>
                <w:sz w:val="20"/>
                <w:lang w:val="fr-FR" w:eastAsia="en-GB"/>
              </w:rPr>
            </w:pPr>
            <w:r w:rsidRPr="009E5118">
              <w:rPr>
                <w:rFonts w:ascii="Arial" w:eastAsia="Calibri" w:hAnsi="Arial" w:cs="Arial"/>
                <w:bCs w:val="0"/>
                <w:spacing w:val="-2"/>
                <w:sz w:val="20"/>
                <w:lang w:val="fr-FR" w:eastAsia="en-GB"/>
              </w:rPr>
              <w:t xml:space="preserve">Service des activités normatives en matière de droits de l’homme, justice et coopération juridique </w:t>
            </w:r>
          </w:p>
          <w:p w14:paraId="4CECD94E" w14:textId="2DBB6FEF" w:rsidR="009E5118" w:rsidRPr="001A7718" w:rsidRDefault="00512900" w:rsidP="009E5118">
            <w:pPr>
              <w:tabs>
                <w:tab w:val="right" w:pos="9026"/>
              </w:tabs>
              <w:suppressAutoHyphens/>
              <w:spacing w:before="240"/>
              <w:jc w:val="both"/>
              <w:rPr>
                <w:rFonts w:ascii="Arial" w:eastAsia="Calibri" w:hAnsi="Arial" w:cs="Arial"/>
                <w:b/>
                <w:sz w:val="20"/>
                <w:lang w:val="fr-FR" w:eastAsia="en-GB"/>
              </w:rPr>
            </w:pPr>
            <w:r w:rsidRPr="001A7718">
              <w:rPr>
                <w:rFonts w:ascii="Arial" w:eastAsia="Calibri" w:hAnsi="Arial" w:cs="Arial"/>
                <w:b/>
                <w:sz w:val="20"/>
                <w:lang w:val="fr-FR" w:eastAsia="en-GB"/>
              </w:rPr>
              <w:t>Mme</w:t>
            </w:r>
            <w:r w:rsidR="009E5118" w:rsidRPr="001A7718">
              <w:rPr>
                <w:rFonts w:ascii="Arial" w:eastAsia="Calibri" w:hAnsi="Arial" w:cs="Arial"/>
                <w:b/>
                <w:sz w:val="20"/>
                <w:lang w:val="fr-FR" w:eastAsia="en-GB"/>
              </w:rPr>
              <w:t xml:space="preserve"> Elvana THACI</w:t>
            </w:r>
          </w:p>
          <w:p w14:paraId="35595D01" w14:textId="0E4F90D1" w:rsidR="009E5118" w:rsidRPr="009E5118" w:rsidRDefault="009E5118" w:rsidP="009E5118">
            <w:pPr>
              <w:tabs>
                <w:tab w:val="right" w:pos="9026"/>
              </w:tabs>
              <w:suppressAutoHyphens/>
              <w:jc w:val="both"/>
              <w:rPr>
                <w:rFonts w:ascii="Arial" w:eastAsia="Calibri" w:hAnsi="Arial" w:cs="Arial"/>
                <w:bCs w:val="0"/>
                <w:sz w:val="20"/>
                <w:lang w:val="fr-FR" w:eastAsia="en-GB"/>
              </w:rPr>
            </w:pPr>
            <w:r w:rsidRPr="009E5118">
              <w:rPr>
                <w:rFonts w:ascii="Arial" w:eastAsia="Calibri" w:hAnsi="Arial" w:cs="Arial"/>
                <w:bCs w:val="0"/>
                <w:sz w:val="20"/>
                <w:lang w:val="fr-FR" w:eastAsia="en-GB"/>
              </w:rPr>
              <w:t>Administratrice</w:t>
            </w:r>
          </w:p>
          <w:p w14:paraId="4051B6C5" w14:textId="1D73515C" w:rsidR="009E5118" w:rsidRPr="009E5118" w:rsidRDefault="009E5118" w:rsidP="009E5118">
            <w:pPr>
              <w:tabs>
                <w:tab w:val="right" w:pos="9026"/>
              </w:tabs>
              <w:suppressAutoHyphens/>
              <w:jc w:val="both"/>
              <w:rPr>
                <w:rFonts w:ascii="Arial" w:eastAsia="Calibri" w:hAnsi="Arial" w:cs="Arial"/>
                <w:sz w:val="20"/>
                <w:lang w:val="fr-FR" w:eastAsia="en-GB"/>
              </w:rPr>
            </w:pPr>
            <w:r w:rsidRPr="009E5118">
              <w:rPr>
                <w:rFonts w:ascii="Arial" w:eastAsia="Calibri" w:hAnsi="Arial" w:cs="Arial"/>
                <w:spacing w:val="-2"/>
                <w:sz w:val="20"/>
                <w:lang w:val="fr-FR" w:eastAsia="en-GB"/>
              </w:rPr>
              <w:t xml:space="preserve">Secrétaire du DH-SYSC-V </w:t>
            </w:r>
          </w:p>
          <w:p w14:paraId="19DD8161" w14:textId="6C04F493" w:rsidR="009E5118" w:rsidRPr="009E5118" w:rsidRDefault="009E5118" w:rsidP="009E5118">
            <w:pPr>
              <w:tabs>
                <w:tab w:val="left" w:pos="-720"/>
              </w:tabs>
              <w:suppressAutoHyphens/>
              <w:ind w:right="63"/>
              <w:jc w:val="both"/>
              <w:rPr>
                <w:rFonts w:ascii="Arial" w:eastAsia="Calibri" w:hAnsi="Arial" w:cs="Arial"/>
                <w:bCs w:val="0"/>
                <w:spacing w:val="-3"/>
                <w:sz w:val="20"/>
                <w:lang w:val="de-DE" w:eastAsia="en-GB"/>
              </w:rPr>
            </w:pPr>
            <w:r w:rsidRPr="009E5118">
              <w:rPr>
                <w:rFonts w:ascii="Arial" w:eastAsia="Calibri" w:hAnsi="Arial" w:cs="Arial"/>
                <w:bCs w:val="0"/>
                <w:spacing w:val="-2"/>
                <w:sz w:val="20"/>
                <w:lang w:val="fr-FR" w:eastAsia="en-GB"/>
              </w:rPr>
              <w:t>Division de la coopération intergouvernementale en matière de droits de l’homme</w:t>
            </w:r>
          </w:p>
          <w:p w14:paraId="61B92999" w14:textId="4D41AA8B" w:rsidR="009E5118" w:rsidRPr="009E5118" w:rsidRDefault="00512900" w:rsidP="009E5118">
            <w:pPr>
              <w:tabs>
                <w:tab w:val="right" w:pos="9026"/>
              </w:tabs>
              <w:suppressAutoHyphens/>
              <w:spacing w:before="240"/>
              <w:jc w:val="both"/>
              <w:rPr>
                <w:rFonts w:ascii="Arial" w:eastAsia="Calibri" w:hAnsi="Arial" w:cs="Arial"/>
                <w:b/>
                <w:spacing w:val="-3"/>
                <w:sz w:val="20"/>
                <w:lang w:val="de-DE" w:eastAsia="en-GB"/>
              </w:rPr>
            </w:pPr>
            <w:r>
              <w:rPr>
                <w:rFonts w:ascii="Arial" w:eastAsia="Calibri" w:hAnsi="Arial" w:cs="Arial"/>
                <w:b/>
                <w:spacing w:val="-3"/>
                <w:sz w:val="20"/>
                <w:lang w:val="de-DE" w:eastAsia="en-GB"/>
              </w:rPr>
              <w:t>Mme</w:t>
            </w:r>
            <w:r w:rsidR="009E5118" w:rsidRPr="009E5118">
              <w:rPr>
                <w:rFonts w:ascii="Arial" w:eastAsia="Calibri" w:hAnsi="Arial" w:cs="Arial"/>
                <w:b/>
                <w:spacing w:val="-3"/>
                <w:sz w:val="20"/>
                <w:lang w:val="de-DE" w:eastAsia="en-GB"/>
              </w:rPr>
              <w:t xml:space="preserve"> Sarah BELHADJMILED</w:t>
            </w:r>
          </w:p>
          <w:p w14:paraId="177DB7BD" w14:textId="15278BCD" w:rsidR="009E5118" w:rsidRPr="009E5118" w:rsidRDefault="009E5118" w:rsidP="009E5118">
            <w:pPr>
              <w:tabs>
                <w:tab w:val="right" w:pos="9026"/>
              </w:tabs>
              <w:suppressAutoHyphens/>
              <w:jc w:val="both"/>
              <w:rPr>
                <w:rFonts w:ascii="Arial" w:eastAsia="Calibri" w:hAnsi="Arial" w:cs="Arial"/>
                <w:bCs w:val="0"/>
                <w:sz w:val="20"/>
                <w:lang w:val="fr-FR" w:eastAsia="en-GB"/>
              </w:rPr>
            </w:pPr>
            <w:r w:rsidRPr="009E5118">
              <w:rPr>
                <w:rFonts w:ascii="Arial" w:eastAsia="Calibri" w:hAnsi="Arial" w:cs="Arial"/>
                <w:bCs w:val="0"/>
                <w:sz w:val="20"/>
                <w:lang w:val="fr-FR" w:eastAsia="en-GB"/>
              </w:rPr>
              <w:t>Juriste assistant</w:t>
            </w:r>
          </w:p>
          <w:p w14:paraId="195D4854" w14:textId="292AF1FE" w:rsidR="009E5118" w:rsidRPr="009E5118" w:rsidRDefault="009E5118" w:rsidP="009E5118">
            <w:pPr>
              <w:tabs>
                <w:tab w:val="right" w:pos="9026"/>
              </w:tabs>
              <w:suppressAutoHyphens/>
              <w:jc w:val="both"/>
              <w:rPr>
                <w:rFonts w:ascii="Arial" w:eastAsia="Calibri" w:hAnsi="Arial" w:cs="Arial"/>
                <w:bCs w:val="0"/>
                <w:spacing w:val="-3"/>
                <w:sz w:val="20"/>
                <w:lang w:val="de-DE" w:eastAsia="en-GB"/>
              </w:rPr>
            </w:pPr>
            <w:r w:rsidRPr="009E5118">
              <w:rPr>
                <w:rFonts w:ascii="Arial" w:eastAsia="Calibri" w:hAnsi="Arial" w:cs="Arial"/>
                <w:bCs w:val="0"/>
                <w:spacing w:val="-2"/>
                <w:sz w:val="20"/>
                <w:lang w:val="fr-FR" w:eastAsia="en-GB"/>
              </w:rPr>
              <w:t>Division de la coopération intergouvernementale en matière de droits de l’homme</w:t>
            </w:r>
            <w:r w:rsidRPr="00CC43C7">
              <w:rPr>
                <w:rFonts w:ascii="Arial" w:eastAsia="Calibri" w:hAnsi="Arial" w:cs="Arial"/>
                <w:bCs w:val="0"/>
                <w:spacing w:val="-3"/>
                <w:sz w:val="20"/>
                <w:lang w:val="de-DE" w:eastAsia="en-GB"/>
              </w:rPr>
              <w:t xml:space="preserve"> </w:t>
            </w:r>
          </w:p>
          <w:p w14:paraId="2AAC8F97" w14:textId="33D082F4" w:rsidR="009E5118" w:rsidRPr="009E5118" w:rsidRDefault="00512900" w:rsidP="009E5118">
            <w:pPr>
              <w:tabs>
                <w:tab w:val="right" w:pos="9026"/>
              </w:tabs>
              <w:suppressAutoHyphens/>
              <w:spacing w:before="240"/>
              <w:jc w:val="both"/>
              <w:rPr>
                <w:rFonts w:ascii="Arial" w:eastAsia="Calibri" w:hAnsi="Arial" w:cs="Arial"/>
                <w:b/>
                <w:spacing w:val="-3"/>
                <w:sz w:val="20"/>
                <w:lang w:val="de-DE" w:eastAsia="en-GB"/>
              </w:rPr>
            </w:pPr>
            <w:r>
              <w:rPr>
                <w:rFonts w:ascii="Arial" w:eastAsia="Calibri" w:hAnsi="Arial" w:cs="Arial"/>
                <w:b/>
                <w:spacing w:val="-3"/>
                <w:sz w:val="20"/>
                <w:lang w:val="de-DE" w:eastAsia="en-GB"/>
              </w:rPr>
              <w:t>M.</w:t>
            </w:r>
            <w:r w:rsidR="009E5118" w:rsidRPr="009E5118">
              <w:rPr>
                <w:rFonts w:ascii="Arial" w:eastAsia="Calibri" w:hAnsi="Arial" w:cs="Arial"/>
                <w:b/>
                <w:spacing w:val="-3"/>
                <w:sz w:val="20"/>
                <w:lang w:val="de-DE" w:eastAsia="en-GB"/>
              </w:rPr>
              <w:t xml:space="preserve"> Nicolas DOMAGALSKI</w:t>
            </w:r>
          </w:p>
          <w:p w14:paraId="390D5BDD" w14:textId="6F9271CA" w:rsidR="009E5118" w:rsidRPr="009E5118" w:rsidRDefault="009E5118" w:rsidP="009E5118">
            <w:pPr>
              <w:tabs>
                <w:tab w:val="right" w:pos="9026"/>
              </w:tabs>
              <w:suppressAutoHyphens/>
              <w:jc w:val="both"/>
              <w:rPr>
                <w:rFonts w:ascii="Arial" w:eastAsia="Calibri" w:hAnsi="Arial" w:cs="Arial"/>
                <w:bCs w:val="0"/>
                <w:sz w:val="20"/>
                <w:lang w:val="fr-FR" w:eastAsia="en-GB"/>
              </w:rPr>
            </w:pPr>
            <w:r w:rsidRPr="009E5118">
              <w:rPr>
                <w:rFonts w:ascii="Arial" w:eastAsia="Calibri" w:hAnsi="Arial" w:cs="Arial"/>
                <w:bCs w:val="0"/>
                <w:sz w:val="20"/>
                <w:lang w:val="fr-FR" w:eastAsia="en-GB"/>
              </w:rPr>
              <w:t>Juriste assistant</w:t>
            </w:r>
          </w:p>
          <w:p w14:paraId="37694D1B" w14:textId="77777777" w:rsidR="009E5118" w:rsidRDefault="009E5118" w:rsidP="009E5118">
            <w:pPr>
              <w:tabs>
                <w:tab w:val="right" w:pos="9026"/>
              </w:tabs>
              <w:suppressAutoHyphens/>
              <w:jc w:val="both"/>
              <w:rPr>
                <w:rFonts w:ascii="Arial" w:eastAsia="Calibri" w:hAnsi="Arial" w:cs="Arial"/>
                <w:bCs w:val="0"/>
                <w:spacing w:val="-2"/>
                <w:sz w:val="20"/>
                <w:lang w:val="fr-FR" w:eastAsia="en-GB"/>
              </w:rPr>
            </w:pPr>
            <w:r w:rsidRPr="009E5118">
              <w:rPr>
                <w:rFonts w:ascii="Arial" w:eastAsia="Calibri" w:hAnsi="Arial" w:cs="Arial"/>
                <w:bCs w:val="0"/>
                <w:spacing w:val="-2"/>
                <w:sz w:val="20"/>
                <w:lang w:val="fr-FR" w:eastAsia="en-GB"/>
              </w:rPr>
              <w:t>Division de la coopération intergouvernementale en matière de droits de l’homme</w:t>
            </w:r>
          </w:p>
          <w:p w14:paraId="7473639B" w14:textId="77777777" w:rsidR="00E46CFB" w:rsidRPr="00D13262" w:rsidRDefault="00E46CFB" w:rsidP="00E46CFB">
            <w:pPr>
              <w:tabs>
                <w:tab w:val="left" w:pos="-720"/>
              </w:tabs>
              <w:suppressAutoHyphens/>
              <w:spacing w:before="240" w:line="276" w:lineRule="auto"/>
              <w:jc w:val="both"/>
              <w:rPr>
                <w:rFonts w:ascii="Arial" w:eastAsia="Calibri" w:hAnsi="Arial" w:cs="Arial"/>
                <w:b/>
                <w:sz w:val="20"/>
                <w:lang w:eastAsia="en-US"/>
              </w:rPr>
            </w:pPr>
            <w:r w:rsidRPr="00D13262">
              <w:rPr>
                <w:rFonts w:ascii="Arial" w:eastAsia="Calibri" w:hAnsi="Arial" w:cs="Arial"/>
                <w:b/>
                <w:sz w:val="20"/>
                <w:lang w:eastAsia="en-US"/>
              </w:rPr>
              <w:lastRenderedPageBreak/>
              <w:t>Ms Alina DEUTSCH</w:t>
            </w:r>
          </w:p>
          <w:p w14:paraId="59346458" w14:textId="77777777" w:rsidR="00E46CFB" w:rsidRPr="00D13262" w:rsidRDefault="00E46CFB" w:rsidP="00E46CFB">
            <w:pPr>
              <w:tabs>
                <w:tab w:val="right" w:pos="9026"/>
              </w:tabs>
              <w:suppressAutoHyphens/>
              <w:jc w:val="both"/>
              <w:rPr>
                <w:rFonts w:ascii="Arial" w:eastAsia="Calibri" w:hAnsi="Arial" w:cs="Arial"/>
                <w:bCs w:val="0"/>
                <w:spacing w:val="-2"/>
                <w:sz w:val="20"/>
                <w:lang w:eastAsia="en-GB"/>
              </w:rPr>
            </w:pPr>
            <w:r w:rsidRPr="00D13262">
              <w:rPr>
                <w:rFonts w:ascii="Arial" w:eastAsia="Calibri" w:hAnsi="Arial" w:cs="Arial"/>
                <w:bCs w:val="0"/>
                <w:spacing w:val="-2"/>
                <w:sz w:val="20"/>
                <w:lang w:eastAsia="en-GB"/>
              </w:rPr>
              <w:t xml:space="preserve">Trainee </w:t>
            </w:r>
          </w:p>
          <w:p w14:paraId="5089F61D" w14:textId="49FA75A2" w:rsidR="00E46CFB" w:rsidRPr="00D13262" w:rsidRDefault="00E46CFB" w:rsidP="00E46CFB">
            <w:pPr>
              <w:tabs>
                <w:tab w:val="right" w:pos="9026"/>
              </w:tabs>
              <w:suppressAutoHyphens/>
              <w:jc w:val="both"/>
              <w:rPr>
                <w:rFonts w:ascii="Arial" w:eastAsia="Calibri" w:hAnsi="Arial" w:cs="Arial"/>
                <w:bCs w:val="0"/>
                <w:sz w:val="20"/>
                <w:lang w:eastAsia="en-GB"/>
              </w:rPr>
            </w:pPr>
            <w:r w:rsidRPr="00D13262">
              <w:rPr>
                <w:rFonts w:ascii="Arial" w:eastAsia="Calibri" w:hAnsi="Arial" w:cs="Arial"/>
                <w:bCs w:val="0"/>
                <w:spacing w:val="-2"/>
                <w:sz w:val="20"/>
                <w:lang w:eastAsia="en-GB"/>
              </w:rPr>
              <w:t>Human Rights Intergovernmental Cooperation Division</w:t>
            </w:r>
            <w:r w:rsidRPr="00D13262">
              <w:rPr>
                <w:rFonts w:ascii="Arial" w:eastAsia="Calibri" w:hAnsi="Arial" w:cs="Arial"/>
                <w:bCs w:val="0"/>
                <w:spacing w:val="-2"/>
                <w:sz w:val="22"/>
                <w:szCs w:val="22"/>
                <w:lang w:eastAsia="en-US"/>
              </w:rPr>
              <w:t xml:space="preserve"> </w:t>
            </w:r>
          </w:p>
        </w:tc>
      </w:tr>
    </w:tbl>
    <w:p w14:paraId="21E6DFD2" w14:textId="45F99970" w:rsidR="009E5118" w:rsidRPr="009E5118" w:rsidRDefault="009E5118" w:rsidP="009E5118">
      <w:pPr>
        <w:tabs>
          <w:tab w:val="right" w:pos="9600"/>
        </w:tabs>
        <w:spacing w:before="360" w:after="120" w:line="276" w:lineRule="auto"/>
        <w:rPr>
          <w:rFonts w:ascii="Arial" w:eastAsia="Calibri" w:hAnsi="Arial" w:cs="Arial"/>
          <w:b/>
          <w:bCs/>
          <w:sz w:val="20"/>
          <w:szCs w:val="20"/>
          <w:lang w:val="en-GB" w:eastAsia="en-US"/>
        </w:rPr>
      </w:pPr>
      <w:r w:rsidRPr="009E5118">
        <w:rPr>
          <w:rFonts w:ascii="Arial" w:eastAsia="Calibri" w:hAnsi="Arial" w:cs="Arial"/>
          <w:b/>
          <w:bCs/>
          <w:sz w:val="20"/>
          <w:szCs w:val="20"/>
          <w:lang w:val="en-GB" w:eastAsia="en-US"/>
        </w:rPr>
        <w:lastRenderedPageBreak/>
        <w:t>INTERPRÈTES</w:t>
      </w:r>
    </w:p>
    <w:tbl>
      <w:tblPr>
        <w:tblStyle w:val="Grilledutableau1"/>
        <w:tblW w:w="0" w:type="auto"/>
        <w:tblLook w:val="04A0" w:firstRow="1" w:lastRow="0" w:firstColumn="1" w:lastColumn="0" w:noHBand="0" w:noVBand="1"/>
      </w:tblPr>
      <w:tblGrid>
        <w:gridCol w:w="9056"/>
      </w:tblGrid>
      <w:tr w:rsidR="009E5118" w:rsidRPr="00306F2F" w14:paraId="0F72B9DF" w14:textId="77777777" w:rsidTr="00E46CFB">
        <w:trPr>
          <w:trHeight w:val="624"/>
        </w:trPr>
        <w:tc>
          <w:tcPr>
            <w:tcW w:w="9350" w:type="dxa"/>
          </w:tcPr>
          <w:p w14:paraId="31254133" w14:textId="77777777" w:rsidR="009E5118" w:rsidRPr="009E5118" w:rsidRDefault="009E5118" w:rsidP="009E5118">
            <w:pPr>
              <w:tabs>
                <w:tab w:val="left" w:pos="-720"/>
              </w:tabs>
              <w:suppressAutoHyphens/>
              <w:jc w:val="both"/>
              <w:rPr>
                <w:rFonts w:ascii="Arial" w:eastAsia="Calibri" w:hAnsi="Arial" w:cs="Arial"/>
                <w:b/>
                <w:sz w:val="20"/>
                <w:lang w:eastAsia="en-GB"/>
              </w:rPr>
            </w:pPr>
            <w:r w:rsidRPr="009E5118">
              <w:rPr>
                <w:rFonts w:ascii="Arial" w:eastAsia="Calibri" w:hAnsi="Arial" w:cs="Arial"/>
                <w:b/>
                <w:sz w:val="20"/>
                <w:lang w:eastAsia="en-GB"/>
              </w:rPr>
              <w:t>M. Michael HILL</w:t>
            </w:r>
          </w:p>
          <w:p w14:paraId="7D43070F" w14:textId="71486D3F" w:rsidR="009E5118" w:rsidRPr="009E5118" w:rsidRDefault="00512900" w:rsidP="009E5118">
            <w:pPr>
              <w:tabs>
                <w:tab w:val="left" w:pos="-720"/>
              </w:tabs>
              <w:suppressAutoHyphens/>
              <w:spacing w:before="240"/>
              <w:jc w:val="both"/>
              <w:rPr>
                <w:rFonts w:ascii="Arial" w:eastAsia="Calibri" w:hAnsi="Arial" w:cs="Arial"/>
                <w:b/>
                <w:sz w:val="20"/>
                <w:lang w:eastAsia="en-GB"/>
              </w:rPr>
            </w:pPr>
            <w:r>
              <w:rPr>
                <w:rFonts w:ascii="Arial" w:eastAsia="Calibri" w:hAnsi="Arial" w:cs="Arial"/>
                <w:b/>
                <w:sz w:val="20"/>
                <w:lang w:eastAsia="en-GB"/>
              </w:rPr>
              <w:t>Mme</w:t>
            </w:r>
            <w:r w:rsidR="009E5118" w:rsidRPr="009E5118">
              <w:rPr>
                <w:rFonts w:ascii="Arial" w:eastAsia="Calibri" w:hAnsi="Arial" w:cs="Arial"/>
                <w:b/>
                <w:sz w:val="20"/>
                <w:lang w:eastAsia="en-GB"/>
              </w:rPr>
              <w:t xml:space="preserve"> Julia TANNER</w:t>
            </w:r>
          </w:p>
        </w:tc>
      </w:tr>
    </w:tbl>
    <w:p w14:paraId="3F515762" w14:textId="77777777" w:rsidR="009E5118" w:rsidRPr="009E5118" w:rsidRDefault="009E5118" w:rsidP="009E5118">
      <w:pPr>
        <w:tabs>
          <w:tab w:val="right" w:pos="9600"/>
        </w:tabs>
        <w:spacing w:line="276" w:lineRule="auto"/>
        <w:rPr>
          <w:rFonts w:ascii="Arial" w:eastAsia="Calibri" w:hAnsi="Arial" w:cs="Arial"/>
          <w:sz w:val="20"/>
          <w:szCs w:val="20"/>
          <w:lang w:val="en-GB" w:eastAsia="en-US"/>
        </w:rPr>
      </w:pPr>
    </w:p>
    <w:p w14:paraId="6C381410" w14:textId="2597D020" w:rsidR="001938B3" w:rsidRPr="009E5118" w:rsidRDefault="001938B3" w:rsidP="001938B3">
      <w:pPr>
        <w:jc w:val="center"/>
        <w:rPr>
          <w:rFonts w:ascii="Arial" w:hAnsi="Arial" w:cs="Arial"/>
          <w:b/>
          <w:bCs/>
          <w:sz w:val="22"/>
          <w:szCs w:val="22"/>
          <w:lang w:val="en-GB"/>
        </w:rPr>
      </w:pPr>
      <w:r w:rsidRPr="009E5118">
        <w:rPr>
          <w:rFonts w:ascii="Arial" w:hAnsi="Arial" w:cs="Arial"/>
          <w:b/>
          <w:bCs/>
          <w:sz w:val="22"/>
          <w:szCs w:val="22"/>
          <w:lang w:val="en-GB"/>
        </w:rPr>
        <w:br w:type="page"/>
      </w:r>
    </w:p>
    <w:p w14:paraId="497F87DF" w14:textId="4B99EDC8" w:rsidR="001938B3" w:rsidRPr="001938B3" w:rsidRDefault="001938B3" w:rsidP="001938B3">
      <w:pPr>
        <w:jc w:val="center"/>
        <w:rPr>
          <w:rFonts w:ascii="Arial" w:hAnsi="Arial" w:cs="Arial"/>
          <w:sz w:val="22"/>
          <w:szCs w:val="22"/>
          <w:u w:val="single"/>
        </w:rPr>
      </w:pPr>
      <w:r w:rsidRPr="001938B3">
        <w:rPr>
          <w:rFonts w:ascii="Arial" w:hAnsi="Arial" w:cs="Arial"/>
          <w:sz w:val="22"/>
          <w:szCs w:val="22"/>
          <w:u w:val="single"/>
        </w:rPr>
        <w:lastRenderedPageBreak/>
        <w:t xml:space="preserve">Annexe </w:t>
      </w:r>
      <w:r w:rsidR="009D653F">
        <w:rPr>
          <w:rFonts w:ascii="Arial" w:hAnsi="Arial" w:cs="Arial"/>
          <w:sz w:val="22"/>
          <w:szCs w:val="22"/>
          <w:u w:val="single"/>
        </w:rPr>
        <w:t>II</w:t>
      </w:r>
    </w:p>
    <w:p w14:paraId="391CD66B" w14:textId="225AA4FC" w:rsidR="001938B3" w:rsidRDefault="001938B3" w:rsidP="001938B3">
      <w:pPr>
        <w:jc w:val="both"/>
        <w:rPr>
          <w:rFonts w:ascii="Arial" w:hAnsi="Arial" w:cs="Arial"/>
          <w:b/>
          <w:bCs/>
          <w:sz w:val="22"/>
          <w:szCs w:val="22"/>
          <w:u w:val="single"/>
        </w:rPr>
      </w:pPr>
    </w:p>
    <w:p w14:paraId="0A78106C" w14:textId="55831D6F" w:rsidR="001938B3" w:rsidRPr="00454152" w:rsidRDefault="001938B3" w:rsidP="001938B3">
      <w:pPr>
        <w:jc w:val="center"/>
        <w:rPr>
          <w:rFonts w:ascii="Arial" w:hAnsi="Arial" w:cs="Arial"/>
          <w:b/>
          <w:bCs/>
          <w:sz w:val="22"/>
          <w:szCs w:val="22"/>
        </w:rPr>
      </w:pPr>
      <w:r w:rsidRPr="00454152">
        <w:rPr>
          <w:rFonts w:ascii="Arial" w:hAnsi="Arial" w:cs="Arial"/>
          <w:b/>
          <w:bCs/>
          <w:sz w:val="22"/>
          <w:szCs w:val="22"/>
        </w:rPr>
        <w:t>Ordre du jour annoté</w:t>
      </w:r>
    </w:p>
    <w:p w14:paraId="6268C5C5" w14:textId="2484B84F" w:rsidR="00C81D7D" w:rsidRDefault="00C81D7D">
      <w:pPr>
        <w:rPr>
          <w:rFonts w:ascii="Arial" w:hAnsi="Arial" w:cs="Arial"/>
          <w:sz w:val="22"/>
          <w:szCs w:val="22"/>
          <w:u w:val="single"/>
        </w:rPr>
      </w:pPr>
    </w:p>
    <w:tbl>
      <w:tblPr>
        <w:tblStyle w:val="TableGrid2"/>
        <w:tblW w:w="1021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
        <w:gridCol w:w="6983"/>
        <w:gridCol w:w="2834"/>
      </w:tblGrid>
      <w:tr w:rsidR="00C81D7D" w:rsidRPr="00074443" w14:paraId="32CBAB00" w14:textId="77777777" w:rsidTr="00E46CFB">
        <w:trPr>
          <w:trHeight w:val="633"/>
          <w:jc w:val="center"/>
        </w:trPr>
        <w:tc>
          <w:tcPr>
            <w:tcW w:w="383" w:type="dxa"/>
            <w:tcBorders>
              <w:top w:val="single" w:sz="4" w:space="0" w:color="BFBFBF" w:themeColor="background1" w:themeShade="BF"/>
              <w:bottom w:val="single" w:sz="4" w:space="0" w:color="BFBFBF" w:themeColor="background1" w:themeShade="BF"/>
            </w:tcBorders>
          </w:tcPr>
          <w:p w14:paraId="6877F580" w14:textId="77777777" w:rsidR="00C81D7D" w:rsidRPr="005849C5" w:rsidRDefault="00C81D7D" w:rsidP="00E46CFB">
            <w:pPr>
              <w:tabs>
                <w:tab w:val="left" w:pos="567"/>
                <w:tab w:val="right" w:pos="9600"/>
              </w:tabs>
              <w:spacing w:before="60"/>
              <w:rPr>
                <w:rFonts w:ascii="Arial" w:hAnsi="Arial" w:cs="Arial"/>
                <w:b/>
                <w:sz w:val="22"/>
                <w:szCs w:val="22"/>
              </w:rPr>
            </w:pPr>
            <w:bookmarkStart w:id="0" w:name="_Hlk64984190"/>
            <w:r w:rsidRPr="005849C5">
              <w:rPr>
                <w:rFonts w:ascii="Arial" w:hAnsi="Arial" w:cs="Arial"/>
                <w:b/>
                <w:sz w:val="22"/>
                <w:szCs w:val="22"/>
              </w:rPr>
              <w:t>1.</w:t>
            </w:r>
          </w:p>
        </w:tc>
        <w:tc>
          <w:tcPr>
            <w:tcW w:w="6997" w:type="dxa"/>
            <w:tcBorders>
              <w:top w:val="single" w:sz="4" w:space="0" w:color="BFBFBF" w:themeColor="background1" w:themeShade="BF"/>
              <w:bottom w:val="single" w:sz="4" w:space="0" w:color="BFBFBF" w:themeColor="background1" w:themeShade="BF"/>
            </w:tcBorders>
            <w:vAlign w:val="center"/>
          </w:tcPr>
          <w:p w14:paraId="5D120EA8" w14:textId="77777777" w:rsidR="00C81D7D" w:rsidRPr="00C81D7D" w:rsidRDefault="00C81D7D" w:rsidP="00E46CFB">
            <w:pPr>
              <w:tabs>
                <w:tab w:val="left" w:pos="567"/>
                <w:tab w:val="right" w:pos="9600"/>
              </w:tabs>
              <w:spacing w:before="60" w:after="60"/>
              <w:rPr>
                <w:rFonts w:ascii="Arial" w:hAnsi="Arial" w:cs="Arial"/>
                <w:b/>
                <w:sz w:val="22"/>
                <w:szCs w:val="22"/>
                <w:lang w:val="fr-FR"/>
              </w:rPr>
            </w:pPr>
            <w:r w:rsidRPr="00C81D7D">
              <w:rPr>
                <w:rFonts w:ascii="Arial" w:hAnsi="Arial" w:cs="Arial"/>
                <w:b/>
                <w:sz w:val="22"/>
                <w:szCs w:val="22"/>
                <w:lang w:val="fr-FR"/>
              </w:rPr>
              <w:t>Ouverture de la réunion</w:t>
            </w:r>
          </w:p>
          <w:p w14:paraId="18C93719" w14:textId="77777777" w:rsidR="00C81D7D" w:rsidRPr="00C81D7D" w:rsidRDefault="00C81D7D" w:rsidP="00E46CFB">
            <w:pPr>
              <w:tabs>
                <w:tab w:val="left" w:pos="567"/>
                <w:tab w:val="right" w:pos="9600"/>
              </w:tabs>
              <w:spacing w:before="60" w:after="60"/>
              <w:rPr>
                <w:rStyle w:val="Accentuation"/>
                <w:rFonts w:ascii="Arial" w:hAnsi="Arial" w:cs="Arial"/>
                <w:color w:val="000000"/>
                <w:sz w:val="22"/>
                <w:szCs w:val="22"/>
                <w:lang w:val="fr-FR"/>
              </w:rPr>
            </w:pPr>
          </w:p>
          <w:p w14:paraId="7A537B6B" w14:textId="77777777" w:rsidR="00C81D7D" w:rsidRPr="00C81D7D" w:rsidRDefault="00C81D7D" w:rsidP="00E46CFB">
            <w:pPr>
              <w:tabs>
                <w:tab w:val="left" w:pos="567"/>
                <w:tab w:val="right" w:pos="9600"/>
              </w:tabs>
              <w:spacing w:before="60" w:after="60"/>
              <w:rPr>
                <w:rFonts w:ascii="Arial" w:hAnsi="Arial" w:cs="Arial"/>
                <w:b/>
                <w:sz w:val="22"/>
                <w:szCs w:val="22"/>
                <w:lang w:val="fr-FR"/>
              </w:rPr>
            </w:pPr>
            <w:r w:rsidRPr="00C81D7D">
              <w:rPr>
                <w:rStyle w:val="Accentuation"/>
                <w:rFonts w:ascii="Arial" w:hAnsi="Arial" w:cs="Arial"/>
                <w:color w:val="000000"/>
                <w:sz w:val="22"/>
                <w:szCs w:val="22"/>
                <w:lang w:val="fr-FR"/>
              </w:rPr>
              <w:t>Le Président, M.</w:t>
            </w:r>
            <w:r w:rsidRPr="00C81D7D">
              <w:rPr>
                <w:rStyle w:val="Accentuation"/>
                <w:rFonts w:ascii="Arial" w:hAnsi="Arial" w:cs="Arial"/>
                <w:sz w:val="22"/>
                <w:szCs w:val="22"/>
                <w:lang w:val="fr-FR"/>
              </w:rPr>
              <w:t> </w:t>
            </w:r>
            <w:r w:rsidRPr="00C81D7D">
              <w:rPr>
                <w:rStyle w:val="Accentuation"/>
                <w:rFonts w:ascii="Arial" w:hAnsi="Arial" w:cs="Arial"/>
                <w:color w:val="000000"/>
                <w:sz w:val="22"/>
                <w:szCs w:val="22"/>
                <w:lang w:val="fr-FR"/>
              </w:rPr>
              <w:t>Alain CHABLAIS</w:t>
            </w:r>
            <w:r w:rsidRPr="00C81D7D">
              <w:rPr>
                <w:rStyle w:val="Accentuation"/>
                <w:rFonts w:ascii="Arial" w:hAnsi="Arial" w:cs="Arial"/>
                <w:sz w:val="22"/>
                <w:szCs w:val="22"/>
                <w:lang w:val="fr-FR"/>
              </w:rPr>
              <w:t> </w:t>
            </w:r>
            <w:r w:rsidRPr="00C81D7D">
              <w:rPr>
                <w:rStyle w:val="Accentuation"/>
                <w:rFonts w:ascii="Arial" w:hAnsi="Arial" w:cs="Arial"/>
                <w:color w:val="000000"/>
                <w:sz w:val="22"/>
                <w:szCs w:val="22"/>
                <w:lang w:val="fr-FR"/>
              </w:rPr>
              <w:t xml:space="preserve">(Suisse) ouvrira la réunion. </w:t>
            </w:r>
          </w:p>
        </w:tc>
        <w:tc>
          <w:tcPr>
            <w:tcW w:w="2837" w:type="dxa"/>
            <w:tcBorders>
              <w:top w:val="single" w:sz="4" w:space="0" w:color="BFBFBF" w:themeColor="background1" w:themeShade="BF"/>
              <w:bottom w:val="single" w:sz="4" w:space="0" w:color="BFBFBF" w:themeColor="background1" w:themeShade="BF"/>
            </w:tcBorders>
            <w:vAlign w:val="center"/>
          </w:tcPr>
          <w:p w14:paraId="6FB2A0B1" w14:textId="77777777" w:rsidR="00C81D7D" w:rsidRPr="00C81D7D" w:rsidRDefault="00C81D7D" w:rsidP="00E46CFB">
            <w:pPr>
              <w:tabs>
                <w:tab w:val="left" w:pos="567"/>
                <w:tab w:val="right" w:pos="9600"/>
              </w:tabs>
              <w:jc w:val="right"/>
              <w:rPr>
                <w:rFonts w:ascii="Arial" w:hAnsi="Arial" w:cs="Arial"/>
                <w:sz w:val="20"/>
                <w:lang w:val="fr-FR"/>
              </w:rPr>
            </w:pPr>
          </w:p>
        </w:tc>
      </w:tr>
      <w:tr w:rsidR="00C81D7D" w:rsidRPr="00306F2F" w14:paraId="5947EC87" w14:textId="77777777" w:rsidTr="00E46CFB">
        <w:trPr>
          <w:trHeight w:val="271"/>
          <w:jc w:val="center"/>
        </w:trPr>
        <w:tc>
          <w:tcPr>
            <w:tcW w:w="383" w:type="dxa"/>
            <w:tcBorders>
              <w:top w:val="single" w:sz="4" w:space="0" w:color="BFBFBF" w:themeColor="background1" w:themeShade="BF"/>
              <w:bottom w:val="single" w:sz="4" w:space="0" w:color="BFBFBF" w:themeColor="background1" w:themeShade="BF"/>
            </w:tcBorders>
          </w:tcPr>
          <w:p w14:paraId="4A6BECDA" w14:textId="77777777" w:rsidR="00C81D7D" w:rsidRPr="005849C5" w:rsidRDefault="00C81D7D" w:rsidP="00E46CFB">
            <w:pPr>
              <w:tabs>
                <w:tab w:val="left" w:pos="567"/>
                <w:tab w:val="right" w:pos="9600"/>
              </w:tabs>
              <w:spacing w:before="60"/>
              <w:rPr>
                <w:rFonts w:ascii="Arial" w:hAnsi="Arial" w:cs="Arial"/>
                <w:b/>
                <w:sz w:val="22"/>
                <w:szCs w:val="22"/>
              </w:rPr>
            </w:pPr>
            <w:r w:rsidRPr="005849C5">
              <w:rPr>
                <w:rFonts w:ascii="Arial" w:hAnsi="Arial" w:cs="Arial"/>
                <w:b/>
                <w:sz w:val="22"/>
                <w:szCs w:val="22"/>
              </w:rPr>
              <w:t>2.</w:t>
            </w:r>
          </w:p>
        </w:tc>
        <w:tc>
          <w:tcPr>
            <w:tcW w:w="6997" w:type="dxa"/>
            <w:tcBorders>
              <w:top w:val="single" w:sz="4" w:space="0" w:color="BFBFBF" w:themeColor="background1" w:themeShade="BF"/>
              <w:bottom w:val="single" w:sz="4" w:space="0" w:color="BFBFBF" w:themeColor="background1" w:themeShade="BF"/>
            </w:tcBorders>
            <w:vAlign w:val="center"/>
          </w:tcPr>
          <w:p w14:paraId="296A3679" w14:textId="77777777" w:rsidR="00C81D7D" w:rsidRPr="00C81D7D" w:rsidRDefault="00C81D7D" w:rsidP="00E46CFB">
            <w:pPr>
              <w:spacing w:before="60" w:after="60"/>
              <w:rPr>
                <w:rFonts w:ascii="Arial" w:hAnsi="Arial" w:cs="Arial"/>
                <w:b/>
                <w:sz w:val="22"/>
                <w:szCs w:val="22"/>
                <w:lang w:val="fr-FR"/>
              </w:rPr>
            </w:pPr>
            <w:r w:rsidRPr="00C81D7D">
              <w:rPr>
                <w:rFonts w:ascii="Arial" w:hAnsi="Arial" w:cs="Arial"/>
                <w:b/>
                <w:sz w:val="22"/>
                <w:szCs w:val="22"/>
                <w:lang w:val="fr-FR"/>
              </w:rPr>
              <w:t>Adoption de l’ordre du jour et de l’ordre des travaux</w:t>
            </w:r>
          </w:p>
          <w:p w14:paraId="6AB87A2D" w14:textId="77777777" w:rsidR="00C81D7D" w:rsidRPr="00C81D7D" w:rsidRDefault="00C81D7D" w:rsidP="00E46CFB">
            <w:pPr>
              <w:spacing w:before="60" w:after="60"/>
              <w:rPr>
                <w:rFonts w:ascii="Arial" w:hAnsi="Arial" w:cs="Arial"/>
                <w:b/>
                <w:sz w:val="22"/>
                <w:szCs w:val="22"/>
                <w:lang w:val="fr-FR"/>
              </w:rPr>
            </w:pPr>
          </w:p>
        </w:tc>
        <w:tc>
          <w:tcPr>
            <w:tcW w:w="2837" w:type="dxa"/>
            <w:tcBorders>
              <w:top w:val="single" w:sz="4" w:space="0" w:color="BFBFBF" w:themeColor="background1" w:themeShade="BF"/>
              <w:bottom w:val="single" w:sz="4" w:space="0" w:color="BFBFBF" w:themeColor="background1" w:themeShade="BF"/>
            </w:tcBorders>
            <w:vAlign w:val="center"/>
          </w:tcPr>
          <w:p w14:paraId="4233EF5B" w14:textId="77777777" w:rsidR="00C81D7D" w:rsidRDefault="00C81D7D" w:rsidP="00E46CFB">
            <w:pPr>
              <w:tabs>
                <w:tab w:val="left" w:pos="179"/>
                <w:tab w:val="right" w:pos="9600"/>
              </w:tabs>
              <w:rPr>
                <w:rFonts w:ascii="Arial" w:hAnsi="Arial" w:cs="Arial"/>
                <w:sz w:val="20"/>
              </w:rPr>
            </w:pPr>
            <w:r w:rsidRPr="00535D96">
              <w:rPr>
                <w:rFonts w:ascii="Arial" w:hAnsi="Arial" w:cs="Arial"/>
                <w:iCs/>
                <w:sz w:val="20"/>
                <w:lang w:eastAsia="en-US"/>
              </w:rPr>
              <w:t>DH-SYSC-IV(202</w:t>
            </w:r>
            <w:r w:rsidRPr="00535D96">
              <w:rPr>
                <w:rFonts w:ascii="Arial" w:hAnsi="Arial" w:cs="Arial"/>
                <w:iCs/>
                <w:sz w:val="20"/>
              </w:rPr>
              <w:t>1</w:t>
            </w:r>
            <w:r w:rsidRPr="00535D96">
              <w:rPr>
                <w:rFonts w:ascii="Arial" w:hAnsi="Arial" w:cs="Arial"/>
                <w:iCs/>
                <w:sz w:val="20"/>
                <w:lang w:eastAsia="en-US"/>
              </w:rPr>
              <w:t>)</w:t>
            </w:r>
            <w:r w:rsidRPr="00535D96">
              <w:rPr>
                <w:rFonts w:ascii="Arial" w:hAnsi="Arial" w:cs="Arial"/>
                <w:iCs/>
                <w:sz w:val="20"/>
              </w:rPr>
              <w:t>OJ</w:t>
            </w:r>
            <w:r>
              <w:rPr>
                <w:rFonts w:ascii="Arial" w:hAnsi="Arial" w:cs="Arial"/>
                <w:iCs/>
                <w:sz w:val="20"/>
              </w:rPr>
              <w:t>2</w:t>
            </w:r>
            <w:r w:rsidRPr="00535D96">
              <w:rPr>
                <w:rFonts w:ascii="Arial" w:hAnsi="Arial" w:cs="Arial"/>
                <w:sz w:val="20"/>
              </w:rPr>
              <w:t xml:space="preserve"> </w:t>
            </w:r>
          </w:p>
          <w:p w14:paraId="5D725C2F" w14:textId="77777777" w:rsidR="00C81D7D" w:rsidRPr="00535D96" w:rsidRDefault="00C81D7D" w:rsidP="00E46CFB">
            <w:pPr>
              <w:tabs>
                <w:tab w:val="left" w:pos="179"/>
                <w:tab w:val="right" w:pos="9600"/>
              </w:tabs>
              <w:rPr>
                <w:rFonts w:ascii="Arial" w:hAnsi="Arial" w:cs="Arial"/>
                <w:sz w:val="20"/>
              </w:rPr>
            </w:pPr>
          </w:p>
          <w:p w14:paraId="07476705" w14:textId="77777777" w:rsidR="00C81D7D" w:rsidRPr="00535D96" w:rsidRDefault="00C81D7D" w:rsidP="00E46CFB">
            <w:pPr>
              <w:tabs>
                <w:tab w:val="left" w:pos="567"/>
                <w:tab w:val="right" w:pos="9600"/>
              </w:tabs>
              <w:rPr>
                <w:rFonts w:ascii="Arial" w:hAnsi="Arial" w:cs="Arial"/>
                <w:sz w:val="20"/>
              </w:rPr>
            </w:pPr>
            <w:r w:rsidRPr="00535D96">
              <w:rPr>
                <w:rFonts w:ascii="Arial" w:hAnsi="Arial" w:cs="Arial"/>
                <w:sz w:val="20"/>
              </w:rPr>
              <w:t>DH-SYSC-IV(2021)OT</w:t>
            </w:r>
            <w:r>
              <w:rPr>
                <w:rFonts w:ascii="Arial" w:hAnsi="Arial" w:cs="Arial"/>
                <w:sz w:val="20"/>
              </w:rPr>
              <w:t>2</w:t>
            </w:r>
          </w:p>
        </w:tc>
      </w:tr>
      <w:tr w:rsidR="00C81D7D" w:rsidRPr="00074443" w14:paraId="1D10AF79" w14:textId="77777777" w:rsidTr="00E46CFB">
        <w:trPr>
          <w:trHeight w:val="271"/>
          <w:jc w:val="center"/>
        </w:trPr>
        <w:tc>
          <w:tcPr>
            <w:tcW w:w="383" w:type="dxa"/>
            <w:tcBorders>
              <w:top w:val="single" w:sz="4" w:space="0" w:color="BFBFBF" w:themeColor="background1" w:themeShade="BF"/>
              <w:bottom w:val="single" w:sz="4" w:space="0" w:color="BFBFBF" w:themeColor="background1" w:themeShade="BF"/>
            </w:tcBorders>
          </w:tcPr>
          <w:p w14:paraId="3749DC59" w14:textId="77777777" w:rsidR="00C81D7D" w:rsidRPr="005849C5" w:rsidRDefault="00C81D7D" w:rsidP="00E46CFB">
            <w:pPr>
              <w:tabs>
                <w:tab w:val="left" w:pos="567"/>
                <w:tab w:val="right" w:pos="9600"/>
              </w:tabs>
              <w:spacing w:before="60"/>
              <w:rPr>
                <w:rFonts w:ascii="Arial" w:hAnsi="Arial" w:cs="Arial"/>
                <w:b/>
                <w:sz w:val="22"/>
                <w:szCs w:val="22"/>
              </w:rPr>
            </w:pPr>
            <w:r w:rsidRPr="005849C5">
              <w:rPr>
                <w:rFonts w:ascii="Arial" w:hAnsi="Arial" w:cs="Arial"/>
                <w:b/>
                <w:sz w:val="22"/>
                <w:szCs w:val="22"/>
              </w:rPr>
              <w:t>3.</w:t>
            </w:r>
          </w:p>
        </w:tc>
        <w:tc>
          <w:tcPr>
            <w:tcW w:w="6997" w:type="dxa"/>
            <w:tcBorders>
              <w:top w:val="single" w:sz="4" w:space="0" w:color="BFBFBF" w:themeColor="background1" w:themeShade="BF"/>
              <w:bottom w:val="single" w:sz="4" w:space="0" w:color="BFBFBF" w:themeColor="background1" w:themeShade="BF"/>
            </w:tcBorders>
            <w:vAlign w:val="center"/>
          </w:tcPr>
          <w:p w14:paraId="27970BFD" w14:textId="77777777" w:rsidR="00C81D7D" w:rsidRPr="00C81D7D" w:rsidRDefault="00C81D7D" w:rsidP="00E46CFB">
            <w:pPr>
              <w:rPr>
                <w:rFonts w:ascii="Arial" w:hAnsi="Arial" w:cs="Arial"/>
                <w:b/>
                <w:color w:val="000000" w:themeColor="text1"/>
                <w:sz w:val="22"/>
                <w:szCs w:val="22"/>
                <w:lang w:val="fr-FR"/>
              </w:rPr>
            </w:pPr>
            <w:r w:rsidRPr="00C81D7D">
              <w:rPr>
                <w:rFonts w:ascii="Arial" w:hAnsi="Arial" w:cs="Arial"/>
                <w:b/>
                <w:sz w:val="22"/>
                <w:szCs w:val="22"/>
                <w:lang w:val="fr-FR"/>
              </w:rPr>
              <w:t xml:space="preserve">Projet du </w:t>
            </w:r>
            <w:r w:rsidRPr="00C81D7D">
              <w:rPr>
                <w:rFonts w:ascii="Arial" w:hAnsi="Arial" w:cs="Arial"/>
                <w:b/>
                <w:color w:val="000000" w:themeColor="text1"/>
                <w:sz w:val="22"/>
                <w:szCs w:val="22"/>
                <w:lang w:val="fr-FR"/>
              </w:rPr>
              <w:t>Rapport d’activité 2020-2021</w:t>
            </w:r>
          </w:p>
          <w:p w14:paraId="68B3B197" w14:textId="77777777" w:rsidR="00C81D7D" w:rsidRPr="00C81D7D" w:rsidRDefault="00C81D7D" w:rsidP="00E46CFB">
            <w:pPr>
              <w:rPr>
                <w:rFonts w:ascii="Arial" w:hAnsi="Arial" w:cs="Arial"/>
                <w:b/>
                <w:i/>
                <w:iCs/>
                <w:color w:val="000000" w:themeColor="text1"/>
                <w:sz w:val="22"/>
                <w:szCs w:val="22"/>
                <w:lang w:val="fr-FR"/>
              </w:rPr>
            </w:pPr>
          </w:p>
          <w:p w14:paraId="50B0CF09" w14:textId="77777777" w:rsidR="00C81D7D" w:rsidRPr="00C81D7D" w:rsidRDefault="00C81D7D" w:rsidP="00E46CFB">
            <w:pPr>
              <w:jc w:val="both"/>
              <w:rPr>
                <w:rFonts w:ascii="Arial" w:hAnsi="Arial" w:cs="Arial"/>
                <w:bCs w:val="0"/>
                <w:i/>
                <w:iCs/>
                <w:sz w:val="22"/>
                <w:szCs w:val="22"/>
                <w:lang w:val="fr-FR"/>
              </w:rPr>
            </w:pPr>
            <w:r w:rsidRPr="00C81D7D">
              <w:rPr>
                <w:rFonts w:ascii="Arial" w:hAnsi="Arial" w:cs="Arial"/>
                <w:i/>
                <w:iCs/>
                <w:color w:val="000000" w:themeColor="text1"/>
                <w:sz w:val="22"/>
                <w:szCs w:val="22"/>
                <w:lang w:val="fr-FR"/>
              </w:rPr>
              <w:t xml:space="preserve">Les membres du Groupe seront invités à examiner le projet de rapport en vue de sa finalisation et de sa transmission </w:t>
            </w:r>
            <w:r w:rsidRPr="00C81D7D">
              <w:rPr>
                <w:rFonts w:ascii="Arial" w:hAnsi="Arial" w:cs="Arial"/>
                <w:i/>
                <w:iCs/>
                <w:sz w:val="22"/>
                <w:szCs w:val="22"/>
                <w:lang w:val="fr-FR"/>
              </w:rPr>
              <w:t>au DH-SYSC pour examen lors de sa 7</w:t>
            </w:r>
            <w:r w:rsidRPr="00C81D7D">
              <w:rPr>
                <w:rFonts w:ascii="Arial" w:hAnsi="Arial" w:cs="Arial"/>
                <w:i/>
                <w:iCs/>
                <w:sz w:val="22"/>
                <w:szCs w:val="22"/>
                <w:vertAlign w:val="superscript"/>
                <w:lang w:val="fr-FR"/>
              </w:rPr>
              <w:t>e</w:t>
            </w:r>
            <w:r w:rsidRPr="00C81D7D">
              <w:rPr>
                <w:rFonts w:ascii="Arial" w:hAnsi="Arial" w:cs="Arial"/>
                <w:i/>
                <w:iCs/>
                <w:sz w:val="22"/>
                <w:szCs w:val="22"/>
                <w:lang w:val="fr-FR"/>
              </w:rPr>
              <w:t xml:space="preserve"> réunion (26-28 octobre 2021) et à son tour au CDDH lors de sa 95</w:t>
            </w:r>
            <w:r w:rsidRPr="00C81D7D">
              <w:rPr>
                <w:rFonts w:ascii="Arial" w:hAnsi="Arial" w:cs="Arial"/>
                <w:i/>
                <w:iCs/>
                <w:sz w:val="22"/>
                <w:szCs w:val="22"/>
                <w:vertAlign w:val="superscript"/>
                <w:lang w:val="fr-FR"/>
              </w:rPr>
              <w:t>e</w:t>
            </w:r>
            <w:r w:rsidRPr="00C81D7D">
              <w:rPr>
                <w:rFonts w:ascii="Arial" w:hAnsi="Arial" w:cs="Arial"/>
                <w:i/>
                <w:iCs/>
                <w:sz w:val="22"/>
                <w:szCs w:val="22"/>
                <w:lang w:val="fr-FR"/>
              </w:rPr>
              <w:t xml:space="preserve"> réunion (23-26 novembre 2021).</w:t>
            </w:r>
          </w:p>
          <w:p w14:paraId="2A037CAA" w14:textId="77777777" w:rsidR="00C81D7D" w:rsidRPr="00C81D7D" w:rsidRDefault="00C81D7D" w:rsidP="00E46CFB">
            <w:pPr>
              <w:rPr>
                <w:rFonts w:ascii="Arial" w:hAnsi="Arial" w:cs="Arial"/>
                <w:b/>
                <w:color w:val="000000" w:themeColor="text1"/>
                <w:sz w:val="22"/>
                <w:szCs w:val="22"/>
                <w:lang w:val="fr-FR"/>
              </w:rPr>
            </w:pPr>
          </w:p>
          <w:p w14:paraId="62D24AEA" w14:textId="77777777" w:rsidR="00C81D7D" w:rsidRPr="00C81D7D" w:rsidRDefault="00C81D7D" w:rsidP="00E46CFB">
            <w:pPr>
              <w:rPr>
                <w:rFonts w:ascii="Arial" w:hAnsi="Arial" w:cs="Arial"/>
                <w:b/>
                <w:sz w:val="22"/>
                <w:szCs w:val="22"/>
                <w:lang w:val="fr-FR"/>
              </w:rPr>
            </w:pPr>
          </w:p>
        </w:tc>
        <w:tc>
          <w:tcPr>
            <w:tcW w:w="2837" w:type="dxa"/>
            <w:tcBorders>
              <w:top w:val="single" w:sz="4" w:space="0" w:color="BFBFBF" w:themeColor="background1" w:themeShade="BF"/>
              <w:bottom w:val="single" w:sz="4" w:space="0" w:color="BFBFBF" w:themeColor="background1" w:themeShade="BF"/>
            </w:tcBorders>
            <w:vAlign w:val="center"/>
          </w:tcPr>
          <w:p w14:paraId="3890E5F3" w14:textId="77777777" w:rsidR="00C81D7D" w:rsidRPr="00C81D7D" w:rsidRDefault="00AF5A36" w:rsidP="00E46CFB">
            <w:pPr>
              <w:ind w:left="181" w:hanging="181"/>
              <w:rPr>
                <w:rFonts w:ascii="Arial" w:hAnsi="Arial" w:cs="Arial"/>
                <w:lang w:val="fr-FR"/>
              </w:rPr>
            </w:pPr>
            <w:hyperlink r:id="rId9" w:history="1">
              <w:r w:rsidR="00C81D7D" w:rsidRPr="00C81D7D">
                <w:rPr>
                  <w:rStyle w:val="Lienhypertexte"/>
                  <w:rFonts w:ascii="Arial" w:hAnsi="Arial" w:cs="Arial"/>
                  <w:sz w:val="20"/>
                  <w:lang w:val="fr-FR"/>
                </w:rPr>
                <w:t>DH-SYSC-IV(2021)02</w:t>
              </w:r>
            </w:hyperlink>
          </w:p>
          <w:p w14:paraId="29D2672E" w14:textId="77777777" w:rsidR="00C81D7D" w:rsidRPr="00C81D7D" w:rsidRDefault="00C81D7D" w:rsidP="00E46CFB">
            <w:pPr>
              <w:rPr>
                <w:rFonts w:ascii="Arial" w:hAnsi="Arial" w:cs="Arial"/>
                <w:lang w:val="fr-FR"/>
              </w:rPr>
            </w:pPr>
          </w:p>
          <w:bookmarkStart w:id="1" w:name="_Hlk77696973"/>
          <w:p w14:paraId="07CD29A1" w14:textId="77777777" w:rsidR="00C81D7D" w:rsidRPr="00C81D7D" w:rsidRDefault="00C81D7D" w:rsidP="00E46CFB">
            <w:pPr>
              <w:rPr>
                <w:rFonts w:ascii="Arial" w:hAnsi="Arial" w:cs="Arial"/>
                <w:sz w:val="20"/>
                <w:lang w:val="fr-FR"/>
              </w:rPr>
            </w:pPr>
            <w:r>
              <w:rPr>
                <w:rFonts w:ascii="Arial" w:hAnsi="Arial" w:cs="Arial"/>
                <w:sz w:val="20"/>
              </w:rPr>
              <w:fldChar w:fldCharType="begin"/>
            </w:r>
            <w:r w:rsidRPr="00C81D7D">
              <w:rPr>
                <w:rFonts w:ascii="Arial" w:hAnsi="Arial" w:cs="Arial"/>
                <w:sz w:val="20"/>
                <w:lang w:val="fr-FR"/>
              </w:rPr>
              <w:instrText xml:space="preserve"> HYPERLINK "https://rm.coe.int/letter-from-the-registrar-to-dh-sysc-iv-chair/1680a38799" </w:instrText>
            </w:r>
            <w:r>
              <w:rPr>
                <w:rFonts w:ascii="Arial" w:hAnsi="Arial" w:cs="Arial"/>
                <w:sz w:val="20"/>
              </w:rPr>
              <w:fldChar w:fldCharType="separate"/>
            </w:r>
            <w:r w:rsidRPr="00C81D7D">
              <w:rPr>
                <w:rStyle w:val="Lienhypertexte"/>
                <w:rFonts w:ascii="Arial" w:hAnsi="Arial" w:cs="Arial"/>
                <w:sz w:val="20"/>
                <w:lang w:val="fr-FR"/>
              </w:rPr>
              <w:t>Lettre de la Greffière de la Cour adressée au Président du DH-SYSC-IV</w:t>
            </w:r>
            <w:bookmarkEnd w:id="1"/>
            <w:r>
              <w:rPr>
                <w:rFonts w:ascii="Arial" w:hAnsi="Arial" w:cs="Arial"/>
                <w:sz w:val="20"/>
              </w:rPr>
              <w:fldChar w:fldCharType="end"/>
            </w:r>
            <w:r w:rsidRPr="00C81D7D">
              <w:rPr>
                <w:rFonts w:ascii="Arial" w:hAnsi="Arial" w:cs="Arial"/>
                <w:sz w:val="20"/>
                <w:lang w:val="fr-FR"/>
              </w:rPr>
              <w:t xml:space="preserve"> (</w:t>
            </w:r>
            <w:r w:rsidRPr="00C81D7D">
              <w:rPr>
                <w:rFonts w:ascii="Arial" w:hAnsi="Arial" w:cs="Arial"/>
                <w:i/>
                <w:iCs/>
                <w:sz w:val="20"/>
                <w:lang w:val="fr-FR"/>
              </w:rPr>
              <w:t>uniquement en anglais et par email</w:t>
            </w:r>
            <w:r w:rsidRPr="00C81D7D">
              <w:rPr>
                <w:rFonts w:ascii="Arial" w:hAnsi="Arial" w:cs="Arial"/>
                <w:sz w:val="20"/>
                <w:lang w:val="fr-FR"/>
              </w:rPr>
              <w:t xml:space="preserve">)  </w:t>
            </w:r>
          </w:p>
          <w:p w14:paraId="64C2B7C3" w14:textId="77777777" w:rsidR="00C81D7D" w:rsidRPr="00C81D7D" w:rsidRDefault="00C81D7D" w:rsidP="00E46CFB">
            <w:pPr>
              <w:tabs>
                <w:tab w:val="left" w:pos="179"/>
                <w:tab w:val="right" w:pos="9600"/>
              </w:tabs>
              <w:ind w:left="-104"/>
              <w:jc w:val="right"/>
              <w:rPr>
                <w:rFonts w:ascii="Arial" w:hAnsi="Arial" w:cs="Arial"/>
                <w:bCs w:val="0"/>
                <w:iCs/>
                <w:sz w:val="20"/>
                <w:lang w:val="fr-FR"/>
              </w:rPr>
            </w:pPr>
          </w:p>
        </w:tc>
      </w:tr>
      <w:tr w:rsidR="00C81D7D" w:rsidRPr="00074443" w14:paraId="0E82C3E7" w14:textId="77777777" w:rsidTr="00E46CFB">
        <w:trPr>
          <w:trHeight w:val="564"/>
          <w:jc w:val="center"/>
        </w:trPr>
        <w:tc>
          <w:tcPr>
            <w:tcW w:w="383" w:type="dxa"/>
            <w:tcBorders>
              <w:top w:val="single" w:sz="4" w:space="0" w:color="BFBFBF" w:themeColor="background1" w:themeShade="BF"/>
              <w:bottom w:val="single" w:sz="4" w:space="0" w:color="BFBFBF" w:themeColor="background1" w:themeShade="BF"/>
            </w:tcBorders>
          </w:tcPr>
          <w:p w14:paraId="2428838F" w14:textId="77777777" w:rsidR="00C81D7D" w:rsidRPr="005849C5" w:rsidRDefault="00C81D7D" w:rsidP="00E46CFB">
            <w:pPr>
              <w:tabs>
                <w:tab w:val="left" w:pos="567"/>
                <w:tab w:val="right" w:pos="9600"/>
              </w:tabs>
              <w:spacing w:before="60"/>
              <w:rPr>
                <w:rFonts w:ascii="Arial" w:hAnsi="Arial" w:cs="Arial"/>
                <w:b/>
                <w:sz w:val="22"/>
                <w:szCs w:val="22"/>
              </w:rPr>
            </w:pPr>
            <w:r w:rsidRPr="005849C5">
              <w:rPr>
                <w:rFonts w:ascii="Arial" w:hAnsi="Arial" w:cs="Arial"/>
                <w:b/>
                <w:sz w:val="22"/>
                <w:szCs w:val="22"/>
              </w:rPr>
              <w:t>4.</w:t>
            </w:r>
          </w:p>
        </w:tc>
        <w:tc>
          <w:tcPr>
            <w:tcW w:w="6997" w:type="dxa"/>
            <w:tcBorders>
              <w:top w:val="single" w:sz="4" w:space="0" w:color="BFBFBF" w:themeColor="background1" w:themeShade="BF"/>
              <w:bottom w:val="single" w:sz="4" w:space="0" w:color="BFBFBF" w:themeColor="background1" w:themeShade="BF"/>
            </w:tcBorders>
            <w:vAlign w:val="center"/>
          </w:tcPr>
          <w:p w14:paraId="414BCD2E" w14:textId="77777777" w:rsidR="00C81D7D" w:rsidRPr="00C81D7D" w:rsidRDefault="00C81D7D" w:rsidP="00E46CFB">
            <w:pPr>
              <w:tabs>
                <w:tab w:val="left" w:pos="567"/>
                <w:tab w:val="right" w:pos="9600"/>
              </w:tabs>
              <w:spacing w:before="60" w:after="60"/>
              <w:rPr>
                <w:rFonts w:ascii="Arial" w:hAnsi="Arial" w:cs="Arial"/>
                <w:b/>
                <w:sz w:val="22"/>
                <w:szCs w:val="22"/>
                <w:lang w:val="fr-FR"/>
              </w:rPr>
            </w:pPr>
            <w:r w:rsidRPr="00C81D7D">
              <w:rPr>
                <w:rFonts w:ascii="Arial" w:hAnsi="Arial" w:cs="Arial"/>
                <w:b/>
                <w:sz w:val="22"/>
                <w:szCs w:val="22"/>
                <w:lang w:val="fr-FR"/>
              </w:rPr>
              <w:t xml:space="preserve">Égalité de genre </w:t>
            </w:r>
          </w:p>
          <w:p w14:paraId="140B3B73" w14:textId="77777777" w:rsidR="00C81D7D" w:rsidRPr="00C81D7D" w:rsidRDefault="00C81D7D" w:rsidP="00E46CFB">
            <w:pPr>
              <w:pStyle w:val="Default"/>
              <w:jc w:val="both"/>
              <w:rPr>
                <w:rFonts w:cs="Arial"/>
                <w:bCs w:val="0"/>
                <w:i/>
                <w:iCs/>
                <w:sz w:val="22"/>
                <w:szCs w:val="22"/>
                <w:lang w:val="fr-FR"/>
              </w:rPr>
            </w:pPr>
          </w:p>
          <w:p w14:paraId="0DF4672C" w14:textId="77777777" w:rsidR="00C81D7D" w:rsidRPr="00C81D7D" w:rsidRDefault="00C81D7D" w:rsidP="00E46CFB">
            <w:pPr>
              <w:tabs>
                <w:tab w:val="left" w:pos="567"/>
                <w:tab w:val="right" w:pos="9600"/>
              </w:tabs>
              <w:spacing w:before="60" w:after="60"/>
              <w:rPr>
                <w:rFonts w:ascii="Arial" w:hAnsi="Arial" w:cs="Arial"/>
                <w:i/>
                <w:iCs/>
                <w:sz w:val="22"/>
                <w:szCs w:val="22"/>
                <w:lang w:val="fr-FR"/>
              </w:rPr>
            </w:pPr>
            <w:r w:rsidRPr="00C81D7D">
              <w:rPr>
                <w:rFonts w:ascii="Arial" w:hAnsi="Arial" w:cs="Arial"/>
                <w:i/>
                <w:iCs/>
                <w:sz w:val="22"/>
                <w:szCs w:val="22"/>
                <w:lang w:val="fr-FR"/>
              </w:rPr>
              <w:t xml:space="preserve">Le Groupe de rédaction sera invité à discuter les aspects relatifs à l’égalité de genre de ses travaux. </w:t>
            </w:r>
          </w:p>
        </w:tc>
        <w:tc>
          <w:tcPr>
            <w:tcW w:w="2837" w:type="dxa"/>
            <w:tcBorders>
              <w:top w:val="single" w:sz="4" w:space="0" w:color="BFBFBF" w:themeColor="background1" w:themeShade="BF"/>
              <w:bottom w:val="single" w:sz="4" w:space="0" w:color="BFBFBF" w:themeColor="background1" w:themeShade="BF"/>
            </w:tcBorders>
            <w:vAlign w:val="center"/>
          </w:tcPr>
          <w:p w14:paraId="7426C5E4" w14:textId="77777777" w:rsidR="00C81D7D" w:rsidRPr="00074443" w:rsidRDefault="00AF5A36" w:rsidP="00E46CFB">
            <w:pPr>
              <w:tabs>
                <w:tab w:val="left" w:pos="567"/>
                <w:tab w:val="right" w:pos="9600"/>
              </w:tabs>
              <w:rPr>
                <w:rFonts w:ascii="Arial" w:hAnsi="Arial" w:cs="Arial"/>
                <w:color w:val="000000" w:themeColor="text1"/>
                <w:sz w:val="20"/>
              </w:rPr>
            </w:pPr>
            <w:hyperlink r:id="rId10" w:history="1">
              <w:r w:rsidR="00C81D7D" w:rsidRPr="00074443">
                <w:rPr>
                  <w:rStyle w:val="Lienhypertexte"/>
                  <w:rFonts w:ascii="Arial" w:hAnsi="Arial" w:cs="Arial"/>
                  <w:sz w:val="20"/>
                </w:rPr>
                <w:t>CDDH(2020)13</w:t>
              </w:r>
            </w:hyperlink>
          </w:p>
        </w:tc>
      </w:tr>
      <w:tr w:rsidR="00C81D7D" w:rsidRPr="00074443" w14:paraId="4951FF02" w14:textId="77777777" w:rsidTr="00E46CFB">
        <w:trPr>
          <w:trHeight w:val="564"/>
          <w:jc w:val="center"/>
        </w:trPr>
        <w:tc>
          <w:tcPr>
            <w:tcW w:w="383" w:type="dxa"/>
            <w:tcBorders>
              <w:top w:val="single" w:sz="4" w:space="0" w:color="BFBFBF" w:themeColor="background1" w:themeShade="BF"/>
              <w:bottom w:val="single" w:sz="4" w:space="0" w:color="BFBFBF" w:themeColor="background1" w:themeShade="BF"/>
            </w:tcBorders>
          </w:tcPr>
          <w:p w14:paraId="49A22300" w14:textId="77777777" w:rsidR="00C81D7D" w:rsidRPr="005849C5" w:rsidRDefault="00C81D7D" w:rsidP="00E46CFB">
            <w:pPr>
              <w:tabs>
                <w:tab w:val="left" w:pos="567"/>
                <w:tab w:val="right" w:pos="9600"/>
              </w:tabs>
              <w:spacing w:before="60"/>
              <w:rPr>
                <w:rFonts w:ascii="Arial" w:hAnsi="Arial" w:cs="Arial"/>
                <w:b/>
                <w:sz w:val="22"/>
                <w:szCs w:val="22"/>
              </w:rPr>
            </w:pPr>
            <w:r w:rsidRPr="005849C5">
              <w:rPr>
                <w:rFonts w:ascii="Arial" w:hAnsi="Arial" w:cs="Arial"/>
                <w:b/>
                <w:sz w:val="22"/>
                <w:szCs w:val="22"/>
              </w:rPr>
              <w:t>5.</w:t>
            </w:r>
          </w:p>
        </w:tc>
        <w:tc>
          <w:tcPr>
            <w:tcW w:w="6997" w:type="dxa"/>
            <w:tcBorders>
              <w:top w:val="single" w:sz="4" w:space="0" w:color="BFBFBF" w:themeColor="background1" w:themeShade="BF"/>
              <w:bottom w:val="single" w:sz="4" w:space="0" w:color="BFBFBF" w:themeColor="background1" w:themeShade="BF"/>
            </w:tcBorders>
            <w:vAlign w:val="center"/>
          </w:tcPr>
          <w:p w14:paraId="6C2585AC" w14:textId="77777777" w:rsidR="00C81D7D" w:rsidRPr="00C81D7D" w:rsidRDefault="00C81D7D" w:rsidP="00E46CFB">
            <w:pPr>
              <w:tabs>
                <w:tab w:val="left" w:pos="567"/>
                <w:tab w:val="right" w:pos="9600"/>
              </w:tabs>
              <w:spacing w:before="60" w:after="60"/>
              <w:rPr>
                <w:rFonts w:ascii="Arial" w:hAnsi="Arial" w:cs="Arial"/>
                <w:b/>
                <w:sz w:val="22"/>
                <w:szCs w:val="22"/>
                <w:lang w:val="fr-FR"/>
              </w:rPr>
            </w:pPr>
            <w:r w:rsidRPr="00C81D7D">
              <w:rPr>
                <w:rFonts w:ascii="Arial" w:hAnsi="Arial" w:cs="Arial"/>
                <w:b/>
                <w:sz w:val="22"/>
                <w:szCs w:val="22"/>
                <w:lang w:val="fr-FR"/>
              </w:rPr>
              <w:t xml:space="preserve">Organisation des travaux futurs  </w:t>
            </w:r>
          </w:p>
          <w:p w14:paraId="76860D0B" w14:textId="77777777" w:rsidR="00C81D7D" w:rsidRPr="00C81D7D" w:rsidRDefault="00C81D7D" w:rsidP="00E46CFB">
            <w:pPr>
              <w:tabs>
                <w:tab w:val="left" w:pos="567"/>
                <w:tab w:val="right" w:pos="9600"/>
              </w:tabs>
              <w:spacing w:before="60" w:after="60"/>
              <w:rPr>
                <w:rStyle w:val="Accentuation"/>
                <w:rFonts w:ascii="Arial" w:hAnsi="Arial" w:cs="Arial"/>
                <w:color w:val="000000"/>
                <w:sz w:val="22"/>
                <w:szCs w:val="22"/>
                <w:lang w:val="fr-FR"/>
              </w:rPr>
            </w:pPr>
          </w:p>
          <w:p w14:paraId="0FAF5F0D" w14:textId="77777777" w:rsidR="00C81D7D" w:rsidRPr="00C81D7D" w:rsidRDefault="00C81D7D" w:rsidP="00E46CFB">
            <w:pPr>
              <w:tabs>
                <w:tab w:val="left" w:pos="567"/>
                <w:tab w:val="right" w:pos="9600"/>
              </w:tabs>
              <w:spacing w:before="60" w:after="60"/>
              <w:rPr>
                <w:rFonts w:ascii="Arial" w:hAnsi="Arial" w:cs="Arial"/>
                <w:i/>
                <w:iCs/>
                <w:color w:val="000000"/>
                <w:sz w:val="22"/>
                <w:szCs w:val="22"/>
                <w:lang w:val="fr-FR"/>
              </w:rPr>
            </w:pPr>
            <w:r w:rsidRPr="00C81D7D">
              <w:rPr>
                <w:rFonts w:ascii="Arial" w:hAnsi="Arial" w:cs="Arial"/>
                <w:i/>
                <w:iCs/>
                <w:sz w:val="22"/>
                <w:szCs w:val="22"/>
                <w:lang w:val="fr-FR"/>
              </w:rPr>
              <w:t xml:space="preserve">Le Groupe de rédaction sera invité à discuter </w:t>
            </w:r>
            <w:r w:rsidRPr="00C81D7D">
              <w:rPr>
                <w:rStyle w:val="Accentuation"/>
                <w:rFonts w:ascii="Arial" w:hAnsi="Arial" w:cs="Arial"/>
                <w:color w:val="000000"/>
                <w:sz w:val="22"/>
                <w:szCs w:val="22"/>
                <w:lang w:val="fr-FR"/>
              </w:rPr>
              <w:t xml:space="preserve">et à prendre toutes les décisions nécessaires en ce qui concerne l’organisation de ses travaux futurs. </w:t>
            </w:r>
          </w:p>
        </w:tc>
        <w:tc>
          <w:tcPr>
            <w:tcW w:w="2837" w:type="dxa"/>
            <w:tcBorders>
              <w:top w:val="single" w:sz="4" w:space="0" w:color="BFBFBF" w:themeColor="background1" w:themeShade="BF"/>
              <w:bottom w:val="single" w:sz="4" w:space="0" w:color="BFBFBF" w:themeColor="background1" w:themeShade="BF"/>
            </w:tcBorders>
            <w:vAlign w:val="center"/>
          </w:tcPr>
          <w:p w14:paraId="55DE3988" w14:textId="77777777" w:rsidR="00C81D7D" w:rsidRPr="00074443" w:rsidRDefault="00C81D7D" w:rsidP="00E46CFB">
            <w:pPr>
              <w:tabs>
                <w:tab w:val="left" w:pos="567"/>
                <w:tab w:val="right" w:pos="9600"/>
              </w:tabs>
              <w:ind w:hanging="388"/>
              <w:jc w:val="center"/>
              <w:rPr>
                <w:rFonts w:ascii="Arial" w:hAnsi="Arial" w:cs="Arial"/>
                <w:color w:val="0000FF"/>
                <w:sz w:val="20"/>
              </w:rPr>
            </w:pPr>
            <w:r w:rsidRPr="00C81D7D">
              <w:rPr>
                <w:rFonts w:ascii="Arial" w:hAnsi="Arial" w:cs="Arial"/>
                <w:color w:val="000000" w:themeColor="text1"/>
                <w:sz w:val="20"/>
                <w:lang w:val="fr-FR"/>
              </w:rPr>
              <w:t xml:space="preserve">  </w:t>
            </w:r>
            <w:r w:rsidRPr="00074443">
              <w:rPr>
                <w:rFonts w:ascii="Arial" w:hAnsi="Arial" w:cs="Arial"/>
                <w:color w:val="000000" w:themeColor="text1"/>
                <w:sz w:val="20"/>
              </w:rPr>
              <w:t>DH-SYSC-IV(2020)03REV</w:t>
            </w:r>
            <w:r>
              <w:rPr>
                <w:rFonts w:ascii="Arial" w:hAnsi="Arial" w:cs="Arial"/>
                <w:color w:val="000000" w:themeColor="text1"/>
                <w:sz w:val="20"/>
              </w:rPr>
              <w:t>4</w:t>
            </w:r>
          </w:p>
        </w:tc>
      </w:tr>
      <w:tr w:rsidR="00C81D7D" w:rsidRPr="00074443" w14:paraId="1D0886D3" w14:textId="77777777" w:rsidTr="00E46CFB">
        <w:trPr>
          <w:trHeight w:val="564"/>
          <w:jc w:val="center"/>
        </w:trPr>
        <w:tc>
          <w:tcPr>
            <w:tcW w:w="383" w:type="dxa"/>
            <w:tcBorders>
              <w:top w:val="single" w:sz="4" w:space="0" w:color="BFBFBF" w:themeColor="background1" w:themeShade="BF"/>
              <w:bottom w:val="single" w:sz="4" w:space="0" w:color="BFBFBF" w:themeColor="background1" w:themeShade="BF"/>
            </w:tcBorders>
          </w:tcPr>
          <w:p w14:paraId="69B0B914" w14:textId="77777777" w:rsidR="00C81D7D" w:rsidRPr="005849C5" w:rsidRDefault="00C81D7D" w:rsidP="00E46CFB">
            <w:pPr>
              <w:tabs>
                <w:tab w:val="left" w:pos="567"/>
                <w:tab w:val="right" w:pos="9600"/>
              </w:tabs>
              <w:spacing w:before="60"/>
              <w:rPr>
                <w:rFonts w:ascii="Arial" w:hAnsi="Arial" w:cs="Arial"/>
                <w:b/>
                <w:sz w:val="22"/>
                <w:szCs w:val="22"/>
              </w:rPr>
            </w:pPr>
            <w:r w:rsidRPr="005849C5">
              <w:rPr>
                <w:rFonts w:ascii="Arial" w:hAnsi="Arial" w:cs="Arial"/>
                <w:b/>
                <w:sz w:val="22"/>
                <w:szCs w:val="22"/>
              </w:rPr>
              <w:t>6.</w:t>
            </w:r>
          </w:p>
        </w:tc>
        <w:tc>
          <w:tcPr>
            <w:tcW w:w="6997" w:type="dxa"/>
            <w:tcBorders>
              <w:top w:val="single" w:sz="4" w:space="0" w:color="BFBFBF" w:themeColor="background1" w:themeShade="BF"/>
              <w:bottom w:val="single" w:sz="4" w:space="0" w:color="BFBFBF" w:themeColor="background1" w:themeShade="BF"/>
            </w:tcBorders>
          </w:tcPr>
          <w:p w14:paraId="3BB92DCD" w14:textId="77777777" w:rsidR="00C81D7D" w:rsidRPr="00FC0B34" w:rsidRDefault="00C81D7D" w:rsidP="00E46CFB">
            <w:pPr>
              <w:tabs>
                <w:tab w:val="left" w:pos="567"/>
                <w:tab w:val="right" w:pos="9600"/>
              </w:tabs>
              <w:spacing w:before="60" w:after="60"/>
              <w:rPr>
                <w:rFonts w:ascii="Arial" w:hAnsi="Arial" w:cs="Arial"/>
                <w:b/>
                <w:sz w:val="22"/>
                <w:szCs w:val="22"/>
              </w:rPr>
            </w:pPr>
            <w:r w:rsidRPr="00FC0B34">
              <w:rPr>
                <w:rFonts w:ascii="Arial" w:hAnsi="Arial" w:cs="Arial"/>
                <w:b/>
                <w:sz w:val="22"/>
                <w:szCs w:val="22"/>
              </w:rPr>
              <w:t>Questions diverses</w:t>
            </w:r>
          </w:p>
        </w:tc>
        <w:tc>
          <w:tcPr>
            <w:tcW w:w="2837" w:type="dxa"/>
            <w:tcBorders>
              <w:top w:val="single" w:sz="4" w:space="0" w:color="BFBFBF" w:themeColor="background1" w:themeShade="BF"/>
              <w:bottom w:val="single" w:sz="4" w:space="0" w:color="BFBFBF" w:themeColor="background1" w:themeShade="BF"/>
            </w:tcBorders>
            <w:vAlign w:val="center"/>
          </w:tcPr>
          <w:p w14:paraId="4A1EDCC6" w14:textId="77777777" w:rsidR="00C81D7D" w:rsidRPr="00074443" w:rsidRDefault="00C81D7D" w:rsidP="00E46CFB">
            <w:pPr>
              <w:tabs>
                <w:tab w:val="left" w:pos="567"/>
                <w:tab w:val="right" w:pos="9600"/>
              </w:tabs>
              <w:jc w:val="right"/>
              <w:rPr>
                <w:rFonts w:ascii="Arial" w:hAnsi="Arial" w:cs="Arial"/>
                <w:color w:val="0000FF"/>
                <w:sz w:val="20"/>
              </w:rPr>
            </w:pPr>
          </w:p>
        </w:tc>
      </w:tr>
      <w:tr w:rsidR="00C81D7D" w:rsidRPr="00074443" w14:paraId="13B199F6" w14:textId="77777777" w:rsidTr="00E46CFB">
        <w:trPr>
          <w:trHeight w:val="564"/>
          <w:jc w:val="center"/>
        </w:trPr>
        <w:tc>
          <w:tcPr>
            <w:tcW w:w="383" w:type="dxa"/>
            <w:tcBorders>
              <w:top w:val="single" w:sz="4" w:space="0" w:color="BFBFBF" w:themeColor="background1" w:themeShade="BF"/>
              <w:bottom w:val="single" w:sz="4" w:space="0" w:color="BFBFBF" w:themeColor="background1" w:themeShade="BF"/>
            </w:tcBorders>
          </w:tcPr>
          <w:p w14:paraId="6B291FE5" w14:textId="77777777" w:rsidR="00C81D7D" w:rsidRPr="005849C5" w:rsidRDefault="00C81D7D" w:rsidP="00E46CFB">
            <w:pPr>
              <w:tabs>
                <w:tab w:val="left" w:pos="567"/>
                <w:tab w:val="right" w:pos="9600"/>
              </w:tabs>
              <w:spacing w:before="60"/>
              <w:rPr>
                <w:rFonts w:ascii="Arial" w:hAnsi="Arial" w:cs="Arial"/>
                <w:b/>
                <w:sz w:val="22"/>
                <w:szCs w:val="22"/>
              </w:rPr>
            </w:pPr>
            <w:r w:rsidRPr="005849C5">
              <w:rPr>
                <w:rFonts w:ascii="Arial" w:hAnsi="Arial" w:cs="Arial"/>
                <w:b/>
                <w:sz w:val="22"/>
                <w:szCs w:val="22"/>
              </w:rPr>
              <w:t>7.</w:t>
            </w:r>
          </w:p>
        </w:tc>
        <w:tc>
          <w:tcPr>
            <w:tcW w:w="6997" w:type="dxa"/>
            <w:tcBorders>
              <w:top w:val="single" w:sz="4" w:space="0" w:color="BFBFBF" w:themeColor="background1" w:themeShade="BF"/>
              <w:bottom w:val="single" w:sz="4" w:space="0" w:color="BFBFBF" w:themeColor="background1" w:themeShade="BF"/>
            </w:tcBorders>
          </w:tcPr>
          <w:p w14:paraId="23B98CD4" w14:textId="77777777" w:rsidR="00C81D7D" w:rsidRPr="00C81D7D" w:rsidRDefault="00C81D7D" w:rsidP="00E46CFB">
            <w:pPr>
              <w:tabs>
                <w:tab w:val="left" w:pos="567"/>
                <w:tab w:val="right" w:pos="9600"/>
              </w:tabs>
              <w:spacing w:before="60" w:after="60"/>
              <w:rPr>
                <w:rFonts w:ascii="Arial" w:hAnsi="Arial" w:cs="Arial"/>
                <w:b/>
                <w:sz w:val="22"/>
                <w:szCs w:val="22"/>
                <w:lang w:val="fr-FR"/>
              </w:rPr>
            </w:pPr>
            <w:r w:rsidRPr="00C81D7D">
              <w:rPr>
                <w:rFonts w:ascii="Arial" w:hAnsi="Arial" w:cs="Arial"/>
                <w:b/>
                <w:sz w:val="22"/>
                <w:szCs w:val="22"/>
                <w:lang w:val="fr-FR"/>
              </w:rPr>
              <w:t>Adoption du rapport de réunion</w:t>
            </w:r>
          </w:p>
        </w:tc>
        <w:tc>
          <w:tcPr>
            <w:tcW w:w="2837" w:type="dxa"/>
            <w:tcBorders>
              <w:top w:val="single" w:sz="4" w:space="0" w:color="BFBFBF" w:themeColor="background1" w:themeShade="BF"/>
              <w:bottom w:val="single" w:sz="4" w:space="0" w:color="BFBFBF" w:themeColor="background1" w:themeShade="BF"/>
            </w:tcBorders>
            <w:vAlign w:val="center"/>
          </w:tcPr>
          <w:p w14:paraId="205C6594" w14:textId="77777777" w:rsidR="00C81D7D" w:rsidRPr="00074443" w:rsidRDefault="00C81D7D" w:rsidP="00E46CFB">
            <w:pPr>
              <w:tabs>
                <w:tab w:val="left" w:pos="567"/>
                <w:tab w:val="right" w:pos="9600"/>
              </w:tabs>
              <w:rPr>
                <w:rFonts w:ascii="Arial" w:hAnsi="Arial" w:cs="Arial"/>
                <w:sz w:val="20"/>
              </w:rPr>
            </w:pPr>
            <w:r w:rsidRPr="003B2B4F">
              <w:rPr>
                <w:rFonts w:ascii="Arial" w:hAnsi="Arial" w:cs="Arial"/>
                <w:sz w:val="20"/>
              </w:rPr>
              <w:t>DH-SYS-IV(2021)R4</w:t>
            </w:r>
          </w:p>
        </w:tc>
      </w:tr>
      <w:bookmarkEnd w:id="0"/>
    </w:tbl>
    <w:p w14:paraId="1F6C38E1" w14:textId="77777777" w:rsidR="00C81D7D" w:rsidRPr="00074443" w:rsidRDefault="00C81D7D" w:rsidP="00C81D7D"/>
    <w:p w14:paraId="15CEC04B" w14:textId="77777777" w:rsidR="00C81D7D" w:rsidRPr="00074443" w:rsidRDefault="00C81D7D" w:rsidP="00C81D7D">
      <w:pPr>
        <w:rPr>
          <w:rFonts w:ascii="Arial" w:hAnsi="Arial" w:cs="Arial"/>
          <w:b/>
          <w:bCs/>
        </w:rPr>
      </w:pPr>
      <w:r w:rsidRPr="00074443">
        <w:rPr>
          <w:rFonts w:ascii="Arial" w:hAnsi="Arial" w:cs="Arial"/>
          <w:b/>
          <w:bCs/>
        </w:rPr>
        <w:br w:type="page"/>
      </w:r>
    </w:p>
    <w:p w14:paraId="37B3CBB2" w14:textId="77777777" w:rsidR="00C81D7D" w:rsidRPr="00074443" w:rsidRDefault="00C81D7D" w:rsidP="00C81D7D">
      <w:pPr>
        <w:rPr>
          <w:rFonts w:ascii="Arial" w:hAnsi="Arial" w:cs="Arial"/>
          <w:b/>
        </w:rPr>
      </w:pPr>
      <w:r w:rsidRPr="00074443">
        <w:rPr>
          <w:rFonts w:ascii="Arial" w:hAnsi="Arial" w:cs="Arial"/>
          <w:b/>
        </w:rPr>
        <w:lastRenderedPageBreak/>
        <w:t xml:space="preserve">Documents de référence : </w:t>
      </w:r>
    </w:p>
    <w:tbl>
      <w:tblPr>
        <w:tblStyle w:val="Grilledutableau"/>
        <w:tblW w:w="92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5303"/>
        <w:gridCol w:w="3920"/>
      </w:tblGrid>
      <w:tr w:rsidR="00C81D7D" w:rsidRPr="00074443" w14:paraId="4B0A8298" w14:textId="77777777" w:rsidTr="00E46CFB">
        <w:trPr>
          <w:trHeight w:val="385"/>
        </w:trPr>
        <w:tc>
          <w:tcPr>
            <w:tcW w:w="5303" w:type="dxa"/>
          </w:tcPr>
          <w:p w14:paraId="079A4C53" w14:textId="77777777" w:rsidR="00C81D7D" w:rsidRPr="00B521BB" w:rsidRDefault="00C81D7D" w:rsidP="00E46CFB">
            <w:pPr>
              <w:jc w:val="both"/>
              <w:rPr>
                <w:rFonts w:ascii="Arial Narrow" w:hAnsi="Arial Narrow" w:cs="Arial"/>
                <w:sz w:val="22"/>
                <w:szCs w:val="22"/>
              </w:rPr>
            </w:pPr>
          </w:p>
          <w:p w14:paraId="456ECBC4" w14:textId="77777777" w:rsidR="00C81D7D" w:rsidRPr="00B521BB" w:rsidRDefault="00C81D7D" w:rsidP="00E46CFB">
            <w:pPr>
              <w:jc w:val="both"/>
              <w:rPr>
                <w:rFonts w:ascii="Arial Narrow" w:hAnsi="Arial Narrow" w:cs="Arial"/>
                <w:sz w:val="22"/>
                <w:szCs w:val="22"/>
              </w:rPr>
            </w:pPr>
            <w:r w:rsidRPr="00B521BB">
              <w:rPr>
                <w:rFonts w:ascii="Arial Narrow" w:hAnsi="Arial Narrow" w:cs="Arial"/>
                <w:sz w:val="22"/>
                <w:szCs w:val="22"/>
              </w:rPr>
              <w:t>Mandat du DH-SYSC-IV</w:t>
            </w:r>
          </w:p>
        </w:tc>
        <w:tc>
          <w:tcPr>
            <w:tcW w:w="3920" w:type="dxa"/>
          </w:tcPr>
          <w:p w14:paraId="468C0036" w14:textId="77777777" w:rsidR="00C81D7D" w:rsidRPr="00074443" w:rsidRDefault="00C81D7D" w:rsidP="00E46CFB">
            <w:pPr>
              <w:ind w:left="114"/>
              <w:jc w:val="right"/>
            </w:pPr>
          </w:p>
          <w:p w14:paraId="03F0E193" w14:textId="77777777" w:rsidR="00C81D7D" w:rsidRPr="00074443" w:rsidRDefault="00AF5A36" w:rsidP="00E46CFB">
            <w:pPr>
              <w:jc w:val="right"/>
              <w:rPr>
                <w:rFonts w:ascii="Arial" w:hAnsi="Arial" w:cs="Arial"/>
                <w:bCs/>
                <w:iCs/>
                <w:color w:val="0000FF"/>
                <w:sz w:val="20"/>
                <w:szCs w:val="20"/>
                <w:u w:val="single"/>
              </w:rPr>
            </w:pPr>
            <w:hyperlink r:id="rId11" w:history="1">
              <w:r w:rsidR="00C81D7D" w:rsidRPr="00074443">
                <w:rPr>
                  <w:rStyle w:val="Lienhypertexte"/>
                  <w:rFonts w:ascii="Arial" w:hAnsi="Arial" w:cs="Arial"/>
                  <w:iCs/>
                  <w:sz w:val="20"/>
                  <w:szCs w:val="20"/>
                </w:rPr>
                <w:t>DH-SYSC-IV(2020)01</w:t>
              </w:r>
            </w:hyperlink>
          </w:p>
        </w:tc>
      </w:tr>
      <w:tr w:rsidR="00C81D7D" w:rsidRPr="00074443" w14:paraId="52940228" w14:textId="77777777" w:rsidTr="00E46CFB">
        <w:trPr>
          <w:trHeight w:val="385"/>
        </w:trPr>
        <w:tc>
          <w:tcPr>
            <w:tcW w:w="5303" w:type="dxa"/>
          </w:tcPr>
          <w:p w14:paraId="6D40D1EA" w14:textId="77777777" w:rsidR="00C81D7D" w:rsidRPr="00B521BB" w:rsidRDefault="00C81D7D" w:rsidP="00E46CFB">
            <w:pPr>
              <w:jc w:val="both"/>
              <w:rPr>
                <w:rFonts w:ascii="Arial Narrow" w:hAnsi="Arial Narrow" w:cs="Arial"/>
                <w:bCs/>
                <w:sz w:val="22"/>
                <w:szCs w:val="22"/>
              </w:rPr>
            </w:pPr>
            <w:r w:rsidRPr="00B521BB">
              <w:rPr>
                <w:rFonts w:ascii="Arial Narrow" w:hAnsi="Arial Narrow" w:cs="Arial"/>
                <w:sz w:val="22"/>
                <w:szCs w:val="22"/>
              </w:rPr>
              <w:t xml:space="preserve">Résolution </w:t>
            </w:r>
            <w:bookmarkStart w:id="2" w:name="_ML_000000000000_VALID"/>
            <w:r w:rsidRPr="00B521BB">
              <w:rPr>
                <w:rFonts w:ascii="Arial Narrow" w:hAnsi="Arial Narrow" w:cs="Arial"/>
                <w:sz w:val="22"/>
                <w:szCs w:val="22"/>
              </w:rPr>
              <w:fldChar w:fldCharType="begin"/>
            </w:r>
            <w:r w:rsidRPr="00B521BB">
              <w:rPr>
                <w:rFonts w:ascii="Arial Narrow" w:hAnsi="Arial Narrow" w:cs="Arial"/>
                <w:sz w:val="22"/>
                <w:szCs w:val="22"/>
              </w:rPr>
              <w:instrText xml:space="preserve"> HYPERLINK "https://search.coe.int/cm/Pages/result_details.aspx?Reference=CM/Res(2011)24" \o "Resolution on intergovernmental committees and subordinate bodies, their terms of reference and working methods (Adopted by the Committee of Ministers on 9 November 2011 at the 1125th meeting of the Ministers' Deputies)" </w:instrText>
            </w:r>
            <w:r w:rsidRPr="00B521BB">
              <w:rPr>
                <w:rFonts w:ascii="Arial Narrow" w:hAnsi="Arial Narrow" w:cs="Arial"/>
                <w:sz w:val="22"/>
                <w:szCs w:val="22"/>
              </w:rPr>
              <w:fldChar w:fldCharType="separate"/>
            </w:r>
            <w:bookmarkEnd w:id="2"/>
            <w:r w:rsidRPr="00B521BB">
              <w:rPr>
                <w:rStyle w:val="Lienhypertexte"/>
                <w:rFonts w:ascii="Arial Narrow" w:hAnsi="Arial Narrow" w:cs="Arial"/>
                <w:sz w:val="22"/>
                <w:szCs w:val="22"/>
              </w:rPr>
              <w:t>CM/Res(2011)24</w:t>
            </w:r>
            <w:r w:rsidRPr="00B521BB">
              <w:rPr>
                <w:rFonts w:ascii="Arial Narrow" w:hAnsi="Arial Narrow" w:cs="Arial"/>
                <w:sz w:val="22"/>
                <w:szCs w:val="22"/>
              </w:rPr>
              <w:fldChar w:fldCharType="end"/>
            </w:r>
            <w:r w:rsidRPr="00B521BB">
              <w:rPr>
                <w:rFonts w:ascii="Arial Narrow" w:hAnsi="Arial Narrow" w:cs="Arial"/>
                <w:sz w:val="22"/>
                <w:szCs w:val="22"/>
              </w:rPr>
              <w:t xml:space="preserve"> concernant les comités intergouvernementaux et les organes subordonnés, leur mandat et leurs méthodes de travail (elle sera remplacée par Résolution </w:t>
            </w:r>
            <w:hyperlink r:id="rId12" w:history="1">
              <w:r w:rsidRPr="00B521BB">
                <w:rPr>
                  <w:rStyle w:val="Lienhypertexte"/>
                  <w:rFonts w:ascii="Arial Narrow" w:hAnsi="Arial Narrow" w:cs="Arial"/>
                  <w:sz w:val="22"/>
                  <w:szCs w:val="22"/>
                </w:rPr>
                <w:t>CM/Res(2021)3</w:t>
              </w:r>
            </w:hyperlink>
            <w:r w:rsidRPr="00B521BB">
              <w:rPr>
                <w:rFonts w:ascii="Arial Narrow" w:hAnsi="Arial Narrow" w:cs="Arial"/>
                <w:sz w:val="22"/>
                <w:szCs w:val="22"/>
              </w:rPr>
              <w:t xml:space="preserve"> concernant les comités intergouvernementaux et les organes subordonnés, leur mandat et leurs méthodes de travail</w:t>
            </w:r>
          </w:p>
          <w:p w14:paraId="6AC1EFE6" w14:textId="77777777" w:rsidR="00C81D7D" w:rsidRPr="00B521BB" w:rsidRDefault="00C81D7D" w:rsidP="00E46CFB">
            <w:pPr>
              <w:jc w:val="both"/>
              <w:rPr>
                <w:rFonts w:ascii="Arial Narrow" w:hAnsi="Arial Narrow" w:cs="Arial"/>
                <w:sz w:val="22"/>
                <w:szCs w:val="22"/>
              </w:rPr>
            </w:pPr>
          </w:p>
        </w:tc>
        <w:tc>
          <w:tcPr>
            <w:tcW w:w="3920" w:type="dxa"/>
          </w:tcPr>
          <w:p w14:paraId="2D1D27FE" w14:textId="77777777" w:rsidR="00C81D7D" w:rsidRPr="00074443" w:rsidRDefault="00AF5A36" w:rsidP="00E46CFB">
            <w:pPr>
              <w:ind w:left="114"/>
              <w:jc w:val="right"/>
            </w:pPr>
            <w:hyperlink r:id="rId13" w:tooltip="Resolution on intergovernmental committees and subordinate bodies, their terms of reference and working methods (Adopted by the Committee of Ministers on 9 November 2011 at the 1125th meeting of the Ministers' Deputies)" w:history="1">
              <w:r w:rsidR="00C81D7D" w:rsidRPr="00B521BB">
                <w:rPr>
                  <w:rStyle w:val="Lienhypertexte"/>
                  <w:rFonts w:ascii="Arial Narrow" w:hAnsi="Arial Narrow" w:cs="Arial"/>
                  <w:sz w:val="22"/>
                  <w:szCs w:val="22"/>
                </w:rPr>
                <w:t>CM/Res(2011)24</w:t>
              </w:r>
            </w:hyperlink>
          </w:p>
        </w:tc>
      </w:tr>
      <w:tr w:rsidR="00C81D7D" w:rsidRPr="00074443" w14:paraId="240C09DE" w14:textId="77777777" w:rsidTr="00E46CFB">
        <w:trPr>
          <w:trHeight w:val="385"/>
        </w:trPr>
        <w:tc>
          <w:tcPr>
            <w:tcW w:w="5303" w:type="dxa"/>
          </w:tcPr>
          <w:p w14:paraId="13238BEE" w14:textId="77777777" w:rsidR="00C81D7D" w:rsidRPr="00B521BB" w:rsidRDefault="00C81D7D" w:rsidP="00E46CFB">
            <w:pPr>
              <w:jc w:val="both"/>
              <w:rPr>
                <w:rFonts w:ascii="Arial Narrow" w:hAnsi="Arial Narrow" w:cs="Arial"/>
                <w:bCs/>
                <w:sz w:val="22"/>
                <w:szCs w:val="22"/>
              </w:rPr>
            </w:pPr>
            <w:r w:rsidRPr="00B521BB">
              <w:rPr>
                <w:rFonts w:ascii="Arial Narrow" w:hAnsi="Arial Narrow" w:cs="Arial"/>
                <w:sz w:val="22"/>
                <w:szCs w:val="22"/>
              </w:rPr>
              <w:t>Rapport de la 94</w:t>
            </w:r>
            <w:r w:rsidRPr="00B521BB">
              <w:rPr>
                <w:rFonts w:ascii="Arial Narrow" w:hAnsi="Arial Narrow" w:cs="Arial"/>
                <w:sz w:val="22"/>
                <w:szCs w:val="22"/>
                <w:vertAlign w:val="superscript"/>
              </w:rPr>
              <w:t>e</w:t>
            </w:r>
            <w:r w:rsidRPr="00B521BB">
              <w:rPr>
                <w:rFonts w:ascii="Arial Narrow" w:hAnsi="Arial Narrow" w:cs="Arial"/>
                <w:sz w:val="22"/>
                <w:szCs w:val="22"/>
              </w:rPr>
              <w:t xml:space="preserve"> réunion du CDDH (15-18 juin 2021)</w:t>
            </w:r>
          </w:p>
        </w:tc>
        <w:tc>
          <w:tcPr>
            <w:tcW w:w="3920" w:type="dxa"/>
          </w:tcPr>
          <w:p w14:paraId="55BBE34E" w14:textId="77777777" w:rsidR="00C81D7D" w:rsidRPr="00B521BB" w:rsidRDefault="00AF5A36" w:rsidP="00E46CFB">
            <w:pPr>
              <w:ind w:left="114"/>
              <w:jc w:val="right"/>
              <w:rPr>
                <w:rFonts w:ascii="Arial Narrow" w:hAnsi="Arial Narrow" w:cs="Arial"/>
                <w:bCs/>
                <w:sz w:val="22"/>
                <w:szCs w:val="22"/>
              </w:rPr>
            </w:pPr>
            <w:hyperlink r:id="rId14" w:history="1">
              <w:r w:rsidR="00C81D7D" w:rsidRPr="00B521BB">
                <w:rPr>
                  <w:rStyle w:val="Lienhypertexte"/>
                  <w:rFonts w:ascii="Arial Narrow" w:hAnsi="Arial Narrow" w:cs="Arial"/>
                  <w:sz w:val="22"/>
                  <w:szCs w:val="22"/>
                </w:rPr>
                <w:t>CDDH(2021)R94</w:t>
              </w:r>
            </w:hyperlink>
          </w:p>
        </w:tc>
      </w:tr>
    </w:tbl>
    <w:tbl>
      <w:tblPr>
        <w:tblW w:w="9214" w:type="dxa"/>
        <w:tblCellMar>
          <w:left w:w="0" w:type="dxa"/>
          <w:right w:w="0" w:type="dxa"/>
        </w:tblCellMar>
        <w:tblLook w:val="04A0" w:firstRow="1" w:lastRow="0" w:firstColumn="1" w:lastColumn="0" w:noHBand="0" w:noVBand="1"/>
      </w:tblPr>
      <w:tblGrid>
        <w:gridCol w:w="5303"/>
        <w:gridCol w:w="3911"/>
      </w:tblGrid>
      <w:tr w:rsidR="00C81D7D" w:rsidRPr="00074443" w14:paraId="7DFFC112" w14:textId="77777777" w:rsidTr="00E46CFB">
        <w:trPr>
          <w:trHeight w:val="625"/>
        </w:trPr>
        <w:tc>
          <w:tcPr>
            <w:tcW w:w="5303" w:type="dxa"/>
            <w:tcMar>
              <w:top w:w="113" w:type="dxa"/>
              <w:left w:w="108" w:type="dxa"/>
              <w:bottom w:w="113" w:type="dxa"/>
              <w:right w:w="108" w:type="dxa"/>
            </w:tcMar>
          </w:tcPr>
          <w:p w14:paraId="7CE35E04" w14:textId="77777777" w:rsidR="00C81D7D" w:rsidRPr="00C81E78" w:rsidRDefault="00C81D7D" w:rsidP="00E46CFB">
            <w:pPr>
              <w:jc w:val="both"/>
              <w:rPr>
                <w:rFonts w:ascii="Arial Narrow" w:hAnsi="Arial Narrow" w:cs="Arial"/>
                <w:color w:val="000000"/>
                <w:sz w:val="22"/>
                <w:szCs w:val="22"/>
              </w:rPr>
            </w:pPr>
            <w:r w:rsidRPr="00C81E78">
              <w:rPr>
                <w:rFonts w:ascii="Arial Narrow" w:hAnsi="Arial Narrow" w:cs="Arial"/>
                <w:color w:val="000000"/>
                <w:sz w:val="22"/>
                <w:szCs w:val="22"/>
              </w:rPr>
              <w:t>Rapport de la 93</w:t>
            </w:r>
            <w:r w:rsidRPr="00C81E78">
              <w:rPr>
                <w:rFonts w:ascii="Arial Narrow" w:hAnsi="Arial Narrow" w:cs="Arial"/>
                <w:color w:val="000000"/>
                <w:sz w:val="22"/>
                <w:szCs w:val="22"/>
                <w:vertAlign w:val="superscript"/>
              </w:rPr>
              <w:t>e</w:t>
            </w:r>
            <w:r w:rsidRPr="00C81E78">
              <w:rPr>
                <w:rFonts w:ascii="Arial Narrow" w:hAnsi="Arial Narrow" w:cs="Arial"/>
                <w:color w:val="000000"/>
                <w:sz w:val="22"/>
                <w:szCs w:val="22"/>
              </w:rPr>
              <w:t xml:space="preserve"> réunion du CDDH (14-16 décembre 2020)</w:t>
            </w:r>
          </w:p>
        </w:tc>
        <w:tc>
          <w:tcPr>
            <w:tcW w:w="3911" w:type="dxa"/>
            <w:tcMar>
              <w:top w:w="113" w:type="dxa"/>
              <w:left w:w="108" w:type="dxa"/>
              <w:bottom w:w="113" w:type="dxa"/>
              <w:right w:w="108" w:type="dxa"/>
            </w:tcMar>
          </w:tcPr>
          <w:p w14:paraId="399AAD86" w14:textId="77777777" w:rsidR="00C81D7D" w:rsidRPr="00074443" w:rsidRDefault="00AF5A36" w:rsidP="00E46CFB">
            <w:pPr>
              <w:jc w:val="right"/>
              <w:rPr>
                <w:rFonts w:ascii="Arial" w:hAnsi="Arial" w:cs="Arial"/>
                <w:sz w:val="20"/>
                <w:szCs w:val="20"/>
              </w:rPr>
            </w:pPr>
            <w:hyperlink r:id="rId15" w:history="1">
              <w:r w:rsidR="00C81D7D" w:rsidRPr="00074443">
                <w:rPr>
                  <w:rStyle w:val="Lienhypertexte"/>
                  <w:rFonts w:ascii="Arial" w:hAnsi="Arial" w:cs="Arial"/>
                  <w:sz w:val="20"/>
                  <w:szCs w:val="20"/>
                </w:rPr>
                <w:t>CDDH(2020)R93</w:t>
              </w:r>
            </w:hyperlink>
          </w:p>
        </w:tc>
      </w:tr>
      <w:tr w:rsidR="00C81D7D" w:rsidRPr="00074443" w14:paraId="68B8DD2D" w14:textId="77777777" w:rsidTr="00E46CFB">
        <w:trPr>
          <w:trHeight w:val="625"/>
        </w:trPr>
        <w:tc>
          <w:tcPr>
            <w:tcW w:w="5303" w:type="dxa"/>
            <w:tcMar>
              <w:top w:w="113" w:type="dxa"/>
              <w:left w:w="108" w:type="dxa"/>
              <w:bottom w:w="113" w:type="dxa"/>
              <w:right w:w="108" w:type="dxa"/>
            </w:tcMar>
          </w:tcPr>
          <w:p w14:paraId="579ED61C" w14:textId="77777777" w:rsidR="00C81D7D" w:rsidRPr="00C81E78" w:rsidRDefault="00C81D7D" w:rsidP="00E46CFB">
            <w:pPr>
              <w:tabs>
                <w:tab w:val="left" w:pos="567"/>
                <w:tab w:val="right" w:pos="9600"/>
              </w:tabs>
              <w:spacing w:before="60" w:after="60"/>
              <w:jc w:val="both"/>
              <w:rPr>
                <w:rFonts w:ascii="Arial Narrow" w:hAnsi="Arial Narrow" w:cs="Arial"/>
                <w:sz w:val="22"/>
                <w:szCs w:val="22"/>
              </w:rPr>
            </w:pPr>
            <w:r w:rsidRPr="00C81E78">
              <w:rPr>
                <w:rFonts w:ascii="Arial Narrow" w:hAnsi="Arial Narrow" w:cs="Arial"/>
                <w:sz w:val="22"/>
                <w:szCs w:val="22"/>
              </w:rPr>
              <w:t xml:space="preserve">Projet de rapport du CDDH sur le traitement et la résolution efficace d’affaires concernant des conflits interétatiques </w:t>
            </w:r>
          </w:p>
          <w:p w14:paraId="0388D2B5" w14:textId="77777777" w:rsidR="00C81D7D" w:rsidRPr="00C81E78" w:rsidRDefault="00C81D7D" w:rsidP="00E46CFB">
            <w:pPr>
              <w:jc w:val="both"/>
              <w:rPr>
                <w:rFonts w:ascii="Arial Narrow" w:hAnsi="Arial Narrow" w:cs="Arial"/>
                <w:color w:val="000000"/>
                <w:sz w:val="22"/>
                <w:szCs w:val="22"/>
              </w:rPr>
            </w:pPr>
          </w:p>
        </w:tc>
        <w:tc>
          <w:tcPr>
            <w:tcW w:w="3911" w:type="dxa"/>
            <w:tcMar>
              <w:top w:w="113" w:type="dxa"/>
              <w:left w:w="108" w:type="dxa"/>
              <w:bottom w:w="113" w:type="dxa"/>
              <w:right w:w="108" w:type="dxa"/>
            </w:tcMar>
          </w:tcPr>
          <w:p w14:paraId="330817C3" w14:textId="77777777" w:rsidR="00C81D7D" w:rsidRPr="00074443" w:rsidRDefault="00AF5A36" w:rsidP="00E46CFB">
            <w:pPr>
              <w:jc w:val="right"/>
              <w:rPr>
                <w:rFonts w:ascii="Arial" w:hAnsi="Arial" w:cs="Arial"/>
                <w:sz w:val="20"/>
              </w:rPr>
            </w:pPr>
            <w:hyperlink r:id="rId16" w:history="1">
              <w:r w:rsidR="00C81D7D" w:rsidRPr="00074443">
                <w:rPr>
                  <w:rStyle w:val="Lienhypertexte"/>
                  <w:rFonts w:ascii="Arial" w:hAnsi="Arial" w:cs="Arial"/>
                  <w:sz w:val="20"/>
                </w:rPr>
                <w:t>DH-SYSC-IV(2020)04Rev2</w:t>
              </w:r>
            </w:hyperlink>
          </w:p>
          <w:p w14:paraId="58845B8C" w14:textId="77777777" w:rsidR="00C81D7D" w:rsidRPr="00074443" w:rsidRDefault="00C81D7D" w:rsidP="00E46CFB">
            <w:pPr>
              <w:jc w:val="right"/>
            </w:pPr>
          </w:p>
        </w:tc>
      </w:tr>
      <w:tr w:rsidR="00C81D7D" w:rsidRPr="00074443" w14:paraId="45474475" w14:textId="77777777" w:rsidTr="00E46CFB">
        <w:trPr>
          <w:trHeight w:val="625"/>
        </w:trPr>
        <w:tc>
          <w:tcPr>
            <w:tcW w:w="5303" w:type="dxa"/>
            <w:tcMar>
              <w:top w:w="113" w:type="dxa"/>
              <w:left w:w="108" w:type="dxa"/>
              <w:bottom w:w="113" w:type="dxa"/>
              <w:right w:w="108" w:type="dxa"/>
            </w:tcMar>
          </w:tcPr>
          <w:p w14:paraId="170A06F4" w14:textId="77777777" w:rsidR="00C81D7D" w:rsidRPr="00C81E78" w:rsidRDefault="00C81D7D" w:rsidP="00E46CFB">
            <w:pPr>
              <w:tabs>
                <w:tab w:val="left" w:pos="567"/>
                <w:tab w:val="right" w:pos="9600"/>
              </w:tabs>
              <w:spacing w:before="60" w:after="60"/>
              <w:jc w:val="both"/>
              <w:rPr>
                <w:rFonts w:ascii="Arial Narrow" w:hAnsi="Arial Narrow" w:cs="Arial"/>
                <w:sz w:val="22"/>
                <w:szCs w:val="22"/>
              </w:rPr>
            </w:pPr>
            <w:r w:rsidRPr="00C81E78">
              <w:rPr>
                <w:rFonts w:ascii="Arial Narrow" w:hAnsi="Arial Narrow" w:cs="Arial"/>
                <w:sz w:val="22"/>
                <w:szCs w:val="22"/>
              </w:rPr>
              <w:t>Rapport de la 3</w:t>
            </w:r>
            <w:r w:rsidRPr="00C81E78">
              <w:rPr>
                <w:rFonts w:ascii="Arial Narrow" w:hAnsi="Arial Narrow" w:cs="Arial"/>
                <w:sz w:val="22"/>
                <w:szCs w:val="22"/>
                <w:vertAlign w:val="superscript"/>
              </w:rPr>
              <w:t>è</w:t>
            </w:r>
            <w:r w:rsidRPr="00C81E78">
              <w:rPr>
                <w:rFonts w:ascii="Arial Narrow" w:hAnsi="Arial Narrow"/>
                <w:sz w:val="22"/>
                <w:szCs w:val="22"/>
                <w:vertAlign w:val="superscript"/>
              </w:rPr>
              <w:t>me</w:t>
            </w:r>
            <w:r w:rsidRPr="00C81E78">
              <w:rPr>
                <w:rFonts w:ascii="Arial Narrow" w:hAnsi="Arial Narrow" w:cs="Arial"/>
                <w:sz w:val="22"/>
                <w:szCs w:val="22"/>
              </w:rPr>
              <w:t xml:space="preserve"> réunion du DH-SYSC-IV (14-16 avril 2021)</w:t>
            </w:r>
          </w:p>
        </w:tc>
        <w:tc>
          <w:tcPr>
            <w:tcW w:w="3911" w:type="dxa"/>
            <w:tcMar>
              <w:top w:w="113" w:type="dxa"/>
              <w:left w:w="108" w:type="dxa"/>
              <w:bottom w:w="113" w:type="dxa"/>
              <w:right w:w="108" w:type="dxa"/>
            </w:tcMar>
          </w:tcPr>
          <w:p w14:paraId="76B97EED" w14:textId="77777777" w:rsidR="00C81D7D" w:rsidRPr="00074443" w:rsidRDefault="00AF5A36" w:rsidP="00E46CFB">
            <w:pPr>
              <w:jc w:val="right"/>
            </w:pPr>
            <w:hyperlink r:id="rId17" w:history="1">
              <w:r w:rsidR="00C81D7D" w:rsidRPr="00B521BB">
                <w:rPr>
                  <w:rStyle w:val="Lienhypertexte"/>
                  <w:rFonts w:ascii="Arial Narrow" w:hAnsi="Arial Narrow" w:cs="Arial"/>
                  <w:kern w:val="36"/>
                </w:rPr>
                <w:t>DH-SYSC-IV(2020)R3</w:t>
              </w:r>
            </w:hyperlink>
          </w:p>
        </w:tc>
      </w:tr>
      <w:tr w:rsidR="00C81D7D" w:rsidRPr="00074443" w14:paraId="291AD12E" w14:textId="77777777" w:rsidTr="00E46CFB">
        <w:trPr>
          <w:trHeight w:val="625"/>
        </w:trPr>
        <w:tc>
          <w:tcPr>
            <w:tcW w:w="5303" w:type="dxa"/>
            <w:tcMar>
              <w:top w:w="113" w:type="dxa"/>
              <w:left w:w="108" w:type="dxa"/>
              <w:bottom w:w="113" w:type="dxa"/>
              <w:right w:w="108" w:type="dxa"/>
            </w:tcMar>
          </w:tcPr>
          <w:p w14:paraId="5A1A07CE" w14:textId="77777777" w:rsidR="00C81D7D" w:rsidRPr="00C81E78" w:rsidRDefault="00C81D7D" w:rsidP="00E46CFB">
            <w:pPr>
              <w:tabs>
                <w:tab w:val="left" w:pos="567"/>
                <w:tab w:val="right" w:pos="9600"/>
              </w:tabs>
              <w:spacing w:before="60" w:after="60"/>
              <w:jc w:val="both"/>
              <w:rPr>
                <w:rFonts w:ascii="Arial Narrow" w:hAnsi="Arial Narrow" w:cs="Arial"/>
                <w:sz w:val="22"/>
                <w:szCs w:val="22"/>
              </w:rPr>
            </w:pPr>
            <w:r w:rsidRPr="00C81E78">
              <w:rPr>
                <w:rFonts w:ascii="Arial Narrow" w:hAnsi="Arial Narrow" w:cs="Arial"/>
                <w:sz w:val="22"/>
                <w:szCs w:val="22"/>
              </w:rPr>
              <w:t>Rapport de la 2</w:t>
            </w:r>
            <w:r w:rsidRPr="00C81E78">
              <w:rPr>
                <w:rFonts w:ascii="Arial Narrow" w:hAnsi="Arial Narrow" w:cs="Arial"/>
                <w:sz w:val="22"/>
                <w:szCs w:val="22"/>
                <w:vertAlign w:val="superscript"/>
              </w:rPr>
              <w:t>è</w:t>
            </w:r>
            <w:r w:rsidRPr="00C81E78">
              <w:rPr>
                <w:rFonts w:ascii="Arial Narrow" w:hAnsi="Arial Narrow"/>
                <w:sz w:val="22"/>
                <w:szCs w:val="22"/>
                <w:vertAlign w:val="superscript"/>
              </w:rPr>
              <w:t>me</w:t>
            </w:r>
            <w:r w:rsidRPr="00C81E78">
              <w:rPr>
                <w:rFonts w:ascii="Arial Narrow" w:hAnsi="Arial Narrow" w:cs="Arial"/>
                <w:sz w:val="22"/>
                <w:szCs w:val="22"/>
              </w:rPr>
              <w:t xml:space="preserve"> réunion du DH-SYSC-IV (9-11 septembre 2020)</w:t>
            </w:r>
          </w:p>
        </w:tc>
        <w:tc>
          <w:tcPr>
            <w:tcW w:w="3911" w:type="dxa"/>
            <w:tcMar>
              <w:top w:w="113" w:type="dxa"/>
              <w:left w:w="108" w:type="dxa"/>
              <w:bottom w:w="113" w:type="dxa"/>
              <w:right w:w="108" w:type="dxa"/>
            </w:tcMar>
          </w:tcPr>
          <w:p w14:paraId="33AA58BB" w14:textId="77777777" w:rsidR="00C81D7D" w:rsidRPr="00074443" w:rsidRDefault="00AF5A36" w:rsidP="00E46CFB">
            <w:pPr>
              <w:jc w:val="right"/>
            </w:pPr>
            <w:hyperlink r:id="rId18" w:history="1">
              <w:r w:rsidR="00C81D7D" w:rsidRPr="00074443">
                <w:rPr>
                  <w:rStyle w:val="Lienhypertexte"/>
                  <w:rFonts w:ascii="Arial" w:hAnsi="Arial" w:cs="Arial"/>
                  <w:kern w:val="36"/>
                  <w:sz w:val="20"/>
                  <w:szCs w:val="20"/>
                </w:rPr>
                <w:t>DH-SYSC-IV(2020)R2</w:t>
              </w:r>
            </w:hyperlink>
          </w:p>
        </w:tc>
      </w:tr>
      <w:tr w:rsidR="00C81D7D" w:rsidRPr="00074443" w14:paraId="1A3C90A0" w14:textId="77777777" w:rsidTr="00E46CFB">
        <w:trPr>
          <w:trHeight w:val="625"/>
        </w:trPr>
        <w:tc>
          <w:tcPr>
            <w:tcW w:w="5303" w:type="dxa"/>
            <w:tcMar>
              <w:top w:w="113" w:type="dxa"/>
              <w:left w:w="108" w:type="dxa"/>
              <w:bottom w:w="113" w:type="dxa"/>
              <w:right w:w="108" w:type="dxa"/>
            </w:tcMar>
          </w:tcPr>
          <w:p w14:paraId="04D7A3FC" w14:textId="77777777" w:rsidR="00C81D7D" w:rsidRPr="00C81E78" w:rsidRDefault="00C81D7D" w:rsidP="00E46CFB">
            <w:pPr>
              <w:tabs>
                <w:tab w:val="left" w:pos="567"/>
                <w:tab w:val="right" w:pos="9600"/>
              </w:tabs>
              <w:spacing w:before="60" w:after="60"/>
              <w:jc w:val="both"/>
              <w:rPr>
                <w:rFonts w:ascii="Arial Narrow" w:hAnsi="Arial Narrow" w:cs="Arial"/>
                <w:sz w:val="22"/>
                <w:szCs w:val="22"/>
              </w:rPr>
            </w:pPr>
            <w:r w:rsidRPr="00C81E78">
              <w:rPr>
                <w:rFonts w:ascii="Arial Narrow" w:hAnsi="Arial Narrow" w:cs="Arial"/>
                <w:sz w:val="22"/>
                <w:szCs w:val="22"/>
              </w:rPr>
              <w:t>Rapport de la 1</w:t>
            </w:r>
            <w:r w:rsidRPr="00C81E78">
              <w:rPr>
                <w:rFonts w:ascii="Arial Narrow" w:hAnsi="Arial Narrow" w:cs="Arial"/>
                <w:sz w:val="22"/>
                <w:szCs w:val="22"/>
                <w:vertAlign w:val="superscript"/>
              </w:rPr>
              <w:t>è</w:t>
            </w:r>
            <w:r w:rsidRPr="00C81E78">
              <w:rPr>
                <w:rFonts w:ascii="Arial Narrow" w:hAnsi="Arial Narrow"/>
                <w:sz w:val="22"/>
                <w:szCs w:val="22"/>
                <w:vertAlign w:val="superscript"/>
              </w:rPr>
              <w:t>re</w:t>
            </w:r>
            <w:r w:rsidRPr="00C81E78">
              <w:rPr>
                <w:rFonts w:ascii="Arial Narrow" w:hAnsi="Arial Narrow" w:cs="Arial"/>
                <w:sz w:val="22"/>
                <w:szCs w:val="22"/>
              </w:rPr>
              <w:t xml:space="preserve"> réunion du DH-SYSC-IV (19-21 février 2020)</w:t>
            </w:r>
          </w:p>
        </w:tc>
        <w:tc>
          <w:tcPr>
            <w:tcW w:w="3911" w:type="dxa"/>
            <w:tcMar>
              <w:top w:w="113" w:type="dxa"/>
              <w:left w:w="108" w:type="dxa"/>
              <w:bottom w:w="113" w:type="dxa"/>
              <w:right w:w="108" w:type="dxa"/>
            </w:tcMar>
          </w:tcPr>
          <w:p w14:paraId="5FBABEF4" w14:textId="77777777" w:rsidR="00C81D7D" w:rsidRPr="00074443" w:rsidRDefault="00AF5A36" w:rsidP="00E46CFB">
            <w:pPr>
              <w:jc w:val="right"/>
            </w:pPr>
            <w:hyperlink r:id="rId19" w:history="1">
              <w:r w:rsidR="00C81D7D" w:rsidRPr="00074443">
                <w:rPr>
                  <w:rStyle w:val="Lienhypertexte"/>
                  <w:rFonts w:ascii="Arial" w:hAnsi="Arial" w:cs="Arial"/>
                  <w:bCs/>
                  <w:kern w:val="36"/>
                  <w:sz w:val="20"/>
                  <w:szCs w:val="20"/>
                </w:rPr>
                <w:t>DH-SYSC-IV(2020)R1</w:t>
              </w:r>
            </w:hyperlink>
          </w:p>
        </w:tc>
      </w:tr>
      <w:tr w:rsidR="00C81D7D" w:rsidRPr="00126B86" w14:paraId="117EECFE" w14:textId="77777777" w:rsidTr="00E46CFB">
        <w:trPr>
          <w:trHeight w:val="625"/>
        </w:trPr>
        <w:tc>
          <w:tcPr>
            <w:tcW w:w="5303" w:type="dxa"/>
            <w:tcMar>
              <w:top w:w="113" w:type="dxa"/>
              <w:left w:w="108" w:type="dxa"/>
              <w:bottom w:w="113" w:type="dxa"/>
              <w:right w:w="108" w:type="dxa"/>
            </w:tcMar>
          </w:tcPr>
          <w:p w14:paraId="208518E0" w14:textId="77777777" w:rsidR="00C81D7D" w:rsidRPr="00C81E78" w:rsidRDefault="00C81D7D" w:rsidP="00E46CFB">
            <w:pPr>
              <w:tabs>
                <w:tab w:val="left" w:pos="567"/>
                <w:tab w:val="right" w:pos="9600"/>
              </w:tabs>
              <w:spacing w:before="60" w:after="60"/>
              <w:jc w:val="both"/>
              <w:rPr>
                <w:rFonts w:ascii="Arial Narrow" w:hAnsi="Arial Narrow" w:cs="Arial"/>
                <w:sz w:val="22"/>
                <w:szCs w:val="22"/>
              </w:rPr>
            </w:pPr>
            <w:r w:rsidRPr="00C81E78">
              <w:rPr>
                <w:rFonts w:ascii="Arial Narrow" w:hAnsi="Arial Narrow" w:cs="Arial"/>
                <w:sz w:val="22"/>
                <w:szCs w:val="22"/>
              </w:rPr>
              <w:t>Compilation des commentaires des États membres sur le projet d</w:t>
            </w:r>
            <w:r>
              <w:rPr>
                <w:rFonts w:ascii="Arial Narrow" w:hAnsi="Arial Narrow" w:cs="Arial"/>
                <w:sz w:val="22"/>
                <w:szCs w:val="22"/>
              </w:rPr>
              <w:t>e</w:t>
            </w:r>
            <w:r w:rsidRPr="00C81E78">
              <w:rPr>
                <w:rFonts w:ascii="Arial Narrow" w:hAnsi="Arial Narrow" w:cs="Arial"/>
                <w:sz w:val="22"/>
                <w:szCs w:val="22"/>
              </w:rPr>
              <w:t xml:space="preserve"> rapport d’activité 2020-2021 (document DH-SYSC-IV(2021)02)</w:t>
            </w:r>
          </w:p>
        </w:tc>
        <w:tc>
          <w:tcPr>
            <w:tcW w:w="3911" w:type="dxa"/>
            <w:tcMar>
              <w:top w:w="113" w:type="dxa"/>
              <w:left w:w="108" w:type="dxa"/>
              <w:bottom w:w="113" w:type="dxa"/>
              <w:right w:w="108" w:type="dxa"/>
            </w:tcMar>
          </w:tcPr>
          <w:p w14:paraId="2D181F8B" w14:textId="77777777" w:rsidR="00C81D7D" w:rsidRPr="00126B86" w:rsidRDefault="00C81D7D" w:rsidP="00E46CFB">
            <w:pPr>
              <w:tabs>
                <w:tab w:val="left" w:pos="2895"/>
              </w:tabs>
              <w:jc w:val="right"/>
            </w:pPr>
            <w:r>
              <w:rPr>
                <w:rFonts w:ascii="Arial Narrow" w:hAnsi="Arial Narrow" w:cs="Arial"/>
              </w:rPr>
              <w:t>DH-SYSC-IV(2021)03</w:t>
            </w:r>
          </w:p>
        </w:tc>
      </w:tr>
      <w:tr w:rsidR="00C81D7D" w:rsidRPr="00AB5FB4" w14:paraId="0CCAF686" w14:textId="77777777" w:rsidTr="00E46CFB">
        <w:trPr>
          <w:trHeight w:val="625"/>
        </w:trPr>
        <w:tc>
          <w:tcPr>
            <w:tcW w:w="5303" w:type="dxa"/>
            <w:tcMar>
              <w:top w:w="113" w:type="dxa"/>
              <w:left w:w="108" w:type="dxa"/>
              <w:bottom w:w="113" w:type="dxa"/>
              <w:right w:w="108" w:type="dxa"/>
            </w:tcMar>
          </w:tcPr>
          <w:p w14:paraId="4D56896A" w14:textId="77777777" w:rsidR="00C81D7D" w:rsidRPr="00AB5FB4" w:rsidRDefault="00C81D7D" w:rsidP="00E46CFB">
            <w:pPr>
              <w:tabs>
                <w:tab w:val="left" w:pos="567"/>
                <w:tab w:val="right" w:pos="9600"/>
              </w:tabs>
              <w:spacing w:before="60" w:after="60"/>
              <w:jc w:val="both"/>
              <w:rPr>
                <w:rFonts w:ascii="Arial Narrow" w:hAnsi="Arial Narrow" w:cs="Arial"/>
                <w:sz w:val="22"/>
                <w:szCs w:val="22"/>
              </w:rPr>
            </w:pPr>
            <w:r w:rsidRPr="00AB5FB4">
              <w:rPr>
                <w:rFonts w:ascii="Arial Narrow" w:hAnsi="Arial Narrow" w:cs="Arial"/>
                <w:sz w:val="22"/>
                <w:szCs w:val="22"/>
              </w:rPr>
              <w:t>Compilation des commentaires des États membres sur le projet de rapport du CDDH sur le traitement et la résolution efficace d’affaires concernant des conflits interétatiques (document DH-SYSC-IV(2020)04REV2)</w:t>
            </w:r>
          </w:p>
        </w:tc>
        <w:tc>
          <w:tcPr>
            <w:tcW w:w="3911" w:type="dxa"/>
            <w:tcMar>
              <w:top w:w="113" w:type="dxa"/>
              <w:left w:w="108" w:type="dxa"/>
              <w:bottom w:w="113" w:type="dxa"/>
              <w:right w:w="108" w:type="dxa"/>
            </w:tcMar>
          </w:tcPr>
          <w:p w14:paraId="0BE289BE" w14:textId="77777777" w:rsidR="00C81D7D" w:rsidRPr="00AB5FB4" w:rsidRDefault="00C81D7D" w:rsidP="00E46CFB">
            <w:pPr>
              <w:tabs>
                <w:tab w:val="left" w:pos="2895"/>
              </w:tabs>
              <w:jc w:val="right"/>
              <w:rPr>
                <w:rFonts w:ascii="Arial Narrow" w:hAnsi="Arial Narrow" w:cs="Arial"/>
              </w:rPr>
            </w:pPr>
            <w:r w:rsidRPr="00F36332">
              <w:rPr>
                <w:rFonts w:ascii="Arial Narrow" w:hAnsi="Arial Narrow" w:cs="Arial"/>
              </w:rPr>
              <w:t>DH-SYSC-IV(2021)01REV</w:t>
            </w:r>
            <w:r>
              <w:rPr>
                <w:rFonts w:ascii="Arial Narrow" w:hAnsi="Arial Narrow" w:cs="Arial"/>
              </w:rPr>
              <w:t>3</w:t>
            </w:r>
          </w:p>
        </w:tc>
      </w:tr>
      <w:tr w:rsidR="00C81D7D" w:rsidRPr="00126B86" w14:paraId="654655EB" w14:textId="77777777" w:rsidTr="00E46CFB">
        <w:trPr>
          <w:trHeight w:val="625"/>
        </w:trPr>
        <w:tc>
          <w:tcPr>
            <w:tcW w:w="5303" w:type="dxa"/>
            <w:tcMar>
              <w:top w:w="113" w:type="dxa"/>
              <w:left w:w="108" w:type="dxa"/>
              <w:bottom w:w="113" w:type="dxa"/>
              <w:right w:w="108" w:type="dxa"/>
            </w:tcMar>
          </w:tcPr>
          <w:p w14:paraId="61602481" w14:textId="77777777" w:rsidR="00C81D7D" w:rsidRPr="00AB5FB4" w:rsidRDefault="00C81D7D" w:rsidP="00E46CFB">
            <w:pPr>
              <w:tabs>
                <w:tab w:val="left" w:pos="567"/>
                <w:tab w:val="right" w:pos="9600"/>
              </w:tabs>
              <w:spacing w:before="60" w:after="60"/>
              <w:jc w:val="both"/>
              <w:rPr>
                <w:rFonts w:ascii="Arial Narrow" w:hAnsi="Arial Narrow" w:cs="Arial"/>
                <w:sz w:val="22"/>
                <w:szCs w:val="22"/>
              </w:rPr>
            </w:pPr>
            <w:r w:rsidRPr="00AB5FB4">
              <w:rPr>
                <w:rFonts w:ascii="Arial Narrow" w:hAnsi="Arial Narrow" w:cs="Arial"/>
                <w:color w:val="000000"/>
                <w:sz w:val="22"/>
                <w:szCs w:val="22"/>
              </w:rPr>
              <w:t>Compilation des propositions de rédaction et commentaires reçus après la 2</w:t>
            </w:r>
            <w:r w:rsidRPr="00AB5FB4">
              <w:rPr>
                <w:rFonts w:ascii="Arial Narrow" w:hAnsi="Arial Narrow" w:cs="Arial"/>
                <w:color w:val="000000"/>
                <w:sz w:val="22"/>
                <w:szCs w:val="22"/>
                <w:vertAlign w:val="superscript"/>
              </w:rPr>
              <w:t>e</w:t>
            </w:r>
            <w:r w:rsidRPr="00AB5FB4">
              <w:rPr>
                <w:rFonts w:ascii="Arial Narrow" w:hAnsi="Arial Narrow" w:cs="Arial"/>
                <w:color w:val="000000"/>
                <w:sz w:val="22"/>
                <w:szCs w:val="22"/>
              </w:rPr>
              <w:t> réunion du DH-SYSC-IV (9-11 septembre 2020) sur le projet de rapport du CDDH sur le traitement et la résolution efficace d’affaires concernant des conflits interétatiques</w:t>
            </w:r>
            <w:r w:rsidRPr="00AB5FB4">
              <w:rPr>
                <w:rFonts w:ascii="Arial Narrow" w:hAnsi="Arial Narrow"/>
                <w:color w:val="000000"/>
                <w:sz w:val="22"/>
                <w:szCs w:val="22"/>
              </w:rPr>
              <w:t> </w:t>
            </w:r>
          </w:p>
        </w:tc>
        <w:tc>
          <w:tcPr>
            <w:tcW w:w="3911" w:type="dxa"/>
            <w:tcMar>
              <w:top w:w="113" w:type="dxa"/>
              <w:left w:w="108" w:type="dxa"/>
              <w:bottom w:w="113" w:type="dxa"/>
              <w:right w:w="108" w:type="dxa"/>
            </w:tcMar>
          </w:tcPr>
          <w:p w14:paraId="4065610C" w14:textId="77777777" w:rsidR="00C81D7D" w:rsidRPr="00074443" w:rsidRDefault="00AF5A36" w:rsidP="00E46CFB">
            <w:pPr>
              <w:ind w:left="114"/>
              <w:jc w:val="right"/>
              <w:rPr>
                <w:rFonts w:ascii="Arial" w:hAnsi="Arial" w:cs="Arial"/>
                <w:sz w:val="20"/>
                <w:szCs w:val="20"/>
              </w:rPr>
            </w:pPr>
            <w:hyperlink r:id="rId20" w:history="1">
              <w:r w:rsidR="00C81D7D" w:rsidRPr="00074443">
                <w:rPr>
                  <w:rStyle w:val="Lienhypertexte"/>
                  <w:rFonts w:ascii="Arial" w:hAnsi="Arial" w:cs="Arial"/>
                  <w:sz w:val="20"/>
                  <w:szCs w:val="20"/>
                </w:rPr>
                <w:t>DH-SYSC-IV(2020)06REV</w:t>
              </w:r>
            </w:hyperlink>
          </w:p>
          <w:p w14:paraId="0C48F0B0" w14:textId="77777777" w:rsidR="00C81D7D" w:rsidRDefault="00C81D7D" w:rsidP="00E46CFB">
            <w:pPr>
              <w:tabs>
                <w:tab w:val="left" w:pos="2895"/>
              </w:tabs>
              <w:jc w:val="right"/>
              <w:rPr>
                <w:rFonts w:ascii="Arial Narrow" w:hAnsi="Arial Narrow" w:cs="Arial"/>
              </w:rPr>
            </w:pPr>
          </w:p>
        </w:tc>
      </w:tr>
      <w:tr w:rsidR="00C81D7D" w:rsidRPr="00074443" w14:paraId="6C36BEC0" w14:textId="77777777" w:rsidTr="00E46CFB">
        <w:trPr>
          <w:trHeight w:val="776"/>
        </w:trPr>
        <w:tc>
          <w:tcPr>
            <w:tcW w:w="5303" w:type="dxa"/>
            <w:tcMar>
              <w:top w:w="113" w:type="dxa"/>
              <w:left w:w="108" w:type="dxa"/>
              <w:bottom w:w="113" w:type="dxa"/>
              <w:right w:w="108" w:type="dxa"/>
            </w:tcMar>
          </w:tcPr>
          <w:p w14:paraId="565B0B3C" w14:textId="77777777" w:rsidR="00C81D7D" w:rsidRPr="00C81E78" w:rsidRDefault="00C81D7D" w:rsidP="00E46CFB">
            <w:pPr>
              <w:jc w:val="both"/>
              <w:rPr>
                <w:rFonts w:ascii="Arial Narrow" w:hAnsi="Arial Narrow"/>
                <w:sz w:val="22"/>
                <w:szCs w:val="22"/>
              </w:rPr>
            </w:pPr>
            <w:r w:rsidRPr="00C81E78">
              <w:rPr>
                <w:rFonts w:ascii="Arial Narrow" w:hAnsi="Arial Narrow" w:cs="Arial"/>
                <w:sz w:val="22"/>
                <w:szCs w:val="22"/>
              </w:rPr>
              <w:t>Compilation des commentaires des États membres sur le Projet de rapport du CDDH sur le traitement et la résolution efficace d’affaires concernant des conflits interétatiques</w:t>
            </w:r>
          </w:p>
        </w:tc>
        <w:tc>
          <w:tcPr>
            <w:tcW w:w="3911" w:type="dxa"/>
            <w:tcMar>
              <w:top w:w="113" w:type="dxa"/>
              <w:left w:w="108" w:type="dxa"/>
              <w:bottom w:w="113" w:type="dxa"/>
              <w:right w:w="108" w:type="dxa"/>
            </w:tcMar>
          </w:tcPr>
          <w:p w14:paraId="7DCAE817" w14:textId="77777777" w:rsidR="00C81D7D" w:rsidRPr="00074443" w:rsidRDefault="00AF5A36" w:rsidP="00E46CFB">
            <w:pPr>
              <w:jc w:val="right"/>
              <w:rPr>
                <w:rFonts w:ascii="Arial" w:hAnsi="Arial" w:cs="Arial"/>
                <w:sz w:val="20"/>
                <w:szCs w:val="20"/>
              </w:rPr>
            </w:pPr>
            <w:hyperlink r:id="rId21" w:history="1">
              <w:r w:rsidR="00C81D7D" w:rsidRPr="00074443">
                <w:rPr>
                  <w:rStyle w:val="Lienhypertexte"/>
                  <w:rFonts w:ascii="Arial" w:hAnsi="Arial" w:cs="Arial"/>
                  <w:sz w:val="20"/>
                  <w:szCs w:val="20"/>
                </w:rPr>
                <w:t>DH-SYSC-IV(2020)05REV</w:t>
              </w:r>
            </w:hyperlink>
          </w:p>
        </w:tc>
      </w:tr>
    </w:tbl>
    <w:tbl>
      <w:tblPr>
        <w:tblStyle w:val="Grilledutableau"/>
        <w:tblW w:w="92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5303"/>
        <w:gridCol w:w="3920"/>
      </w:tblGrid>
      <w:tr w:rsidR="00C81D7D" w:rsidRPr="00074443" w14:paraId="6433FD33" w14:textId="77777777" w:rsidTr="00E46CFB">
        <w:tc>
          <w:tcPr>
            <w:tcW w:w="5303" w:type="dxa"/>
          </w:tcPr>
          <w:p w14:paraId="0B40CA75" w14:textId="77777777" w:rsidR="00C81D7D" w:rsidRPr="00C81E78" w:rsidRDefault="00C81D7D" w:rsidP="00E46CFB">
            <w:pPr>
              <w:jc w:val="both"/>
              <w:rPr>
                <w:rFonts w:ascii="Arial Narrow" w:hAnsi="Arial Narrow" w:cs="Arial"/>
                <w:color w:val="222222"/>
                <w:sz w:val="22"/>
                <w:szCs w:val="22"/>
              </w:rPr>
            </w:pPr>
            <w:r w:rsidRPr="00C81E78">
              <w:rPr>
                <w:rFonts w:ascii="Arial Narrow" w:hAnsi="Arial Narrow" w:cs="Arial"/>
                <w:color w:val="222222"/>
                <w:sz w:val="22"/>
                <w:szCs w:val="22"/>
              </w:rPr>
              <w:t>Questions relatives</w:t>
            </w:r>
            <w:r w:rsidRPr="00C81E78">
              <w:rPr>
                <w:rFonts w:ascii="Arial Narrow" w:hAnsi="Arial Narrow" w:cs="Arial"/>
                <w:color w:val="000000"/>
                <w:sz w:val="22"/>
                <w:szCs w:val="22"/>
              </w:rPr>
              <w:t xml:space="preserve"> </w:t>
            </w:r>
            <w:r w:rsidRPr="00C81E78">
              <w:rPr>
                <w:rFonts w:ascii="Arial Narrow" w:hAnsi="Arial Narrow" w:cs="Arial"/>
                <w:color w:val="222222"/>
                <w:sz w:val="22"/>
                <w:szCs w:val="22"/>
              </w:rPr>
              <w:t>à la portée du mandat du DH-SYSC-IV</w:t>
            </w:r>
          </w:p>
        </w:tc>
        <w:tc>
          <w:tcPr>
            <w:tcW w:w="3920" w:type="dxa"/>
          </w:tcPr>
          <w:p w14:paraId="4FA3A3F9" w14:textId="77777777" w:rsidR="00C81D7D" w:rsidRPr="00074443" w:rsidRDefault="00AF5A36" w:rsidP="00E46CFB">
            <w:pPr>
              <w:jc w:val="right"/>
            </w:pPr>
            <w:hyperlink r:id="rId22" w:history="1">
              <w:r w:rsidR="00C81D7D" w:rsidRPr="00074443">
                <w:rPr>
                  <w:rStyle w:val="Lienhypertexte"/>
                  <w:rFonts w:ascii="Arial" w:hAnsi="Arial" w:cs="Arial"/>
                  <w:sz w:val="20"/>
                  <w:szCs w:val="20"/>
                </w:rPr>
                <w:t>DH-SYSC(2020)07Rev</w:t>
              </w:r>
            </w:hyperlink>
          </w:p>
          <w:p w14:paraId="53D66D82" w14:textId="77777777" w:rsidR="00C81D7D" w:rsidRPr="00074443" w:rsidRDefault="00C81D7D" w:rsidP="00E46CFB">
            <w:pPr>
              <w:ind w:left="114"/>
              <w:jc w:val="right"/>
              <w:rPr>
                <w:rFonts w:ascii="Arial" w:hAnsi="Arial" w:cs="Arial"/>
                <w:sz w:val="20"/>
                <w:szCs w:val="20"/>
              </w:rPr>
            </w:pPr>
          </w:p>
        </w:tc>
      </w:tr>
      <w:tr w:rsidR="00C81D7D" w:rsidRPr="00074443" w14:paraId="710C721C" w14:textId="77777777" w:rsidTr="00E46CFB">
        <w:tc>
          <w:tcPr>
            <w:tcW w:w="5303" w:type="dxa"/>
          </w:tcPr>
          <w:p w14:paraId="398579B9" w14:textId="77777777" w:rsidR="00C81D7D" w:rsidRPr="00C81E78" w:rsidRDefault="00C81D7D" w:rsidP="00E46CFB">
            <w:pPr>
              <w:jc w:val="both"/>
              <w:rPr>
                <w:rFonts w:ascii="Arial Narrow" w:hAnsi="Arial Narrow" w:cs="Arial"/>
                <w:sz w:val="22"/>
                <w:szCs w:val="22"/>
              </w:rPr>
            </w:pPr>
            <w:r w:rsidRPr="00C81E78">
              <w:rPr>
                <w:rFonts w:ascii="Arial Narrow" w:hAnsi="Arial Narrow" w:cs="Arial"/>
                <w:sz w:val="22"/>
                <w:szCs w:val="22"/>
              </w:rPr>
              <w:lastRenderedPageBreak/>
              <w:t xml:space="preserve">Rapport de l’Assemblée plénière de la Cour européenne des droits de l’homme sur des « Propositions pour un traitement plus efficace des affaires inter-étatiques » soumis au CDDH </w:t>
            </w:r>
          </w:p>
        </w:tc>
        <w:tc>
          <w:tcPr>
            <w:tcW w:w="3920" w:type="dxa"/>
          </w:tcPr>
          <w:p w14:paraId="509B9322" w14:textId="77777777" w:rsidR="00C81D7D" w:rsidRPr="00074443" w:rsidRDefault="00AF5A36" w:rsidP="00E46CFB">
            <w:pPr>
              <w:ind w:left="114"/>
              <w:jc w:val="right"/>
              <w:rPr>
                <w:rStyle w:val="Lienhypertexte"/>
                <w:rFonts w:ascii="Arial" w:hAnsi="Arial" w:cs="Arial"/>
                <w:sz w:val="20"/>
                <w:szCs w:val="20"/>
              </w:rPr>
            </w:pPr>
            <w:hyperlink r:id="rId23" w:history="1">
              <w:r w:rsidR="00C81D7D" w:rsidRPr="00074443">
                <w:rPr>
                  <w:rStyle w:val="Lienhypertexte"/>
                  <w:rFonts w:ascii="Arial" w:hAnsi="Arial" w:cs="Arial"/>
                  <w:sz w:val="20"/>
                  <w:szCs w:val="20"/>
                </w:rPr>
                <w:t>CDDH(2019)22</w:t>
              </w:r>
            </w:hyperlink>
          </w:p>
          <w:p w14:paraId="7B6872E3" w14:textId="77777777" w:rsidR="00C81D7D" w:rsidRPr="00074443" w:rsidRDefault="00C81D7D" w:rsidP="00E46CFB">
            <w:pPr>
              <w:ind w:left="114"/>
              <w:jc w:val="right"/>
              <w:rPr>
                <w:rFonts w:ascii="Arial" w:hAnsi="Arial" w:cs="Arial"/>
                <w:i/>
                <w:iCs/>
                <w:sz w:val="20"/>
                <w:szCs w:val="20"/>
              </w:rPr>
            </w:pPr>
            <w:r w:rsidRPr="00074443">
              <w:rPr>
                <w:rFonts w:cs="Arial"/>
                <w:i/>
                <w:iCs/>
                <w:color w:val="222222"/>
                <w:sz w:val="20"/>
                <w:szCs w:val="20"/>
              </w:rPr>
              <w:t>(uniquement en anglais)</w:t>
            </w:r>
          </w:p>
        </w:tc>
      </w:tr>
      <w:tr w:rsidR="00C81D7D" w:rsidRPr="00074443" w14:paraId="02D1B008" w14:textId="77777777" w:rsidTr="00E46CFB">
        <w:tc>
          <w:tcPr>
            <w:tcW w:w="5303" w:type="dxa"/>
          </w:tcPr>
          <w:p w14:paraId="0582A1EC" w14:textId="77777777" w:rsidR="00C81D7D" w:rsidRPr="00C81E78" w:rsidRDefault="00C81D7D" w:rsidP="00E46CFB">
            <w:pPr>
              <w:jc w:val="both"/>
              <w:rPr>
                <w:rFonts w:ascii="Arial Narrow" w:hAnsi="Arial Narrow" w:cs="Arial"/>
                <w:sz w:val="22"/>
                <w:szCs w:val="22"/>
              </w:rPr>
            </w:pPr>
            <w:r w:rsidRPr="00C81E78">
              <w:rPr>
                <w:rFonts w:ascii="Arial Narrow" w:hAnsi="Arial Narrow" w:cs="Arial"/>
                <w:sz w:val="22"/>
                <w:szCs w:val="22"/>
              </w:rPr>
              <w:t>Aperçu d’affaires interétatiques devant la Cour européenne des droits de l’homme</w:t>
            </w:r>
          </w:p>
        </w:tc>
        <w:tc>
          <w:tcPr>
            <w:tcW w:w="3920" w:type="dxa"/>
          </w:tcPr>
          <w:p w14:paraId="7F8A970C" w14:textId="77777777" w:rsidR="00C81D7D" w:rsidRPr="00074443" w:rsidRDefault="00AF5A36" w:rsidP="00E46CFB">
            <w:pPr>
              <w:ind w:left="114"/>
              <w:jc w:val="right"/>
              <w:rPr>
                <w:rFonts w:ascii="Arial" w:hAnsi="Arial" w:cs="Arial"/>
                <w:sz w:val="23"/>
                <w:szCs w:val="23"/>
              </w:rPr>
            </w:pPr>
            <w:hyperlink r:id="rId24" w:history="1">
              <w:r w:rsidR="00C81D7D" w:rsidRPr="00074443">
                <w:rPr>
                  <w:rStyle w:val="Lienhypertexte"/>
                  <w:rFonts w:ascii="Arial" w:hAnsi="Arial" w:cs="Arial"/>
                  <w:sz w:val="20"/>
                  <w:szCs w:val="20"/>
                </w:rPr>
                <w:t>Document non-officiel</w:t>
              </w:r>
            </w:hyperlink>
            <w:r w:rsidR="00C81D7D" w:rsidRPr="00AB5FB4">
              <w:rPr>
                <w:rStyle w:val="Lienhypertexte"/>
                <w:rFonts w:ascii="Arial" w:hAnsi="Arial" w:cs="Arial"/>
                <w:i/>
                <w:iCs/>
                <w:color w:val="auto"/>
                <w:sz w:val="20"/>
                <w:szCs w:val="20"/>
                <w:u w:val="none"/>
              </w:rPr>
              <w:t xml:space="preserve"> </w:t>
            </w:r>
            <w:r w:rsidR="00C81D7D" w:rsidRPr="00AB5FB4">
              <w:rPr>
                <w:rStyle w:val="Lienhypertexte"/>
                <w:i/>
                <w:iCs/>
                <w:color w:val="auto"/>
                <w:szCs w:val="20"/>
                <w:u w:val="none"/>
              </w:rPr>
              <w:t>(uniquement en anglais)</w:t>
            </w:r>
          </w:p>
        </w:tc>
      </w:tr>
    </w:tbl>
    <w:tbl>
      <w:tblPr>
        <w:tblW w:w="9214" w:type="dxa"/>
        <w:tblCellMar>
          <w:left w:w="0" w:type="dxa"/>
          <w:right w:w="0" w:type="dxa"/>
        </w:tblCellMar>
        <w:tblLook w:val="04A0" w:firstRow="1" w:lastRow="0" w:firstColumn="1" w:lastColumn="0" w:noHBand="0" w:noVBand="1"/>
      </w:tblPr>
      <w:tblGrid>
        <w:gridCol w:w="5303"/>
        <w:gridCol w:w="3911"/>
      </w:tblGrid>
      <w:tr w:rsidR="00C81D7D" w:rsidRPr="00074443" w14:paraId="7F8D7F53" w14:textId="77777777" w:rsidTr="00E46CFB">
        <w:tc>
          <w:tcPr>
            <w:tcW w:w="5303" w:type="dxa"/>
            <w:tcMar>
              <w:top w:w="113" w:type="dxa"/>
              <w:left w:w="108" w:type="dxa"/>
              <w:bottom w:w="113" w:type="dxa"/>
              <w:right w:w="108" w:type="dxa"/>
            </w:tcMar>
          </w:tcPr>
          <w:p w14:paraId="415AE25F" w14:textId="77777777" w:rsidR="00C81D7D" w:rsidRPr="00C81E78" w:rsidRDefault="00C81D7D" w:rsidP="00E46CFB">
            <w:pPr>
              <w:jc w:val="both"/>
              <w:rPr>
                <w:rFonts w:ascii="Arial Narrow" w:hAnsi="Arial Narrow" w:cs="Arial"/>
                <w:color w:val="000000"/>
                <w:sz w:val="22"/>
                <w:szCs w:val="22"/>
              </w:rPr>
            </w:pPr>
            <w:r w:rsidRPr="00C81E78">
              <w:rPr>
                <w:rFonts w:ascii="Arial Narrow" w:hAnsi="Arial Narrow" w:cs="Arial"/>
                <w:color w:val="000000"/>
                <w:sz w:val="22"/>
                <w:szCs w:val="22"/>
              </w:rPr>
              <w:t xml:space="preserve">Rapport du CDDH sur la place de la Convention européenne des droits de l’homme dans l’ordre juridique européen et international </w:t>
            </w:r>
          </w:p>
        </w:tc>
        <w:tc>
          <w:tcPr>
            <w:tcW w:w="3911" w:type="dxa"/>
            <w:tcMar>
              <w:top w:w="113" w:type="dxa"/>
              <w:left w:w="108" w:type="dxa"/>
              <w:bottom w:w="113" w:type="dxa"/>
              <w:right w:w="108" w:type="dxa"/>
            </w:tcMar>
          </w:tcPr>
          <w:p w14:paraId="56AB2A95" w14:textId="77777777" w:rsidR="00C81D7D" w:rsidRPr="00074443" w:rsidRDefault="00C81D7D" w:rsidP="00E46CFB">
            <w:pPr>
              <w:jc w:val="right"/>
              <w:rPr>
                <w:rFonts w:ascii="Arial" w:hAnsi="Arial" w:cs="Arial"/>
                <w:color w:val="000000"/>
                <w:sz w:val="20"/>
                <w:szCs w:val="20"/>
                <w:u w:val="single"/>
              </w:rPr>
            </w:pPr>
            <w:r w:rsidRPr="00074443">
              <w:t xml:space="preserve">  </w:t>
            </w:r>
            <w:hyperlink r:id="rId25" w:history="1">
              <w:r w:rsidRPr="00074443">
                <w:rPr>
                  <w:rStyle w:val="Lienhypertexte"/>
                  <w:rFonts w:ascii="Arial" w:hAnsi="Arial" w:cs="Arial"/>
                  <w:sz w:val="20"/>
                  <w:szCs w:val="20"/>
                </w:rPr>
                <w:t>CDDH(2019)R92Addendum1</w:t>
              </w:r>
            </w:hyperlink>
          </w:p>
        </w:tc>
      </w:tr>
    </w:tbl>
    <w:p w14:paraId="725A9440" w14:textId="77777777" w:rsidR="00C81D7D" w:rsidRPr="00074443" w:rsidRDefault="00C81D7D" w:rsidP="00C81D7D"/>
    <w:p w14:paraId="671562C5" w14:textId="7BD2D600" w:rsidR="00E93837" w:rsidRDefault="00E93837">
      <w:pPr>
        <w:rPr>
          <w:rFonts w:ascii="Arial" w:hAnsi="Arial" w:cs="Arial"/>
          <w:sz w:val="22"/>
          <w:szCs w:val="22"/>
          <w:u w:val="single"/>
        </w:rPr>
      </w:pPr>
    </w:p>
    <w:p w14:paraId="5C97A179" w14:textId="77777777" w:rsidR="00CD3B47" w:rsidRDefault="00CD3B47">
      <w:pPr>
        <w:rPr>
          <w:rFonts w:ascii="Arial" w:hAnsi="Arial" w:cs="Arial"/>
          <w:sz w:val="22"/>
          <w:szCs w:val="22"/>
          <w:u w:val="single"/>
        </w:rPr>
      </w:pPr>
      <w:r>
        <w:rPr>
          <w:rFonts w:ascii="Arial" w:hAnsi="Arial" w:cs="Arial"/>
          <w:sz w:val="22"/>
          <w:szCs w:val="22"/>
          <w:u w:val="single"/>
        </w:rPr>
        <w:br w:type="page"/>
      </w:r>
    </w:p>
    <w:p w14:paraId="4F73F352" w14:textId="0B7D2F98" w:rsidR="001938B3" w:rsidRDefault="001938B3" w:rsidP="001938B3">
      <w:pPr>
        <w:jc w:val="center"/>
        <w:rPr>
          <w:rFonts w:ascii="Arial" w:hAnsi="Arial" w:cs="Arial"/>
          <w:sz w:val="22"/>
          <w:szCs w:val="22"/>
          <w:u w:val="single"/>
        </w:rPr>
      </w:pPr>
      <w:r w:rsidRPr="001938B3">
        <w:rPr>
          <w:rFonts w:ascii="Arial" w:hAnsi="Arial" w:cs="Arial"/>
          <w:sz w:val="22"/>
          <w:szCs w:val="22"/>
          <w:u w:val="single"/>
        </w:rPr>
        <w:lastRenderedPageBreak/>
        <w:t xml:space="preserve">Annexe </w:t>
      </w:r>
      <w:r w:rsidR="009D653F">
        <w:rPr>
          <w:rFonts w:ascii="Arial" w:hAnsi="Arial" w:cs="Arial"/>
          <w:sz w:val="22"/>
          <w:szCs w:val="22"/>
          <w:u w:val="single"/>
        </w:rPr>
        <w:t>III</w:t>
      </w:r>
    </w:p>
    <w:p w14:paraId="3C4D55D0" w14:textId="7DE1D577" w:rsidR="001938B3" w:rsidRDefault="001938B3" w:rsidP="001938B3">
      <w:pPr>
        <w:jc w:val="center"/>
        <w:rPr>
          <w:rFonts w:ascii="Arial" w:hAnsi="Arial" w:cs="Arial"/>
          <w:sz w:val="22"/>
          <w:szCs w:val="22"/>
          <w:u w:val="single"/>
        </w:rPr>
      </w:pPr>
    </w:p>
    <w:p w14:paraId="5BC72C51" w14:textId="27721F41" w:rsidR="001938B3" w:rsidRPr="00E93837" w:rsidRDefault="001938B3" w:rsidP="001938B3">
      <w:pPr>
        <w:jc w:val="center"/>
        <w:rPr>
          <w:rFonts w:ascii="Arial" w:hAnsi="Arial" w:cs="Arial"/>
          <w:b/>
          <w:bCs/>
          <w:sz w:val="22"/>
          <w:szCs w:val="22"/>
        </w:rPr>
      </w:pPr>
      <w:r w:rsidRPr="00E93837">
        <w:rPr>
          <w:rFonts w:ascii="Arial" w:hAnsi="Arial" w:cs="Arial"/>
          <w:b/>
          <w:bCs/>
          <w:sz w:val="22"/>
          <w:szCs w:val="22"/>
        </w:rPr>
        <w:t>Ordre des travaux</w:t>
      </w:r>
    </w:p>
    <w:p w14:paraId="64B4702E" w14:textId="77777777" w:rsidR="001938B3" w:rsidRPr="003062A9" w:rsidRDefault="001938B3" w:rsidP="001938B3">
      <w:pPr>
        <w:jc w:val="both"/>
        <w:rPr>
          <w:rFonts w:ascii="Arial" w:hAnsi="Arial" w:cs="Arial"/>
          <w:b/>
          <w:bCs/>
          <w:sz w:val="20"/>
          <w:szCs w:val="20"/>
          <w:u w:val="single"/>
        </w:rPr>
      </w:pPr>
    </w:p>
    <w:p w14:paraId="715D577D" w14:textId="77777777" w:rsidR="003062A9" w:rsidRPr="003062A9" w:rsidRDefault="003062A9" w:rsidP="003062A9">
      <w:pPr>
        <w:jc w:val="both"/>
        <w:rPr>
          <w:rFonts w:ascii="Arial" w:hAnsi="Arial" w:cs="Arial"/>
          <w:b/>
          <w:bCs/>
          <w:sz w:val="22"/>
          <w:szCs w:val="22"/>
          <w:u w:val="single"/>
        </w:rPr>
      </w:pPr>
      <w:r w:rsidRPr="003062A9">
        <w:rPr>
          <w:rFonts w:ascii="Arial" w:hAnsi="Arial" w:cs="Arial"/>
          <w:b/>
          <w:bCs/>
          <w:sz w:val="22"/>
          <w:szCs w:val="22"/>
          <w:u w:val="single"/>
        </w:rPr>
        <w:t>Mercredi 22 septembre 2021</w:t>
      </w:r>
    </w:p>
    <w:p w14:paraId="24F2447B" w14:textId="77777777" w:rsidR="003062A9" w:rsidRPr="003062A9" w:rsidRDefault="003062A9" w:rsidP="003062A9">
      <w:pPr>
        <w:ind w:left="1418" w:hanging="1418"/>
        <w:jc w:val="both"/>
        <w:rPr>
          <w:rFonts w:ascii="Arial" w:hAnsi="Arial" w:cs="Arial"/>
          <w:b/>
          <w:bCs/>
          <w:sz w:val="22"/>
          <w:szCs w:val="22"/>
          <w:u w:val="single"/>
        </w:rPr>
      </w:pPr>
    </w:p>
    <w:p w14:paraId="7D39F613" w14:textId="77777777" w:rsidR="003062A9" w:rsidRPr="003062A9" w:rsidRDefault="003062A9" w:rsidP="003062A9">
      <w:pPr>
        <w:ind w:left="2126" w:hanging="2126"/>
        <w:jc w:val="both"/>
        <w:rPr>
          <w:rFonts w:ascii="Arial" w:hAnsi="Arial" w:cs="Arial"/>
          <w:b/>
          <w:bCs/>
          <w:sz w:val="22"/>
          <w:szCs w:val="22"/>
        </w:rPr>
      </w:pPr>
      <w:r w:rsidRPr="003062A9">
        <w:rPr>
          <w:rFonts w:ascii="Arial" w:hAnsi="Arial" w:cs="Arial"/>
          <w:bCs/>
          <w:sz w:val="22"/>
          <w:szCs w:val="22"/>
        </w:rPr>
        <w:t xml:space="preserve">10h00 – 10h30 </w:t>
      </w:r>
      <w:r w:rsidRPr="003062A9">
        <w:rPr>
          <w:rFonts w:ascii="Arial" w:hAnsi="Arial" w:cs="Arial"/>
          <w:bCs/>
          <w:sz w:val="22"/>
          <w:szCs w:val="22"/>
        </w:rPr>
        <w:tab/>
      </w:r>
      <w:r w:rsidRPr="003062A9">
        <w:rPr>
          <w:rFonts w:ascii="Arial" w:hAnsi="Arial" w:cs="Arial"/>
          <w:b/>
          <w:bCs/>
          <w:sz w:val="22"/>
          <w:szCs w:val="22"/>
        </w:rPr>
        <w:t xml:space="preserve">Points 1 et 2 : </w:t>
      </w:r>
      <w:r w:rsidRPr="003062A9">
        <w:rPr>
          <w:rFonts w:ascii="Arial" w:hAnsi="Arial" w:cs="Arial"/>
          <w:b/>
          <w:bCs/>
          <w:sz w:val="22"/>
          <w:szCs w:val="22"/>
        </w:rPr>
        <w:tab/>
      </w:r>
    </w:p>
    <w:p w14:paraId="33A23D7A" w14:textId="77777777" w:rsidR="003062A9" w:rsidRPr="003062A9" w:rsidRDefault="003062A9" w:rsidP="003062A9">
      <w:pPr>
        <w:ind w:left="2126"/>
        <w:jc w:val="both"/>
        <w:rPr>
          <w:rFonts w:ascii="Arial" w:hAnsi="Arial" w:cs="Arial"/>
          <w:b/>
          <w:bCs/>
          <w:sz w:val="22"/>
          <w:szCs w:val="22"/>
        </w:rPr>
      </w:pPr>
      <w:r w:rsidRPr="003062A9">
        <w:rPr>
          <w:rFonts w:ascii="Arial" w:hAnsi="Arial" w:cs="Arial"/>
          <w:b/>
          <w:bCs/>
          <w:sz w:val="22"/>
          <w:szCs w:val="22"/>
        </w:rPr>
        <w:t>Ouverture de la réunion adoption de l’ordre du jour et de l’ordre des travaux</w:t>
      </w:r>
    </w:p>
    <w:p w14:paraId="721D2D7C" w14:textId="77777777" w:rsidR="003062A9" w:rsidRPr="003062A9" w:rsidRDefault="003062A9" w:rsidP="003062A9">
      <w:pPr>
        <w:ind w:left="2138" w:hanging="1418"/>
        <w:jc w:val="both"/>
        <w:rPr>
          <w:rFonts w:ascii="Arial" w:hAnsi="Arial" w:cs="Arial"/>
          <w:bCs/>
          <w:sz w:val="22"/>
          <w:szCs w:val="22"/>
        </w:rPr>
      </w:pPr>
    </w:p>
    <w:p w14:paraId="6466E8C7" w14:textId="77777777" w:rsidR="003062A9" w:rsidRPr="003062A9" w:rsidRDefault="003062A9" w:rsidP="003062A9">
      <w:pPr>
        <w:pStyle w:val="Default"/>
        <w:ind w:left="2126" w:hanging="2126"/>
        <w:jc w:val="both"/>
        <w:rPr>
          <w:b/>
          <w:bCs/>
          <w:sz w:val="20"/>
          <w:szCs w:val="20"/>
        </w:rPr>
      </w:pPr>
      <w:r w:rsidRPr="003062A9">
        <w:rPr>
          <w:bCs/>
          <w:sz w:val="20"/>
          <w:szCs w:val="20"/>
        </w:rPr>
        <w:t>10h30 – 12h30</w:t>
      </w:r>
      <w:r w:rsidRPr="003062A9">
        <w:rPr>
          <w:bCs/>
          <w:sz w:val="20"/>
          <w:szCs w:val="20"/>
        </w:rPr>
        <w:tab/>
      </w:r>
      <w:r w:rsidRPr="003062A9">
        <w:rPr>
          <w:b/>
          <w:bCs/>
          <w:sz w:val="20"/>
          <w:szCs w:val="20"/>
        </w:rPr>
        <w:t xml:space="preserve">Point 3 : Projet de Rapport d’activité 2020-2021 </w:t>
      </w:r>
    </w:p>
    <w:p w14:paraId="5AFD0883" w14:textId="77777777" w:rsidR="003062A9" w:rsidRPr="003062A9" w:rsidRDefault="003062A9" w:rsidP="003062A9">
      <w:pPr>
        <w:pStyle w:val="Default"/>
        <w:ind w:left="2126" w:hanging="2126"/>
        <w:jc w:val="both"/>
        <w:rPr>
          <w:b/>
          <w:bCs/>
          <w:sz w:val="20"/>
          <w:szCs w:val="20"/>
        </w:rPr>
      </w:pPr>
    </w:p>
    <w:p w14:paraId="383C6AD9" w14:textId="77777777" w:rsidR="003062A9" w:rsidRPr="003062A9" w:rsidRDefault="003062A9" w:rsidP="003062A9">
      <w:pPr>
        <w:autoSpaceDE w:val="0"/>
        <w:autoSpaceDN w:val="0"/>
        <w:adjustRightInd w:val="0"/>
        <w:ind w:left="2126" w:right="-99"/>
        <w:rPr>
          <w:rFonts w:ascii="Arial" w:hAnsi="Arial" w:cs="Arial"/>
          <w:color w:val="000000"/>
          <w:sz w:val="22"/>
          <w:szCs w:val="22"/>
        </w:rPr>
      </w:pPr>
      <w:r w:rsidRPr="003062A9">
        <w:rPr>
          <w:rFonts w:ascii="Arial" w:hAnsi="Arial" w:cs="Arial"/>
          <w:color w:val="000000"/>
          <w:sz w:val="22"/>
          <w:szCs w:val="22"/>
        </w:rPr>
        <w:t>Discussion des propositions d’amendements et commentaires relatifs au Chapitre I-III – document DH-SYSC-IV(2021)02.</w:t>
      </w:r>
    </w:p>
    <w:p w14:paraId="00DBD7D5" w14:textId="77777777" w:rsidR="003062A9" w:rsidRPr="003062A9" w:rsidRDefault="003062A9" w:rsidP="003062A9">
      <w:pPr>
        <w:pStyle w:val="Paragraphedeliste"/>
        <w:tabs>
          <w:tab w:val="left" w:pos="2694"/>
        </w:tabs>
        <w:spacing w:after="0" w:line="240" w:lineRule="auto"/>
        <w:ind w:left="2694"/>
        <w:jc w:val="both"/>
        <w:rPr>
          <w:rFonts w:ascii="Arial" w:hAnsi="Arial" w:cs="Arial"/>
          <w:bCs/>
          <w:sz w:val="20"/>
          <w:szCs w:val="20"/>
          <w:lang w:val="fr-FR"/>
        </w:rPr>
      </w:pPr>
    </w:p>
    <w:p w14:paraId="0CF3C76C" w14:textId="77777777" w:rsidR="003062A9" w:rsidRPr="003062A9" w:rsidRDefault="003062A9" w:rsidP="003062A9">
      <w:pPr>
        <w:tabs>
          <w:tab w:val="left" w:pos="2127"/>
        </w:tabs>
        <w:jc w:val="both"/>
        <w:rPr>
          <w:rFonts w:ascii="Arial" w:hAnsi="Arial" w:cs="Arial"/>
          <w:bCs/>
          <w:sz w:val="22"/>
          <w:szCs w:val="22"/>
        </w:rPr>
      </w:pPr>
      <w:r w:rsidRPr="003062A9">
        <w:rPr>
          <w:rFonts w:ascii="Arial" w:hAnsi="Arial" w:cs="Arial"/>
          <w:bCs/>
          <w:sz w:val="22"/>
          <w:szCs w:val="22"/>
        </w:rPr>
        <w:t>12h30 – 14h00</w:t>
      </w:r>
      <w:r w:rsidRPr="003062A9">
        <w:rPr>
          <w:rFonts w:ascii="Arial" w:hAnsi="Arial" w:cs="Arial"/>
          <w:bCs/>
          <w:sz w:val="22"/>
          <w:szCs w:val="22"/>
        </w:rPr>
        <w:tab/>
      </w:r>
      <w:r w:rsidRPr="003062A9">
        <w:rPr>
          <w:rFonts w:ascii="Arial" w:hAnsi="Arial" w:cs="Arial"/>
          <w:bCs/>
          <w:i/>
          <w:sz w:val="22"/>
          <w:szCs w:val="22"/>
        </w:rPr>
        <w:t>Pause déjeuner</w:t>
      </w:r>
    </w:p>
    <w:p w14:paraId="7F3620D2" w14:textId="77777777" w:rsidR="003062A9" w:rsidRPr="003062A9" w:rsidRDefault="003062A9" w:rsidP="003062A9">
      <w:pPr>
        <w:ind w:left="1418" w:hanging="1418"/>
        <w:jc w:val="both"/>
        <w:rPr>
          <w:rFonts w:ascii="Arial" w:hAnsi="Arial" w:cs="Arial"/>
          <w:b/>
          <w:bCs/>
          <w:sz w:val="22"/>
          <w:szCs w:val="22"/>
          <w:u w:val="single"/>
        </w:rPr>
      </w:pPr>
    </w:p>
    <w:p w14:paraId="5A961289" w14:textId="77777777" w:rsidR="003062A9" w:rsidRPr="003062A9" w:rsidRDefault="003062A9" w:rsidP="003062A9">
      <w:pPr>
        <w:tabs>
          <w:tab w:val="left" w:pos="2694"/>
        </w:tabs>
        <w:jc w:val="both"/>
        <w:rPr>
          <w:rFonts w:ascii="Arial" w:hAnsi="Arial" w:cs="Arial"/>
          <w:i/>
          <w:sz w:val="22"/>
          <w:szCs w:val="22"/>
        </w:rPr>
      </w:pPr>
      <w:r w:rsidRPr="003062A9">
        <w:rPr>
          <w:rFonts w:ascii="Arial" w:hAnsi="Arial" w:cs="Arial"/>
          <w:sz w:val="22"/>
          <w:szCs w:val="22"/>
        </w:rPr>
        <w:t xml:space="preserve">14h00 </w:t>
      </w:r>
      <w:r w:rsidRPr="003062A9">
        <w:rPr>
          <w:rFonts w:ascii="Arial" w:hAnsi="Arial" w:cs="Arial"/>
          <w:bCs/>
          <w:sz w:val="22"/>
          <w:szCs w:val="22"/>
        </w:rPr>
        <w:t xml:space="preserve">– </w:t>
      </w:r>
      <w:r w:rsidRPr="003062A9">
        <w:rPr>
          <w:rFonts w:ascii="Arial" w:hAnsi="Arial" w:cs="Arial"/>
          <w:sz w:val="22"/>
          <w:szCs w:val="22"/>
        </w:rPr>
        <w:t>16h30</w:t>
      </w:r>
      <w:r w:rsidRPr="003062A9">
        <w:rPr>
          <w:rFonts w:ascii="Arial" w:hAnsi="Arial" w:cs="Arial"/>
          <w:bCs/>
          <w:sz w:val="22"/>
          <w:szCs w:val="22"/>
        </w:rPr>
        <w:t xml:space="preserve">           </w:t>
      </w:r>
      <w:r w:rsidRPr="003062A9">
        <w:rPr>
          <w:rFonts w:ascii="Arial" w:hAnsi="Arial" w:cs="Arial"/>
          <w:b/>
          <w:bCs/>
          <w:sz w:val="22"/>
          <w:szCs w:val="22"/>
        </w:rPr>
        <w:t xml:space="preserve">Point 3 :   </w:t>
      </w:r>
      <w:r w:rsidRPr="003062A9">
        <w:rPr>
          <w:rFonts w:ascii="Arial" w:hAnsi="Arial" w:cs="Arial"/>
          <w:i/>
          <w:sz w:val="22"/>
          <w:szCs w:val="22"/>
        </w:rPr>
        <w:t>Poursuite</w:t>
      </w:r>
    </w:p>
    <w:p w14:paraId="4A51E5C4" w14:textId="77777777" w:rsidR="003062A9" w:rsidRPr="003062A9" w:rsidRDefault="003062A9" w:rsidP="003062A9">
      <w:pPr>
        <w:tabs>
          <w:tab w:val="left" w:pos="2694"/>
        </w:tabs>
        <w:jc w:val="both"/>
        <w:rPr>
          <w:rFonts w:ascii="Arial" w:hAnsi="Arial" w:cs="Arial"/>
          <w:bCs/>
          <w:sz w:val="22"/>
          <w:szCs w:val="22"/>
        </w:rPr>
      </w:pPr>
    </w:p>
    <w:p w14:paraId="42E85B6E" w14:textId="77777777" w:rsidR="003062A9" w:rsidRPr="003062A9" w:rsidRDefault="003062A9" w:rsidP="003062A9">
      <w:pPr>
        <w:tabs>
          <w:tab w:val="left" w:pos="2127"/>
        </w:tabs>
        <w:ind w:left="2127"/>
        <w:jc w:val="both"/>
        <w:rPr>
          <w:rFonts w:ascii="Arial" w:hAnsi="Arial" w:cs="Arial"/>
          <w:bCs/>
          <w:sz w:val="22"/>
          <w:szCs w:val="22"/>
        </w:rPr>
      </w:pPr>
      <w:r w:rsidRPr="003062A9">
        <w:rPr>
          <w:rFonts w:ascii="Arial" w:hAnsi="Arial" w:cs="Arial"/>
          <w:bCs/>
          <w:sz w:val="22"/>
          <w:szCs w:val="22"/>
        </w:rPr>
        <w:t>D</w:t>
      </w:r>
      <w:r w:rsidRPr="003062A9">
        <w:rPr>
          <w:rFonts w:ascii="Arial" w:hAnsi="Arial" w:cs="Arial"/>
          <w:color w:val="000000"/>
          <w:sz w:val="22"/>
          <w:szCs w:val="22"/>
        </w:rPr>
        <w:t xml:space="preserve">iscussion des propositions d’amendements et commentaires relatifs au Chapitre III – document DH-SYSC-IV(2021)02 </w:t>
      </w:r>
    </w:p>
    <w:p w14:paraId="670872E2" w14:textId="77777777" w:rsidR="003062A9" w:rsidRPr="003062A9" w:rsidRDefault="003062A9" w:rsidP="003062A9">
      <w:pPr>
        <w:ind w:left="1418" w:hanging="1418"/>
        <w:jc w:val="both"/>
        <w:rPr>
          <w:rFonts w:ascii="Arial" w:hAnsi="Arial" w:cs="Arial"/>
          <w:sz w:val="22"/>
          <w:szCs w:val="22"/>
        </w:rPr>
      </w:pPr>
    </w:p>
    <w:p w14:paraId="4A2C45D5" w14:textId="77777777" w:rsidR="003062A9" w:rsidRPr="003062A9" w:rsidRDefault="003062A9" w:rsidP="003062A9">
      <w:pPr>
        <w:ind w:left="1418" w:hanging="1418"/>
        <w:jc w:val="both"/>
        <w:rPr>
          <w:rFonts w:ascii="Arial" w:hAnsi="Arial" w:cs="Arial"/>
          <w:b/>
          <w:bCs/>
          <w:sz w:val="22"/>
          <w:szCs w:val="22"/>
          <w:u w:val="single"/>
        </w:rPr>
      </w:pPr>
      <w:r w:rsidRPr="003062A9">
        <w:rPr>
          <w:rFonts w:ascii="Arial" w:hAnsi="Arial" w:cs="Arial"/>
          <w:b/>
          <w:bCs/>
          <w:sz w:val="22"/>
          <w:szCs w:val="22"/>
          <w:u w:val="single"/>
        </w:rPr>
        <w:t>Jeudi 23 septembre 2021</w:t>
      </w:r>
    </w:p>
    <w:p w14:paraId="1F7FCE47" w14:textId="77777777" w:rsidR="003062A9" w:rsidRPr="003062A9" w:rsidRDefault="003062A9" w:rsidP="003062A9">
      <w:pPr>
        <w:jc w:val="both"/>
        <w:rPr>
          <w:rFonts w:ascii="Arial" w:hAnsi="Arial" w:cs="Arial"/>
          <w:bCs/>
          <w:sz w:val="22"/>
          <w:szCs w:val="22"/>
        </w:rPr>
      </w:pPr>
    </w:p>
    <w:p w14:paraId="051941BA" w14:textId="77777777" w:rsidR="003062A9" w:rsidRPr="003062A9" w:rsidRDefault="003062A9" w:rsidP="003062A9">
      <w:pPr>
        <w:tabs>
          <w:tab w:val="left" w:pos="2694"/>
        </w:tabs>
        <w:jc w:val="both"/>
        <w:rPr>
          <w:rFonts w:ascii="Arial" w:hAnsi="Arial" w:cs="Arial"/>
          <w:bCs/>
          <w:sz w:val="22"/>
          <w:szCs w:val="22"/>
        </w:rPr>
      </w:pPr>
      <w:r w:rsidRPr="003062A9">
        <w:rPr>
          <w:rFonts w:ascii="Arial" w:hAnsi="Arial" w:cs="Arial"/>
          <w:bCs/>
          <w:sz w:val="22"/>
          <w:szCs w:val="22"/>
        </w:rPr>
        <w:t xml:space="preserve">10h00 – 12h30           </w:t>
      </w:r>
      <w:r w:rsidRPr="003062A9">
        <w:rPr>
          <w:rFonts w:ascii="Arial" w:hAnsi="Arial" w:cs="Arial"/>
          <w:b/>
          <w:bCs/>
          <w:sz w:val="22"/>
          <w:szCs w:val="22"/>
        </w:rPr>
        <w:t>Point 3 :</w:t>
      </w:r>
      <w:r w:rsidRPr="003062A9">
        <w:rPr>
          <w:rFonts w:ascii="Arial" w:hAnsi="Arial" w:cs="Arial"/>
          <w:bCs/>
          <w:sz w:val="22"/>
          <w:szCs w:val="22"/>
        </w:rPr>
        <w:t xml:space="preserve">  </w:t>
      </w:r>
      <w:r w:rsidRPr="003062A9">
        <w:rPr>
          <w:rFonts w:ascii="Arial" w:hAnsi="Arial" w:cs="Arial"/>
          <w:bCs/>
          <w:i/>
          <w:sz w:val="22"/>
          <w:szCs w:val="22"/>
        </w:rPr>
        <w:t>Poursuite</w:t>
      </w:r>
    </w:p>
    <w:p w14:paraId="34FB3E6F" w14:textId="36B7E242" w:rsidR="003062A9" w:rsidRPr="003062A9" w:rsidRDefault="003062A9" w:rsidP="003062A9">
      <w:pPr>
        <w:tabs>
          <w:tab w:val="left" w:pos="2127"/>
        </w:tabs>
        <w:ind w:left="2127"/>
        <w:jc w:val="both"/>
        <w:rPr>
          <w:rFonts w:ascii="Arial" w:hAnsi="Arial" w:cs="Arial"/>
          <w:bCs/>
          <w:sz w:val="22"/>
          <w:szCs w:val="22"/>
        </w:rPr>
      </w:pPr>
      <w:r w:rsidRPr="003062A9">
        <w:rPr>
          <w:rFonts w:ascii="Arial" w:hAnsi="Arial" w:cs="Arial"/>
          <w:bCs/>
          <w:sz w:val="22"/>
          <w:szCs w:val="22"/>
        </w:rPr>
        <w:t>Discussion des propositions d’amendements et commentaires relatifs au Chapitre IV et V – document DH-SYSC-IV(2021)02.</w:t>
      </w:r>
    </w:p>
    <w:p w14:paraId="2596F534" w14:textId="77777777" w:rsidR="003062A9" w:rsidRPr="003062A9" w:rsidRDefault="003062A9" w:rsidP="003062A9">
      <w:pPr>
        <w:jc w:val="both"/>
        <w:rPr>
          <w:rFonts w:ascii="Arial" w:hAnsi="Arial" w:cs="Arial"/>
          <w:bCs/>
          <w:sz w:val="22"/>
          <w:szCs w:val="22"/>
        </w:rPr>
      </w:pPr>
    </w:p>
    <w:p w14:paraId="2B498D4E" w14:textId="77777777" w:rsidR="003062A9" w:rsidRPr="003062A9" w:rsidRDefault="003062A9" w:rsidP="003062A9">
      <w:pPr>
        <w:jc w:val="both"/>
        <w:rPr>
          <w:rFonts w:ascii="Arial" w:hAnsi="Arial" w:cs="Arial"/>
          <w:bCs/>
          <w:sz w:val="22"/>
          <w:szCs w:val="22"/>
        </w:rPr>
      </w:pPr>
      <w:r w:rsidRPr="003062A9">
        <w:rPr>
          <w:rFonts w:ascii="Arial" w:hAnsi="Arial" w:cs="Arial"/>
          <w:bCs/>
          <w:sz w:val="22"/>
          <w:szCs w:val="22"/>
        </w:rPr>
        <w:t>12h30 – 14h00</w:t>
      </w:r>
      <w:r w:rsidRPr="003062A9">
        <w:rPr>
          <w:rFonts w:ascii="Arial" w:hAnsi="Arial" w:cs="Arial"/>
          <w:bCs/>
          <w:sz w:val="22"/>
          <w:szCs w:val="22"/>
        </w:rPr>
        <w:tab/>
      </w:r>
      <w:r w:rsidRPr="003062A9">
        <w:rPr>
          <w:rFonts w:ascii="Arial" w:hAnsi="Arial" w:cs="Arial"/>
          <w:bCs/>
          <w:i/>
          <w:sz w:val="22"/>
          <w:szCs w:val="22"/>
        </w:rPr>
        <w:t>Pause déjeuner</w:t>
      </w:r>
    </w:p>
    <w:p w14:paraId="3FBEB2C4" w14:textId="77777777" w:rsidR="003062A9" w:rsidRPr="003062A9" w:rsidRDefault="003062A9" w:rsidP="003062A9">
      <w:pPr>
        <w:jc w:val="both"/>
        <w:rPr>
          <w:rFonts w:ascii="Arial" w:hAnsi="Arial" w:cs="Arial"/>
          <w:bCs/>
          <w:sz w:val="22"/>
          <w:szCs w:val="22"/>
        </w:rPr>
      </w:pPr>
    </w:p>
    <w:p w14:paraId="11DCE358" w14:textId="77777777" w:rsidR="003062A9" w:rsidRPr="003062A9" w:rsidRDefault="003062A9" w:rsidP="003062A9">
      <w:pPr>
        <w:jc w:val="both"/>
        <w:rPr>
          <w:rFonts w:ascii="Arial" w:hAnsi="Arial" w:cs="Arial"/>
          <w:bCs/>
          <w:i/>
          <w:sz w:val="22"/>
          <w:szCs w:val="22"/>
        </w:rPr>
      </w:pPr>
      <w:r w:rsidRPr="003062A9">
        <w:rPr>
          <w:rFonts w:ascii="Arial" w:hAnsi="Arial" w:cs="Arial"/>
          <w:bCs/>
          <w:sz w:val="22"/>
          <w:szCs w:val="22"/>
        </w:rPr>
        <w:t>14h00 – 16h30</w:t>
      </w:r>
      <w:r w:rsidRPr="003062A9">
        <w:rPr>
          <w:rFonts w:ascii="Arial" w:hAnsi="Arial" w:cs="Arial"/>
          <w:bCs/>
          <w:sz w:val="22"/>
          <w:szCs w:val="22"/>
        </w:rPr>
        <w:tab/>
      </w:r>
      <w:r w:rsidRPr="003062A9">
        <w:rPr>
          <w:rFonts w:ascii="Arial" w:hAnsi="Arial" w:cs="Arial"/>
          <w:b/>
          <w:bCs/>
          <w:sz w:val="22"/>
          <w:szCs w:val="22"/>
        </w:rPr>
        <w:t xml:space="preserve">Point 3 :  </w:t>
      </w:r>
      <w:r w:rsidRPr="003062A9">
        <w:rPr>
          <w:rFonts w:ascii="Arial" w:hAnsi="Arial" w:cs="Arial"/>
          <w:bCs/>
          <w:i/>
          <w:sz w:val="22"/>
          <w:szCs w:val="22"/>
        </w:rPr>
        <w:t>Poursuite</w:t>
      </w:r>
    </w:p>
    <w:p w14:paraId="620A6E26" w14:textId="77777777" w:rsidR="003062A9" w:rsidRPr="003062A9" w:rsidRDefault="003062A9" w:rsidP="003062A9">
      <w:pPr>
        <w:jc w:val="both"/>
        <w:rPr>
          <w:rFonts w:ascii="Arial" w:hAnsi="Arial" w:cs="Arial"/>
          <w:bCs/>
          <w:i/>
          <w:sz w:val="22"/>
          <w:szCs w:val="22"/>
        </w:rPr>
      </w:pPr>
      <w:r w:rsidRPr="003062A9">
        <w:rPr>
          <w:rFonts w:ascii="Arial" w:hAnsi="Arial" w:cs="Arial"/>
          <w:bCs/>
          <w:i/>
          <w:sz w:val="22"/>
          <w:szCs w:val="22"/>
          <w:u w:val="single"/>
        </w:rPr>
        <w:t xml:space="preserve"> </w:t>
      </w:r>
    </w:p>
    <w:p w14:paraId="45309713" w14:textId="77777777" w:rsidR="003062A9" w:rsidRPr="003062A9" w:rsidRDefault="003062A9" w:rsidP="003062A9">
      <w:pPr>
        <w:tabs>
          <w:tab w:val="left" w:pos="2127"/>
        </w:tabs>
        <w:ind w:left="2127"/>
        <w:jc w:val="both"/>
        <w:rPr>
          <w:rFonts w:ascii="Arial" w:hAnsi="Arial" w:cs="Arial"/>
          <w:bCs/>
          <w:sz w:val="22"/>
          <w:szCs w:val="22"/>
        </w:rPr>
      </w:pPr>
      <w:r w:rsidRPr="003062A9">
        <w:rPr>
          <w:rFonts w:ascii="Arial" w:hAnsi="Arial" w:cs="Arial"/>
          <w:bCs/>
          <w:sz w:val="22"/>
          <w:szCs w:val="22"/>
        </w:rPr>
        <w:t>Discussion des propositions d’amendements et commentaires relatifs au Chapitre VI – document DH-SYSC-IV(2021)02.</w:t>
      </w:r>
    </w:p>
    <w:p w14:paraId="742083A0" w14:textId="77777777" w:rsidR="003062A9" w:rsidRPr="003062A9" w:rsidRDefault="003062A9" w:rsidP="003062A9">
      <w:pPr>
        <w:tabs>
          <w:tab w:val="left" w:pos="2694"/>
        </w:tabs>
        <w:ind w:left="2160"/>
        <w:jc w:val="both"/>
        <w:rPr>
          <w:rFonts w:ascii="Arial" w:hAnsi="Arial" w:cs="Arial"/>
          <w:color w:val="000000"/>
          <w:sz w:val="22"/>
          <w:szCs w:val="22"/>
        </w:rPr>
      </w:pPr>
    </w:p>
    <w:p w14:paraId="1E667528" w14:textId="77777777" w:rsidR="003062A9" w:rsidRPr="003062A9" w:rsidRDefault="003062A9" w:rsidP="003062A9">
      <w:pPr>
        <w:tabs>
          <w:tab w:val="left" w:pos="2694"/>
        </w:tabs>
        <w:jc w:val="both"/>
        <w:rPr>
          <w:rFonts w:ascii="Arial" w:hAnsi="Arial" w:cs="Arial"/>
          <w:color w:val="000000"/>
          <w:sz w:val="22"/>
          <w:szCs w:val="22"/>
        </w:rPr>
      </w:pPr>
    </w:p>
    <w:p w14:paraId="5BA945E3" w14:textId="77777777" w:rsidR="003062A9" w:rsidRPr="003062A9" w:rsidRDefault="003062A9" w:rsidP="003062A9">
      <w:pPr>
        <w:ind w:left="1418" w:hanging="1418"/>
        <w:jc w:val="both"/>
        <w:rPr>
          <w:rFonts w:ascii="Arial" w:hAnsi="Arial" w:cs="Arial"/>
          <w:b/>
          <w:bCs/>
          <w:sz w:val="22"/>
          <w:szCs w:val="22"/>
          <w:u w:val="single"/>
        </w:rPr>
      </w:pPr>
      <w:r w:rsidRPr="003062A9">
        <w:rPr>
          <w:rFonts w:ascii="Arial" w:hAnsi="Arial" w:cs="Arial"/>
          <w:b/>
          <w:bCs/>
          <w:sz w:val="22"/>
          <w:szCs w:val="22"/>
          <w:u w:val="single"/>
        </w:rPr>
        <w:t>Vendredi 24 septembre 2021</w:t>
      </w:r>
    </w:p>
    <w:p w14:paraId="07EB04D0" w14:textId="77777777" w:rsidR="003062A9" w:rsidRPr="003062A9" w:rsidRDefault="003062A9" w:rsidP="003062A9">
      <w:pPr>
        <w:ind w:left="1418" w:hanging="1418"/>
        <w:jc w:val="both"/>
        <w:rPr>
          <w:rFonts w:ascii="Arial" w:hAnsi="Arial" w:cs="Arial"/>
          <w:b/>
          <w:bCs/>
          <w:sz w:val="22"/>
          <w:szCs w:val="22"/>
          <w:u w:val="single"/>
        </w:rPr>
      </w:pPr>
    </w:p>
    <w:p w14:paraId="5E244FE4" w14:textId="77777777" w:rsidR="003062A9" w:rsidRPr="003062A9" w:rsidRDefault="003062A9" w:rsidP="003062A9">
      <w:pPr>
        <w:ind w:left="2126" w:hanging="2126"/>
        <w:jc w:val="both"/>
        <w:rPr>
          <w:rFonts w:ascii="Arial" w:hAnsi="Arial" w:cs="Arial"/>
          <w:bCs/>
          <w:i/>
          <w:sz w:val="22"/>
          <w:szCs w:val="22"/>
        </w:rPr>
      </w:pPr>
      <w:r w:rsidRPr="003062A9">
        <w:rPr>
          <w:rFonts w:ascii="Arial" w:hAnsi="Arial" w:cs="Arial"/>
          <w:bCs/>
          <w:sz w:val="22"/>
          <w:szCs w:val="22"/>
        </w:rPr>
        <w:t>10h00 – 12h30</w:t>
      </w:r>
      <w:r w:rsidRPr="003062A9">
        <w:rPr>
          <w:rFonts w:ascii="Arial" w:hAnsi="Arial" w:cs="Arial"/>
          <w:bCs/>
          <w:sz w:val="22"/>
          <w:szCs w:val="22"/>
        </w:rPr>
        <w:tab/>
      </w:r>
      <w:r w:rsidRPr="003062A9">
        <w:rPr>
          <w:rFonts w:ascii="Arial" w:hAnsi="Arial" w:cs="Arial"/>
          <w:b/>
          <w:bCs/>
          <w:sz w:val="22"/>
          <w:szCs w:val="22"/>
        </w:rPr>
        <w:t xml:space="preserve">Point 3 :  </w:t>
      </w:r>
      <w:r w:rsidRPr="003062A9">
        <w:rPr>
          <w:rFonts w:ascii="Arial" w:hAnsi="Arial" w:cs="Arial"/>
          <w:bCs/>
          <w:i/>
          <w:sz w:val="22"/>
          <w:szCs w:val="22"/>
        </w:rPr>
        <w:t>Poursuite</w:t>
      </w:r>
    </w:p>
    <w:p w14:paraId="3219BDBD" w14:textId="77777777" w:rsidR="003062A9" w:rsidRPr="003062A9" w:rsidRDefault="003062A9" w:rsidP="003062A9">
      <w:pPr>
        <w:ind w:left="2126" w:hanging="2126"/>
        <w:jc w:val="both"/>
        <w:rPr>
          <w:rFonts w:ascii="Arial" w:hAnsi="Arial" w:cs="Arial"/>
          <w:bCs/>
          <w:i/>
          <w:sz w:val="22"/>
          <w:szCs w:val="22"/>
        </w:rPr>
      </w:pPr>
    </w:p>
    <w:p w14:paraId="2090C252" w14:textId="77777777" w:rsidR="003062A9" w:rsidRPr="003062A9" w:rsidRDefault="003062A9" w:rsidP="003062A9">
      <w:pPr>
        <w:ind w:left="2126" w:hanging="2126"/>
        <w:jc w:val="both"/>
        <w:rPr>
          <w:rFonts w:ascii="Arial" w:hAnsi="Arial" w:cs="Arial"/>
          <w:bCs/>
          <w:sz w:val="22"/>
          <w:szCs w:val="22"/>
        </w:rPr>
      </w:pPr>
      <w:r w:rsidRPr="003062A9">
        <w:rPr>
          <w:rFonts w:ascii="Arial" w:hAnsi="Arial" w:cs="Arial"/>
          <w:bCs/>
          <w:sz w:val="22"/>
          <w:szCs w:val="22"/>
        </w:rPr>
        <w:tab/>
      </w:r>
      <w:r w:rsidRPr="003062A9">
        <w:rPr>
          <w:rFonts w:ascii="Arial" w:hAnsi="Arial" w:cs="Arial"/>
          <w:bCs/>
          <w:iCs/>
          <w:sz w:val="22"/>
          <w:szCs w:val="22"/>
        </w:rPr>
        <w:t xml:space="preserve">Discussion </w:t>
      </w:r>
      <w:r w:rsidRPr="003062A9">
        <w:rPr>
          <w:rFonts w:ascii="Arial" w:hAnsi="Arial" w:cs="Arial"/>
          <w:bCs/>
          <w:sz w:val="22"/>
          <w:szCs w:val="22"/>
        </w:rPr>
        <w:t xml:space="preserve">des propositions d’amendements et commentaires relatifs au Chapitre VII-IX – document DH-SYSC-IV(2021)02. </w:t>
      </w:r>
    </w:p>
    <w:p w14:paraId="6C7B8247" w14:textId="77777777" w:rsidR="003062A9" w:rsidRPr="003062A9" w:rsidRDefault="003062A9" w:rsidP="003062A9">
      <w:pPr>
        <w:ind w:left="2126" w:hanging="2126"/>
        <w:jc w:val="both"/>
        <w:rPr>
          <w:rFonts w:ascii="Arial" w:hAnsi="Arial" w:cs="Arial"/>
          <w:bCs/>
          <w:sz w:val="22"/>
          <w:szCs w:val="22"/>
        </w:rPr>
      </w:pPr>
    </w:p>
    <w:p w14:paraId="5941CA5D" w14:textId="77777777" w:rsidR="003062A9" w:rsidRPr="003062A9" w:rsidRDefault="003062A9" w:rsidP="003062A9">
      <w:pPr>
        <w:jc w:val="both"/>
        <w:rPr>
          <w:rFonts w:ascii="Arial" w:hAnsi="Arial" w:cs="Arial"/>
          <w:bCs/>
          <w:i/>
          <w:sz w:val="22"/>
          <w:szCs w:val="22"/>
        </w:rPr>
      </w:pPr>
      <w:r w:rsidRPr="003062A9">
        <w:rPr>
          <w:rFonts w:ascii="Arial" w:hAnsi="Arial" w:cs="Arial"/>
          <w:bCs/>
          <w:sz w:val="22"/>
          <w:szCs w:val="22"/>
        </w:rPr>
        <w:t>12h30 – 14h00</w:t>
      </w:r>
      <w:r w:rsidRPr="003062A9">
        <w:rPr>
          <w:rFonts w:ascii="Arial" w:hAnsi="Arial" w:cs="Arial"/>
          <w:bCs/>
          <w:sz w:val="22"/>
          <w:szCs w:val="22"/>
        </w:rPr>
        <w:tab/>
      </w:r>
      <w:r w:rsidRPr="003062A9">
        <w:rPr>
          <w:rFonts w:ascii="Arial" w:hAnsi="Arial" w:cs="Arial"/>
          <w:bCs/>
          <w:i/>
          <w:sz w:val="22"/>
          <w:szCs w:val="22"/>
        </w:rPr>
        <w:t>Pause déjeuner</w:t>
      </w:r>
    </w:p>
    <w:p w14:paraId="4BFD3344" w14:textId="77777777" w:rsidR="003062A9" w:rsidRPr="003062A9" w:rsidRDefault="003062A9" w:rsidP="003062A9">
      <w:pPr>
        <w:jc w:val="both"/>
        <w:rPr>
          <w:rFonts w:ascii="Arial" w:hAnsi="Arial" w:cs="Arial"/>
          <w:bCs/>
          <w:i/>
          <w:sz w:val="22"/>
          <w:szCs w:val="22"/>
        </w:rPr>
      </w:pPr>
    </w:p>
    <w:p w14:paraId="4BA49D9B" w14:textId="3C3E2255" w:rsidR="003062A9" w:rsidRPr="003062A9" w:rsidRDefault="003062A9" w:rsidP="003062A9">
      <w:pPr>
        <w:pStyle w:val="Default"/>
        <w:jc w:val="both"/>
        <w:rPr>
          <w:sz w:val="22"/>
          <w:szCs w:val="22"/>
        </w:rPr>
      </w:pPr>
      <w:r w:rsidRPr="003062A9">
        <w:rPr>
          <w:bCs/>
          <w:sz w:val="20"/>
          <w:szCs w:val="20"/>
        </w:rPr>
        <w:t>14h00 – 14h30</w:t>
      </w:r>
      <w:r w:rsidRPr="003062A9">
        <w:rPr>
          <w:bCs/>
          <w:sz w:val="20"/>
          <w:szCs w:val="20"/>
        </w:rPr>
        <w:tab/>
      </w:r>
      <w:r>
        <w:rPr>
          <w:bCs/>
          <w:sz w:val="20"/>
          <w:szCs w:val="20"/>
        </w:rPr>
        <w:tab/>
      </w:r>
      <w:r w:rsidRPr="003062A9">
        <w:rPr>
          <w:b/>
          <w:sz w:val="22"/>
          <w:szCs w:val="22"/>
        </w:rPr>
        <w:t>Point 4 :</w:t>
      </w:r>
      <w:r w:rsidRPr="003062A9">
        <w:rPr>
          <w:bCs/>
          <w:sz w:val="22"/>
          <w:szCs w:val="22"/>
        </w:rPr>
        <w:t xml:space="preserve"> </w:t>
      </w:r>
      <w:r w:rsidRPr="003062A9">
        <w:rPr>
          <w:b/>
          <w:bCs/>
          <w:sz w:val="22"/>
          <w:szCs w:val="22"/>
        </w:rPr>
        <w:t>Égalité de genre</w:t>
      </w:r>
    </w:p>
    <w:p w14:paraId="053F1E5A" w14:textId="77777777" w:rsidR="003062A9" w:rsidRPr="003062A9" w:rsidRDefault="003062A9" w:rsidP="003062A9">
      <w:pPr>
        <w:jc w:val="both"/>
        <w:rPr>
          <w:rFonts w:ascii="Arial" w:hAnsi="Arial" w:cs="Arial"/>
          <w:bCs/>
          <w:sz w:val="22"/>
          <w:szCs w:val="22"/>
        </w:rPr>
      </w:pPr>
    </w:p>
    <w:p w14:paraId="617C0A68" w14:textId="56BA182C" w:rsidR="003062A9" w:rsidRPr="003062A9" w:rsidRDefault="003062A9" w:rsidP="003062A9">
      <w:pPr>
        <w:ind w:left="2126" w:hanging="2126"/>
        <w:jc w:val="both"/>
        <w:rPr>
          <w:rFonts w:ascii="Arial" w:hAnsi="Arial" w:cs="Arial"/>
          <w:b/>
          <w:bCs/>
          <w:sz w:val="22"/>
          <w:szCs w:val="22"/>
        </w:rPr>
      </w:pPr>
      <w:r w:rsidRPr="003062A9">
        <w:rPr>
          <w:rFonts w:ascii="Arial" w:hAnsi="Arial" w:cs="Arial"/>
          <w:bCs/>
          <w:sz w:val="22"/>
          <w:szCs w:val="22"/>
        </w:rPr>
        <w:t xml:space="preserve">14h30 – 15h00 </w:t>
      </w:r>
      <w:r w:rsidRPr="003062A9">
        <w:rPr>
          <w:rFonts w:ascii="Arial" w:hAnsi="Arial" w:cs="Arial"/>
          <w:bCs/>
          <w:sz w:val="22"/>
          <w:szCs w:val="22"/>
        </w:rPr>
        <w:tab/>
      </w:r>
      <w:r w:rsidRPr="003062A9">
        <w:rPr>
          <w:rFonts w:ascii="Arial" w:hAnsi="Arial" w:cs="Arial"/>
          <w:b/>
          <w:sz w:val="22"/>
          <w:szCs w:val="22"/>
        </w:rPr>
        <w:t>Point 5-6 :</w:t>
      </w:r>
      <w:r w:rsidRPr="003062A9">
        <w:rPr>
          <w:rFonts w:ascii="Arial" w:hAnsi="Arial" w:cs="Arial"/>
          <w:bCs/>
          <w:sz w:val="22"/>
          <w:szCs w:val="22"/>
        </w:rPr>
        <w:t xml:space="preserve"> </w:t>
      </w:r>
      <w:r w:rsidRPr="003062A9">
        <w:rPr>
          <w:rFonts w:ascii="Arial" w:hAnsi="Arial" w:cs="Arial"/>
          <w:b/>
          <w:bCs/>
          <w:sz w:val="22"/>
          <w:szCs w:val="22"/>
        </w:rPr>
        <w:t>Organisation des travaux futurs et autres questions</w:t>
      </w:r>
    </w:p>
    <w:p w14:paraId="6EA81BF5" w14:textId="77777777" w:rsidR="003062A9" w:rsidRPr="003062A9" w:rsidRDefault="003062A9" w:rsidP="003062A9">
      <w:pPr>
        <w:ind w:left="2126" w:hanging="2126"/>
        <w:jc w:val="both"/>
        <w:rPr>
          <w:rFonts w:ascii="Arial" w:hAnsi="Arial" w:cs="Arial"/>
          <w:b/>
          <w:bCs/>
          <w:sz w:val="22"/>
          <w:szCs w:val="22"/>
        </w:rPr>
      </w:pPr>
    </w:p>
    <w:p w14:paraId="42458096" w14:textId="77777777" w:rsidR="003062A9" w:rsidRPr="003062A9" w:rsidRDefault="003062A9" w:rsidP="003062A9">
      <w:pPr>
        <w:ind w:left="2160"/>
        <w:jc w:val="both"/>
        <w:rPr>
          <w:rFonts w:ascii="Arial" w:hAnsi="Arial" w:cs="Arial"/>
          <w:sz w:val="22"/>
          <w:szCs w:val="22"/>
        </w:rPr>
      </w:pPr>
      <w:r w:rsidRPr="003062A9">
        <w:rPr>
          <w:rFonts w:ascii="Arial" w:hAnsi="Arial" w:cs="Arial"/>
          <w:bCs/>
          <w:sz w:val="22"/>
          <w:szCs w:val="22"/>
        </w:rPr>
        <w:t>Discussion sur le point de savoir si d’éventuels travaux sont à mener après la 4</w:t>
      </w:r>
      <w:r w:rsidRPr="003062A9">
        <w:rPr>
          <w:rFonts w:ascii="Arial" w:hAnsi="Arial" w:cs="Arial"/>
          <w:bCs/>
          <w:sz w:val="22"/>
          <w:szCs w:val="22"/>
          <w:vertAlign w:val="superscript"/>
        </w:rPr>
        <w:t>ème</w:t>
      </w:r>
      <w:r w:rsidRPr="003062A9">
        <w:rPr>
          <w:rFonts w:ascii="Arial" w:hAnsi="Arial" w:cs="Arial"/>
          <w:bCs/>
          <w:sz w:val="22"/>
          <w:szCs w:val="22"/>
        </w:rPr>
        <w:t xml:space="preserve"> réunion du Groupe de rédaction lors du biennium 2020-2021 – </w:t>
      </w:r>
      <w:r w:rsidRPr="003062A9">
        <w:rPr>
          <w:rFonts w:ascii="Arial" w:hAnsi="Arial" w:cs="Arial"/>
          <w:sz w:val="22"/>
          <w:szCs w:val="22"/>
        </w:rPr>
        <w:t xml:space="preserve">document </w:t>
      </w:r>
      <w:r w:rsidRPr="003062A9">
        <w:rPr>
          <w:rFonts w:ascii="Arial" w:hAnsi="Arial" w:cs="Arial"/>
          <w:color w:val="000000" w:themeColor="text1"/>
          <w:sz w:val="22"/>
          <w:szCs w:val="22"/>
        </w:rPr>
        <w:t>DH-SYSC-IV(2020)03REV4.</w:t>
      </w:r>
      <w:r w:rsidRPr="003062A9">
        <w:rPr>
          <w:rFonts w:ascii="Arial" w:hAnsi="Arial" w:cs="Arial"/>
          <w:bCs/>
          <w:sz w:val="22"/>
          <w:szCs w:val="22"/>
        </w:rPr>
        <w:t xml:space="preserve"> </w:t>
      </w:r>
    </w:p>
    <w:p w14:paraId="7F62DA9F" w14:textId="77777777" w:rsidR="003062A9" w:rsidRPr="003062A9" w:rsidRDefault="003062A9" w:rsidP="003062A9">
      <w:pPr>
        <w:ind w:left="2160"/>
        <w:jc w:val="both"/>
        <w:rPr>
          <w:rFonts w:ascii="Arial" w:hAnsi="Arial" w:cs="Arial"/>
          <w:bCs/>
          <w:sz w:val="22"/>
          <w:szCs w:val="22"/>
        </w:rPr>
      </w:pPr>
    </w:p>
    <w:p w14:paraId="0E6A07B1" w14:textId="77777777" w:rsidR="003062A9" w:rsidRPr="003062A9" w:rsidRDefault="003062A9" w:rsidP="003062A9">
      <w:pPr>
        <w:jc w:val="both"/>
        <w:rPr>
          <w:rFonts w:ascii="Arial" w:hAnsi="Arial" w:cs="Arial"/>
          <w:bCs/>
          <w:sz w:val="22"/>
          <w:szCs w:val="22"/>
        </w:rPr>
      </w:pPr>
      <w:r w:rsidRPr="003062A9">
        <w:rPr>
          <w:rFonts w:ascii="Arial" w:hAnsi="Arial" w:cs="Arial"/>
          <w:b/>
          <w:sz w:val="22"/>
          <w:szCs w:val="22"/>
        </w:rPr>
        <w:t>15h00-16h30</w:t>
      </w:r>
      <w:r w:rsidRPr="003062A9">
        <w:rPr>
          <w:rFonts w:ascii="Arial" w:hAnsi="Arial" w:cs="Arial"/>
          <w:b/>
          <w:sz w:val="22"/>
          <w:szCs w:val="22"/>
        </w:rPr>
        <w:tab/>
      </w:r>
      <w:r w:rsidRPr="003062A9">
        <w:rPr>
          <w:rFonts w:ascii="Arial" w:hAnsi="Arial" w:cs="Arial"/>
          <w:b/>
          <w:sz w:val="22"/>
          <w:szCs w:val="22"/>
        </w:rPr>
        <w:tab/>
        <w:t>Point 7 :</w:t>
      </w:r>
      <w:r w:rsidRPr="003062A9">
        <w:rPr>
          <w:rFonts w:ascii="Arial" w:hAnsi="Arial" w:cs="Arial"/>
          <w:bCs/>
          <w:sz w:val="22"/>
          <w:szCs w:val="22"/>
        </w:rPr>
        <w:t xml:space="preserve"> </w:t>
      </w:r>
      <w:r w:rsidRPr="003062A9">
        <w:rPr>
          <w:rFonts w:ascii="Arial" w:hAnsi="Arial" w:cs="Arial"/>
          <w:b/>
          <w:bCs/>
          <w:sz w:val="22"/>
          <w:szCs w:val="22"/>
        </w:rPr>
        <w:t>Approbation du rapport de réunion</w:t>
      </w:r>
    </w:p>
    <w:p w14:paraId="272A9072" w14:textId="77777777" w:rsidR="003062A9" w:rsidRDefault="003062A9">
      <w:pPr>
        <w:rPr>
          <w:rFonts w:ascii="Arial" w:hAnsi="Arial" w:cs="Arial"/>
          <w:bCs/>
          <w:sz w:val="22"/>
          <w:szCs w:val="22"/>
          <w:u w:val="single"/>
        </w:rPr>
      </w:pPr>
      <w:r>
        <w:rPr>
          <w:rFonts w:ascii="Arial" w:hAnsi="Arial" w:cs="Arial"/>
          <w:bCs/>
          <w:sz w:val="22"/>
          <w:szCs w:val="22"/>
          <w:u w:val="single"/>
        </w:rPr>
        <w:br w:type="page"/>
      </w:r>
    </w:p>
    <w:p w14:paraId="0B9EBD51" w14:textId="476FCD7A" w:rsidR="009D653F" w:rsidRDefault="009D653F" w:rsidP="003062A9">
      <w:pPr>
        <w:jc w:val="center"/>
        <w:rPr>
          <w:rFonts w:ascii="Arial" w:hAnsi="Arial" w:cs="Arial"/>
          <w:bCs/>
          <w:sz w:val="22"/>
          <w:szCs w:val="22"/>
          <w:u w:val="single"/>
        </w:rPr>
      </w:pPr>
      <w:r w:rsidRPr="009D653F">
        <w:rPr>
          <w:rFonts w:ascii="Arial" w:hAnsi="Arial" w:cs="Arial"/>
          <w:bCs/>
          <w:sz w:val="22"/>
          <w:szCs w:val="22"/>
          <w:u w:val="single"/>
        </w:rPr>
        <w:lastRenderedPageBreak/>
        <w:t xml:space="preserve">Annexe </w:t>
      </w:r>
      <w:r>
        <w:rPr>
          <w:rFonts w:ascii="Arial" w:hAnsi="Arial" w:cs="Arial"/>
          <w:bCs/>
          <w:sz w:val="22"/>
          <w:szCs w:val="22"/>
          <w:u w:val="single"/>
        </w:rPr>
        <w:t>IV</w:t>
      </w:r>
    </w:p>
    <w:p w14:paraId="4599479E" w14:textId="77777777" w:rsidR="00380B79" w:rsidRDefault="00380B79" w:rsidP="00380B79">
      <w:pPr>
        <w:jc w:val="center"/>
        <w:rPr>
          <w:rFonts w:ascii="Arial" w:hAnsi="Arial" w:cs="Arial"/>
          <w:bCs/>
          <w:sz w:val="22"/>
          <w:szCs w:val="22"/>
          <w:u w:val="single"/>
        </w:rPr>
      </w:pPr>
    </w:p>
    <w:p w14:paraId="4B1704CF" w14:textId="4300D697" w:rsidR="00380B79" w:rsidRPr="00720D91" w:rsidRDefault="00E93837" w:rsidP="00380B79">
      <w:pPr>
        <w:jc w:val="center"/>
        <w:rPr>
          <w:rFonts w:ascii="Arial" w:hAnsi="Arial" w:cs="Arial"/>
          <w:b/>
          <w:bCs/>
          <w:sz w:val="22"/>
          <w:szCs w:val="22"/>
        </w:rPr>
      </w:pPr>
      <w:r w:rsidRPr="00720D91">
        <w:rPr>
          <w:rFonts w:ascii="Arial" w:hAnsi="Arial" w:cs="Arial"/>
          <w:b/>
          <w:bCs/>
          <w:sz w:val="22"/>
          <w:szCs w:val="22"/>
        </w:rPr>
        <w:t>R</w:t>
      </w:r>
      <w:r w:rsidR="00380B79" w:rsidRPr="00720D91">
        <w:rPr>
          <w:rFonts w:ascii="Arial" w:hAnsi="Arial" w:cs="Arial"/>
          <w:b/>
          <w:bCs/>
          <w:sz w:val="22"/>
          <w:szCs w:val="22"/>
        </w:rPr>
        <w:t>apport d</w:t>
      </w:r>
      <w:r w:rsidRPr="00720D91">
        <w:rPr>
          <w:rFonts w:ascii="Arial" w:hAnsi="Arial" w:cs="Arial"/>
          <w:b/>
          <w:bCs/>
          <w:sz w:val="22"/>
          <w:szCs w:val="22"/>
        </w:rPr>
        <w:t>’activité 2020-2021</w:t>
      </w:r>
    </w:p>
    <w:p w14:paraId="57EAA90D" w14:textId="77777777" w:rsidR="00720D91" w:rsidRPr="00720D91" w:rsidRDefault="00720D91" w:rsidP="00720D91">
      <w:pPr>
        <w:pStyle w:val="Titre1"/>
        <w:numPr>
          <w:ilvl w:val="0"/>
          <w:numId w:val="2"/>
        </w:numPr>
        <w:ind w:left="501" w:hanging="360"/>
        <w:rPr>
          <w:rFonts w:ascii="Arial" w:hAnsi="Arial" w:cs="Arial"/>
          <w:sz w:val="22"/>
          <w:szCs w:val="22"/>
        </w:rPr>
      </w:pPr>
      <w:r w:rsidRPr="00720D91">
        <w:rPr>
          <w:rFonts w:ascii="Arial" w:hAnsi="Arial" w:cs="Arial"/>
          <w:sz w:val="22"/>
          <w:szCs w:val="22"/>
        </w:rPr>
        <w:t xml:space="preserve">RÉSUMÉ EXÉCUTIF </w:t>
      </w:r>
    </w:p>
    <w:p w14:paraId="60642E43" w14:textId="77777777" w:rsidR="00720D91" w:rsidRPr="00720D91" w:rsidRDefault="00720D91" w:rsidP="00720D91">
      <w:pPr>
        <w:rPr>
          <w:sz w:val="22"/>
          <w:szCs w:val="22"/>
        </w:rPr>
      </w:pPr>
    </w:p>
    <w:p w14:paraId="7E4FB8AC" w14:textId="3B4D7416" w:rsidR="00720D91" w:rsidRPr="00720D91" w:rsidRDefault="00720D91" w:rsidP="00720D91">
      <w:pPr>
        <w:pStyle w:val="Sansinterligne"/>
        <w:ind w:firstLine="360"/>
        <w:jc w:val="both"/>
        <w:rPr>
          <w:rFonts w:ascii="Arial" w:hAnsi="Arial" w:cs="Arial"/>
          <w:sz w:val="22"/>
          <w:szCs w:val="22"/>
        </w:rPr>
      </w:pPr>
      <w:bookmarkStart w:id="3" w:name="_Hlk54189322"/>
      <w:r w:rsidRPr="00720D91">
        <w:rPr>
          <w:rFonts w:ascii="Arial" w:hAnsi="Arial" w:cs="Arial"/>
          <w:sz w:val="22"/>
          <w:szCs w:val="22"/>
        </w:rPr>
        <w:t xml:space="preserve">1. Ce rapport reflète les travaux menés par le DH-SYSC-IV conformément à son mandat au cours du biennium 2020-2021. Il contient l'analyse par le Groupe de rédaction des questions soulevées par diverses délégations concernant le traitement et la résolution d’affaires concernant des conflits interétatiques et identifie les questions qui devront être davantage examinées. Le principe fondamental de ce rapport est qu'un grand nombre de requêtes interétatiques et de requêtes individuelles liées à des conflits interétatiques sont pendantes devant la Cour européenne des droits de l'homme (la Cour). Leur traitement soulève des défis exceptionnels pour la Cour et les États parties dans ces affaires. </w:t>
      </w:r>
      <w:bookmarkEnd w:id="3"/>
    </w:p>
    <w:p w14:paraId="536C93BF" w14:textId="77777777" w:rsidR="00720D91" w:rsidRPr="00720D91" w:rsidRDefault="00720D91" w:rsidP="00720D91">
      <w:pPr>
        <w:pStyle w:val="Sansinterligne"/>
        <w:ind w:firstLine="360"/>
        <w:jc w:val="both"/>
        <w:rPr>
          <w:rFonts w:ascii="Arial" w:hAnsi="Arial" w:cs="Arial"/>
          <w:sz w:val="22"/>
          <w:szCs w:val="22"/>
        </w:rPr>
      </w:pPr>
    </w:p>
    <w:p w14:paraId="076CEA92" w14:textId="77777777" w:rsidR="00720D91" w:rsidRPr="00720D91" w:rsidRDefault="00720D91" w:rsidP="00720D91">
      <w:pPr>
        <w:pStyle w:val="Sansinterligne"/>
        <w:ind w:firstLine="360"/>
        <w:jc w:val="both"/>
        <w:rPr>
          <w:rFonts w:ascii="Arial" w:hAnsi="Arial" w:cs="Arial"/>
          <w:sz w:val="22"/>
          <w:szCs w:val="22"/>
        </w:rPr>
      </w:pPr>
      <w:r w:rsidRPr="00720D91">
        <w:rPr>
          <w:rFonts w:ascii="Arial" w:hAnsi="Arial" w:cs="Arial"/>
          <w:sz w:val="22"/>
          <w:szCs w:val="22"/>
        </w:rPr>
        <w:t>2. Il est largement reconnu que le droit de requête individuelle est la pierre angulaire du système de protection des droits et libertés énoncés dans la Convention européenne des droits de l'homme (la Convention). La requête interétatique repose sur la légitimité de l'action des États parties à saisir la Cour de toute violation alléguée de la Convention, non seulement pour protéger les droits et libertés des individus mais aussi pour défendre l'ordre public européen. L'objet des requêtes interétatiques concerne généralement, mais pas exclusivement, des situations particulièrement graves, souvent des violations à grande échelle de la Convention. Par sa jurisprudence interétatique, la Cour a joué un rôle de premier plan dans la garantie d'un ordre public pacifique en Europe et dans le traitement de la responsabilité des États, du point de vue de la Convention, pour les dommages causés par leurs actes internationalement illicites. La jurisprudence de la Cour dans les affaires interétatiques a la particularité d'être plus étendue que dans le cadre d'autres instruments relatifs aux droits de l'homme. Par conséquent, préserver le bon fonctionnement de la requête interétatique en tant que mode distinct de procédure de la Convention constitue une partie intrinsèque de la responsabilité partagée des États et de la Cour d'assurer la mise en œuvre effective de la Convention ainsi que la viabilité du système de la Convention.</w:t>
      </w:r>
    </w:p>
    <w:p w14:paraId="786F90E4" w14:textId="77777777" w:rsidR="00720D91" w:rsidRPr="00720D91" w:rsidRDefault="00720D91" w:rsidP="00720D91">
      <w:pPr>
        <w:pStyle w:val="Sansinterligne"/>
        <w:ind w:firstLine="360"/>
        <w:jc w:val="both"/>
        <w:rPr>
          <w:rFonts w:ascii="Arial" w:hAnsi="Arial" w:cs="Arial"/>
          <w:sz w:val="22"/>
          <w:szCs w:val="22"/>
        </w:rPr>
      </w:pPr>
    </w:p>
    <w:p w14:paraId="6B168152" w14:textId="77777777" w:rsidR="00720D91" w:rsidRPr="00720D91" w:rsidRDefault="00720D91" w:rsidP="00720D91">
      <w:pPr>
        <w:pStyle w:val="Sansinterligne"/>
        <w:ind w:firstLine="360"/>
        <w:jc w:val="both"/>
        <w:rPr>
          <w:rFonts w:ascii="Arial" w:hAnsi="Arial" w:cs="Arial"/>
          <w:sz w:val="22"/>
          <w:szCs w:val="22"/>
        </w:rPr>
      </w:pPr>
      <w:r w:rsidRPr="00720D91">
        <w:rPr>
          <w:rFonts w:ascii="Arial" w:hAnsi="Arial" w:cs="Arial"/>
          <w:sz w:val="22"/>
          <w:szCs w:val="22"/>
        </w:rPr>
        <w:t>3. En analysant les questions soulevées par le traitement en parallèle de requêtes interétatiques et de requêtes individuelles liées à des affaires ou des conflits interétatiques, le présent  rapport examine en détails les différences entre les exigences procédurales applicables à ces deux types de requêtes. Tout en notant que la Convention ne traite pas spécifiquement de la question de la corrélation entre les requêtes interétatiques et les requêtes individuelles, le  rapport souligne que les conditions de recevabilité moins strictes applicables à la requête interétatique reflètent les caractéristiques distinctes de cette requête qui sont consacrées par la Convention et reconnues par la Cour dans sa jurisprudence. Cette partie du [projet de] rapport met également en évidence les pratiques de la Cour consistant à donner la priorité aux requêtes interétatiques sans mettre de côté l'examen des requêtes individuelles. Elle donne également un aperçu de la manière dont la Cour aborde la relation entre les affaires interétatiques et les affaires individuelles sur le fond, notamment en ce qui concerne l'établissement de l'existence d'une pratique administrative contraire à la Convention.</w:t>
      </w:r>
    </w:p>
    <w:p w14:paraId="596C28CA" w14:textId="77777777" w:rsidR="00720D91" w:rsidRPr="00720D91" w:rsidRDefault="00720D91" w:rsidP="00720D91">
      <w:pPr>
        <w:pStyle w:val="Sansinterligne"/>
        <w:ind w:firstLine="360"/>
        <w:jc w:val="both"/>
        <w:rPr>
          <w:rFonts w:ascii="Arial" w:hAnsi="Arial" w:cs="Arial"/>
          <w:sz w:val="22"/>
          <w:szCs w:val="22"/>
        </w:rPr>
      </w:pPr>
    </w:p>
    <w:p w14:paraId="2565ACEB" w14:textId="77777777" w:rsidR="00720D91" w:rsidRPr="00720D91" w:rsidRDefault="00720D91" w:rsidP="00720D91">
      <w:pPr>
        <w:pStyle w:val="Sansinterligne"/>
        <w:ind w:firstLine="360"/>
        <w:jc w:val="both"/>
        <w:rPr>
          <w:rFonts w:ascii="Arial" w:hAnsi="Arial" w:cs="Arial"/>
          <w:sz w:val="22"/>
          <w:szCs w:val="22"/>
        </w:rPr>
      </w:pPr>
      <w:r w:rsidRPr="00720D91">
        <w:rPr>
          <w:rFonts w:ascii="Arial" w:hAnsi="Arial" w:cs="Arial"/>
          <w:sz w:val="22"/>
          <w:szCs w:val="22"/>
        </w:rPr>
        <w:t xml:space="preserve">4. L'examen de requêtes interétatiques ou requêtes individuelles relatives à des affaires interétatiques ou des conflits en parallèle par la Cour et d'autres organes internationaux peut potentiellement mener à des résultats contradictoires concernant les obligations en matière de droits de l'homme énoncées dans la Convention et obligations provenant d'autres instruments internationaux de droit de l’homme. En définitive, cela pourrait créer une incertitude pour les États quant à la manière dont ils peuvent respecter leurs obligations internationales en matière de droits de l'homme et pour les individus quant à la portée exacte de leurs droits. Cela pourrait aussi potentiellement menacer la cohérence des droits de l'homme et la crédibilité des </w:t>
      </w:r>
      <w:r w:rsidRPr="00720D91">
        <w:rPr>
          <w:rFonts w:ascii="Arial" w:hAnsi="Arial" w:cs="Arial"/>
          <w:sz w:val="22"/>
          <w:szCs w:val="22"/>
        </w:rPr>
        <w:lastRenderedPageBreak/>
        <w:t>institutions des droits de l'homme. Si l'analyse de la jurisprudence pertinente de la Cour révèle que peu d'affaires relatives à des différends interétatiques et concernant les mêmes événements ou le même objet ont été portées parallèlement devant la Cour et d'autres organes internationaux ou ont en fait donné lieu à des décisions divergentes ou contradictoires, le risque de telles décisions n'est pas à exclure.</w:t>
      </w:r>
    </w:p>
    <w:p w14:paraId="48A77D8D" w14:textId="77777777" w:rsidR="00720D91" w:rsidRPr="00720D91" w:rsidRDefault="00720D91" w:rsidP="00720D91">
      <w:pPr>
        <w:pStyle w:val="Sansinterligne"/>
        <w:ind w:firstLine="360"/>
        <w:jc w:val="both"/>
        <w:rPr>
          <w:rFonts w:ascii="Arial" w:hAnsi="Arial" w:cs="Arial"/>
          <w:sz w:val="22"/>
          <w:szCs w:val="22"/>
        </w:rPr>
      </w:pPr>
    </w:p>
    <w:p w14:paraId="5C885D51" w14:textId="256B3F6C" w:rsidR="00720D91" w:rsidRPr="00720D91" w:rsidRDefault="00720D91" w:rsidP="00720D91">
      <w:pPr>
        <w:pStyle w:val="Sansinterligne"/>
        <w:ind w:firstLine="360"/>
        <w:jc w:val="both"/>
        <w:rPr>
          <w:rFonts w:ascii="Arial" w:hAnsi="Arial" w:cs="Arial"/>
          <w:sz w:val="22"/>
          <w:szCs w:val="22"/>
        </w:rPr>
      </w:pPr>
      <w:r w:rsidRPr="00720D91">
        <w:rPr>
          <w:rFonts w:ascii="Arial" w:hAnsi="Arial" w:cs="Arial"/>
          <w:sz w:val="22"/>
          <w:szCs w:val="22"/>
        </w:rPr>
        <w:t xml:space="preserve">5.  Le rapport se concentre en particulier sur un certain nombre de défis liés à l'établissement des faits qui sont spécifiques au traitement et à la résolution d'affaires interétatiques et de requêtes individuelles liées. Ces défis ont trait à l'obtention des preuves nécessaires, notamment par des missions d'enquête, des auditions de témoins et diverses sources d'information, ainsi qu'à l'évaluation des preuves devant la Cour. L'analyse de la jurisprudence de la Cour en ce qui concerne la norme de preuve et ses fonctions d'établissement des faits souligne le principe selon lequel les questions d'admissibilité des preuves et d'établissement des faits relèvent exclusivement de la compétence de la Cour. D'autre part, les États devraient réfléchir à la manière d'améliorer les moyens de s'acquitter de leur obligation de coopérer avec la Cour, notamment en facilitant les enquêtes sur place de la Cour et en assurant la présence des témoins aux audiences de la Cour. </w:t>
      </w:r>
    </w:p>
    <w:p w14:paraId="7670D71F" w14:textId="77777777" w:rsidR="00720D91" w:rsidRPr="00720D91" w:rsidRDefault="00720D91" w:rsidP="00720D91">
      <w:pPr>
        <w:pStyle w:val="Sansinterligne"/>
        <w:ind w:firstLine="360"/>
        <w:jc w:val="both"/>
        <w:rPr>
          <w:rFonts w:ascii="Arial" w:hAnsi="Arial" w:cs="Arial"/>
          <w:sz w:val="22"/>
          <w:szCs w:val="22"/>
        </w:rPr>
      </w:pPr>
    </w:p>
    <w:p w14:paraId="61F9B346" w14:textId="77777777" w:rsidR="00720D91" w:rsidRPr="00720D91" w:rsidRDefault="00720D91" w:rsidP="00720D91">
      <w:pPr>
        <w:pStyle w:val="Sansinterligne"/>
        <w:ind w:firstLine="360"/>
        <w:jc w:val="both"/>
        <w:rPr>
          <w:rFonts w:ascii="Arial" w:hAnsi="Arial" w:cs="Arial"/>
          <w:sz w:val="22"/>
          <w:szCs w:val="22"/>
        </w:rPr>
      </w:pPr>
      <w:r w:rsidRPr="00720D91">
        <w:rPr>
          <w:rFonts w:ascii="Arial" w:hAnsi="Arial" w:cs="Arial"/>
          <w:sz w:val="22"/>
          <w:szCs w:val="22"/>
        </w:rPr>
        <w:t xml:space="preserve">6. L'article 41 de la Convention prévoit que la satisfaction équitable est accordée à la partie lésée. Selon la jurisprudence de la Cour dans les affaires interétatiques, c'est l'individu, et non l'État, qui est directement ou indirectement lésé et principalement atteint par une violation d'un ou plusieurs droits de la Convention. Les difficultés pratiques rencontrées par la Cour dans le cadre de l'octroi d'une satisfaction équitable concernent l'identification des victimes lorsqu'un grand nombre d'individus est impliqué, ce qui augmente le risque d'accorder une satisfaction équitable à des individus qui pourraient ne pas être éligibles à une telle indemnité. Des questions sont également soulevées concernant le double recouvrement potentiel lorsque les requêtes interétatiques et les requêtes individuelles liées sont traitées en parallèle. En outre, il y a souvent un délai entre le jugement sur le fond et celui sur la satisfaction équitable. Le  rapport aborde ces questions du point de vue de la jurisprudence pertinente de la Cour et de ses pratiques.    </w:t>
      </w:r>
    </w:p>
    <w:p w14:paraId="435F7DBD" w14:textId="77777777" w:rsidR="00720D91" w:rsidRPr="00720D91" w:rsidRDefault="00720D91" w:rsidP="00720D91">
      <w:pPr>
        <w:pStyle w:val="Sansinterligne"/>
        <w:ind w:firstLine="360"/>
        <w:jc w:val="both"/>
        <w:rPr>
          <w:sz w:val="22"/>
          <w:szCs w:val="22"/>
        </w:rPr>
      </w:pPr>
    </w:p>
    <w:p w14:paraId="4167986C" w14:textId="77777777" w:rsidR="00720D91" w:rsidRPr="00720D91" w:rsidRDefault="00720D91" w:rsidP="00720D91">
      <w:pPr>
        <w:pStyle w:val="Sansinterligne"/>
        <w:ind w:firstLine="360"/>
        <w:jc w:val="both"/>
        <w:rPr>
          <w:rFonts w:ascii="Arial" w:hAnsi="Arial" w:cs="Arial"/>
          <w:sz w:val="22"/>
          <w:szCs w:val="22"/>
        </w:rPr>
      </w:pPr>
      <w:r w:rsidRPr="00720D91">
        <w:rPr>
          <w:rFonts w:ascii="Arial" w:hAnsi="Arial" w:cs="Arial"/>
          <w:sz w:val="22"/>
          <w:szCs w:val="22"/>
        </w:rPr>
        <w:t xml:space="preserve">7. Enfin, le  rapport envisage également le règlement amiable comme un mécanisme possible de résolution des affaires interétatiques. Bien que la pratique de la Cour à cet égard soit rare, le règlement amiable des requêtes individuelles s'est développé et a donné quelques résultats positifs au cours des dernières années. Cette expérience révèle des caractéristiques distinctes du mécanisme telles que son approche consensuelle et la nature confidentielle des négociations qui peuvent offrir des opportunités non seulement pour adopter une grande variété de mesures pour remédier aux violations alléguées de la Convention et fournir une réparation aux victimes mais aussi pour prendre des mesures qui peuvent avoir un large impact sur la société en termes de changement en termes de protection et de promotion du respect de la Convention. </w:t>
      </w:r>
    </w:p>
    <w:p w14:paraId="3E4F3C21" w14:textId="77777777" w:rsidR="00720D91" w:rsidRPr="00720D91" w:rsidRDefault="00720D91" w:rsidP="00720D91">
      <w:pPr>
        <w:pStyle w:val="Titre1"/>
        <w:numPr>
          <w:ilvl w:val="0"/>
          <w:numId w:val="2"/>
        </w:numPr>
        <w:ind w:left="501" w:hanging="360"/>
        <w:rPr>
          <w:rFonts w:ascii="Arial" w:hAnsi="Arial" w:cs="Arial"/>
          <w:sz w:val="22"/>
          <w:szCs w:val="22"/>
          <w:lang w:val="fr-FR"/>
        </w:rPr>
      </w:pPr>
      <w:bookmarkStart w:id="4" w:name="_Toc83293801"/>
      <w:r w:rsidRPr="00720D91">
        <w:rPr>
          <w:rFonts w:ascii="Arial" w:hAnsi="Arial" w:cs="Arial"/>
          <w:sz w:val="22"/>
          <w:szCs w:val="22"/>
          <w:lang w:val="fr-FR"/>
        </w:rPr>
        <w:t>LE MANDAT DU DH-SYSC-IV</w:t>
      </w:r>
      <w:bookmarkEnd w:id="4"/>
      <w:r w:rsidRPr="00720D91">
        <w:rPr>
          <w:rFonts w:ascii="Arial" w:hAnsi="Arial" w:cs="Arial"/>
          <w:sz w:val="22"/>
          <w:szCs w:val="22"/>
          <w:lang w:val="fr-FR"/>
        </w:rPr>
        <w:t xml:space="preserve"> </w:t>
      </w:r>
    </w:p>
    <w:p w14:paraId="00C2901D" w14:textId="77777777" w:rsidR="00720D91" w:rsidRPr="00720D91" w:rsidRDefault="00720D91" w:rsidP="00720D91">
      <w:pPr>
        <w:pStyle w:val="Sansinterligne"/>
        <w:rPr>
          <w:sz w:val="22"/>
          <w:szCs w:val="22"/>
        </w:rPr>
      </w:pPr>
    </w:p>
    <w:p w14:paraId="431F5F02" w14:textId="77777777" w:rsidR="00720D91" w:rsidRPr="00720D91" w:rsidRDefault="00720D91" w:rsidP="00720D91">
      <w:pPr>
        <w:ind w:firstLine="360"/>
        <w:jc w:val="both"/>
        <w:rPr>
          <w:rFonts w:ascii="Arial" w:eastAsia="Calibri" w:hAnsi="Arial" w:cs="Arial"/>
          <w:bCs/>
          <w:sz w:val="22"/>
          <w:szCs w:val="22"/>
        </w:rPr>
      </w:pPr>
      <w:r w:rsidRPr="00720D91">
        <w:rPr>
          <w:rFonts w:ascii="Arial" w:eastAsia="Calibri" w:hAnsi="Arial" w:cs="Arial"/>
          <w:bCs/>
          <w:sz w:val="22"/>
          <w:szCs w:val="22"/>
        </w:rPr>
        <w:t xml:space="preserve">8. À la suite de la Déclaration adoptée lors de la Conférence de haut niveau à Copenhague (12 et 13 avril 2018, </w:t>
      </w:r>
      <w:hyperlink r:id="rId26" w:history="1">
        <w:r w:rsidRPr="00720D91">
          <w:rPr>
            <w:rStyle w:val="Lienhypertexte"/>
            <w:rFonts w:ascii="Arial" w:eastAsia="Calibri" w:hAnsi="Arial" w:cs="Arial"/>
            <w:bCs/>
            <w:sz w:val="22"/>
            <w:szCs w:val="22"/>
          </w:rPr>
          <w:t>Déclaration de Copenhague</w:t>
        </w:r>
      </w:hyperlink>
      <w:r w:rsidRPr="00720D91">
        <w:rPr>
          <w:rFonts w:ascii="Arial" w:eastAsia="Calibri" w:hAnsi="Arial" w:cs="Arial"/>
          <w:bCs/>
          <w:sz w:val="22"/>
          <w:szCs w:val="22"/>
        </w:rPr>
        <w:t>), les Délégués des Ministres, lors de leur 1317</w:t>
      </w:r>
      <w:r w:rsidRPr="00720D91">
        <w:rPr>
          <w:rFonts w:ascii="Arial" w:eastAsia="Calibri" w:hAnsi="Arial" w:cs="Arial"/>
          <w:bCs/>
          <w:sz w:val="22"/>
          <w:szCs w:val="22"/>
          <w:vertAlign w:val="superscript"/>
        </w:rPr>
        <w:t>e</w:t>
      </w:r>
      <w:r w:rsidRPr="00720D91">
        <w:rPr>
          <w:rFonts w:ascii="Arial" w:eastAsia="Calibri" w:hAnsi="Arial" w:cs="Arial"/>
          <w:bCs/>
          <w:sz w:val="22"/>
          <w:szCs w:val="22"/>
        </w:rPr>
        <w:t xml:space="preserve"> réunion (30 mai 2018), ont invité le CDDH à intégrer dans son rapport intitulé « Contribution à l’évaluation prévue par la Déclaration d’Interlaken »</w:t>
      </w:r>
      <w:r w:rsidRPr="00720D91">
        <w:rPr>
          <w:rStyle w:val="Appelnotedebasdep"/>
          <w:rFonts w:ascii="Arial" w:eastAsia="Calibri" w:hAnsi="Arial" w:cs="Arial"/>
          <w:bCs/>
          <w:sz w:val="22"/>
          <w:szCs w:val="22"/>
        </w:rPr>
        <w:footnoteReference w:id="1"/>
      </w:r>
      <w:r w:rsidRPr="00720D91">
        <w:rPr>
          <w:rFonts w:ascii="Arial" w:eastAsia="Calibri" w:hAnsi="Arial" w:cs="Arial"/>
          <w:bCs/>
          <w:sz w:val="22"/>
          <w:szCs w:val="22"/>
        </w:rPr>
        <w:t xml:space="preserve">, parmi d’autres éléments, des « propositions sur la manière de traiter plus efficacement les affaires relatives aux différends interétatiques, ainsi que les requêtes individuelles découlant de situations de conflit </w:t>
      </w:r>
      <w:r w:rsidRPr="00720D91">
        <w:rPr>
          <w:rFonts w:ascii="Arial" w:eastAsia="Calibri" w:hAnsi="Arial" w:cs="Arial"/>
          <w:bCs/>
          <w:sz w:val="22"/>
          <w:szCs w:val="22"/>
        </w:rPr>
        <w:lastRenderedPageBreak/>
        <w:t>entre États, sans pour autant limiter la juridiction de la Cour, en tenant compte des spécificités de ces catégories d’affaires, notamment en matière d’établissement des faits »</w:t>
      </w:r>
      <w:r w:rsidRPr="00720D91">
        <w:rPr>
          <w:rStyle w:val="Appelnotedebasdep"/>
          <w:rFonts w:ascii="Arial" w:eastAsia="Calibri" w:hAnsi="Arial" w:cs="Arial"/>
          <w:bCs/>
          <w:sz w:val="22"/>
          <w:szCs w:val="22"/>
        </w:rPr>
        <w:footnoteReference w:id="2"/>
      </w:r>
      <w:r w:rsidRPr="00720D91">
        <w:rPr>
          <w:rFonts w:ascii="Arial" w:eastAsia="Calibri" w:hAnsi="Arial" w:cs="Arial"/>
          <w:bCs/>
          <w:sz w:val="22"/>
          <w:szCs w:val="22"/>
        </w:rPr>
        <w:t xml:space="preserve">.  </w:t>
      </w:r>
    </w:p>
    <w:p w14:paraId="258CAB97" w14:textId="77777777" w:rsidR="00720D91" w:rsidRPr="00720D91" w:rsidRDefault="00720D91" w:rsidP="00720D91">
      <w:pPr>
        <w:ind w:firstLine="360"/>
        <w:jc w:val="both"/>
        <w:rPr>
          <w:rFonts w:ascii="Arial" w:eastAsia="Calibri" w:hAnsi="Arial" w:cs="Arial"/>
          <w:bCs/>
          <w:sz w:val="22"/>
          <w:szCs w:val="22"/>
        </w:rPr>
      </w:pPr>
    </w:p>
    <w:p w14:paraId="209F9952" w14:textId="77777777" w:rsidR="00720D91" w:rsidRPr="00720D91" w:rsidRDefault="00720D91" w:rsidP="00720D91">
      <w:pPr>
        <w:ind w:firstLine="360"/>
        <w:jc w:val="both"/>
        <w:rPr>
          <w:rFonts w:ascii="Arial" w:hAnsi="Arial" w:cs="Arial"/>
          <w:bCs/>
          <w:iCs/>
          <w:sz w:val="22"/>
          <w:szCs w:val="22"/>
        </w:rPr>
      </w:pPr>
      <w:r w:rsidRPr="00720D91">
        <w:rPr>
          <w:rFonts w:ascii="Arial" w:eastAsia="Calibri" w:hAnsi="Arial" w:cs="Arial"/>
          <w:bCs/>
          <w:sz w:val="22"/>
          <w:szCs w:val="22"/>
        </w:rPr>
        <w:t xml:space="preserve">9. </w:t>
      </w:r>
      <w:r w:rsidRPr="00720D91">
        <w:rPr>
          <w:rFonts w:ascii="Arial" w:hAnsi="Arial" w:cs="Arial"/>
          <w:bCs/>
          <w:sz w:val="22"/>
          <w:szCs w:val="22"/>
        </w:rPr>
        <w:t>Lors de sa 91</w:t>
      </w:r>
      <w:r w:rsidRPr="00720D91">
        <w:rPr>
          <w:rFonts w:ascii="Arial" w:hAnsi="Arial" w:cs="Arial"/>
          <w:bCs/>
          <w:sz w:val="22"/>
          <w:szCs w:val="22"/>
          <w:vertAlign w:val="superscript"/>
        </w:rPr>
        <w:t>e</w:t>
      </w:r>
      <w:r w:rsidRPr="00720D91">
        <w:rPr>
          <w:rFonts w:ascii="Arial" w:hAnsi="Arial" w:cs="Arial"/>
          <w:bCs/>
          <w:sz w:val="22"/>
          <w:szCs w:val="22"/>
        </w:rPr>
        <w:t xml:space="preserve"> réunion (18-21 juin 2019), le CDDH a tenu un échange de vues approfondi sur le </w:t>
      </w:r>
      <w:r w:rsidRPr="00720D91">
        <w:rPr>
          <w:rFonts w:ascii="Arial" w:hAnsi="Arial" w:cs="Arial"/>
          <w:sz w:val="22"/>
          <w:szCs w:val="22"/>
        </w:rPr>
        <w:t xml:space="preserve">projet d'éléments résultant de la Déclaration de Copenhague concernant les requêtes interétatiques qui ont été reflétés dans la </w:t>
      </w:r>
      <w:r w:rsidRPr="00720D91">
        <w:rPr>
          <w:rFonts w:ascii="Arial" w:hAnsi="Arial" w:cs="Arial"/>
          <w:i/>
          <w:iCs/>
          <w:sz w:val="22"/>
          <w:szCs w:val="22"/>
        </w:rPr>
        <w:t>Contribution du CDDH à l'évaluation prévue dans le</w:t>
      </w:r>
      <w:r w:rsidRPr="00720D91">
        <w:rPr>
          <w:rFonts w:ascii="Arial" w:hAnsi="Arial" w:cs="Arial"/>
          <w:sz w:val="22"/>
          <w:szCs w:val="22"/>
        </w:rPr>
        <w:t xml:space="preserve"> </w:t>
      </w:r>
      <w:r w:rsidRPr="00720D91">
        <w:rPr>
          <w:rFonts w:ascii="Arial" w:hAnsi="Arial" w:cs="Arial"/>
          <w:i/>
          <w:iCs/>
          <w:sz w:val="22"/>
          <w:szCs w:val="22"/>
        </w:rPr>
        <w:t>Déclaration d'Interlaken</w:t>
      </w:r>
      <w:r w:rsidRPr="00720D91">
        <w:rPr>
          <w:rFonts w:ascii="Arial" w:hAnsi="Arial" w:cs="Arial"/>
          <w:bCs/>
          <w:sz w:val="22"/>
          <w:szCs w:val="22"/>
          <w:vertAlign w:val="superscript"/>
        </w:rPr>
        <w:footnoteReference w:id="3"/>
      </w:r>
      <w:r w:rsidRPr="00720D91">
        <w:rPr>
          <w:rFonts w:ascii="Arial" w:hAnsi="Arial" w:cs="Arial"/>
          <w:i/>
          <w:iCs/>
          <w:sz w:val="22"/>
          <w:szCs w:val="22"/>
        </w:rPr>
        <w:t xml:space="preserve"> </w:t>
      </w:r>
      <w:r w:rsidRPr="00720D91">
        <w:rPr>
          <w:rFonts w:ascii="Arial" w:hAnsi="Arial" w:cs="Arial"/>
          <w:bCs/>
          <w:sz w:val="22"/>
          <w:szCs w:val="22"/>
        </w:rPr>
        <w:t>sur la base d'un (i) document préparé par son Bureau</w:t>
      </w:r>
      <w:r w:rsidRPr="00720D91">
        <w:rPr>
          <w:rFonts w:ascii="Arial" w:hAnsi="Arial" w:cs="Arial"/>
          <w:bCs/>
          <w:sz w:val="22"/>
          <w:szCs w:val="22"/>
          <w:vertAlign w:val="superscript"/>
        </w:rPr>
        <w:footnoteReference w:id="4"/>
      </w:r>
      <w:r w:rsidRPr="00720D91">
        <w:rPr>
          <w:rFonts w:ascii="Arial" w:hAnsi="Arial" w:cs="Arial"/>
          <w:bCs/>
          <w:sz w:val="22"/>
          <w:szCs w:val="22"/>
        </w:rPr>
        <w:t xml:space="preserve"> (ii) des contributions transmises par les États membres avant cette réunion,</w:t>
      </w:r>
      <w:r w:rsidRPr="00720D91">
        <w:rPr>
          <w:rFonts w:ascii="Arial" w:hAnsi="Arial" w:cs="Arial"/>
          <w:bCs/>
          <w:sz w:val="22"/>
          <w:szCs w:val="22"/>
          <w:vertAlign w:val="superscript"/>
        </w:rPr>
        <w:footnoteReference w:id="5"/>
      </w:r>
      <w:r w:rsidRPr="00720D91">
        <w:rPr>
          <w:rFonts w:ascii="Arial" w:hAnsi="Arial" w:cs="Arial"/>
          <w:bCs/>
          <w:sz w:val="22"/>
          <w:szCs w:val="22"/>
        </w:rPr>
        <w:t xml:space="preserve"> et (iii) d'un rapport de la Cour plénière </w:t>
      </w:r>
      <w:r w:rsidRPr="00720D91">
        <w:rPr>
          <w:rFonts w:ascii="Arial" w:hAnsi="Arial" w:cs="Arial"/>
          <w:bCs/>
          <w:iCs/>
          <w:sz w:val="22"/>
          <w:szCs w:val="22"/>
        </w:rPr>
        <w:t>sur les « Propositions pour un traitement plus efficace des affaires interétatiques</w:t>
      </w:r>
      <w:r w:rsidRPr="00720D91">
        <w:rPr>
          <w:rFonts w:ascii="Arial" w:hAnsi="Arial" w:cs="Arial"/>
          <w:bCs/>
          <w:i/>
          <w:sz w:val="22"/>
          <w:szCs w:val="22"/>
        </w:rPr>
        <w:t> »</w:t>
      </w:r>
      <w:r w:rsidRPr="00720D91">
        <w:rPr>
          <w:rFonts w:ascii="Arial" w:hAnsi="Arial" w:cs="Arial"/>
          <w:bCs/>
          <w:iCs/>
          <w:sz w:val="22"/>
          <w:szCs w:val="22"/>
        </w:rPr>
        <w:t xml:space="preserve"> présenté au CDDH.</w:t>
      </w:r>
      <w:r w:rsidRPr="00720D91">
        <w:rPr>
          <w:rFonts w:ascii="Arial" w:hAnsi="Arial" w:cs="Arial"/>
          <w:bCs/>
          <w:iCs/>
          <w:sz w:val="22"/>
          <w:szCs w:val="22"/>
          <w:vertAlign w:val="superscript"/>
        </w:rPr>
        <w:footnoteReference w:id="6"/>
      </w:r>
      <w:r w:rsidRPr="00720D91">
        <w:rPr>
          <w:rFonts w:ascii="Arial" w:hAnsi="Arial" w:cs="Arial"/>
          <w:bCs/>
          <w:iCs/>
          <w:sz w:val="22"/>
          <w:szCs w:val="22"/>
        </w:rPr>
        <w:t xml:space="preserve"> Le CDDH n'a pas, à ce stade, adopté de texte en la matière</w:t>
      </w:r>
      <w:r w:rsidRPr="00720D91">
        <w:rPr>
          <w:rFonts w:ascii="Arial" w:hAnsi="Arial" w:cs="Arial"/>
          <w:bCs/>
          <w:iCs/>
          <w:sz w:val="22"/>
          <w:szCs w:val="22"/>
          <w:vertAlign w:val="superscript"/>
        </w:rPr>
        <w:footnoteReference w:id="7"/>
      </w:r>
      <w:r w:rsidRPr="00720D91">
        <w:rPr>
          <w:rFonts w:ascii="Arial" w:hAnsi="Arial" w:cs="Arial"/>
          <w:sz w:val="22"/>
          <w:szCs w:val="22"/>
        </w:rPr>
        <w:t xml:space="preserve">. </w:t>
      </w:r>
      <w:r w:rsidRPr="00720D91">
        <w:rPr>
          <w:rFonts w:ascii="Arial" w:hAnsi="Arial" w:cs="Arial"/>
          <w:bCs/>
          <w:iCs/>
          <w:sz w:val="22"/>
          <w:szCs w:val="22"/>
        </w:rPr>
        <w:t>Il a décidé de reprendre ce point lors de sa prochaine réunion à la lumière des propositions du Comité d'experts sur le système de la Convention européenne des droits de l'homme (DH-SYSC).</w:t>
      </w:r>
      <w:r w:rsidRPr="00720D91">
        <w:rPr>
          <w:rFonts w:ascii="Arial" w:hAnsi="Arial" w:cs="Arial"/>
          <w:bCs/>
          <w:sz w:val="22"/>
          <w:szCs w:val="22"/>
          <w:vertAlign w:val="superscript"/>
        </w:rPr>
        <w:footnoteReference w:id="8"/>
      </w:r>
      <w:r w:rsidRPr="00720D91">
        <w:rPr>
          <w:rFonts w:ascii="Arial" w:hAnsi="Arial" w:cs="Arial"/>
          <w:bCs/>
          <w:iCs/>
          <w:sz w:val="22"/>
          <w:szCs w:val="22"/>
        </w:rPr>
        <w:t xml:space="preserve">  </w:t>
      </w:r>
    </w:p>
    <w:p w14:paraId="25C9B3FC" w14:textId="77777777" w:rsidR="00720D91" w:rsidRPr="00720D91" w:rsidRDefault="00720D91" w:rsidP="00720D91">
      <w:pPr>
        <w:ind w:firstLine="360"/>
        <w:jc w:val="both"/>
        <w:rPr>
          <w:rFonts w:ascii="Arial" w:hAnsi="Arial" w:cs="Arial"/>
          <w:bCs/>
          <w:iCs/>
          <w:sz w:val="22"/>
          <w:szCs w:val="22"/>
        </w:rPr>
      </w:pPr>
    </w:p>
    <w:p w14:paraId="460A922E" w14:textId="77777777" w:rsidR="00720D91" w:rsidRPr="00720D91" w:rsidRDefault="00720D91" w:rsidP="00720D91">
      <w:pPr>
        <w:ind w:firstLine="360"/>
        <w:jc w:val="both"/>
        <w:rPr>
          <w:rFonts w:ascii="Arial" w:hAnsi="Arial" w:cs="Arial"/>
          <w:bCs/>
          <w:iCs/>
          <w:sz w:val="22"/>
          <w:szCs w:val="22"/>
        </w:rPr>
      </w:pPr>
      <w:r w:rsidRPr="00720D91">
        <w:rPr>
          <w:rFonts w:ascii="Arial" w:hAnsi="Arial" w:cs="Arial"/>
          <w:bCs/>
          <w:iCs/>
          <w:sz w:val="22"/>
          <w:szCs w:val="22"/>
        </w:rPr>
        <w:t>10. Le Comité des Ministres a adopté, lors de sa 1361</w:t>
      </w:r>
      <w:r w:rsidRPr="00720D91">
        <w:rPr>
          <w:rFonts w:ascii="Arial" w:hAnsi="Arial" w:cs="Arial"/>
          <w:bCs/>
          <w:iCs/>
          <w:sz w:val="22"/>
          <w:szCs w:val="22"/>
          <w:vertAlign w:val="superscript"/>
        </w:rPr>
        <w:t>e</w:t>
      </w:r>
      <w:r w:rsidRPr="00720D91">
        <w:rPr>
          <w:rFonts w:ascii="Arial" w:hAnsi="Arial" w:cs="Arial"/>
          <w:bCs/>
          <w:iCs/>
          <w:sz w:val="22"/>
          <w:szCs w:val="22"/>
        </w:rPr>
        <w:t xml:space="preserve"> réunion (19 au 21 novembre 2019), le mandat du Comité d'experts sur le système de la Convention européenne des droits de l'homme (DH-SYSC) placé sous l'autorité du CDDH. Le DH-SYSC s'est vu confier, </w:t>
      </w:r>
      <w:r w:rsidRPr="00720D91">
        <w:rPr>
          <w:rFonts w:ascii="Arial" w:hAnsi="Arial" w:cs="Arial"/>
          <w:bCs/>
          <w:i/>
          <w:iCs/>
          <w:sz w:val="22"/>
          <w:szCs w:val="22"/>
        </w:rPr>
        <w:t xml:space="preserve">entre autres, </w:t>
      </w:r>
      <w:r w:rsidRPr="00720D91">
        <w:rPr>
          <w:rFonts w:ascii="Arial" w:hAnsi="Arial" w:cs="Arial"/>
          <w:bCs/>
          <w:sz w:val="22"/>
          <w:szCs w:val="22"/>
        </w:rPr>
        <w:t>la</w:t>
      </w:r>
      <w:r w:rsidRPr="00720D91">
        <w:rPr>
          <w:rFonts w:ascii="Arial" w:hAnsi="Arial" w:cs="Arial"/>
          <w:bCs/>
          <w:i/>
          <w:iCs/>
          <w:sz w:val="22"/>
          <w:szCs w:val="22"/>
        </w:rPr>
        <w:t xml:space="preserve"> </w:t>
      </w:r>
      <w:r w:rsidRPr="00720D91">
        <w:rPr>
          <w:rFonts w:ascii="Arial" w:hAnsi="Arial" w:cs="Arial"/>
          <w:bCs/>
          <w:iCs/>
          <w:sz w:val="22"/>
          <w:szCs w:val="22"/>
        </w:rPr>
        <w:t>tâche spécifique de formuler des propositions pour améliorer le traitement et la résolution des affaires concernant des conflits interétatiques, à la lumière des décisions du Comité des Ministres sur les suites à donner à l'évaluation prévue par la Déclaration d'Interlaken.</w:t>
      </w:r>
      <w:r w:rsidRPr="00720D91">
        <w:rPr>
          <w:rStyle w:val="Appelnotedebasdep"/>
          <w:rFonts w:ascii="Arial" w:eastAsia="Calibri" w:hAnsi="Arial" w:cs="Arial"/>
          <w:sz w:val="22"/>
          <w:szCs w:val="22"/>
        </w:rPr>
        <w:footnoteReference w:id="9"/>
      </w:r>
    </w:p>
    <w:p w14:paraId="1E96BB11" w14:textId="77777777" w:rsidR="00720D91" w:rsidRPr="00720D91" w:rsidRDefault="00720D91" w:rsidP="00720D91">
      <w:pPr>
        <w:ind w:firstLine="360"/>
        <w:jc w:val="both"/>
        <w:rPr>
          <w:rFonts w:ascii="Arial" w:hAnsi="Arial" w:cs="Arial"/>
          <w:bCs/>
          <w:iCs/>
          <w:sz w:val="22"/>
          <w:szCs w:val="22"/>
        </w:rPr>
      </w:pPr>
    </w:p>
    <w:p w14:paraId="1793322D" w14:textId="77777777" w:rsidR="00720D91" w:rsidRPr="00720D91" w:rsidRDefault="00720D91" w:rsidP="00720D91">
      <w:pPr>
        <w:ind w:firstLine="360"/>
        <w:jc w:val="both"/>
        <w:rPr>
          <w:rFonts w:ascii="Arial" w:eastAsia="Calibri" w:hAnsi="Arial" w:cs="Arial"/>
          <w:sz w:val="22"/>
          <w:szCs w:val="22"/>
        </w:rPr>
      </w:pPr>
      <w:r w:rsidRPr="00720D91">
        <w:rPr>
          <w:rFonts w:ascii="Arial" w:hAnsi="Arial" w:cs="Arial"/>
          <w:bCs/>
          <w:iCs/>
          <w:sz w:val="22"/>
          <w:szCs w:val="22"/>
        </w:rPr>
        <w:t>11. Lors de sa 92</w:t>
      </w:r>
      <w:r w:rsidRPr="00720D91">
        <w:rPr>
          <w:rFonts w:ascii="Arial" w:hAnsi="Arial" w:cs="Arial"/>
          <w:bCs/>
          <w:iCs/>
          <w:sz w:val="22"/>
          <w:szCs w:val="22"/>
          <w:vertAlign w:val="superscript"/>
        </w:rPr>
        <w:t>e</w:t>
      </w:r>
      <w:r w:rsidRPr="00720D91">
        <w:rPr>
          <w:rFonts w:ascii="Arial" w:hAnsi="Arial" w:cs="Arial"/>
          <w:bCs/>
          <w:iCs/>
          <w:sz w:val="22"/>
          <w:szCs w:val="22"/>
        </w:rPr>
        <w:t xml:space="preserve"> réunion (26 au 29 novembre 2019), dans le cadre de l'adoption de sa « </w:t>
      </w:r>
      <w:r w:rsidRPr="00720D91">
        <w:rPr>
          <w:rFonts w:ascii="Arial" w:hAnsi="Arial" w:cs="Arial"/>
          <w:bCs/>
          <w:sz w:val="22"/>
          <w:szCs w:val="22"/>
        </w:rPr>
        <w:t>Contribution à l’évaluation prévue par la Déclaration d’Interlaken</w:t>
      </w:r>
      <w:r w:rsidRPr="00720D91">
        <w:rPr>
          <w:rFonts w:ascii="Arial" w:eastAsia="Calibri" w:hAnsi="Arial" w:cs="Arial"/>
          <w:bCs/>
          <w:sz w:val="22"/>
          <w:szCs w:val="22"/>
        </w:rPr>
        <w:t> »,</w:t>
      </w:r>
      <w:r w:rsidRPr="00720D91">
        <w:rPr>
          <w:rStyle w:val="Appelnotedebasdep"/>
          <w:rFonts w:ascii="Arial" w:eastAsia="Calibri" w:hAnsi="Arial" w:cs="Arial"/>
          <w:sz w:val="22"/>
          <w:szCs w:val="22"/>
        </w:rPr>
        <w:footnoteReference w:id="10"/>
      </w:r>
      <w:r w:rsidRPr="00720D91">
        <w:rPr>
          <w:rFonts w:ascii="Arial" w:eastAsia="Calibri" w:hAnsi="Arial" w:cs="Arial"/>
          <w:bCs/>
          <w:sz w:val="22"/>
          <w:szCs w:val="22"/>
        </w:rPr>
        <w:t xml:space="preserve"> </w:t>
      </w:r>
      <w:r w:rsidRPr="00720D91">
        <w:rPr>
          <w:rFonts w:ascii="Arial" w:hAnsi="Arial" w:cs="Arial"/>
          <w:bCs/>
          <w:iCs/>
          <w:sz w:val="22"/>
          <w:szCs w:val="22"/>
        </w:rPr>
        <w:t xml:space="preserve">le CDDH a jugé que les questions relatives aux requêtes interétatiques appelaient un examen plus poussé. Par conséquent, </w:t>
      </w:r>
      <w:r w:rsidRPr="00720D91">
        <w:rPr>
          <w:rFonts w:ascii="Arial" w:eastAsia="Calibri" w:hAnsi="Arial" w:cs="Arial"/>
          <w:sz w:val="22"/>
          <w:szCs w:val="22"/>
        </w:rPr>
        <w:t>le CDDH a décidé de mettre en place le Groupe de rédaction DH-SYSC-IV placé sous l'autorité du DH-SYSC auquel il a donné le mandat suivant : « À la lumière notamment des réflexions menées lors de l’élaboration (i) de la Contribution du CDDH à l’évaluation prévue par la Déclaration d’Interlaken [</w:t>
      </w:r>
      <w:r w:rsidRPr="00720D91">
        <w:rPr>
          <w:rStyle w:val="Appelnotedebasdep"/>
          <w:rFonts w:ascii="Arial" w:eastAsia="Calibri" w:hAnsi="Arial" w:cs="Arial"/>
          <w:sz w:val="22"/>
          <w:szCs w:val="22"/>
        </w:rPr>
        <w:footnoteReference w:id="11"/>
      </w:r>
      <w:r w:rsidRPr="00720D91">
        <w:rPr>
          <w:rFonts w:ascii="Arial" w:eastAsia="Calibri" w:hAnsi="Arial" w:cs="Arial"/>
          <w:sz w:val="22"/>
          <w:szCs w:val="22"/>
        </w:rPr>
        <w:t>] ; (ii) des suites données par le CDDH aux paragraphes pertinents de la Déclaration de Copenhague et (iii) du Rapport du CDDH sur la place de la Convention européenne des droits de l’homme dans l’ordre juridique européen et international [</w:t>
      </w:r>
      <w:r w:rsidRPr="00720D91">
        <w:rPr>
          <w:rStyle w:val="Appelnotedebasdep"/>
          <w:rFonts w:ascii="Arial" w:eastAsia="Calibri" w:hAnsi="Arial" w:cs="Arial"/>
          <w:sz w:val="22"/>
          <w:szCs w:val="22"/>
        </w:rPr>
        <w:footnoteReference w:id="12"/>
      </w:r>
      <w:r w:rsidRPr="00720D91">
        <w:rPr>
          <w:rFonts w:ascii="Arial" w:eastAsia="Calibri" w:hAnsi="Arial" w:cs="Arial"/>
          <w:sz w:val="22"/>
          <w:szCs w:val="22"/>
        </w:rPr>
        <w:t>], le Groupe de rédaction du DH-SYSC sur le traitement et la résolution efficace d’affaires concernant des conflits interétatiques (DH-SYSC-IV) est appelé à élaborer des propositions sur la manière de gérer plus efficacement des affaires liées à des conflits interétatiques, ainsi que les requêtes individuelles résultant de situations de conflits entre États, sans limiter pour autant la juridiction de la Cour, en prenant en considération les caractéristiques propres à ces catégories d’affaires, entre autres en ce qui concerne l’établissement des faits. Dans ce contexte et sous la supervision du Comité d’experts sur le système de la Convention européenne des droits de l’homme (DH-SYSC), le Groupe est chargé d’élaborer :</w:t>
      </w:r>
    </w:p>
    <w:p w14:paraId="04F8A844" w14:textId="77777777" w:rsidR="00720D91" w:rsidRPr="00720D91" w:rsidRDefault="00720D91" w:rsidP="00720D91">
      <w:pPr>
        <w:ind w:firstLine="360"/>
        <w:jc w:val="both"/>
        <w:rPr>
          <w:rFonts w:ascii="Arial" w:eastAsia="Calibri" w:hAnsi="Arial" w:cs="Arial"/>
          <w:sz w:val="22"/>
          <w:szCs w:val="22"/>
        </w:rPr>
      </w:pPr>
    </w:p>
    <w:p w14:paraId="525BE9DB" w14:textId="77777777" w:rsidR="00720D91" w:rsidRPr="00720D91" w:rsidRDefault="00720D91" w:rsidP="00720D91">
      <w:pPr>
        <w:pStyle w:val="Paragraphedeliste"/>
        <w:numPr>
          <w:ilvl w:val="0"/>
          <w:numId w:val="6"/>
        </w:numPr>
        <w:spacing w:after="0" w:line="240" w:lineRule="auto"/>
        <w:ind w:right="1280"/>
        <w:jc w:val="both"/>
        <w:rPr>
          <w:rFonts w:ascii="Arial" w:eastAsia="Calibri" w:hAnsi="Arial" w:cs="Arial"/>
          <w:lang w:val="fr-FR"/>
        </w:rPr>
      </w:pPr>
      <w:r w:rsidRPr="00720D91">
        <w:rPr>
          <w:rFonts w:ascii="Arial" w:eastAsia="Calibri" w:hAnsi="Arial" w:cs="Arial"/>
          <w:lang w:val="fr-FR"/>
        </w:rPr>
        <w:t xml:space="preserve">un projet de rapport du CDDH à soumettre à la future Conférence d’experts de haut niveau sur les conflits interétatiques dans le cadre du </w:t>
      </w:r>
      <w:r w:rsidRPr="00720D91">
        <w:rPr>
          <w:rFonts w:ascii="Arial" w:eastAsia="Calibri" w:hAnsi="Arial" w:cs="Arial"/>
          <w:lang w:val="fr-FR"/>
        </w:rPr>
        <w:lastRenderedPageBreak/>
        <w:t xml:space="preserve">système de la CEDH qui se tiendra au printemps 2021 sous les auspices de la Présidence allemande du Comité des Ministres (délai : 15 octobre 2020) ; </w:t>
      </w:r>
    </w:p>
    <w:p w14:paraId="2B275665" w14:textId="77777777" w:rsidR="00720D91" w:rsidRPr="00720D91" w:rsidRDefault="00720D91" w:rsidP="00720D91">
      <w:pPr>
        <w:pStyle w:val="Paragraphedeliste"/>
        <w:ind w:right="1280"/>
        <w:jc w:val="both"/>
        <w:rPr>
          <w:rFonts w:ascii="Arial" w:eastAsia="Calibri" w:hAnsi="Arial" w:cs="Arial"/>
          <w:lang w:val="fr-FR"/>
        </w:rPr>
      </w:pPr>
    </w:p>
    <w:p w14:paraId="1F2A2062" w14:textId="77777777" w:rsidR="00720D91" w:rsidRPr="00720D91" w:rsidRDefault="00720D91" w:rsidP="00720D91">
      <w:pPr>
        <w:pStyle w:val="Paragraphedeliste"/>
        <w:numPr>
          <w:ilvl w:val="0"/>
          <w:numId w:val="6"/>
        </w:numPr>
        <w:spacing w:after="240" w:line="240" w:lineRule="auto"/>
        <w:ind w:right="1280"/>
        <w:contextualSpacing w:val="0"/>
        <w:jc w:val="both"/>
        <w:rPr>
          <w:rFonts w:ascii="Arial" w:eastAsia="Calibri" w:hAnsi="Arial" w:cs="Arial"/>
          <w:lang w:val="fr-FR"/>
        </w:rPr>
      </w:pPr>
      <w:bookmarkStart w:id="5" w:name="_Hlk43383744"/>
      <w:r w:rsidRPr="00720D91">
        <w:rPr>
          <w:rFonts w:ascii="Arial" w:eastAsia="Calibri" w:hAnsi="Arial" w:cs="Arial"/>
          <w:lang w:val="fr-FR"/>
        </w:rPr>
        <w:t>un projet de rapport final d’activité du CDDH à l’intention du Comité des Ministres contenant les réflexions et les éventuelles propositions du Comité directeur dans ce domaine (délai : 15 octobre 2021) ».</w:t>
      </w:r>
    </w:p>
    <w:p w14:paraId="2E291237" w14:textId="77777777" w:rsidR="00720D91" w:rsidRPr="00720D91" w:rsidRDefault="00720D91" w:rsidP="00720D91">
      <w:pPr>
        <w:ind w:firstLine="360"/>
        <w:jc w:val="both"/>
        <w:rPr>
          <w:rFonts w:ascii="Arial" w:hAnsi="Arial" w:cs="Arial"/>
          <w:sz w:val="22"/>
          <w:szCs w:val="22"/>
        </w:rPr>
      </w:pPr>
      <w:r w:rsidRPr="00720D91">
        <w:rPr>
          <w:rFonts w:ascii="Arial" w:eastAsia="Calibri" w:hAnsi="Arial" w:cs="Arial"/>
          <w:sz w:val="22"/>
          <w:szCs w:val="22"/>
          <w:lang w:eastAsia="zh-CN"/>
        </w:rPr>
        <w:t xml:space="preserve">12. Le 11 décembre 2019, les </w:t>
      </w:r>
      <w:r w:rsidRPr="00720D91">
        <w:rPr>
          <w:rFonts w:ascii="Arial" w:hAnsi="Arial" w:cs="Arial"/>
          <w:sz w:val="22"/>
          <w:szCs w:val="22"/>
        </w:rPr>
        <w:t>Délégués ont pris note du rapport du CDDH « Contribution à l'évaluation prévue par la Déclaration d'Interlaken » et ont convenu de le transmettre à la Cour pour information et commentaires éventuels.</w:t>
      </w:r>
      <w:r w:rsidRPr="00720D91">
        <w:rPr>
          <w:rStyle w:val="Appelnotedebasdep"/>
          <w:rFonts w:ascii="Arial" w:hAnsi="Arial" w:cs="Arial"/>
          <w:sz w:val="22"/>
          <w:szCs w:val="22"/>
        </w:rPr>
        <w:footnoteReference w:id="13"/>
      </w:r>
      <w:r w:rsidRPr="00720D91">
        <w:rPr>
          <w:rFonts w:ascii="Arial" w:hAnsi="Arial" w:cs="Arial"/>
          <w:sz w:val="22"/>
          <w:szCs w:val="22"/>
        </w:rPr>
        <w:t xml:space="preserve"> </w:t>
      </w:r>
    </w:p>
    <w:p w14:paraId="78AC8DCF" w14:textId="77777777" w:rsidR="00720D91" w:rsidRPr="00720D91" w:rsidRDefault="00720D91" w:rsidP="00720D91">
      <w:pPr>
        <w:ind w:firstLine="360"/>
        <w:jc w:val="both"/>
        <w:rPr>
          <w:rFonts w:ascii="Arial" w:hAnsi="Arial" w:cs="Arial"/>
          <w:sz w:val="22"/>
          <w:szCs w:val="22"/>
        </w:rPr>
      </w:pPr>
    </w:p>
    <w:p w14:paraId="0EC9497F" w14:textId="77777777" w:rsidR="00720D91" w:rsidRPr="00720D91" w:rsidRDefault="00720D91" w:rsidP="00720D91">
      <w:pPr>
        <w:ind w:firstLine="360"/>
        <w:jc w:val="both"/>
        <w:rPr>
          <w:rFonts w:ascii="Arial" w:hAnsi="Arial" w:cs="Arial"/>
          <w:sz w:val="22"/>
          <w:szCs w:val="22"/>
        </w:rPr>
      </w:pPr>
      <w:r w:rsidRPr="00720D91">
        <w:rPr>
          <w:rFonts w:ascii="Arial" w:hAnsi="Arial" w:cs="Arial"/>
          <w:sz w:val="22"/>
          <w:szCs w:val="22"/>
        </w:rPr>
        <w:t>13. Le 11 février 2020, la Cour a soumis un « Commentaire sur la contribution du CDDH à l'évaluation du processus de réforme d'Interlaken », tel qu'il avait été adopté par la Cour plénière le 27 janvier 2020.</w:t>
      </w:r>
      <w:r w:rsidRPr="00720D91">
        <w:rPr>
          <w:rStyle w:val="Appelnotedebasdep"/>
          <w:rFonts w:ascii="Arial" w:hAnsi="Arial" w:cs="Arial"/>
          <w:sz w:val="22"/>
          <w:szCs w:val="22"/>
        </w:rPr>
        <w:footnoteReference w:id="14"/>
      </w:r>
    </w:p>
    <w:p w14:paraId="5B153406" w14:textId="77777777" w:rsidR="00720D91" w:rsidRPr="00720D91" w:rsidRDefault="00720D91" w:rsidP="00720D91">
      <w:pPr>
        <w:ind w:firstLine="360"/>
        <w:jc w:val="both"/>
        <w:rPr>
          <w:rFonts w:ascii="Arial" w:hAnsi="Arial" w:cs="Arial"/>
          <w:sz w:val="22"/>
          <w:szCs w:val="22"/>
        </w:rPr>
      </w:pPr>
    </w:p>
    <w:p w14:paraId="5779AE6F" w14:textId="77777777" w:rsidR="00720D91" w:rsidRPr="00720D91" w:rsidRDefault="00720D91" w:rsidP="00720D91">
      <w:pPr>
        <w:ind w:firstLine="360"/>
        <w:jc w:val="both"/>
        <w:rPr>
          <w:rFonts w:ascii="Arial" w:hAnsi="Arial" w:cs="Arial"/>
          <w:sz w:val="22"/>
          <w:szCs w:val="22"/>
        </w:rPr>
      </w:pPr>
      <w:r w:rsidRPr="00720D91">
        <w:rPr>
          <w:rFonts w:ascii="Arial" w:hAnsi="Arial" w:cs="Arial"/>
          <w:sz w:val="22"/>
          <w:szCs w:val="22"/>
        </w:rPr>
        <w:t>14. Le 4 novembre 2020, le Comité des Ministres a adopté ses décisions « Assurer l'efficacité à long terme du système de la Convention européenne des droits de l'homme »</w:t>
      </w:r>
      <w:r w:rsidRPr="00720D91">
        <w:rPr>
          <w:rStyle w:val="Appelnotedebasdep"/>
          <w:rFonts w:ascii="Arial" w:eastAsiaTheme="majorEastAsia" w:hAnsi="Arial" w:cs="Arial"/>
          <w:b/>
          <w:bCs/>
          <w:sz w:val="22"/>
          <w:szCs w:val="22"/>
          <w:shd w:val="clear" w:color="auto" w:fill="FFFFFF"/>
        </w:rPr>
        <w:footnoteReference w:id="15"/>
      </w:r>
      <w:r w:rsidRPr="00720D91">
        <w:rPr>
          <w:rFonts w:ascii="Arial" w:hAnsi="Arial" w:cs="Arial"/>
          <w:sz w:val="22"/>
          <w:szCs w:val="22"/>
        </w:rPr>
        <w:t>.  Le Comité des Ministres a résolu d'assurer l'efficacité à long terme du système de la Convention. À cet égard, il « convient [entre autres] que, alors qu’aucune restructuration globale du mécanisme de la Convention ne s’avère nécessaire à l’heure actuelle, le Conseil de l’Europe dans son ensemble doit poursuivre ses efforts pour veiller à ce que le système de la Convention puisse continuer à faire face aux nombreux défis auxquels l’Europe est confrontée dans le domaine des droits de l’homme, y compris à travers une réponse efficace de la Cour aux requêtes pendantes »</w:t>
      </w:r>
      <w:r w:rsidRPr="00720D91">
        <w:rPr>
          <w:rFonts w:ascii="Arial" w:eastAsiaTheme="majorEastAsia" w:hAnsi="Arial" w:cs="Arial"/>
          <w:sz w:val="22"/>
          <w:szCs w:val="22"/>
          <w:shd w:val="clear" w:color="auto" w:fill="FFFFFF"/>
        </w:rPr>
        <w:t xml:space="preserve"> </w:t>
      </w:r>
      <w:r w:rsidRPr="00720D91">
        <w:rPr>
          <w:rStyle w:val="Appelnotedebasdep"/>
          <w:rFonts w:ascii="Arial" w:eastAsiaTheme="majorEastAsia" w:hAnsi="Arial" w:cs="Arial"/>
          <w:sz w:val="22"/>
          <w:szCs w:val="22"/>
          <w:shd w:val="clear" w:color="auto" w:fill="FFFFFF"/>
        </w:rPr>
        <w:footnoteReference w:id="16"/>
      </w:r>
      <w:r w:rsidRPr="00720D91">
        <w:rPr>
          <w:rFonts w:ascii="Arial" w:hAnsi="Arial" w:cs="Arial"/>
          <w:sz w:val="22"/>
          <w:szCs w:val="22"/>
        </w:rPr>
        <w:t xml:space="preserve">.  </w:t>
      </w:r>
    </w:p>
    <w:p w14:paraId="7225B382" w14:textId="77777777" w:rsidR="00720D91" w:rsidRPr="00720D91" w:rsidRDefault="00720D91" w:rsidP="00720D91">
      <w:pPr>
        <w:pStyle w:val="Titre1"/>
        <w:rPr>
          <w:rFonts w:ascii="Arial" w:hAnsi="Arial" w:cs="Arial"/>
          <w:sz w:val="22"/>
          <w:szCs w:val="22"/>
          <w:lang w:val="fr-FR"/>
        </w:rPr>
      </w:pPr>
      <w:bookmarkStart w:id="6" w:name="_Toc83293802"/>
      <w:bookmarkEnd w:id="5"/>
      <w:r w:rsidRPr="00720D91">
        <w:rPr>
          <w:rFonts w:ascii="Arial" w:hAnsi="Arial" w:cs="Arial"/>
          <w:sz w:val="22"/>
          <w:szCs w:val="22"/>
          <w:lang w:val="fr-FR"/>
        </w:rPr>
        <w:t>III. INTRODUCTION</w:t>
      </w:r>
      <w:bookmarkEnd w:id="6"/>
      <w:r w:rsidRPr="00720D91">
        <w:rPr>
          <w:rFonts w:ascii="Arial" w:hAnsi="Arial" w:cs="Arial"/>
          <w:sz w:val="22"/>
          <w:szCs w:val="22"/>
          <w:lang w:val="fr-FR"/>
        </w:rPr>
        <w:t xml:space="preserve"> </w:t>
      </w:r>
    </w:p>
    <w:p w14:paraId="2B64849A" w14:textId="77777777" w:rsidR="00720D91" w:rsidRPr="00720D91" w:rsidRDefault="00720D91" w:rsidP="00720D91">
      <w:pPr>
        <w:pStyle w:val="Sansinterligne"/>
        <w:rPr>
          <w:rFonts w:ascii="Arial" w:hAnsi="Arial" w:cs="Arial"/>
          <w:sz w:val="22"/>
          <w:szCs w:val="22"/>
        </w:rPr>
      </w:pPr>
    </w:p>
    <w:p w14:paraId="4A3FE3E2" w14:textId="77777777" w:rsidR="00720D91" w:rsidRPr="00720D91" w:rsidRDefault="00720D91" w:rsidP="00720D91">
      <w:pPr>
        <w:ind w:firstLine="284"/>
        <w:jc w:val="both"/>
        <w:rPr>
          <w:rFonts w:ascii="Arial" w:hAnsi="Arial" w:cs="Arial"/>
          <w:sz w:val="22"/>
          <w:szCs w:val="22"/>
        </w:rPr>
      </w:pPr>
      <w:r w:rsidRPr="00720D91">
        <w:rPr>
          <w:rFonts w:ascii="Arial" w:hAnsi="Arial" w:cs="Arial"/>
          <w:sz w:val="22"/>
          <w:szCs w:val="22"/>
        </w:rPr>
        <w:t>15. À partir du 7 mai 1956, date à laquelle la première requête interétatique a été introduite, 18 affaires interétatiques ont été résolues par la Commission européenne des droits de l'homme et la Cour. Ces affaires, qui constituent une base d'interprétation de la pratique de la Cour dans ce domaine, sont les suivantes :</w:t>
      </w:r>
    </w:p>
    <w:p w14:paraId="10162A13" w14:textId="77777777" w:rsidR="00720D91" w:rsidRPr="00720D91" w:rsidRDefault="00720D91" w:rsidP="00720D91">
      <w:pPr>
        <w:pStyle w:val="SingleTxtG"/>
        <w:numPr>
          <w:ilvl w:val="0"/>
          <w:numId w:val="28"/>
        </w:numPr>
        <w:spacing w:before="120" w:line="240" w:lineRule="auto"/>
        <w:rPr>
          <w:rFonts w:ascii="Arial" w:hAnsi="Arial" w:cs="Arial"/>
          <w:sz w:val="22"/>
          <w:szCs w:val="22"/>
          <w:lang w:val="fr-FR"/>
        </w:rPr>
      </w:pPr>
      <w:r w:rsidRPr="00720D91">
        <w:rPr>
          <w:rFonts w:ascii="Arial" w:hAnsi="Arial" w:cs="Arial"/>
          <w:sz w:val="22"/>
          <w:szCs w:val="22"/>
          <w:lang w:val="fr-FR"/>
        </w:rPr>
        <w:t>Grèce c. Royaume-Uni (I) (n° 176/56, rapports de la Commission 26.09.1958 (Vol I) 26.09.1958 (Vol II)) ;</w:t>
      </w:r>
    </w:p>
    <w:p w14:paraId="3D58CDA1" w14:textId="77777777" w:rsidR="00720D91" w:rsidRPr="00720D91" w:rsidRDefault="00720D91" w:rsidP="00720D91">
      <w:pPr>
        <w:pStyle w:val="SingleTxtG"/>
        <w:numPr>
          <w:ilvl w:val="0"/>
          <w:numId w:val="28"/>
        </w:numPr>
        <w:spacing w:before="120" w:line="240" w:lineRule="auto"/>
        <w:rPr>
          <w:rFonts w:ascii="Arial" w:hAnsi="Arial" w:cs="Arial"/>
          <w:sz w:val="22"/>
          <w:szCs w:val="22"/>
          <w:lang w:val="fr-FR"/>
        </w:rPr>
      </w:pPr>
      <w:r w:rsidRPr="00720D91">
        <w:rPr>
          <w:rFonts w:ascii="Arial" w:hAnsi="Arial" w:cs="Arial"/>
          <w:sz w:val="22"/>
          <w:szCs w:val="22"/>
          <w:lang w:val="fr-FR"/>
        </w:rPr>
        <w:t>Grèce c. Royaume-Uni (II) (n° 299/57, rapport de la Commission 26.09.1959) ;</w:t>
      </w:r>
    </w:p>
    <w:p w14:paraId="12D57235" w14:textId="77777777" w:rsidR="00720D91" w:rsidRPr="00720D91" w:rsidRDefault="00720D91" w:rsidP="00720D91">
      <w:pPr>
        <w:pStyle w:val="SingleTxtG"/>
        <w:numPr>
          <w:ilvl w:val="0"/>
          <w:numId w:val="28"/>
        </w:numPr>
        <w:spacing w:before="120" w:line="240" w:lineRule="auto"/>
        <w:rPr>
          <w:rFonts w:ascii="Arial" w:hAnsi="Arial" w:cs="Arial"/>
          <w:sz w:val="22"/>
          <w:szCs w:val="22"/>
          <w:lang w:val="fr-FR"/>
        </w:rPr>
      </w:pPr>
      <w:r w:rsidRPr="00720D91">
        <w:rPr>
          <w:rFonts w:ascii="Arial" w:hAnsi="Arial" w:cs="Arial"/>
          <w:sz w:val="22"/>
          <w:szCs w:val="22"/>
          <w:lang w:val="fr-FR"/>
        </w:rPr>
        <w:t>Autriche c. Italie (n° 788/60, rapport de la Commission 30.03.1963) ;</w:t>
      </w:r>
    </w:p>
    <w:p w14:paraId="218B1121" w14:textId="77777777" w:rsidR="00720D91" w:rsidRPr="00720D91" w:rsidRDefault="00720D91" w:rsidP="00720D91">
      <w:pPr>
        <w:pStyle w:val="SingleTxtG"/>
        <w:numPr>
          <w:ilvl w:val="0"/>
          <w:numId w:val="28"/>
        </w:numPr>
        <w:spacing w:before="120" w:line="240" w:lineRule="auto"/>
        <w:rPr>
          <w:rFonts w:ascii="Arial" w:hAnsi="Arial" w:cs="Arial"/>
          <w:sz w:val="22"/>
          <w:szCs w:val="22"/>
          <w:lang w:val="fr-FR"/>
        </w:rPr>
      </w:pPr>
      <w:r w:rsidRPr="00720D91">
        <w:rPr>
          <w:rFonts w:ascii="Arial" w:hAnsi="Arial" w:cs="Arial"/>
          <w:sz w:val="22"/>
          <w:szCs w:val="22"/>
          <w:lang w:val="fr-FR"/>
        </w:rPr>
        <w:t>Danemark, Norvège, Suède &amp; Pays-Bas c. Grèce (I) (n° 3321/67 à 3323/67 &amp; 3344/67, rapport de la Commission 05.11.1969) ;</w:t>
      </w:r>
    </w:p>
    <w:p w14:paraId="6F1CE977" w14:textId="77777777" w:rsidR="00720D91" w:rsidRPr="00720D91" w:rsidRDefault="00720D91" w:rsidP="00720D91">
      <w:pPr>
        <w:pStyle w:val="SingleTxtG"/>
        <w:numPr>
          <w:ilvl w:val="0"/>
          <w:numId w:val="28"/>
        </w:numPr>
        <w:spacing w:before="120" w:line="240" w:lineRule="auto"/>
        <w:rPr>
          <w:rFonts w:ascii="Arial" w:hAnsi="Arial" w:cs="Arial"/>
          <w:sz w:val="22"/>
          <w:szCs w:val="22"/>
          <w:lang w:val="fr-FR"/>
        </w:rPr>
      </w:pPr>
      <w:r w:rsidRPr="00720D91">
        <w:rPr>
          <w:rFonts w:ascii="Arial" w:hAnsi="Arial" w:cs="Arial"/>
          <w:sz w:val="22"/>
          <w:szCs w:val="22"/>
          <w:lang w:val="fr-FR"/>
        </w:rPr>
        <w:t xml:space="preserve">Danemark, Norvège et Suède c. Grèce (II) (n° 4448/70, rapports de la Commission 05.10.1970 ; 04.10.1976) ; </w:t>
      </w:r>
    </w:p>
    <w:p w14:paraId="43356933" w14:textId="77777777" w:rsidR="00720D91" w:rsidRPr="00720D91" w:rsidRDefault="00720D91" w:rsidP="00720D91">
      <w:pPr>
        <w:pStyle w:val="SingleTxtG"/>
        <w:numPr>
          <w:ilvl w:val="0"/>
          <w:numId w:val="28"/>
        </w:numPr>
        <w:spacing w:before="120" w:line="240" w:lineRule="auto"/>
        <w:rPr>
          <w:rFonts w:ascii="Arial" w:hAnsi="Arial" w:cs="Arial"/>
          <w:sz w:val="22"/>
          <w:szCs w:val="22"/>
          <w:lang w:val="fr-FR"/>
        </w:rPr>
      </w:pPr>
      <w:r w:rsidRPr="00720D91">
        <w:rPr>
          <w:rFonts w:ascii="Arial" w:hAnsi="Arial" w:cs="Arial"/>
          <w:sz w:val="22"/>
          <w:szCs w:val="22"/>
          <w:lang w:val="fr-FR"/>
        </w:rPr>
        <w:t>Irlande c. Royaume-Uni (I) (n° 5310/71, 18.01.1978 Révision : 20.03.2018) ;</w:t>
      </w:r>
    </w:p>
    <w:p w14:paraId="7311A3D0" w14:textId="77777777" w:rsidR="00720D91" w:rsidRPr="00720D91" w:rsidRDefault="00720D91" w:rsidP="00720D91">
      <w:pPr>
        <w:pStyle w:val="SingleTxtG"/>
        <w:numPr>
          <w:ilvl w:val="0"/>
          <w:numId w:val="28"/>
        </w:numPr>
        <w:spacing w:before="120" w:line="240" w:lineRule="auto"/>
        <w:rPr>
          <w:rFonts w:ascii="Arial" w:hAnsi="Arial" w:cs="Arial"/>
          <w:sz w:val="22"/>
          <w:szCs w:val="22"/>
          <w:lang w:val="fr-FR"/>
        </w:rPr>
      </w:pPr>
      <w:r w:rsidRPr="00720D91">
        <w:rPr>
          <w:rFonts w:ascii="Arial" w:hAnsi="Arial" w:cs="Arial"/>
          <w:sz w:val="22"/>
          <w:szCs w:val="22"/>
          <w:lang w:val="fr-FR"/>
        </w:rPr>
        <w:lastRenderedPageBreak/>
        <w:t>Irlande c. Royaume-Uni (II) (n° 5451/72, rayé du rôle le 01/10.1972) ;</w:t>
      </w:r>
    </w:p>
    <w:p w14:paraId="06C65E0C" w14:textId="77777777" w:rsidR="00720D91" w:rsidRPr="00720D91" w:rsidRDefault="00720D91" w:rsidP="00720D91">
      <w:pPr>
        <w:pStyle w:val="SingleTxtG"/>
        <w:numPr>
          <w:ilvl w:val="0"/>
          <w:numId w:val="28"/>
        </w:numPr>
        <w:spacing w:before="120" w:line="240" w:lineRule="auto"/>
        <w:rPr>
          <w:rFonts w:ascii="Arial" w:hAnsi="Arial" w:cs="Arial"/>
          <w:sz w:val="22"/>
          <w:szCs w:val="22"/>
        </w:rPr>
      </w:pPr>
      <w:r w:rsidRPr="00720D91">
        <w:rPr>
          <w:rFonts w:ascii="Arial" w:hAnsi="Arial" w:cs="Arial"/>
          <w:sz w:val="22"/>
          <w:szCs w:val="22"/>
          <w:lang w:val="fr-FR"/>
        </w:rPr>
        <w:t xml:space="preserve">Chypre c. Turquie (I) et (II) (n° 6780/74 &amp; 6950/75, rapport de la Commission 10.07.1976 : Vol. </w:t>
      </w:r>
      <w:r w:rsidRPr="00720D91">
        <w:rPr>
          <w:rFonts w:ascii="Arial" w:hAnsi="Arial" w:cs="Arial"/>
          <w:sz w:val="22"/>
          <w:szCs w:val="22"/>
        </w:rPr>
        <w:t>I ; Vol. II) ;</w:t>
      </w:r>
    </w:p>
    <w:p w14:paraId="0312B307" w14:textId="77777777" w:rsidR="00720D91" w:rsidRPr="00720D91" w:rsidRDefault="00720D91" w:rsidP="00720D91">
      <w:pPr>
        <w:pStyle w:val="SingleTxtG"/>
        <w:numPr>
          <w:ilvl w:val="0"/>
          <w:numId w:val="28"/>
        </w:numPr>
        <w:spacing w:before="120" w:line="240" w:lineRule="auto"/>
        <w:rPr>
          <w:rFonts w:ascii="Arial" w:hAnsi="Arial" w:cs="Arial"/>
          <w:sz w:val="22"/>
          <w:szCs w:val="22"/>
        </w:rPr>
      </w:pPr>
      <w:r w:rsidRPr="00720D91">
        <w:rPr>
          <w:rFonts w:ascii="Arial" w:hAnsi="Arial" w:cs="Arial"/>
          <w:sz w:val="22"/>
          <w:szCs w:val="22"/>
          <w:lang w:val="fr-FR"/>
        </w:rPr>
        <w:t xml:space="preserve">Chypre c. Turquie (III) (n° 8007/77, rapports de la Commission 12.07.1980 (Conf.) </w:t>
      </w:r>
      <w:r w:rsidRPr="00720D91">
        <w:rPr>
          <w:rFonts w:ascii="Arial" w:hAnsi="Arial" w:cs="Arial"/>
          <w:sz w:val="22"/>
          <w:szCs w:val="22"/>
        </w:rPr>
        <w:t>(Interim), 04.10.1983 (Art.31)) ;</w:t>
      </w:r>
    </w:p>
    <w:p w14:paraId="7F6ABDA6" w14:textId="77777777" w:rsidR="00720D91" w:rsidRPr="00720D91" w:rsidRDefault="00720D91" w:rsidP="00720D91">
      <w:pPr>
        <w:pStyle w:val="SingleTxtG"/>
        <w:numPr>
          <w:ilvl w:val="0"/>
          <w:numId w:val="28"/>
        </w:numPr>
        <w:spacing w:before="120" w:line="240" w:lineRule="auto"/>
        <w:rPr>
          <w:rFonts w:ascii="Arial" w:hAnsi="Arial" w:cs="Arial"/>
          <w:sz w:val="22"/>
          <w:szCs w:val="22"/>
          <w:lang w:val="fr-FR"/>
        </w:rPr>
      </w:pPr>
      <w:r w:rsidRPr="00720D91">
        <w:rPr>
          <w:rFonts w:ascii="Arial" w:hAnsi="Arial" w:cs="Arial"/>
          <w:sz w:val="22"/>
          <w:szCs w:val="22"/>
          <w:lang w:val="fr-FR"/>
        </w:rPr>
        <w:t>Danemark, France, Norvège, Suède et Pays-Bas c. Turquie (n° 9940/82 à 9944/82, rapport de la Commission 07.12.1985) ;</w:t>
      </w:r>
    </w:p>
    <w:p w14:paraId="3CFA8CA8" w14:textId="77777777" w:rsidR="00720D91" w:rsidRPr="00720D91" w:rsidRDefault="00720D91" w:rsidP="00720D91">
      <w:pPr>
        <w:pStyle w:val="SingleTxtG"/>
        <w:numPr>
          <w:ilvl w:val="0"/>
          <w:numId w:val="28"/>
        </w:numPr>
        <w:spacing w:before="120" w:line="240" w:lineRule="auto"/>
        <w:rPr>
          <w:rFonts w:ascii="Arial" w:hAnsi="Arial" w:cs="Arial"/>
          <w:sz w:val="22"/>
          <w:szCs w:val="22"/>
          <w:lang w:val="fr-FR"/>
        </w:rPr>
      </w:pPr>
      <w:r w:rsidRPr="00720D91">
        <w:rPr>
          <w:rFonts w:ascii="Arial" w:hAnsi="Arial" w:cs="Arial"/>
          <w:sz w:val="22"/>
          <w:szCs w:val="22"/>
          <w:lang w:val="fr-FR"/>
        </w:rPr>
        <w:t>Chypre c. Turquie (IV) (n° 25781/94, 10.05.2001 ; 12.05.2014 (satisfaction équitable)) ;</w:t>
      </w:r>
    </w:p>
    <w:p w14:paraId="72F2E378" w14:textId="77777777" w:rsidR="00720D91" w:rsidRPr="00720D91" w:rsidRDefault="00720D91" w:rsidP="00720D91">
      <w:pPr>
        <w:pStyle w:val="SingleTxtG"/>
        <w:numPr>
          <w:ilvl w:val="0"/>
          <w:numId w:val="28"/>
        </w:numPr>
        <w:spacing w:before="120" w:line="240" w:lineRule="auto"/>
        <w:rPr>
          <w:rFonts w:ascii="Arial" w:hAnsi="Arial" w:cs="Arial"/>
          <w:sz w:val="22"/>
          <w:szCs w:val="22"/>
        </w:rPr>
      </w:pPr>
      <w:r w:rsidRPr="00720D91">
        <w:rPr>
          <w:rFonts w:ascii="Arial" w:hAnsi="Arial" w:cs="Arial"/>
          <w:sz w:val="22"/>
          <w:szCs w:val="22"/>
        </w:rPr>
        <w:t>Danemark c. Turquie (n° 34382/97, 05.04.2000) ;</w:t>
      </w:r>
    </w:p>
    <w:p w14:paraId="6B0D55A6" w14:textId="77777777" w:rsidR="00720D91" w:rsidRPr="00720D91" w:rsidRDefault="00720D91" w:rsidP="00720D91">
      <w:pPr>
        <w:pStyle w:val="SingleTxtG"/>
        <w:numPr>
          <w:ilvl w:val="0"/>
          <w:numId w:val="28"/>
        </w:numPr>
        <w:spacing w:before="120" w:line="240" w:lineRule="auto"/>
        <w:rPr>
          <w:rFonts w:ascii="Arial" w:hAnsi="Arial" w:cs="Arial"/>
          <w:sz w:val="22"/>
          <w:szCs w:val="22"/>
          <w:lang w:val="fr-FR"/>
        </w:rPr>
      </w:pPr>
      <w:r w:rsidRPr="00720D91">
        <w:rPr>
          <w:rFonts w:ascii="Arial" w:hAnsi="Arial" w:cs="Arial"/>
          <w:sz w:val="22"/>
          <w:szCs w:val="22"/>
          <w:lang w:val="fr-FR"/>
        </w:rPr>
        <w:t xml:space="preserve">Géorgie c. Fédération de Russie (I) (n° 13255/07, 03.07.2014 ; 31.01.2019 (satisfaction équitable)) ; </w:t>
      </w:r>
    </w:p>
    <w:p w14:paraId="799BA03C" w14:textId="77777777" w:rsidR="00720D91" w:rsidRPr="00720D91" w:rsidRDefault="00720D91" w:rsidP="00720D91">
      <w:pPr>
        <w:pStyle w:val="SingleTxtG"/>
        <w:numPr>
          <w:ilvl w:val="0"/>
          <w:numId w:val="28"/>
        </w:numPr>
        <w:spacing w:before="120" w:line="240" w:lineRule="auto"/>
        <w:rPr>
          <w:rFonts w:ascii="Arial" w:hAnsi="Arial" w:cs="Arial"/>
          <w:sz w:val="22"/>
          <w:szCs w:val="22"/>
          <w:lang w:val="fr-FR"/>
        </w:rPr>
      </w:pPr>
      <w:r w:rsidRPr="00720D91">
        <w:rPr>
          <w:rFonts w:ascii="Arial" w:hAnsi="Arial" w:cs="Arial"/>
          <w:sz w:val="22"/>
          <w:szCs w:val="22"/>
          <w:lang w:val="fr-FR"/>
        </w:rPr>
        <w:t>Géorgie c. Fédération de Russie (II) (n° 38263/08, 12.08.2008 (fond)) ;</w:t>
      </w:r>
    </w:p>
    <w:p w14:paraId="625F2364" w14:textId="77777777" w:rsidR="00720D91" w:rsidRPr="00720D91" w:rsidRDefault="00720D91" w:rsidP="00720D91">
      <w:pPr>
        <w:pStyle w:val="SingleTxtG"/>
        <w:numPr>
          <w:ilvl w:val="0"/>
          <w:numId w:val="28"/>
        </w:numPr>
        <w:spacing w:before="120" w:line="240" w:lineRule="auto"/>
        <w:rPr>
          <w:rFonts w:ascii="Arial" w:hAnsi="Arial" w:cs="Arial"/>
          <w:sz w:val="22"/>
          <w:szCs w:val="22"/>
          <w:lang w:val="fr-FR"/>
        </w:rPr>
      </w:pPr>
      <w:r w:rsidRPr="00720D91">
        <w:rPr>
          <w:rFonts w:ascii="Arial" w:hAnsi="Arial" w:cs="Arial"/>
          <w:sz w:val="22"/>
          <w:szCs w:val="22"/>
          <w:lang w:val="fr-FR"/>
        </w:rPr>
        <w:t>Géorgie c. Fédération de Russie (III) (n° 61186/09, radiation du rôle le 16.03.2010) ;</w:t>
      </w:r>
    </w:p>
    <w:p w14:paraId="76DDAE6F" w14:textId="77777777" w:rsidR="00720D91" w:rsidRPr="00720D91" w:rsidRDefault="00720D91" w:rsidP="00720D91">
      <w:pPr>
        <w:pStyle w:val="SingleTxtG"/>
        <w:numPr>
          <w:ilvl w:val="0"/>
          <w:numId w:val="28"/>
        </w:numPr>
        <w:spacing w:before="120" w:line="240" w:lineRule="auto"/>
        <w:rPr>
          <w:rFonts w:ascii="Arial" w:hAnsi="Arial" w:cs="Arial"/>
          <w:sz w:val="22"/>
          <w:szCs w:val="22"/>
          <w:lang w:val="fr-FR"/>
        </w:rPr>
      </w:pPr>
      <w:r w:rsidRPr="00720D91">
        <w:rPr>
          <w:rFonts w:ascii="Arial" w:hAnsi="Arial" w:cs="Arial"/>
          <w:sz w:val="22"/>
          <w:szCs w:val="22"/>
          <w:lang w:val="fr-FR"/>
        </w:rPr>
        <w:t>Ukraine c. Fédération de Russie (III) (n° 49537/14, rayé de la liste le 01.09.2015) ;</w:t>
      </w:r>
    </w:p>
    <w:p w14:paraId="3179C2E0" w14:textId="77777777" w:rsidR="00720D91" w:rsidRPr="00720D91" w:rsidRDefault="00720D91" w:rsidP="00720D91">
      <w:pPr>
        <w:pStyle w:val="SingleTxtG"/>
        <w:numPr>
          <w:ilvl w:val="0"/>
          <w:numId w:val="28"/>
        </w:numPr>
        <w:spacing w:before="120" w:line="240" w:lineRule="auto"/>
        <w:rPr>
          <w:rFonts w:ascii="Arial" w:hAnsi="Arial" w:cs="Arial"/>
          <w:sz w:val="22"/>
          <w:szCs w:val="22"/>
        </w:rPr>
      </w:pPr>
      <w:r w:rsidRPr="00720D91">
        <w:rPr>
          <w:rFonts w:ascii="Arial" w:hAnsi="Arial" w:cs="Arial"/>
          <w:sz w:val="22"/>
          <w:szCs w:val="22"/>
        </w:rPr>
        <w:t>Slovénie c. Croatie (n° 54155/16, 18.11.2020)</w:t>
      </w:r>
    </w:p>
    <w:p w14:paraId="2735CA3E" w14:textId="77777777" w:rsidR="00720D91" w:rsidRPr="00720D91" w:rsidRDefault="00720D91" w:rsidP="00720D91">
      <w:pPr>
        <w:pStyle w:val="SingleTxtG"/>
        <w:numPr>
          <w:ilvl w:val="0"/>
          <w:numId w:val="28"/>
        </w:numPr>
        <w:spacing w:before="120" w:line="240" w:lineRule="auto"/>
        <w:rPr>
          <w:rFonts w:ascii="Arial" w:hAnsi="Arial" w:cs="Arial"/>
          <w:sz w:val="22"/>
          <w:szCs w:val="22"/>
          <w:lang w:val="fr-FR"/>
        </w:rPr>
      </w:pPr>
      <w:r w:rsidRPr="00720D91">
        <w:rPr>
          <w:rFonts w:ascii="Arial" w:hAnsi="Arial" w:cs="Arial"/>
          <w:sz w:val="22"/>
          <w:szCs w:val="22"/>
          <w:lang w:val="fr-FR"/>
        </w:rPr>
        <w:t xml:space="preserve">Lettonie c. Danemark (n° 9717/20, rayé de la liste le 16.06.2020). </w:t>
      </w:r>
    </w:p>
    <w:p w14:paraId="559C6F35" w14:textId="77777777" w:rsidR="00720D91" w:rsidRPr="00720D91" w:rsidRDefault="00720D91" w:rsidP="00720D91">
      <w:pPr>
        <w:shd w:val="clear" w:color="auto" w:fill="FFFFFF" w:themeFill="background1"/>
        <w:ind w:firstLine="284"/>
        <w:jc w:val="both"/>
        <w:rPr>
          <w:rFonts w:ascii="Arial" w:hAnsi="Arial" w:cs="Arial"/>
          <w:sz w:val="22"/>
          <w:szCs w:val="22"/>
        </w:rPr>
      </w:pPr>
      <w:r w:rsidRPr="00720D91">
        <w:rPr>
          <w:rFonts w:ascii="Arial" w:hAnsi="Arial" w:cs="Arial"/>
          <w:sz w:val="22"/>
          <w:szCs w:val="22"/>
        </w:rPr>
        <w:t>16. Il y a actuellement 12 affaires interétatiques pendantes devant la Cour, dont la grande majorité est liée à des situations de conflit entre États membres.</w:t>
      </w:r>
      <w:r w:rsidRPr="00720D91">
        <w:rPr>
          <w:rFonts w:ascii="Arial" w:hAnsi="Arial" w:cs="Arial"/>
          <w:sz w:val="22"/>
          <w:szCs w:val="22"/>
          <w:vertAlign w:val="superscript"/>
        </w:rPr>
        <w:t xml:space="preserve"> </w:t>
      </w:r>
      <w:r w:rsidRPr="00720D91">
        <w:rPr>
          <w:rFonts w:ascii="Arial" w:hAnsi="Arial" w:cs="Arial"/>
          <w:sz w:val="22"/>
          <w:szCs w:val="22"/>
          <w:vertAlign w:val="superscript"/>
        </w:rPr>
        <w:footnoteReference w:id="17"/>
      </w:r>
      <w:r w:rsidRPr="00720D91">
        <w:rPr>
          <w:rFonts w:ascii="Arial" w:hAnsi="Arial" w:cs="Arial"/>
          <w:sz w:val="22"/>
          <w:szCs w:val="22"/>
          <w:vertAlign w:val="superscript"/>
        </w:rPr>
        <w:t xml:space="preserve"> </w:t>
      </w:r>
    </w:p>
    <w:p w14:paraId="6D63376B" w14:textId="77777777" w:rsidR="00720D91" w:rsidRPr="00720D91" w:rsidRDefault="00720D91" w:rsidP="00720D91">
      <w:pPr>
        <w:shd w:val="clear" w:color="auto" w:fill="FFFFFF" w:themeFill="background1"/>
        <w:jc w:val="both"/>
        <w:rPr>
          <w:rFonts w:ascii="Arial" w:hAnsi="Arial" w:cs="Arial"/>
          <w:sz w:val="22"/>
          <w:szCs w:val="22"/>
        </w:rPr>
      </w:pPr>
    </w:p>
    <w:p w14:paraId="1251E4AE" w14:textId="77777777" w:rsidR="00720D91" w:rsidRPr="00720D91" w:rsidRDefault="00720D91" w:rsidP="00720D91">
      <w:pPr>
        <w:shd w:val="clear" w:color="auto" w:fill="FFFFFF" w:themeFill="background1"/>
        <w:ind w:firstLine="284"/>
        <w:jc w:val="both"/>
        <w:rPr>
          <w:rFonts w:ascii="Arial" w:hAnsi="Arial" w:cs="Arial"/>
          <w:sz w:val="22"/>
          <w:szCs w:val="22"/>
        </w:rPr>
      </w:pPr>
      <w:r w:rsidRPr="00720D91">
        <w:rPr>
          <w:rFonts w:ascii="Arial" w:hAnsi="Arial" w:cs="Arial"/>
          <w:sz w:val="22"/>
          <w:szCs w:val="22"/>
        </w:rPr>
        <w:t xml:space="preserve">17. Des milliers de requêtes individuelles relatives à des conflits interétatiques ont également été jugées par la Cour et/ou la Commission européenne des droits de l’homme au fil des années. Il existe également de nombreuses requêtes individuelles pendantes liées (voir Annexe). </w:t>
      </w:r>
    </w:p>
    <w:p w14:paraId="6ABEB4C2" w14:textId="77777777" w:rsidR="00720D91" w:rsidRPr="00720D91" w:rsidRDefault="00720D91" w:rsidP="00720D91">
      <w:pPr>
        <w:shd w:val="clear" w:color="auto" w:fill="FFFFFF" w:themeFill="background1"/>
        <w:ind w:firstLine="284"/>
        <w:jc w:val="both"/>
        <w:rPr>
          <w:rFonts w:ascii="Arial" w:hAnsi="Arial" w:cs="Arial"/>
          <w:sz w:val="22"/>
          <w:szCs w:val="22"/>
        </w:rPr>
      </w:pPr>
    </w:p>
    <w:p w14:paraId="3129769B" w14:textId="77777777" w:rsidR="00720D91" w:rsidRPr="00720D91" w:rsidRDefault="00720D91" w:rsidP="00720D91">
      <w:pPr>
        <w:shd w:val="clear" w:color="auto" w:fill="FFFFFF" w:themeFill="background1"/>
        <w:ind w:firstLine="284"/>
        <w:jc w:val="both"/>
        <w:rPr>
          <w:rFonts w:ascii="Arial" w:hAnsi="Arial" w:cs="Arial"/>
          <w:sz w:val="22"/>
          <w:szCs w:val="22"/>
        </w:rPr>
      </w:pPr>
      <w:r w:rsidRPr="00720D91">
        <w:rPr>
          <w:rFonts w:ascii="Arial" w:hAnsi="Arial" w:cs="Arial"/>
          <w:sz w:val="22"/>
          <w:szCs w:val="22"/>
        </w:rPr>
        <w:t>18. Le traitement des affaires interétatiques et du nombre élevé de requêtes individuelles liées, tel que reflété dans l'annexe,</w:t>
      </w:r>
      <w:r w:rsidRPr="00720D91">
        <w:rPr>
          <w:rStyle w:val="Appelnotedebasdep"/>
          <w:rFonts w:ascii="Arial" w:hAnsi="Arial" w:cs="Arial"/>
          <w:sz w:val="22"/>
          <w:szCs w:val="22"/>
        </w:rPr>
        <w:footnoteReference w:id="18"/>
      </w:r>
      <w:r w:rsidRPr="00720D91">
        <w:rPr>
          <w:rFonts w:ascii="Arial" w:hAnsi="Arial" w:cs="Arial"/>
          <w:sz w:val="22"/>
          <w:szCs w:val="22"/>
        </w:rPr>
        <w:t xml:space="preserve"> pose des défis exceptionnels à la Cour </w:t>
      </w:r>
      <w:r w:rsidRPr="00720D91">
        <w:rPr>
          <w:rStyle w:val="Appelnotedebasdep"/>
          <w:rFonts w:ascii="Arial" w:hAnsi="Arial" w:cs="Arial"/>
          <w:color w:val="000000" w:themeColor="text1"/>
          <w:sz w:val="22"/>
          <w:szCs w:val="22"/>
          <w:lang w:val="en-US"/>
        </w:rPr>
        <w:footnoteReference w:id="19"/>
      </w:r>
      <w:r w:rsidRPr="00720D91">
        <w:rPr>
          <w:rFonts w:ascii="Arial" w:hAnsi="Arial" w:cs="Arial"/>
          <w:sz w:val="22"/>
          <w:szCs w:val="22"/>
        </w:rPr>
        <w:t xml:space="preserve"> et aux États parties aux affaires, car ces affaires sont particulièrement chronophages et complexes en raison de leur nature et de leur dimension. Il convient de rappeler que la préoccupation relative au nombre élevé de requêtes introduites devant la Cour a été, dès le départ, le point central du processus de réforme du système de la Convention. Comme indiqué dans la Déclaration de Copenhague, l'amélioration de la capacité du système de la Convention à faire face au nombre croissant de requêtes a été dès le début un objectif principal du processus de réforme actuel. C'est en rapport avec la nécessité de prendre de nouvelles mesures pour relever les défis liés à la charge de travail que la Déclaration de Copenhague a déclaré que « [l]es défis posés au système de la Convention par les situations de conflit et de crise en Europe doivent également être reconnus ».</w:t>
      </w:r>
      <w:r w:rsidRPr="00720D91">
        <w:rPr>
          <w:rStyle w:val="Appelnotedebasdep"/>
          <w:rFonts w:ascii="Arial" w:hAnsi="Arial" w:cs="Arial"/>
          <w:sz w:val="22"/>
          <w:szCs w:val="22"/>
        </w:rPr>
        <w:footnoteReference w:id="20"/>
      </w:r>
      <w:r w:rsidRPr="00720D91">
        <w:rPr>
          <w:rFonts w:ascii="Arial" w:hAnsi="Arial" w:cs="Arial"/>
          <w:sz w:val="22"/>
          <w:szCs w:val="22"/>
        </w:rPr>
        <w:t xml:space="preserve"> </w:t>
      </w:r>
    </w:p>
    <w:p w14:paraId="1EB7E304" w14:textId="77777777" w:rsidR="00720D91" w:rsidRPr="00720D91" w:rsidRDefault="00720D91" w:rsidP="00720D91">
      <w:pPr>
        <w:shd w:val="clear" w:color="auto" w:fill="FFFFFF" w:themeFill="background1"/>
        <w:ind w:firstLine="284"/>
        <w:jc w:val="both"/>
        <w:rPr>
          <w:rFonts w:ascii="Arial" w:hAnsi="Arial" w:cs="Arial"/>
          <w:sz w:val="22"/>
          <w:szCs w:val="22"/>
        </w:rPr>
      </w:pPr>
    </w:p>
    <w:p w14:paraId="0F8CC79B" w14:textId="77777777" w:rsidR="00720D91" w:rsidRPr="00720D91" w:rsidRDefault="00720D91" w:rsidP="00720D91">
      <w:pPr>
        <w:pStyle w:val="Sansinterligne"/>
        <w:ind w:firstLine="284"/>
        <w:jc w:val="both"/>
        <w:rPr>
          <w:rFonts w:ascii="Arial" w:hAnsi="Arial" w:cs="Arial"/>
          <w:sz w:val="22"/>
          <w:szCs w:val="22"/>
        </w:rPr>
      </w:pPr>
      <w:r w:rsidRPr="00720D91">
        <w:rPr>
          <w:rFonts w:ascii="Arial" w:hAnsi="Arial" w:cs="Arial"/>
          <w:sz w:val="22"/>
          <w:szCs w:val="22"/>
        </w:rPr>
        <w:lastRenderedPageBreak/>
        <w:t xml:space="preserve">19. L'un des plus grands défis dans les affaires interétatiques est l'établissement des faits, en particulier lorsque la Cour doit agir en tant que juridiction de première instance, faute d'un examen préalable des affaires par les tribunaux nationaux. </w:t>
      </w:r>
      <w:r w:rsidRPr="00720D91">
        <w:rPr>
          <w:rStyle w:val="Appelnotedebasdep"/>
          <w:rFonts w:ascii="Arial" w:hAnsi="Arial" w:cs="Arial"/>
          <w:sz w:val="22"/>
          <w:szCs w:val="22"/>
        </w:rPr>
        <w:footnoteReference w:id="21"/>
      </w:r>
      <w:r w:rsidRPr="00720D91">
        <w:rPr>
          <w:rFonts w:ascii="Arial" w:hAnsi="Arial" w:cs="Arial"/>
          <w:sz w:val="22"/>
          <w:szCs w:val="22"/>
        </w:rPr>
        <w:t xml:space="preserve"> Ces défis concernent notamment l'obtention des preuves nécessaires, </w:t>
      </w:r>
      <w:r w:rsidRPr="00720D91">
        <w:rPr>
          <w:rFonts w:ascii="Arial" w:hAnsi="Arial" w:cs="Arial"/>
          <w:iCs/>
          <w:sz w:val="22"/>
          <w:szCs w:val="22"/>
        </w:rPr>
        <w:t>entre autres</w:t>
      </w:r>
      <w:r w:rsidRPr="00720D91">
        <w:rPr>
          <w:rFonts w:ascii="Arial" w:hAnsi="Arial" w:cs="Arial"/>
          <w:i/>
          <w:sz w:val="22"/>
          <w:szCs w:val="22"/>
        </w:rPr>
        <w:t xml:space="preserve"> </w:t>
      </w:r>
      <w:r w:rsidRPr="00720D91">
        <w:rPr>
          <w:rFonts w:ascii="Arial" w:hAnsi="Arial" w:cs="Arial"/>
          <w:sz w:val="22"/>
          <w:szCs w:val="22"/>
        </w:rPr>
        <w:t xml:space="preserve">par des missions d'enquête, des auditions de témoins, les différentes sources d'information ainsi que l'évaluation des preuves devant la Cour. </w:t>
      </w:r>
      <w:r w:rsidRPr="00720D91">
        <w:rPr>
          <w:rStyle w:val="Appelnotedebasdep"/>
          <w:rFonts w:ascii="Arial" w:hAnsi="Arial" w:cs="Arial"/>
          <w:sz w:val="22"/>
          <w:szCs w:val="22"/>
        </w:rPr>
        <w:footnoteReference w:id="22"/>
      </w:r>
    </w:p>
    <w:p w14:paraId="26D22CCC" w14:textId="77777777" w:rsidR="00720D91" w:rsidRPr="00720D91" w:rsidRDefault="00720D91" w:rsidP="00720D91">
      <w:pPr>
        <w:pStyle w:val="Sansinterligne"/>
        <w:jc w:val="both"/>
        <w:rPr>
          <w:rFonts w:ascii="Arial" w:hAnsi="Arial" w:cs="Arial"/>
          <w:sz w:val="22"/>
          <w:szCs w:val="22"/>
        </w:rPr>
      </w:pPr>
    </w:p>
    <w:p w14:paraId="680D5D62" w14:textId="77777777" w:rsidR="00720D91" w:rsidRPr="00720D91" w:rsidRDefault="00720D91" w:rsidP="00720D91">
      <w:pPr>
        <w:pStyle w:val="Sansinterligne"/>
        <w:ind w:firstLine="284"/>
        <w:jc w:val="both"/>
        <w:rPr>
          <w:rFonts w:ascii="Arial" w:hAnsi="Arial" w:cs="Arial"/>
          <w:sz w:val="22"/>
          <w:szCs w:val="22"/>
        </w:rPr>
      </w:pPr>
      <w:r w:rsidRPr="00720D91">
        <w:rPr>
          <w:rFonts w:ascii="Arial" w:hAnsi="Arial" w:cs="Arial"/>
          <w:sz w:val="22"/>
          <w:szCs w:val="22"/>
        </w:rPr>
        <w:t>20. En outre, le traitement en parallèle, d'une part, d'affaires interétatiques et, d'autre part, d'un nombre élevé de requêtes individuelles relatives à des affaires ou conflits interétatiques soulève des questions par rapport à leur priorisation notamment pour éviter des incohérences et des duplications. À cela s’ajoute la possibilité de procédures parallèles devant d'autres organes internationaux concernant des plaintes interétatiques ou des requêtes individuelles liées aux affaires interétatiques ou aux requêtes individuelles liées pendantes devant la Cour.</w:t>
      </w:r>
    </w:p>
    <w:p w14:paraId="63C4592F" w14:textId="77777777" w:rsidR="00720D91" w:rsidRPr="00720D91" w:rsidRDefault="00720D91" w:rsidP="00720D91">
      <w:pPr>
        <w:pStyle w:val="Sansinterligne"/>
        <w:rPr>
          <w:sz w:val="22"/>
          <w:szCs w:val="22"/>
        </w:rPr>
      </w:pPr>
    </w:p>
    <w:p w14:paraId="7E9E3F14" w14:textId="77777777" w:rsidR="00720D91" w:rsidRPr="00720D91" w:rsidRDefault="00720D91" w:rsidP="00720D91">
      <w:pPr>
        <w:pStyle w:val="Sansinterligne"/>
        <w:ind w:firstLine="284"/>
        <w:jc w:val="both"/>
        <w:rPr>
          <w:rFonts w:ascii="Arial" w:hAnsi="Arial" w:cs="Arial"/>
          <w:sz w:val="22"/>
          <w:szCs w:val="22"/>
        </w:rPr>
      </w:pPr>
      <w:r w:rsidRPr="00720D91">
        <w:rPr>
          <w:rFonts w:ascii="Arial" w:hAnsi="Arial" w:cs="Arial"/>
          <w:sz w:val="22"/>
          <w:szCs w:val="22"/>
        </w:rPr>
        <w:t>21. La nature sensible et politique des affaires interétatiques rend leur règlement amiable en vertu de l'article 39 complexe et difficile.</w:t>
      </w:r>
    </w:p>
    <w:p w14:paraId="17E6EEC2" w14:textId="77777777" w:rsidR="00720D91" w:rsidRPr="00720D91" w:rsidRDefault="00720D91" w:rsidP="00720D91">
      <w:pPr>
        <w:pStyle w:val="Sansinterligne"/>
        <w:jc w:val="both"/>
        <w:rPr>
          <w:rFonts w:ascii="Arial" w:hAnsi="Arial" w:cs="Arial"/>
          <w:sz w:val="22"/>
          <w:szCs w:val="22"/>
        </w:rPr>
      </w:pPr>
    </w:p>
    <w:p w14:paraId="11625222" w14:textId="77777777" w:rsidR="00720D91" w:rsidRPr="00720D91" w:rsidRDefault="00720D91" w:rsidP="00720D91">
      <w:pPr>
        <w:pStyle w:val="Sansinterligne"/>
        <w:ind w:firstLine="284"/>
        <w:jc w:val="both"/>
        <w:rPr>
          <w:rFonts w:ascii="Arial" w:hAnsi="Arial" w:cs="Arial"/>
          <w:sz w:val="22"/>
          <w:szCs w:val="22"/>
        </w:rPr>
      </w:pPr>
      <w:r w:rsidRPr="00720D91">
        <w:rPr>
          <w:rFonts w:ascii="Arial" w:hAnsi="Arial" w:cs="Arial"/>
          <w:sz w:val="22"/>
          <w:szCs w:val="22"/>
        </w:rPr>
        <w:t>22. La Cour a observé que la procédure de l'article 41 est normalement très complexe. « Il est important de demander au gouvernement requérant de soumettre, dès le début, les listes d’individus clairement identifiables ».</w:t>
      </w:r>
      <w:r w:rsidRPr="00720D91">
        <w:rPr>
          <w:rStyle w:val="Appelnotedebasdep"/>
          <w:rFonts w:ascii="Arial" w:hAnsi="Arial" w:cs="Arial"/>
          <w:sz w:val="22"/>
          <w:szCs w:val="22"/>
        </w:rPr>
        <w:footnoteReference w:id="23"/>
      </w:r>
      <w:r w:rsidRPr="00720D91">
        <w:rPr>
          <w:rFonts w:ascii="Arial" w:hAnsi="Arial" w:cs="Arial"/>
          <w:sz w:val="22"/>
          <w:szCs w:val="22"/>
        </w:rPr>
        <w:t xml:space="preserve"> Cela a soulevé des questions pratiques en termes d'attribution de la satisfaction équitable dans les affaires interétatiques au profit des victimes individuelles.</w:t>
      </w:r>
    </w:p>
    <w:p w14:paraId="03F5AB09" w14:textId="77777777" w:rsidR="00720D91" w:rsidRPr="00720D91" w:rsidRDefault="00720D91" w:rsidP="00720D91">
      <w:pPr>
        <w:pStyle w:val="Sansinterligne"/>
        <w:jc w:val="both"/>
        <w:rPr>
          <w:rFonts w:ascii="Arial" w:hAnsi="Arial" w:cs="Arial"/>
          <w:sz w:val="22"/>
          <w:szCs w:val="22"/>
        </w:rPr>
      </w:pPr>
    </w:p>
    <w:p w14:paraId="02AF3318" w14:textId="77777777" w:rsidR="00720D91" w:rsidRPr="00720D91" w:rsidRDefault="00720D91" w:rsidP="00720D91">
      <w:pPr>
        <w:pStyle w:val="Sansinterligne"/>
        <w:ind w:firstLine="284"/>
        <w:jc w:val="both"/>
        <w:rPr>
          <w:rFonts w:ascii="Arial" w:hAnsi="Arial" w:cs="Arial"/>
          <w:sz w:val="22"/>
          <w:szCs w:val="22"/>
        </w:rPr>
      </w:pPr>
      <w:r w:rsidRPr="00720D91">
        <w:rPr>
          <w:rFonts w:ascii="Arial" w:hAnsi="Arial" w:cs="Arial"/>
          <w:sz w:val="22"/>
          <w:szCs w:val="22"/>
        </w:rPr>
        <w:t xml:space="preserve">23. </w:t>
      </w:r>
      <w:bookmarkStart w:id="7" w:name="_Hlk52447997"/>
      <w:r w:rsidRPr="00720D91">
        <w:rPr>
          <w:rFonts w:ascii="Arial" w:hAnsi="Arial" w:cs="Arial"/>
          <w:sz w:val="22"/>
          <w:szCs w:val="22"/>
        </w:rPr>
        <w:t xml:space="preserve">Le présent  rapport aborde ces questions sous l'angle des exigences de la Convention, du Règlement de la Cour ainsi que des principes pertinents établis par la Cour dans sa jurisprudence, y compris en ce qui concerne l’application du droit international général. </w:t>
      </w:r>
      <w:bookmarkEnd w:id="7"/>
      <w:r w:rsidRPr="00720D91">
        <w:rPr>
          <w:rFonts w:ascii="Arial" w:hAnsi="Arial" w:cs="Arial"/>
          <w:sz w:val="22"/>
          <w:szCs w:val="22"/>
        </w:rPr>
        <w:t xml:space="preserve">Le devoir des États de coopérer avec la Cour dans l'examen des requêtes interétatiques et des requêtes individuelles liées est souligné là où cela doit s’appliquer et constitue un fil conducteur de cette analyse.  </w:t>
      </w:r>
    </w:p>
    <w:p w14:paraId="1647C363" w14:textId="77777777" w:rsidR="00720D91" w:rsidRPr="00720D91" w:rsidRDefault="00720D91" w:rsidP="00720D91">
      <w:pPr>
        <w:pStyle w:val="Sansinterligne"/>
        <w:ind w:firstLine="284"/>
        <w:jc w:val="both"/>
        <w:rPr>
          <w:rFonts w:ascii="Arial" w:hAnsi="Arial" w:cs="Arial"/>
          <w:sz w:val="22"/>
          <w:szCs w:val="22"/>
        </w:rPr>
      </w:pPr>
    </w:p>
    <w:p w14:paraId="5A1F7220" w14:textId="77777777" w:rsidR="00720D91" w:rsidRPr="00720D91" w:rsidRDefault="00720D91" w:rsidP="00720D91">
      <w:pPr>
        <w:pStyle w:val="Sansinterligne"/>
        <w:ind w:firstLine="284"/>
        <w:jc w:val="both"/>
        <w:rPr>
          <w:rStyle w:val="Lienhypertexte"/>
          <w:rFonts w:ascii="Arial" w:eastAsiaTheme="majorEastAsia" w:hAnsi="Arial" w:cs="Arial"/>
          <w:bCs/>
          <w:color w:val="auto"/>
          <w:sz w:val="22"/>
          <w:szCs w:val="22"/>
        </w:rPr>
      </w:pPr>
      <w:r w:rsidRPr="00720D91">
        <w:rPr>
          <w:rFonts w:ascii="Arial" w:hAnsi="Arial" w:cs="Arial"/>
          <w:sz w:val="22"/>
          <w:szCs w:val="22"/>
        </w:rPr>
        <w:t xml:space="preserve">24. </w:t>
      </w:r>
      <w:r w:rsidRPr="00720D91">
        <w:rPr>
          <w:rFonts w:ascii="Arial" w:hAnsi="Arial" w:cs="Arial"/>
          <w:bCs/>
          <w:sz w:val="22"/>
          <w:szCs w:val="22"/>
        </w:rPr>
        <w:t xml:space="preserve">Une délégation estime que « l’existence de divergences entre la jurisprudence de la Cour et celle d'autres cours et tribunaux internationaux, comme la Cour internationale de justice, en ce qui concerne les règles d'établissement de la responsabilité d'un État pour violation de ses obligations internationales constitue un défi fondamental. » Selon cette opinion, « par exemple, dans certaines de ses décisions – mais pas dans d’autres – la  Cour a adopté des critères permettant d’établir la responsabilité de l’État moins stricts, tels que le degré de contrôle qui doit être exercé pour que le comportement d'un groupe de personnes soit imputable à l'État, que ceux utilisés dans la jurisprudence de la CIJ et d'autres cours (tribunaux) internationales, ainsi que ceux des articles sur la responsabilité de l'État pour fait internationalement illicite adoptés par la Commission du droit international. Cela crée une insécurité juridique tant </w:t>
      </w:r>
      <w:r w:rsidRPr="00720D91">
        <w:rPr>
          <w:rFonts w:ascii="Arial" w:hAnsi="Arial" w:cs="Arial"/>
          <w:bCs/>
          <w:iCs/>
          <w:sz w:val="22"/>
          <w:szCs w:val="22"/>
        </w:rPr>
        <w:t>vis-à-vis du</w:t>
      </w:r>
      <w:r w:rsidRPr="00720D91">
        <w:rPr>
          <w:rFonts w:ascii="Arial" w:hAnsi="Arial" w:cs="Arial"/>
          <w:bCs/>
          <w:i/>
          <w:sz w:val="22"/>
          <w:szCs w:val="22"/>
        </w:rPr>
        <w:t xml:space="preserve"> </w:t>
      </w:r>
      <w:r w:rsidRPr="00720D91">
        <w:rPr>
          <w:rFonts w:ascii="Arial" w:hAnsi="Arial" w:cs="Arial"/>
          <w:bCs/>
          <w:sz w:val="22"/>
          <w:szCs w:val="22"/>
        </w:rPr>
        <w:t>droit international général que de la propre pratique de la Cour. »</w:t>
      </w:r>
      <w:r w:rsidRPr="00720D91">
        <w:rPr>
          <w:rStyle w:val="Appelnotedebasdep"/>
          <w:rFonts w:ascii="Arial" w:hAnsi="Arial" w:cs="Arial"/>
          <w:bCs/>
          <w:sz w:val="22"/>
          <w:szCs w:val="22"/>
        </w:rPr>
        <w:footnoteReference w:id="24"/>
      </w:r>
      <w:r w:rsidRPr="00720D91">
        <w:rPr>
          <w:rFonts w:ascii="Arial" w:hAnsi="Arial" w:cs="Arial"/>
          <w:bCs/>
          <w:sz w:val="22"/>
          <w:szCs w:val="22"/>
        </w:rPr>
        <w:t xml:space="preserve"> En outre selon cette opinion fait référence au Rapport du CDDH sur la place de la Convention européenne des droits de l'homme dans l'ordre juridique européen et international (</w:t>
      </w:r>
      <w:hyperlink r:id="rId27" w:history="1">
        <w:r w:rsidRPr="00720D91">
          <w:rPr>
            <w:rStyle w:val="Lienhypertexte"/>
            <w:rFonts w:ascii="Arial" w:eastAsiaTheme="majorEastAsia" w:hAnsi="Arial" w:cs="Arial"/>
            <w:bCs/>
            <w:color w:val="auto"/>
            <w:sz w:val="22"/>
            <w:szCs w:val="22"/>
          </w:rPr>
          <w:t>CDDH(2019)R92Addendum1</w:t>
        </w:r>
      </w:hyperlink>
      <w:r w:rsidRPr="00720D91">
        <w:rPr>
          <w:rStyle w:val="Lienhypertexte"/>
          <w:rFonts w:ascii="Arial" w:eastAsiaTheme="majorEastAsia" w:hAnsi="Arial" w:cs="Arial"/>
          <w:bCs/>
          <w:color w:val="auto"/>
          <w:sz w:val="22"/>
          <w:szCs w:val="22"/>
        </w:rPr>
        <w:t>), et en particulier ses paragraphes 164-167, 189, 193-199.</w:t>
      </w:r>
    </w:p>
    <w:p w14:paraId="036A1935" w14:textId="77777777" w:rsidR="00720D91" w:rsidRPr="00720D91" w:rsidRDefault="00720D91" w:rsidP="00720D91">
      <w:pPr>
        <w:pStyle w:val="Sansinterligne"/>
        <w:ind w:firstLine="284"/>
        <w:jc w:val="both"/>
        <w:rPr>
          <w:rStyle w:val="Lienhypertexte"/>
          <w:rFonts w:ascii="Arial" w:eastAsiaTheme="majorEastAsia" w:hAnsi="Arial" w:cs="Arial"/>
          <w:bCs/>
          <w:color w:val="auto"/>
          <w:sz w:val="22"/>
          <w:szCs w:val="22"/>
        </w:rPr>
      </w:pPr>
    </w:p>
    <w:p w14:paraId="1855C918" w14:textId="77777777" w:rsidR="00720D91" w:rsidRPr="00720D91" w:rsidRDefault="00720D91" w:rsidP="00720D91">
      <w:pPr>
        <w:pStyle w:val="Sansinterligne"/>
        <w:ind w:firstLine="284"/>
        <w:jc w:val="both"/>
        <w:rPr>
          <w:rStyle w:val="Lienhypertexte"/>
          <w:rFonts w:ascii="Arial" w:eastAsiaTheme="majorEastAsia" w:hAnsi="Arial" w:cs="Arial"/>
          <w:bCs/>
          <w:color w:val="auto"/>
          <w:sz w:val="22"/>
          <w:szCs w:val="22"/>
        </w:rPr>
      </w:pPr>
      <w:r w:rsidRPr="00720D91">
        <w:rPr>
          <w:rStyle w:val="Lienhypertexte"/>
          <w:rFonts w:ascii="Arial" w:eastAsiaTheme="majorEastAsia" w:hAnsi="Arial" w:cs="Arial"/>
          <w:bCs/>
          <w:color w:val="auto"/>
          <w:sz w:val="22"/>
          <w:szCs w:val="22"/>
        </w:rPr>
        <w:t>25. Le DH-SYSC-IV pourrait envisager à l’avenir d’examiner la pertinence de ces questions au regard des affaires interétatiques compte tenu des conclusions et l’instruction données par le CDDH lors de sa 93 réunion (14-16 décembre 2020).</w:t>
      </w:r>
      <w:r w:rsidRPr="00720D91">
        <w:rPr>
          <w:rStyle w:val="Appelnotedebasdep"/>
          <w:rFonts w:ascii="Arial" w:hAnsi="Arial" w:cs="Arial"/>
          <w:bCs/>
          <w:sz w:val="22"/>
          <w:szCs w:val="22"/>
        </w:rPr>
        <w:footnoteReference w:id="25"/>
      </w:r>
    </w:p>
    <w:p w14:paraId="2E105218" w14:textId="77777777" w:rsidR="00720D91" w:rsidRPr="00720D91" w:rsidRDefault="00720D91" w:rsidP="00720D91">
      <w:pPr>
        <w:pStyle w:val="Titre1"/>
        <w:jc w:val="both"/>
        <w:rPr>
          <w:rFonts w:ascii="Arial" w:hAnsi="Arial" w:cs="Arial"/>
          <w:sz w:val="22"/>
          <w:szCs w:val="22"/>
          <w:lang w:val="fr-FR"/>
        </w:rPr>
      </w:pPr>
      <w:bookmarkStart w:id="8" w:name="_Toc83293803"/>
      <w:r w:rsidRPr="00720D91">
        <w:rPr>
          <w:rFonts w:ascii="Arial" w:hAnsi="Arial" w:cs="Arial"/>
          <w:sz w:val="22"/>
          <w:szCs w:val="22"/>
          <w:lang w:val="fr-FR"/>
        </w:rPr>
        <w:lastRenderedPageBreak/>
        <w:t>IV. QUESTIONS SOULEVÉES PAR LE TRAITEMENT PARALLÈLE DES REQUÊTES INTERÉTATIQUES ET INDIVIDUELLES LIÉES</w:t>
      </w:r>
      <w:bookmarkEnd w:id="8"/>
      <w:r w:rsidRPr="00720D91">
        <w:rPr>
          <w:rFonts w:ascii="Arial" w:hAnsi="Arial" w:cs="Arial"/>
          <w:sz w:val="22"/>
          <w:szCs w:val="22"/>
          <w:lang w:val="fr-FR"/>
        </w:rPr>
        <w:t xml:space="preserve"> </w:t>
      </w:r>
    </w:p>
    <w:p w14:paraId="432A3B49" w14:textId="77777777" w:rsidR="00720D91" w:rsidRPr="00720D91" w:rsidRDefault="00720D91" w:rsidP="00720D91">
      <w:pPr>
        <w:autoSpaceDE w:val="0"/>
        <w:autoSpaceDN w:val="0"/>
        <w:adjustRightInd w:val="0"/>
        <w:jc w:val="both"/>
        <w:rPr>
          <w:rFonts w:ascii="Arial" w:hAnsi="Arial" w:cs="Arial"/>
          <w:b/>
          <w:sz w:val="22"/>
          <w:szCs w:val="22"/>
        </w:rPr>
      </w:pPr>
    </w:p>
    <w:p w14:paraId="46312DD2" w14:textId="77777777" w:rsidR="00720D91" w:rsidRPr="00720D91" w:rsidRDefault="00720D91" w:rsidP="00720D91">
      <w:pPr>
        <w:pStyle w:val="Sansinterligne"/>
        <w:jc w:val="both"/>
        <w:rPr>
          <w:rFonts w:ascii="Arial" w:hAnsi="Arial" w:cs="Arial"/>
          <w:sz w:val="22"/>
          <w:szCs w:val="22"/>
        </w:rPr>
      </w:pPr>
    </w:p>
    <w:p w14:paraId="67B7A402" w14:textId="77777777" w:rsidR="00720D91" w:rsidRPr="00720D91" w:rsidRDefault="00720D91" w:rsidP="00720D91">
      <w:pPr>
        <w:pStyle w:val="Sansinterligne"/>
        <w:ind w:firstLine="426"/>
        <w:jc w:val="both"/>
        <w:rPr>
          <w:rFonts w:ascii="Arial" w:hAnsi="Arial" w:cs="Arial"/>
          <w:sz w:val="22"/>
          <w:szCs w:val="22"/>
        </w:rPr>
      </w:pPr>
      <w:r w:rsidRPr="00720D91">
        <w:rPr>
          <w:rFonts w:ascii="Arial" w:hAnsi="Arial" w:cs="Arial"/>
          <w:sz w:val="22"/>
          <w:szCs w:val="22"/>
        </w:rPr>
        <w:t xml:space="preserve">26. Un nombre considérable de requêtes individuelles sont liées à des différends interétatiques ou à des requêtes interétatiques pendantes devant la Cour. Le présent  de rapport considère que le lien entre ces requêtes aux fins de leur traitement est établi par la Cour. </w:t>
      </w:r>
    </w:p>
    <w:p w14:paraId="0B1BCEF3" w14:textId="77777777" w:rsidR="00720D91" w:rsidRPr="00720D91" w:rsidRDefault="00720D91" w:rsidP="00720D91">
      <w:pPr>
        <w:pStyle w:val="Titre2"/>
        <w:ind w:left="720"/>
        <w:rPr>
          <w:rFonts w:cs="Arial"/>
          <w:bCs w:val="0"/>
          <w:iCs/>
          <w:sz w:val="22"/>
          <w:szCs w:val="22"/>
          <w:lang w:val="fr-FR"/>
        </w:rPr>
      </w:pPr>
      <w:bookmarkStart w:id="9" w:name="_Toc83293804"/>
      <w:r w:rsidRPr="00720D91">
        <w:rPr>
          <w:rFonts w:cs="Arial"/>
          <w:bCs w:val="0"/>
          <w:iCs/>
          <w:sz w:val="22"/>
          <w:szCs w:val="22"/>
          <w:lang w:val="fr-FR"/>
        </w:rPr>
        <w:t>1. Caractéristiques et catégories des requêtes interétatiques</w:t>
      </w:r>
      <w:bookmarkEnd w:id="9"/>
      <w:r w:rsidRPr="00720D91">
        <w:rPr>
          <w:rFonts w:cs="Arial"/>
          <w:bCs w:val="0"/>
          <w:iCs/>
          <w:sz w:val="22"/>
          <w:szCs w:val="22"/>
          <w:lang w:val="fr-FR"/>
        </w:rPr>
        <w:t xml:space="preserve"> </w:t>
      </w:r>
    </w:p>
    <w:p w14:paraId="44DEFB2C" w14:textId="77777777" w:rsidR="00720D91" w:rsidRPr="00720D91" w:rsidRDefault="00720D91" w:rsidP="00720D91">
      <w:pPr>
        <w:autoSpaceDE w:val="0"/>
        <w:autoSpaceDN w:val="0"/>
        <w:adjustRightInd w:val="0"/>
        <w:jc w:val="both"/>
        <w:rPr>
          <w:rFonts w:ascii="Arial" w:hAnsi="Arial" w:cs="Arial"/>
          <w:sz w:val="22"/>
          <w:szCs w:val="22"/>
        </w:rPr>
      </w:pPr>
    </w:p>
    <w:p w14:paraId="395697FC" w14:textId="77777777" w:rsidR="00720D91" w:rsidRPr="00720D91" w:rsidRDefault="00720D91" w:rsidP="00720D91">
      <w:pPr>
        <w:autoSpaceDE w:val="0"/>
        <w:autoSpaceDN w:val="0"/>
        <w:adjustRightInd w:val="0"/>
        <w:ind w:firstLine="426"/>
        <w:jc w:val="both"/>
        <w:rPr>
          <w:rFonts w:ascii="Arial" w:hAnsi="Arial" w:cs="Arial"/>
          <w:sz w:val="22"/>
          <w:szCs w:val="22"/>
        </w:rPr>
      </w:pPr>
      <w:r w:rsidRPr="00720D91">
        <w:rPr>
          <w:rFonts w:ascii="Arial" w:hAnsi="Arial" w:cs="Arial"/>
          <w:sz w:val="22"/>
          <w:szCs w:val="22"/>
        </w:rPr>
        <w:t xml:space="preserve">27. </w:t>
      </w:r>
      <w:r w:rsidRPr="00720D91">
        <w:rPr>
          <w:rFonts w:ascii="Arial" w:hAnsi="Arial" w:cs="Arial"/>
          <w:sz w:val="22"/>
          <w:szCs w:val="22"/>
          <w:shd w:val="clear" w:color="auto" w:fill="FFFFFF" w:themeFill="background1"/>
        </w:rPr>
        <w:t xml:space="preserve">Cette section met en évidence les caractéristiques spécifiques de la </w:t>
      </w:r>
      <w:r w:rsidRPr="00720D91">
        <w:rPr>
          <w:rFonts w:ascii="Arial" w:hAnsi="Arial" w:cs="Arial"/>
          <w:b/>
          <w:sz w:val="22"/>
          <w:szCs w:val="22"/>
          <w:shd w:val="clear" w:color="auto" w:fill="FFFFFF" w:themeFill="background1"/>
        </w:rPr>
        <w:t xml:space="preserve">portée et du contenu </w:t>
      </w:r>
      <w:r w:rsidRPr="00720D91">
        <w:rPr>
          <w:rFonts w:ascii="Arial" w:hAnsi="Arial" w:cs="Arial"/>
          <w:sz w:val="22"/>
          <w:szCs w:val="22"/>
          <w:shd w:val="clear" w:color="auto" w:fill="FFFFFF" w:themeFill="background1"/>
        </w:rPr>
        <w:t>des requêtes interétatiques qui les distinguent des requêtes individuelles</w:t>
      </w:r>
      <w:r w:rsidRPr="00720D91">
        <w:rPr>
          <w:rFonts w:ascii="Arial" w:hAnsi="Arial" w:cs="Arial"/>
          <w:sz w:val="22"/>
          <w:szCs w:val="22"/>
        </w:rPr>
        <w:t xml:space="preserve">. L'article 33 de la Convention énonce, sans réserve, le droit de toute Haute Partie contractante de saisir la Cour de toute violation alléguée de la Convention et de ses Protocoles par une autre Haute Partie contractante. </w:t>
      </w:r>
      <w:r w:rsidRPr="00720D91">
        <w:rPr>
          <w:rStyle w:val="Appelnotedebasdep"/>
          <w:rFonts w:ascii="Arial" w:hAnsi="Arial" w:cs="Arial"/>
          <w:sz w:val="22"/>
          <w:szCs w:val="22"/>
        </w:rPr>
        <w:footnoteReference w:id="26"/>
      </w:r>
      <w:r w:rsidRPr="00720D91">
        <w:rPr>
          <w:rFonts w:ascii="Arial" w:hAnsi="Arial" w:cs="Arial"/>
          <w:sz w:val="22"/>
          <w:szCs w:val="22"/>
        </w:rPr>
        <w:t xml:space="preserve"> La Commission européenne des droits de l'homme a qualifié ce droit d'expression du système de garantie collective consacré par la Convention plutôt que de mécanisme de règlement des différends interétatiques ou de mise en œuvre des droits des États.</w:t>
      </w:r>
      <w:r w:rsidRPr="00720D91">
        <w:rPr>
          <w:rStyle w:val="Appelnotedebasdep"/>
          <w:rFonts w:ascii="Arial" w:hAnsi="Arial" w:cs="Arial"/>
          <w:sz w:val="22"/>
          <w:szCs w:val="22"/>
        </w:rPr>
        <w:footnoteReference w:id="27"/>
      </w:r>
      <w:r w:rsidRPr="00720D91">
        <w:rPr>
          <w:rFonts w:ascii="Arial" w:hAnsi="Arial" w:cs="Arial"/>
          <w:sz w:val="22"/>
          <w:szCs w:val="22"/>
        </w:rPr>
        <w:t xml:space="preserve"> Selon ce point de vue, les obligations contractées par les Hautes Parties Contractantes dans la Convention sont destinées à protéger les droits fondamentaux des êtres humains individuels contre toute violation par l'une des Hautes Parties Contractantes plutôt qu'à créer des droits subjectifs et réciproques pour les Hautes Parties Contractantes elles-mêmes.</w:t>
      </w:r>
      <w:r w:rsidRPr="00720D91">
        <w:rPr>
          <w:rStyle w:val="Appelnotedebasdep"/>
          <w:rFonts w:ascii="Arial" w:hAnsi="Arial" w:cs="Arial"/>
          <w:sz w:val="22"/>
          <w:szCs w:val="22"/>
        </w:rPr>
        <w:footnoteReference w:id="28"/>
      </w:r>
      <w:r w:rsidRPr="00720D91">
        <w:rPr>
          <w:rFonts w:ascii="Arial" w:hAnsi="Arial" w:cs="Arial"/>
          <w:sz w:val="22"/>
          <w:szCs w:val="22"/>
        </w:rPr>
        <w:t xml:space="preserve"> Ainsi, lorsqu'une Haute Partie contractante saisit la Cour d'une violation alléguée de la Convention, il ne faut pas considérer qu'elle exerce un droit d'action dans le but de faire valoir ses propres droits, mais plutôt qu'elle saisit la Cour d'une violation alléguée de l'ordre public européen.</w:t>
      </w:r>
      <w:r w:rsidRPr="00720D91">
        <w:rPr>
          <w:rStyle w:val="Appelnotedebasdep"/>
          <w:rFonts w:ascii="Arial" w:hAnsi="Arial" w:cs="Arial"/>
          <w:sz w:val="22"/>
          <w:szCs w:val="22"/>
        </w:rPr>
        <w:footnoteReference w:id="29"/>
      </w:r>
      <w:r w:rsidRPr="00720D91">
        <w:rPr>
          <w:rFonts w:ascii="Arial" w:hAnsi="Arial" w:cs="Arial"/>
          <w:sz w:val="22"/>
          <w:szCs w:val="22"/>
        </w:rPr>
        <w:t xml:space="preserve"> Alors que le droit de recours individuel devant la Cour en vertu de l'article 34 de la Convention est considéré comme la pierre angulaire du système de protection des droits et libertés énoncés dans la Convention</w:t>
      </w:r>
      <w:r w:rsidRPr="00720D91">
        <w:rPr>
          <w:rStyle w:val="Appelnotedebasdep"/>
          <w:rFonts w:ascii="Arial" w:hAnsi="Arial" w:cs="Arial"/>
          <w:sz w:val="22"/>
          <w:szCs w:val="22"/>
        </w:rPr>
        <w:footnoteReference w:id="30"/>
      </w:r>
      <w:r w:rsidRPr="00720D91">
        <w:rPr>
          <w:rFonts w:ascii="Arial" w:hAnsi="Arial" w:cs="Arial"/>
          <w:sz w:val="22"/>
          <w:szCs w:val="22"/>
        </w:rPr>
        <w:t>, la requête interétatique offre une voie supplémentaire pour assurer la protection des droits des individus.</w:t>
      </w:r>
    </w:p>
    <w:p w14:paraId="4A115F96" w14:textId="77777777" w:rsidR="00720D91" w:rsidRPr="00720D91" w:rsidRDefault="00720D91" w:rsidP="00720D91">
      <w:pPr>
        <w:autoSpaceDE w:val="0"/>
        <w:autoSpaceDN w:val="0"/>
        <w:adjustRightInd w:val="0"/>
        <w:ind w:firstLine="426"/>
        <w:jc w:val="both"/>
        <w:rPr>
          <w:rFonts w:ascii="Arial" w:hAnsi="Arial" w:cs="Arial"/>
          <w:sz w:val="22"/>
          <w:szCs w:val="22"/>
        </w:rPr>
      </w:pPr>
    </w:p>
    <w:p w14:paraId="178CCA72" w14:textId="77777777" w:rsidR="00720D91" w:rsidRPr="00720D91" w:rsidRDefault="00720D91" w:rsidP="00720D91">
      <w:pPr>
        <w:autoSpaceDE w:val="0"/>
        <w:autoSpaceDN w:val="0"/>
        <w:adjustRightInd w:val="0"/>
        <w:ind w:firstLine="426"/>
        <w:jc w:val="both"/>
        <w:rPr>
          <w:rFonts w:ascii="Arial" w:hAnsi="Arial" w:cs="Arial"/>
          <w:sz w:val="22"/>
          <w:szCs w:val="22"/>
        </w:rPr>
      </w:pPr>
      <w:r w:rsidRPr="00720D91">
        <w:rPr>
          <w:rFonts w:ascii="Arial" w:hAnsi="Arial" w:cs="Arial"/>
          <w:sz w:val="22"/>
          <w:szCs w:val="22"/>
        </w:rPr>
        <w:t>28. La Cour distingue les requêtes interétatiques dont le but n'est pas de faire constater des violations individuelles et de demander une satisfaction équitable, mais plutôt d'invoquer la compétence de la Cour afin d’obtenir l’établissement de l’existence de l’ensemble de violations allégué par l’État requérant, de faire cesser ces actes et d’empêcher leur réitération.</w:t>
      </w:r>
      <w:r w:rsidRPr="00720D91">
        <w:rPr>
          <w:rFonts w:ascii="Arial" w:hAnsi="Arial" w:cs="Arial"/>
          <w:sz w:val="22"/>
          <w:szCs w:val="22"/>
          <w:vertAlign w:val="superscript"/>
        </w:rPr>
        <w:footnoteReference w:id="31"/>
      </w:r>
      <w:r w:rsidRPr="00720D91">
        <w:rPr>
          <w:rFonts w:ascii="Arial" w:hAnsi="Arial" w:cs="Arial"/>
          <w:sz w:val="22"/>
          <w:szCs w:val="22"/>
        </w:rPr>
        <w:t xml:space="preserve"> En demandant à la Cour de ne statuer sur aucun des cas individuels qu’il cite pour étayer l’allégation d’existence d’un « ensemble de violations », le gouvernement requérant restreint clairement la portée du grief dont il saisit la Cour à la seule </w:t>
      </w:r>
      <w:r w:rsidRPr="00720D91">
        <w:rPr>
          <w:rFonts w:ascii="Arial" w:hAnsi="Arial" w:cs="Arial"/>
          <w:b/>
          <w:bCs/>
          <w:i/>
          <w:iCs/>
          <w:sz w:val="22"/>
          <w:szCs w:val="22"/>
        </w:rPr>
        <w:t>pratique administrative alléguée de violation des droits de l’homme</w:t>
      </w:r>
      <w:r w:rsidRPr="00720D91">
        <w:rPr>
          <w:rFonts w:ascii="Arial" w:hAnsi="Arial" w:cs="Arial"/>
          <w:sz w:val="22"/>
          <w:szCs w:val="22"/>
        </w:rPr>
        <w:t>.</w:t>
      </w:r>
      <w:r w:rsidRPr="00720D91">
        <w:rPr>
          <w:sz w:val="22"/>
          <w:szCs w:val="22"/>
          <w:vertAlign w:val="superscript"/>
        </w:rPr>
        <w:footnoteReference w:id="32"/>
      </w:r>
      <w:r w:rsidRPr="00720D91">
        <w:rPr>
          <w:rFonts w:ascii="Arial" w:hAnsi="Arial" w:cs="Arial"/>
          <w:sz w:val="22"/>
          <w:szCs w:val="22"/>
        </w:rPr>
        <w:t xml:space="preserve"> Lorsque le gouvernement requérant demande à la Cour de déterminer la compatibilité des pratiques administratives alléguées avec les dispositions de la Convention mais n'invite pas la Cour à se prononcer sur chaque violation individuelle alléguée - qui sont avancées à titre d'illustration des pratiques administratives alléguées - la Cour considère que la requête a pour objet d’éviter que la répétition des pratiques et de faire cesser les violations qui continuent d’être commises. </w:t>
      </w:r>
      <w:r w:rsidRPr="00720D91">
        <w:rPr>
          <w:sz w:val="22"/>
          <w:szCs w:val="22"/>
          <w:vertAlign w:val="superscript"/>
        </w:rPr>
        <w:footnoteReference w:id="33"/>
      </w:r>
      <w:r w:rsidRPr="00720D91">
        <w:rPr>
          <w:rFonts w:ascii="Arial" w:hAnsi="Arial" w:cs="Arial"/>
          <w:sz w:val="22"/>
          <w:szCs w:val="22"/>
        </w:rPr>
        <w:t xml:space="preserve"> Par </w:t>
      </w:r>
      <w:r w:rsidRPr="00720D91">
        <w:rPr>
          <w:rFonts w:ascii="Arial" w:hAnsi="Arial" w:cs="Arial"/>
          <w:sz w:val="22"/>
          <w:szCs w:val="22"/>
        </w:rPr>
        <w:lastRenderedPageBreak/>
        <w:t xml:space="preserve">conséquent, la Cour est appelée à examiner s'il a existé ou non des pratiques administratives avec les articles de la Convention dont la violation est alléguée. </w:t>
      </w:r>
      <w:r w:rsidRPr="00720D91">
        <w:rPr>
          <w:rFonts w:ascii="Arial" w:hAnsi="Arial" w:cs="Arial"/>
          <w:sz w:val="22"/>
          <w:szCs w:val="22"/>
          <w:vertAlign w:val="superscript"/>
        </w:rPr>
        <w:footnoteReference w:id="34"/>
      </w:r>
    </w:p>
    <w:p w14:paraId="0F3F3FCC" w14:textId="77777777" w:rsidR="00720D91" w:rsidRPr="00720D91" w:rsidRDefault="00720D91" w:rsidP="00720D91">
      <w:pPr>
        <w:autoSpaceDE w:val="0"/>
        <w:autoSpaceDN w:val="0"/>
        <w:adjustRightInd w:val="0"/>
        <w:ind w:firstLine="426"/>
        <w:jc w:val="both"/>
        <w:rPr>
          <w:rFonts w:ascii="Arial" w:hAnsi="Arial" w:cs="Arial"/>
          <w:sz w:val="22"/>
          <w:szCs w:val="22"/>
        </w:rPr>
      </w:pPr>
    </w:p>
    <w:p w14:paraId="087F3A6C" w14:textId="77777777" w:rsidR="00720D91" w:rsidRPr="00720D91" w:rsidRDefault="00720D91" w:rsidP="00720D91">
      <w:pPr>
        <w:autoSpaceDE w:val="0"/>
        <w:autoSpaceDN w:val="0"/>
        <w:adjustRightInd w:val="0"/>
        <w:ind w:firstLine="426"/>
        <w:jc w:val="both"/>
        <w:rPr>
          <w:rFonts w:ascii="Arial" w:hAnsi="Arial" w:cs="Arial"/>
          <w:sz w:val="22"/>
          <w:szCs w:val="22"/>
        </w:rPr>
      </w:pPr>
      <w:r w:rsidRPr="00720D91">
        <w:rPr>
          <w:rFonts w:ascii="Arial" w:hAnsi="Arial" w:cs="Arial"/>
          <w:sz w:val="22"/>
          <w:szCs w:val="22"/>
        </w:rPr>
        <w:t xml:space="preserve">29. La Cour définit la pratique administrative comme comprenant deux éléments : la répétition d'actes et la tolérance officielle. Sur la répétition des actes, la Cour la décrit comme une accumulation de manquements de nature identique ou analogue, assez nombreux et liés entre eux pour ne pas se ramener à des incidents isolés, ou à des exceptions, et pour former un ensemble ou système. Par tolérance officielle, il faut entendre que des actes illégaux sont tolérés en ce sens que les supérieurs des personnes immédiatement responsables connaissent ces actes, mais ne font rien pour en punir les auteurs ou empêcher leur répétition ; ou que l’autorité supérieure, face à de nombreuses allégations, se montre indifférente en refusant toute enquête sérieuse sur leur vérité ou leur fausseté, ou que le juge refuse d’entendre équitablement ces plaintes. Toute mesure prise par l’autorité supérieure doit être d’ampleur suffisante pour mettre fin à la répétition des actes ou provoquer une rupture dans l’ensemble ou dans le système. On n’imagine pas que les autorités supérieures d’un État ignorent, ou du moins soient en droit d’ignorer, l’existence de pareille pratique. En outre, elles assument au regard de la Convention la responsabilité objective de la conduite de leurs subordonnés ; elles ont le devoir de leur imposer leur volonté et ne sauraient se retrancher derrière leur impuissance à la faire respecter. </w:t>
      </w:r>
      <w:r w:rsidRPr="00720D91">
        <w:rPr>
          <w:sz w:val="22"/>
          <w:szCs w:val="22"/>
          <w:vertAlign w:val="superscript"/>
        </w:rPr>
        <w:footnoteReference w:id="35"/>
      </w:r>
      <w:r w:rsidRPr="00720D91">
        <w:rPr>
          <w:rFonts w:ascii="Arial" w:hAnsi="Arial" w:cs="Arial"/>
          <w:sz w:val="22"/>
          <w:szCs w:val="22"/>
          <w:vertAlign w:val="superscript"/>
        </w:rPr>
        <w:t xml:space="preserve"> </w:t>
      </w:r>
      <w:r w:rsidRPr="00720D91">
        <w:rPr>
          <w:rFonts w:ascii="Arial" w:hAnsi="Arial" w:cs="Arial"/>
          <w:sz w:val="22"/>
          <w:szCs w:val="22"/>
        </w:rPr>
        <w:t xml:space="preserve">Si ces critères définissent certes un cadre général, ils n’indiquent pas le nombre d’incidents requis pour pouvoir conclure à l’existence d’une pratique administrative, c’est une question laissée à l’appréciation de la Cour au regard des circonstances particulières de chaque affaire. </w:t>
      </w:r>
      <w:r w:rsidRPr="00720D91">
        <w:rPr>
          <w:sz w:val="22"/>
          <w:szCs w:val="22"/>
          <w:vertAlign w:val="superscript"/>
        </w:rPr>
        <w:footnoteReference w:id="36"/>
      </w:r>
    </w:p>
    <w:p w14:paraId="13F0F563" w14:textId="77777777" w:rsidR="00720D91" w:rsidRPr="00720D91" w:rsidRDefault="00720D91" w:rsidP="00720D91">
      <w:pPr>
        <w:autoSpaceDE w:val="0"/>
        <w:autoSpaceDN w:val="0"/>
        <w:adjustRightInd w:val="0"/>
        <w:ind w:firstLine="426"/>
        <w:jc w:val="both"/>
        <w:rPr>
          <w:rFonts w:ascii="Arial" w:hAnsi="Arial" w:cs="Arial"/>
          <w:sz w:val="22"/>
          <w:szCs w:val="22"/>
        </w:rPr>
      </w:pPr>
    </w:p>
    <w:p w14:paraId="1E029AA1" w14:textId="77777777" w:rsidR="00720D91" w:rsidRPr="00720D91" w:rsidRDefault="00720D91" w:rsidP="00720D91">
      <w:pPr>
        <w:autoSpaceDE w:val="0"/>
        <w:autoSpaceDN w:val="0"/>
        <w:adjustRightInd w:val="0"/>
        <w:ind w:firstLine="426"/>
        <w:jc w:val="both"/>
        <w:rPr>
          <w:rFonts w:ascii="Arial" w:hAnsi="Arial" w:cs="Arial"/>
          <w:sz w:val="22"/>
          <w:szCs w:val="22"/>
        </w:rPr>
      </w:pPr>
      <w:r w:rsidRPr="00720D91">
        <w:rPr>
          <w:rFonts w:ascii="Arial" w:hAnsi="Arial" w:cs="Arial"/>
          <w:sz w:val="22"/>
          <w:szCs w:val="22"/>
        </w:rPr>
        <w:t>30. La reconnaissance par la Cour, au stade de la recevabilité, du fait que la portée d'une requête interétatique est limitée à des allégations spécifiques d'une pratique administrative constituant des violations de la Convention, est étroitement liée à l’appréciation par la Cour de l'exigence d'épuisement des voies de recours internes au titre de l'article 35 § 1 de la Convention (recevabilité procédurale, voir également les paragraphes 36-40 ci-dessous) ainsi qu'aux implications pour la recevabilité matérielle de la violation alléguée des dispositions de la Convention au titre de l'article 33 de la Convention (voir également les paragraphes 42-44 ci-dessous).</w:t>
      </w:r>
      <w:r w:rsidRPr="00720D91">
        <w:rPr>
          <w:rFonts w:ascii="Arial" w:hAnsi="Arial" w:cs="Arial"/>
          <w:b/>
          <w:bCs/>
          <w:sz w:val="22"/>
          <w:szCs w:val="22"/>
        </w:rPr>
        <w:t xml:space="preserve"> </w:t>
      </w:r>
      <w:r w:rsidRPr="00720D91">
        <w:rPr>
          <w:rStyle w:val="Appelnotedebasdep"/>
          <w:rFonts w:ascii="Arial" w:hAnsi="Arial" w:cs="Arial"/>
          <w:bCs/>
          <w:sz w:val="22"/>
          <w:szCs w:val="22"/>
        </w:rPr>
        <w:footnoteReference w:id="37"/>
      </w:r>
    </w:p>
    <w:p w14:paraId="64F2C6C9" w14:textId="77777777" w:rsidR="00720D91" w:rsidRPr="00720D91" w:rsidRDefault="00720D91" w:rsidP="00720D91">
      <w:pPr>
        <w:autoSpaceDE w:val="0"/>
        <w:autoSpaceDN w:val="0"/>
        <w:adjustRightInd w:val="0"/>
        <w:jc w:val="both"/>
        <w:rPr>
          <w:sz w:val="22"/>
          <w:szCs w:val="22"/>
        </w:rPr>
      </w:pPr>
    </w:p>
    <w:p w14:paraId="50C104FB" w14:textId="77777777" w:rsidR="00720D91" w:rsidRPr="00720D91" w:rsidRDefault="00720D91" w:rsidP="00720D91">
      <w:pPr>
        <w:autoSpaceDE w:val="0"/>
        <w:autoSpaceDN w:val="0"/>
        <w:adjustRightInd w:val="0"/>
        <w:ind w:firstLine="426"/>
        <w:jc w:val="both"/>
        <w:rPr>
          <w:rFonts w:ascii="Arial" w:hAnsi="Arial" w:cs="Arial"/>
          <w:sz w:val="22"/>
          <w:szCs w:val="22"/>
        </w:rPr>
      </w:pPr>
      <w:r w:rsidRPr="00720D91">
        <w:rPr>
          <w:rFonts w:ascii="Arial" w:hAnsi="Arial" w:cs="Arial"/>
          <w:sz w:val="22"/>
          <w:szCs w:val="22"/>
        </w:rPr>
        <w:t xml:space="preserve">31. Dans le cadre de l'application de l'article 41 de la Convention aux affaires interétatiques, notamment lorsqu'elle examine la question de savoir si l'octroi d'une satisfaction équitable à un État requérant est justifié, la Cour </w:t>
      </w:r>
      <w:r w:rsidRPr="00720D91">
        <w:rPr>
          <w:rStyle w:val="sb8d990e2"/>
          <w:rFonts w:ascii="Arial" w:eastAsiaTheme="majorEastAsia" w:hAnsi="Arial" w:cs="Arial"/>
          <w:sz w:val="22"/>
          <w:szCs w:val="22"/>
        </w:rPr>
        <w:t>reconnaît qu'une requête introduite devant elle en vertu de l'article 33 de la Convention peut contenir différents types de griefs poursuivant des buts différents.</w:t>
      </w:r>
      <w:r w:rsidRPr="00720D91">
        <w:rPr>
          <w:rFonts w:ascii="Arial" w:hAnsi="Arial" w:cs="Arial"/>
          <w:sz w:val="22"/>
          <w:szCs w:val="22"/>
        </w:rPr>
        <w:t xml:space="preserve"> En conséquence, deux grandes catégories de griefs peuvent être distinguées. </w:t>
      </w:r>
    </w:p>
    <w:p w14:paraId="17E8E39C" w14:textId="77777777" w:rsidR="00720D91" w:rsidRPr="00720D91" w:rsidRDefault="00720D91" w:rsidP="00720D91">
      <w:pPr>
        <w:autoSpaceDE w:val="0"/>
        <w:autoSpaceDN w:val="0"/>
        <w:adjustRightInd w:val="0"/>
        <w:jc w:val="both"/>
        <w:rPr>
          <w:rFonts w:ascii="Arial" w:hAnsi="Arial" w:cs="Arial"/>
          <w:sz w:val="22"/>
          <w:szCs w:val="22"/>
        </w:rPr>
      </w:pPr>
    </w:p>
    <w:p w14:paraId="5C7083A7" w14:textId="77777777" w:rsidR="00720D91" w:rsidRPr="00720D91" w:rsidRDefault="00720D91" w:rsidP="00720D91">
      <w:pPr>
        <w:autoSpaceDE w:val="0"/>
        <w:autoSpaceDN w:val="0"/>
        <w:adjustRightInd w:val="0"/>
        <w:ind w:firstLine="426"/>
        <w:jc w:val="both"/>
        <w:rPr>
          <w:rFonts w:ascii="Arial" w:hAnsi="Arial" w:cs="Arial"/>
          <w:sz w:val="22"/>
          <w:szCs w:val="22"/>
        </w:rPr>
      </w:pPr>
      <w:r w:rsidRPr="00720D91">
        <w:rPr>
          <w:rFonts w:ascii="Arial" w:hAnsi="Arial" w:cs="Arial"/>
          <w:sz w:val="22"/>
          <w:szCs w:val="22"/>
        </w:rPr>
        <w:t xml:space="preserve">32. Premièrement, </w:t>
      </w:r>
      <w:r w:rsidRPr="00720D91">
        <w:rPr>
          <w:rStyle w:val="sb8d990e2"/>
          <w:rFonts w:ascii="Arial" w:eastAsiaTheme="majorEastAsia" w:hAnsi="Arial" w:cs="Arial"/>
          <w:sz w:val="22"/>
          <w:szCs w:val="22"/>
        </w:rPr>
        <w:t xml:space="preserve">un État partie requérant peut se plaindre de questions générales (problèmes et lacunes systémiques, pratiques administratives, etc.) dans un autre État partie. </w:t>
      </w:r>
      <w:r w:rsidRPr="00720D91">
        <w:rPr>
          <w:rFonts w:ascii="Arial" w:hAnsi="Arial" w:cs="Arial"/>
          <w:sz w:val="22"/>
          <w:szCs w:val="22"/>
        </w:rPr>
        <w:t>L'article 33 habilite les parties contractantes à saisir la Cour d'une requête interétatique, que les victimes de la violation alléguée soient ou non des ressortissants de l'État requérant.</w:t>
      </w:r>
      <w:bookmarkStart w:id="12" w:name="_Hlk54346016"/>
      <w:r w:rsidRPr="00720D91">
        <w:rPr>
          <w:rStyle w:val="Appelnotedebasdep"/>
          <w:rFonts w:ascii="Arial" w:hAnsi="Arial" w:cs="Arial"/>
          <w:sz w:val="22"/>
          <w:szCs w:val="22"/>
        </w:rPr>
        <w:footnoteReference w:id="38"/>
      </w:r>
      <w:bookmarkEnd w:id="12"/>
      <w:r w:rsidRPr="00720D91">
        <w:rPr>
          <w:rFonts w:ascii="Arial" w:hAnsi="Arial" w:cs="Arial"/>
          <w:sz w:val="22"/>
          <w:szCs w:val="22"/>
        </w:rPr>
        <w:t xml:space="preserve"> </w:t>
      </w:r>
      <w:r w:rsidRPr="00720D91">
        <w:rPr>
          <w:rStyle w:val="sb8d990e2"/>
          <w:rFonts w:ascii="Arial" w:eastAsiaTheme="majorEastAsia" w:hAnsi="Arial" w:cs="Arial"/>
          <w:sz w:val="22"/>
          <w:szCs w:val="22"/>
        </w:rPr>
        <w:t xml:space="preserve">Dans ce cas, le but premier du gouvernement requérant est la </w:t>
      </w:r>
      <w:r w:rsidRPr="00720D91">
        <w:rPr>
          <w:rStyle w:val="sb8d990e2"/>
          <w:rFonts w:ascii="Arial" w:eastAsiaTheme="majorEastAsia" w:hAnsi="Arial" w:cs="Arial"/>
          <w:b/>
          <w:bCs/>
          <w:i/>
          <w:iCs/>
          <w:sz w:val="22"/>
          <w:szCs w:val="22"/>
        </w:rPr>
        <w:t>défense de l'ordre public européen</w:t>
      </w:r>
      <w:r w:rsidRPr="00720D91">
        <w:rPr>
          <w:rStyle w:val="sb8d990e2"/>
          <w:rFonts w:ascii="Arial" w:eastAsiaTheme="majorEastAsia" w:hAnsi="Arial" w:cs="Arial"/>
          <w:sz w:val="22"/>
          <w:szCs w:val="22"/>
        </w:rPr>
        <w:t xml:space="preserve"> dans le cadre de la responsabilité collective en vertu de la Convention, même si les </w:t>
      </w:r>
      <w:r w:rsidRPr="00720D91">
        <w:rPr>
          <w:rStyle w:val="sb8d990e2"/>
          <w:rFonts w:ascii="Arial" w:eastAsiaTheme="majorEastAsia" w:hAnsi="Arial" w:cs="Arial"/>
          <w:sz w:val="22"/>
          <w:szCs w:val="22"/>
        </w:rPr>
        <w:lastRenderedPageBreak/>
        <w:t xml:space="preserve">ressortissants de l'État ne sont pas concernés. </w:t>
      </w:r>
      <w:bookmarkStart w:id="13" w:name="_Hlk54346045"/>
      <w:r w:rsidRPr="00720D91">
        <w:rPr>
          <w:rStyle w:val="Appelnotedebasdep"/>
          <w:rFonts w:ascii="Arial" w:hAnsi="Arial" w:cs="Arial"/>
          <w:sz w:val="22"/>
          <w:szCs w:val="22"/>
        </w:rPr>
        <w:footnoteReference w:id="39"/>
      </w:r>
      <w:bookmarkStart w:id="14" w:name="_Hlk54346068"/>
      <w:bookmarkEnd w:id="13"/>
      <w:r w:rsidRPr="00720D91">
        <w:rPr>
          <w:rStyle w:val="sb8d990e2"/>
          <w:rFonts w:ascii="Arial" w:eastAsiaTheme="majorEastAsia" w:hAnsi="Arial" w:cs="Arial"/>
          <w:sz w:val="22"/>
          <w:szCs w:val="22"/>
        </w:rPr>
        <w:t xml:space="preserve"> </w:t>
      </w:r>
      <w:r w:rsidRPr="00720D91">
        <w:rPr>
          <w:rFonts w:ascii="Arial" w:hAnsi="Arial" w:cs="Arial"/>
          <w:sz w:val="22"/>
          <w:szCs w:val="22"/>
        </w:rPr>
        <w:t xml:space="preserve">Les arrêts de la Cour concernant de telles requêtes peuvent servir à </w:t>
      </w:r>
      <w:r w:rsidRPr="00720D91">
        <w:rPr>
          <w:rStyle w:val="sb8d990e2"/>
          <w:rFonts w:ascii="Arial" w:eastAsiaTheme="majorEastAsia" w:hAnsi="Arial" w:cs="Arial"/>
          <w:sz w:val="22"/>
          <w:szCs w:val="22"/>
        </w:rPr>
        <w:t>élucider, sauvegarder et développer les règles instituées par la Convention, contribuant ainsi au respect par les États des engagements pris par eux en tant que Parties contractantes</w:t>
      </w:r>
      <w:r w:rsidRPr="00720D91">
        <w:rPr>
          <w:rFonts w:ascii="Arial" w:hAnsi="Arial" w:cs="Arial"/>
          <w:sz w:val="22"/>
          <w:szCs w:val="22"/>
        </w:rPr>
        <w:t xml:space="preserve">. </w:t>
      </w:r>
      <w:r w:rsidRPr="00720D91">
        <w:rPr>
          <w:rStyle w:val="Appelnotedebasdep"/>
          <w:rFonts w:ascii="Arial" w:hAnsi="Arial" w:cs="Arial"/>
          <w:sz w:val="22"/>
          <w:szCs w:val="22"/>
        </w:rPr>
        <w:footnoteReference w:id="40"/>
      </w:r>
      <w:bookmarkEnd w:id="14"/>
    </w:p>
    <w:p w14:paraId="63778F68" w14:textId="77777777" w:rsidR="00720D91" w:rsidRPr="00720D91" w:rsidRDefault="00720D91" w:rsidP="00720D91">
      <w:pPr>
        <w:autoSpaceDE w:val="0"/>
        <w:autoSpaceDN w:val="0"/>
        <w:adjustRightInd w:val="0"/>
        <w:jc w:val="both"/>
        <w:rPr>
          <w:rFonts w:ascii="Arial" w:hAnsi="Arial" w:cs="Arial"/>
          <w:sz w:val="22"/>
          <w:szCs w:val="22"/>
        </w:rPr>
      </w:pPr>
    </w:p>
    <w:p w14:paraId="7CC57EA4" w14:textId="77777777" w:rsidR="00720D91" w:rsidRPr="00720D91" w:rsidRDefault="00720D91" w:rsidP="00720D91">
      <w:pPr>
        <w:autoSpaceDE w:val="0"/>
        <w:autoSpaceDN w:val="0"/>
        <w:adjustRightInd w:val="0"/>
        <w:ind w:firstLine="426"/>
        <w:jc w:val="both"/>
        <w:rPr>
          <w:rStyle w:val="sb8d990e2"/>
          <w:rFonts w:ascii="Arial" w:eastAsiaTheme="majorEastAsia" w:hAnsi="Arial" w:cs="Arial"/>
          <w:sz w:val="22"/>
          <w:szCs w:val="22"/>
        </w:rPr>
      </w:pPr>
      <w:r w:rsidRPr="00720D91">
        <w:rPr>
          <w:rFonts w:ascii="Arial" w:hAnsi="Arial" w:cs="Arial"/>
          <w:sz w:val="22"/>
          <w:szCs w:val="22"/>
        </w:rPr>
        <w:t xml:space="preserve">33. La deuxième catégorie d'affaires interétatiques concerne les </w:t>
      </w:r>
      <w:r w:rsidRPr="00720D91">
        <w:rPr>
          <w:rStyle w:val="sb8d990e2"/>
          <w:rFonts w:ascii="Arial" w:eastAsiaTheme="majorEastAsia" w:hAnsi="Arial" w:cs="Arial"/>
          <w:sz w:val="22"/>
          <w:szCs w:val="22"/>
        </w:rPr>
        <w:t xml:space="preserve">requêtes dans lesquelles l'État requérant dénonce des violations systématiques par un autre État partie des droits fondamentaux de ses ressortissants. « En fait, ces réclamations sont essentiellement similaires non seulement à celles présentées dans le cadre d'une requête individuelle au titre de l'article 34 de la Convention, mais aussi aux requêtes déposées dans le cadre de la </w:t>
      </w:r>
      <w:r w:rsidRPr="00720D91">
        <w:rPr>
          <w:rStyle w:val="sb8d990e2"/>
          <w:rFonts w:ascii="Arial" w:eastAsiaTheme="majorEastAsia" w:hAnsi="Arial" w:cs="Arial"/>
          <w:b/>
          <w:sz w:val="22"/>
          <w:szCs w:val="22"/>
        </w:rPr>
        <w:t>protection diplomatique</w:t>
      </w:r>
      <w:r w:rsidRPr="00720D91">
        <w:rPr>
          <w:rStyle w:val="sb8d990e2"/>
          <w:rFonts w:ascii="Arial" w:eastAsiaTheme="majorEastAsia" w:hAnsi="Arial" w:cs="Arial"/>
          <w:bCs/>
          <w:sz w:val="22"/>
          <w:szCs w:val="22"/>
        </w:rPr>
        <w:t>,</w:t>
      </w:r>
      <w:r w:rsidRPr="00720D91">
        <w:rPr>
          <w:rStyle w:val="sb8d990e2"/>
          <w:rFonts w:ascii="Arial" w:eastAsiaTheme="majorEastAsia" w:hAnsi="Arial" w:cs="Arial"/>
          <w:b/>
          <w:sz w:val="22"/>
          <w:szCs w:val="22"/>
        </w:rPr>
        <w:t xml:space="preserve"> </w:t>
      </w:r>
      <w:r w:rsidRPr="00720D91">
        <w:rPr>
          <w:rStyle w:val="sb8d990e2"/>
          <w:rFonts w:ascii="Arial" w:eastAsiaTheme="majorEastAsia" w:hAnsi="Arial" w:cs="Arial"/>
          <w:bCs/>
          <w:sz w:val="22"/>
          <w:szCs w:val="22"/>
        </w:rPr>
        <w:t>c'est-à-dire</w:t>
      </w:r>
      <w:r w:rsidRPr="00720D91">
        <w:rPr>
          <w:rStyle w:val="sb8d990e2"/>
          <w:rFonts w:ascii="Arial" w:eastAsiaTheme="majorEastAsia" w:hAnsi="Arial" w:cs="Arial"/>
          <w:b/>
          <w:sz w:val="22"/>
          <w:szCs w:val="22"/>
        </w:rPr>
        <w:t xml:space="preserve"> </w:t>
      </w:r>
      <w:r w:rsidRPr="00720D91">
        <w:rPr>
          <w:rStyle w:val="sb8d990e2"/>
          <w:rFonts w:ascii="Arial" w:eastAsiaTheme="majorEastAsia" w:hAnsi="Arial" w:cs="Arial"/>
          <w:sz w:val="22"/>
          <w:szCs w:val="22"/>
        </w:rPr>
        <w:t xml:space="preserve">l'invocation par un État, par le biais d'une action diplomatique ou d'autres moyens de règlement pacifique, de la responsabilité d'un autre État pour un préjudice causé par un fait internationalement illicite dudit État à une personne physique ou morale qui est un ressortissant du premier État, en vue de la mise en œuvre de cette responsabilité ». </w:t>
      </w:r>
      <w:r w:rsidRPr="00720D91">
        <w:rPr>
          <w:rStyle w:val="Appelnotedebasdep"/>
          <w:rFonts w:ascii="Arial" w:hAnsi="Arial" w:cs="Arial"/>
          <w:sz w:val="22"/>
          <w:szCs w:val="22"/>
        </w:rPr>
        <w:footnoteReference w:id="41"/>
      </w:r>
      <w:r w:rsidRPr="00720D91">
        <w:rPr>
          <w:rStyle w:val="sb8d990e2"/>
          <w:rFonts w:ascii="Arial" w:eastAsiaTheme="majorEastAsia" w:hAnsi="Arial" w:cs="Arial"/>
          <w:sz w:val="22"/>
          <w:szCs w:val="22"/>
        </w:rPr>
        <w:t xml:space="preserve"> La Cour a récemment jugé qu'une requête interétatique visant à protéger les intérêts d'une entité juridique concrète dans des ensembles de procédures judiciaires précisément circonscrits, et à réclamer une satisfaction équitable en son nom conformément à l'article 41, appartient à cette deuxième catégorie d'affaires interétatiques.</w:t>
      </w:r>
      <w:r w:rsidRPr="00720D91">
        <w:rPr>
          <w:rStyle w:val="Appelnotedebasdep"/>
          <w:rFonts w:ascii="Arial" w:hAnsi="Arial" w:cs="Arial"/>
          <w:sz w:val="22"/>
          <w:szCs w:val="22"/>
        </w:rPr>
        <w:footnoteReference w:id="42"/>
      </w:r>
    </w:p>
    <w:p w14:paraId="3F984F11" w14:textId="77777777" w:rsidR="00720D91" w:rsidRPr="00720D91" w:rsidRDefault="00720D91" w:rsidP="00720D91">
      <w:pPr>
        <w:autoSpaceDE w:val="0"/>
        <w:autoSpaceDN w:val="0"/>
        <w:adjustRightInd w:val="0"/>
        <w:ind w:firstLine="426"/>
        <w:jc w:val="both"/>
        <w:rPr>
          <w:rStyle w:val="sb8d990e2"/>
          <w:rFonts w:ascii="Arial" w:eastAsiaTheme="majorEastAsia" w:hAnsi="Arial" w:cs="Arial"/>
          <w:sz w:val="22"/>
          <w:szCs w:val="22"/>
        </w:rPr>
      </w:pPr>
    </w:p>
    <w:p w14:paraId="511E11D2" w14:textId="77777777" w:rsidR="00720D91" w:rsidRPr="00720D91" w:rsidRDefault="00720D91" w:rsidP="00720D91">
      <w:pPr>
        <w:autoSpaceDE w:val="0"/>
        <w:autoSpaceDN w:val="0"/>
        <w:adjustRightInd w:val="0"/>
        <w:spacing w:after="240"/>
        <w:ind w:firstLine="426"/>
        <w:jc w:val="both"/>
        <w:rPr>
          <w:rFonts w:ascii="Arial" w:hAnsi="Arial" w:cs="Arial"/>
          <w:sz w:val="22"/>
          <w:szCs w:val="22"/>
        </w:rPr>
      </w:pPr>
      <w:r w:rsidRPr="00720D91">
        <w:rPr>
          <w:rFonts w:ascii="Arial" w:hAnsi="Arial" w:cs="Arial"/>
          <w:sz w:val="22"/>
          <w:szCs w:val="22"/>
        </w:rPr>
        <w:t xml:space="preserve">34. En outre, les requêtes relatives à des situations de conflits interétatiques ont augmenté depuis 2007.  </w:t>
      </w:r>
    </w:p>
    <w:p w14:paraId="099E8C8B" w14:textId="77777777" w:rsidR="00720D91" w:rsidRPr="00720D91" w:rsidRDefault="00720D91" w:rsidP="00720D91">
      <w:pPr>
        <w:autoSpaceDE w:val="0"/>
        <w:autoSpaceDN w:val="0"/>
        <w:adjustRightInd w:val="0"/>
        <w:spacing w:after="240"/>
        <w:ind w:firstLine="426"/>
        <w:jc w:val="both"/>
        <w:rPr>
          <w:rFonts w:ascii="Arial" w:hAnsi="Arial" w:cs="Arial"/>
          <w:sz w:val="22"/>
          <w:szCs w:val="22"/>
        </w:rPr>
      </w:pPr>
      <w:r w:rsidRPr="00720D91">
        <w:rPr>
          <w:rFonts w:ascii="Arial" w:hAnsi="Arial" w:cs="Arial"/>
          <w:sz w:val="22"/>
          <w:szCs w:val="22"/>
        </w:rPr>
        <w:t xml:space="preserve">35. Les exigences relatives au </w:t>
      </w:r>
      <w:r w:rsidRPr="00720D91">
        <w:rPr>
          <w:rFonts w:ascii="Arial" w:hAnsi="Arial" w:cs="Arial"/>
          <w:b/>
          <w:sz w:val="22"/>
          <w:szCs w:val="22"/>
        </w:rPr>
        <w:t xml:space="preserve">contenu </w:t>
      </w:r>
      <w:r w:rsidRPr="00720D91">
        <w:rPr>
          <w:rFonts w:ascii="Arial" w:hAnsi="Arial" w:cs="Arial"/>
          <w:sz w:val="22"/>
          <w:szCs w:val="22"/>
        </w:rPr>
        <w:t>d'une requête interétatique sont précisées à l'article 46 du règlement de la Cour. La traduction de copies de documents pertinents pour l'objet d'une requête interétatique en vertu de l'article 46 (g) du règlement dans l'une des langues officielles de la Cour soulève des défis importants pour la Cour ainsi que pour les États requérants et défendeurs.</w:t>
      </w:r>
    </w:p>
    <w:p w14:paraId="22826F83" w14:textId="77777777" w:rsidR="00720D91" w:rsidRPr="00720D91" w:rsidRDefault="00720D91" w:rsidP="00720D91">
      <w:pPr>
        <w:autoSpaceDE w:val="0"/>
        <w:autoSpaceDN w:val="0"/>
        <w:adjustRightInd w:val="0"/>
        <w:spacing w:after="240"/>
        <w:ind w:firstLine="426"/>
        <w:jc w:val="both"/>
        <w:rPr>
          <w:rFonts w:ascii="Arial" w:hAnsi="Arial" w:cs="Arial"/>
          <w:sz w:val="22"/>
          <w:szCs w:val="22"/>
        </w:rPr>
      </w:pPr>
      <w:r w:rsidRPr="00720D91">
        <w:rPr>
          <w:rFonts w:ascii="Arial" w:hAnsi="Arial" w:cs="Arial"/>
          <w:sz w:val="22"/>
          <w:szCs w:val="22"/>
        </w:rPr>
        <w:t xml:space="preserve">36. Dans le cadre de ses propositions pour un traitement plus efficace des affaires interétatiques, la Cour a observé qu'il convient de demander, dès le début de la procédure, que les traductions de tous les documents pertinents auxquels les parties se réfèrent dans leurs observations (en particulier l’article 46 (g) du règlement pour l’Etat requérant) </w:t>
      </w:r>
      <w:r w:rsidRPr="00720D91">
        <w:rPr>
          <w:rFonts w:ascii="Arial" w:hAnsi="Arial" w:cs="Arial"/>
          <w:bCs/>
          <w:sz w:val="22"/>
          <w:szCs w:val="22"/>
          <w:lang w:eastAsia="en-US"/>
        </w:rPr>
        <w:t>dans l'une des deux langues officielles de la Cour, permettrait de gagner du temps et d'économiser des ressources.</w:t>
      </w:r>
      <w:r w:rsidRPr="00720D91">
        <w:rPr>
          <w:rStyle w:val="Appelnotedebasdep"/>
          <w:rFonts w:ascii="Arial" w:hAnsi="Arial" w:cs="Arial"/>
          <w:sz w:val="22"/>
          <w:szCs w:val="22"/>
        </w:rPr>
        <w:t xml:space="preserve"> </w:t>
      </w:r>
      <w:r w:rsidRPr="00720D91">
        <w:rPr>
          <w:rStyle w:val="Appelnotedebasdep"/>
          <w:rFonts w:ascii="Arial" w:hAnsi="Arial" w:cs="Arial"/>
          <w:sz w:val="22"/>
          <w:szCs w:val="22"/>
        </w:rPr>
        <w:footnoteReference w:id="43"/>
      </w:r>
      <w:r w:rsidRPr="00720D91">
        <w:rPr>
          <w:rFonts w:ascii="Arial" w:hAnsi="Arial" w:cs="Arial"/>
          <w:bCs/>
          <w:sz w:val="22"/>
          <w:szCs w:val="22"/>
          <w:lang w:eastAsia="en-US"/>
        </w:rPr>
        <w:t xml:space="preserve"> Il est recommandé que l</w:t>
      </w:r>
      <w:r w:rsidRPr="00720D91">
        <w:rPr>
          <w:rFonts w:ascii="Arial" w:hAnsi="Arial" w:cs="Arial"/>
          <w:sz w:val="22"/>
          <w:szCs w:val="22"/>
        </w:rPr>
        <w:t>'article 46 (g) du règlement pourrait donc être modifié en conséquence, en demandant à la Commission du règlement de formuler une proposition concrète qui permettrait de déterminer, notamment, quels documents devraient être traduits par les parties.</w:t>
      </w:r>
      <w:r w:rsidRPr="00720D91">
        <w:rPr>
          <w:rStyle w:val="Appelnotedebasdep"/>
          <w:rFonts w:ascii="Arial" w:hAnsi="Arial" w:cs="Arial"/>
          <w:sz w:val="22"/>
          <w:szCs w:val="22"/>
        </w:rPr>
        <w:footnoteReference w:id="44"/>
      </w:r>
      <w:r w:rsidRPr="00720D91">
        <w:rPr>
          <w:rFonts w:ascii="Arial" w:hAnsi="Arial" w:cs="Arial"/>
          <w:sz w:val="22"/>
          <w:szCs w:val="22"/>
        </w:rPr>
        <w:t xml:space="preserve">  </w:t>
      </w:r>
    </w:p>
    <w:p w14:paraId="00FCC538" w14:textId="77777777" w:rsidR="00720D91" w:rsidRPr="00720D91" w:rsidRDefault="00720D91" w:rsidP="00720D91">
      <w:pPr>
        <w:autoSpaceDE w:val="0"/>
        <w:autoSpaceDN w:val="0"/>
        <w:adjustRightInd w:val="0"/>
        <w:spacing w:after="240"/>
        <w:ind w:firstLine="426"/>
        <w:jc w:val="both"/>
        <w:rPr>
          <w:rFonts w:ascii="Arial" w:hAnsi="Arial" w:cs="Arial"/>
          <w:sz w:val="22"/>
          <w:szCs w:val="22"/>
        </w:rPr>
      </w:pPr>
      <w:r w:rsidRPr="00720D91">
        <w:rPr>
          <w:rFonts w:ascii="Arial" w:hAnsi="Arial" w:cs="Arial"/>
          <w:sz w:val="22"/>
          <w:szCs w:val="22"/>
        </w:rPr>
        <w:t>37. Tout en notant que la Cour a commencé à mettre en œuvre une telle recommandation</w:t>
      </w:r>
      <w:r w:rsidRPr="00720D91">
        <w:rPr>
          <w:rStyle w:val="Appelnotedebasdep"/>
          <w:rFonts w:ascii="Arial" w:hAnsi="Arial" w:cs="Arial"/>
          <w:sz w:val="22"/>
          <w:szCs w:val="22"/>
        </w:rPr>
        <w:footnoteReference w:id="45"/>
      </w:r>
      <w:r w:rsidRPr="00720D91">
        <w:rPr>
          <w:rFonts w:ascii="Arial" w:hAnsi="Arial" w:cs="Arial"/>
          <w:sz w:val="22"/>
          <w:szCs w:val="22"/>
        </w:rPr>
        <w:t xml:space="preserve">, la révision du Règlement de la Cour pourrait être encouragée en vue d'assurer la prévisibilité des documents mentionnés dans les observations des États parties qui doivent être fournis dans l'une des langues officielles de la Cour et de préciser à quelle phase de la procédure ces traductions doivent être soumises. En ce qui concerne les documents qui ne sont pas traduits intégralement les États parties peuvent fournir des résumés traduits des documents mentionnés dans leurs observations, à la demande de la Cour.  </w:t>
      </w:r>
    </w:p>
    <w:p w14:paraId="7C269389" w14:textId="77777777" w:rsidR="00720D91" w:rsidRPr="00720D91" w:rsidRDefault="00720D91" w:rsidP="00720D91">
      <w:pPr>
        <w:autoSpaceDE w:val="0"/>
        <w:autoSpaceDN w:val="0"/>
        <w:adjustRightInd w:val="0"/>
        <w:spacing w:after="240"/>
        <w:ind w:firstLine="426"/>
        <w:jc w:val="both"/>
        <w:rPr>
          <w:rFonts w:ascii="Arial" w:hAnsi="Arial" w:cs="Arial"/>
          <w:sz w:val="22"/>
          <w:szCs w:val="22"/>
        </w:rPr>
      </w:pPr>
      <w:r w:rsidRPr="00720D91">
        <w:rPr>
          <w:rFonts w:ascii="Arial" w:hAnsi="Arial" w:cs="Arial"/>
          <w:sz w:val="22"/>
          <w:szCs w:val="22"/>
        </w:rPr>
        <w:lastRenderedPageBreak/>
        <w:t>38. Enfin, lorsque nous considérons en parallèle les requetés interétatiques et les requêtes individuelles, nous pouvons mentionner le fait que la grande majorité des requêtes présentées en vertu de l’article 39 du Règlement de la Cour sont généralement soumises dans le cadre d’une requête individuelle. Néanmoins, la Cour a développé une pratique qui consiste à indiquer des mesures provisoires dans les affaires interétatiques également. Depuis l’adoption du Règlement de la Cour en 1959, la Cour a examiné et tranché des requêtes en vertu de l’article 39 dans le cadre de huit requêtes interétatiques concernant principalement des situations liées à des conflits armés.</w:t>
      </w:r>
      <w:r w:rsidRPr="00720D91">
        <w:rPr>
          <w:rStyle w:val="Appelnotedebasdep"/>
          <w:rFonts w:ascii="Arial" w:hAnsi="Arial" w:cs="Arial"/>
          <w:sz w:val="22"/>
          <w:szCs w:val="22"/>
        </w:rPr>
        <w:footnoteReference w:id="46"/>
      </w:r>
      <w:r w:rsidRPr="00720D91">
        <w:rPr>
          <w:rFonts w:ascii="Arial" w:hAnsi="Arial" w:cs="Arial"/>
          <w:sz w:val="22"/>
          <w:szCs w:val="22"/>
        </w:rPr>
        <w:t xml:space="preserve"> </w:t>
      </w:r>
    </w:p>
    <w:p w14:paraId="6EF6F6B0" w14:textId="77777777" w:rsidR="00720D91" w:rsidRPr="00720D91" w:rsidRDefault="00720D91" w:rsidP="00720D91">
      <w:pPr>
        <w:pStyle w:val="Titre2"/>
        <w:ind w:left="720"/>
        <w:jc w:val="both"/>
        <w:rPr>
          <w:rFonts w:cs="Arial"/>
          <w:sz w:val="22"/>
          <w:szCs w:val="22"/>
          <w:lang w:val="fr-FR"/>
        </w:rPr>
      </w:pPr>
      <w:bookmarkStart w:id="16" w:name="_Toc83293805"/>
      <w:r w:rsidRPr="00720D91">
        <w:rPr>
          <w:rFonts w:cs="Arial"/>
          <w:sz w:val="22"/>
          <w:szCs w:val="22"/>
          <w:lang w:val="fr-FR"/>
        </w:rPr>
        <w:t>2. La pratique de la Cour en matière de recevabilité des requêtes interétatiques et des requêtes individuelles</w:t>
      </w:r>
      <w:bookmarkEnd w:id="16"/>
      <w:r w:rsidRPr="00720D91">
        <w:rPr>
          <w:rFonts w:cs="Arial"/>
          <w:sz w:val="22"/>
          <w:szCs w:val="22"/>
          <w:lang w:val="fr-FR"/>
        </w:rPr>
        <w:t xml:space="preserve"> </w:t>
      </w:r>
    </w:p>
    <w:p w14:paraId="1362B65A" w14:textId="77777777" w:rsidR="00720D91" w:rsidRPr="00720D91" w:rsidRDefault="00720D91" w:rsidP="00720D91">
      <w:pPr>
        <w:pStyle w:val="Sansinterligne"/>
        <w:rPr>
          <w:sz w:val="22"/>
          <w:szCs w:val="22"/>
        </w:rPr>
      </w:pPr>
    </w:p>
    <w:p w14:paraId="4CFA4A46" w14:textId="77777777" w:rsidR="00720D91" w:rsidRPr="00720D91" w:rsidRDefault="00720D91" w:rsidP="00720D91">
      <w:pPr>
        <w:autoSpaceDE w:val="0"/>
        <w:autoSpaceDN w:val="0"/>
        <w:adjustRightInd w:val="0"/>
        <w:spacing w:after="240"/>
        <w:ind w:firstLine="426"/>
        <w:jc w:val="both"/>
        <w:rPr>
          <w:rFonts w:ascii="Arial" w:hAnsi="Arial" w:cs="Arial"/>
          <w:sz w:val="22"/>
          <w:szCs w:val="22"/>
        </w:rPr>
      </w:pPr>
      <w:r w:rsidRPr="00720D91">
        <w:rPr>
          <w:rFonts w:ascii="Arial" w:hAnsi="Arial" w:cs="Arial"/>
          <w:sz w:val="22"/>
          <w:szCs w:val="22"/>
        </w:rPr>
        <w:t xml:space="preserve">39. Les critères de recevabilité sont moins stricts pour les requêtes interétatiques que pour les requêtes individuelles. Si les critères établis à l'article 35 § 1 de la Convention s'appliquent tant aux requêtes individuelles qu'aux requêtes interétatiques, ceux énoncés aux paragraphes 2 et 3 de la même disposition ne s'appliquent qu'aux requêtes individuelles. </w:t>
      </w:r>
    </w:p>
    <w:p w14:paraId="39004662" w14:textId="77777777" w:rsidR="00720D91" w:rsidRPr="00720D91" w:rsidRDefault="00720D91" w:rsidP="00720D91">
      <w:pPr>
        <w:autoSpaceDE w:val="0"/>
        <w:autoSpaceDN w:val="0"/>
        <w:adjustRightInd w:val="0"/>
        <w:spacing w:after="240"/>
        <w:ind w:firstLine="426"/>
        <w:jc w:val="both"/>
        <w:rPr>
          <w:rFonts w:ascii="Arial" w:hAnsi="Arial" w:cs="Arial"/>
          <w:sz w:val="22"/>
          <w:szCs w:val="22"/>
        </w:rPr>
      </w:pPr>
      <w:r w:rsidRPr="00720D91">
        <w:rPr>
          <w:rFonts w:ascii="Arial" w:hAnsi="Arial" w:cs="Arial"/>
          <w:sz w:val="22"/>
          <w:szCs w:val="22"/>
        </w:rPr>
        <w:t xml:space="preserve">40. Le </w:t>
      </w:r>
      <w:r w:rsidRPr="00720D91">
        <w:rPr>
          <w:rFonts w:ascii="Arial" w:hAnsi="Arial" w:cs="Arial"/>
          <w:b/>
          <w:bCs/>
          <w:i/>
          <w:iCs/>
          <w:sz w:val="22"/>
          <w:szCs w:val="22"/>
        </w:rPr>
        <w:t>délai</w:t>
      </w:r>
      <w:r w:rsidRPr="00720D91">
        <w:rPr>
          <w:rFonts w:ascii="Arial" w:hAnsi="Arial" w:cs="Arial"/>
          <w:sz w:val="22"/>
          <w:szCs w:val="22"/>
        </w:rPr>
        <w:t xml:space="preserve"> </w:t>
      </w:r>
      <w:r w:rsidRPr="00720D91">
        <w:rPr>
          <w:rFonts w:ascii="Arial" w:hAnsi="Arial" w:cs="Arial"/>
          <w:b/>
          <w:i/>
          <w:sz w:val="22"/>
          <w:szCs w:val="22"/>
        </w:rPr>
        <w:t xml:space="preserve">de quatre mois </w:t>
      </w:r>
      <w:r w:rsidRPr="00720D91">
        <w:rPr>
          <w:rFonts w:ascii="Arial" w:hAnsi="Arial" w:cs="Arial"/>
          <w:sz w:val="22"/>
          <w:szCs w:val="22"/>
        </w:rPr>
        <w:t>qui est</w:t>
      </w:r>
      <w:r w:rsidRPr="00720D91">
        <w:rPr>
          <w:rFonts w:ascii="Arial" w:hAnsi="Arial" w:cs="Arial"/>
          <w:b/>
          <w:i/>
          <w:sz w:val="22"/>
          <w:szCs w:val="22"/>
        </w:rPr>
        <w:t xml:space="preserve"> </w:t>
      </w:r>
      <w:r w:rsidRPr="00720D91">
        <w:rPr>
          <w:rFonts w:ascii="Arial" w:hAnsi="Arial" w:cs="Arial"/>
          <w:sz w:val="22"/>
          <w:szCs w:val="22"/>
        </w:rPr>
        <w:t>prévu à l'article 35 § 1 de la Convention</w:t>
      </w:r>
      <w:r w:rsidRPr="00720D91">
        <w:rPr>
          <w:rStyle w:val="Appelnotedebasdep"/>
          <w:rFonts w:ascii="Arial" w:hAnsi="Arial" w:cs="Arial"/>
          <w:sz w:val="22"/>
          <w:szCs w:val="22"/>
        </w:rPr>
        <w:footnoteReference w:id="47"/>
      </w:r>
      <w:r w:rsidRPr="00720D91">
        <w:rPr>
          <w:rFonts w:ascii="Arial" w:hAnsi="Arial" w:cs="Arial"/>
          <w:sz w:val="22"/>
          <w:szCs w:val="22"/>
        </w:rPr>
        <w:t xml:space="preserve"> s'applique de la même manière aux deux types de requêtes. </w:t>
      </w:r>
    </w:p>
    <w:p w14:paraId="5A98E71B" w14:textId="77777777" w:rsidR="00720D91" w:rsidRPr="00720D91" w:rsidRDefault="00720D91" w:rsidP="00720D91">
      <w:pPr>
        <w:autoSpaceDE w:val="0"/>
        <w:autoSpaceDN w:val="0"/>
        <w:adjustRightInd w:val="0"/>
        <w:spacing w:after="240"/>
        <w:ind w:firstLine="426"/>
        <w:jc w:val="both"/>
        <w:rPr>
          <w:rFonts w:ascii="Arial" w:hAnsi="Arial" w:cs="Arial"/>
          <w:sz w:val="22"/>
          <w:szCs w:val="22"/>
        </w:rPr>
      </w:pPr>
      <w:r w:rsidRPr="00720D91">
        <w:rPr>
          <w:rFonts w:ascii="Arial" w:hAnsi="Arial" w:cs="Arial"/>
          <w:sz w:val="22"/>
          <w:szCs w:val="22"/>
        </w:rPr>
        <w:t xml:space="preserve">41. L'exigence de </w:t>
      </w:r>
      <w:r w:rsidRPr="00720D91">
        <w:rPr>
          <w:rFonts w:ascii="Arial" w:hAnsi="Arial" w:cs="Arial"/>
          <w:b/>
          <w:bCs/>
          <w:i/>
          <w:iCs/>
          <w:sz w:val="22"/>
          <w:szCs w:val="22"/>
        </w:rPr>
        <w:t>l'épuisement des voies de recours internes</w:t>
      </w:r>
      <w:r w:rsidRPr="00720D91">
        <w:rPr>
          <w:rFonts w:ascii="Arial" w:hAnsi="Arial" w:cs="Arial"/>
          <w:sz w:val="22"/>
          <w:szCs w:val="22"/>
        </w:rPr>
        <w:t>, également établie à l'article 35 § 1 de la Convention, s'applique tant aux requêtes individuelles qu'aux requêtes interétatiques de la même manière qu'aux requêtes individuelles, lorsque l'État requérant ne fait que dénoncer une ou des violations prétendument subies par des individus dont l'État  se substitue en quelque sorte à eux</w:t>
      </w:r>
      <w:r w:rsidRPr="00720D91">
        <w:rPr>
          <w:rFonts w:ascii="Arial" w:hAnsi="Arial" w:cs="Arial"/>
          <w:b/>
          <w:bCs/>
          <w:sz w:val="22"/>
          <w:szCs w:val="22"/>
        </w:rPr>
        <w:t>.</w:t>
      </w:r>
      <w:r w:rsidRPr="00720D91">
        <w:rPr>
          <w:rStyle w:val="Appelnotedebasdep"/>
          <w:rFonts w:ascii="Arial" w:hAnsi="Arial" w:cs="Arial"/>
          <w:sz w:val="22"/>
          <w:szCs w:val="22"/>
        </w:rPr>
        <w:footnoteReference w:id="48"/>
      </w:r>
      <w:r w:rsidRPr="00720D91">
        <w:rPr>
          <w:rFonts w:ascii="Arial" w:hAnsi="Arial" w:cs="Arial"/>
          <w:sz w:val="22"/>
          <w:szCs w:val="22"/>
        </w:rPr>
        <w:t xml:space="preserve"> S'agissant</w:t>
      </w:r>
      <w:r w:rsidRPr="00720D91">
        <w:rPr>
          <w:rFonts w:ascii="Arial" w:hAnsi="Arial" w:cs="Arial"/>
          <w:sz w:val="22"/>
          <w:szCs w:val="22"/>
          <w:shd w:val="clear" w:color="auto" w:fill="FFFFFF"/>
        </w:rPr>
        <w:t xml:space="preserve"> </w:t>
      </w:r>
      <w:r w:rsidRPr="00720D91">
        <w:rPr>
          <w:rFonts w:ascii="Arial" w:hAnsi="Arial" w:cs="Arial"/>
          <w:color w:val="000000"/>
          <w:sz w:val="22"/>
          <w:szCs w:val="22"/>
          <w:shd w:val="clear" w:color="auto" w:fill="FFFFFF"/>
        </w:rPr>
        <w:t xml:space="preserve">de </w:t>
      </w:r>
      <w:r w:rsidRPr="00720D91">
        <w:rPr>
          <w:rFonts w:ascii="Arial" w:hAnsi="Arial" w:cs="Arial"/>
          <w:sz w:val="22"/>
          <w:szCs w:val="22"/>
        </w:rPr>
        <w:t>la requête interétatique, la Cour vérifie si les intéressés auraient pu disposer de voies de recours effectives pour obtenir réparation, en se demandant notamment si l</w:t>
      </w:r>
      <w:r w:rsidRPr="00720D91">
        <w:rPr>
          <w:rFonts w:ascii="Arial" w:hAnsi="Arial" w:cs="Arial"/>
          <w:color w:val="000000"/>
          <w:sz w:val="22"/>
          <w:szCs w:val="22"/>
          <w:shd w:val="clear" w:color="auto" w:fill="FFFFFF"/>
        </w:rPr>
        <w:t xml:space="preserve">'existence d'un recours est suffisamment certaine non seulement en théorie mais aussi en pratique et s'il existe des circonstances particulières qui dispensent les personnes concernées par la présente requête de l'obligation d'épuiser les voies de recours. </w:t>
      </w:r>
      <w:r w:rsidRPr="00720D91">
        <w:rPr>
          <w:rStyle w:val="Appelnotedebasdep"/>
          <w:rFonts w:ascii="Arial" w:hAnsi="Arial" w:cs="Arial"/>
          <w:color w:val="000000"/>
          <w:sz w:val="22"/>
          <w:szCs w:val="22"/>
          <w:shd w:val="clear" w:color="auto" w:fill="FFFFFF"/>
        </w:rPr>
        <w:footnoteReference w:id="49"/>
      </w:r>
      <w:r w:rsidRPr="00720D91">
        <w:rPr>
          <w:rFonts w:ascii="Arial" w:hAnsi="Arial" w:cs="Arial"/>
          <w:color w:val="000000"/>
          <w:sz w:val="22"/>
          <w:szCs w:val="22"/>
          <w:shd w:val="clear" w:color="auto" w:fill="FFFFFF"/>
        </w:rPr>
        <w:t xml:space="preserve"> Il convient de noter que la Cour applique l'exigence de l'épuisement des voies de recours internes dans chaque affaire en tenant compte de ses circonstances particulières. </w:t>
      </w:r>
    </w:p>
    <w:p w14:paraId="36E6D7EB" w14:textId="77777777" w:rsidR="00720D91" w:rsidRPr="00720D91" w:rsidRDefault="00720D91" w:rsidP="00720D91">
      <w:pPr>
        <w:autoSpaceDE w:val="0"/>
        <w:autoSpaceDN w:val="0"/>
        <w:adjustRightInd w:val="0"/>
        <w:spacing w:after="240"/>
        <w:ind w:firstLine="426"/>
        <w:jc w:val="both"/>
        <w:rPr>
          <w:rFonts w:ascii="Arial" w:hAnsi="Arial" w:cs="Arial"/>
          <w:strike/>
          <w:sz w:val="22"/>
          <w:szCs w:val="22"/>
        </w:rPr>
      </w:pPr>
      <w:r w:rsidRPr="00720D91">
        <w:rPr>
          <w:rFonts w:ascii="Arial" w:hAnsi="Arial" w:cs="Arial"/>
          <w:sz w:val="22"/>
          <w:szCs w:val="22"/>
        </w:rPr>
        <w:t>42. En principe, la règle de l'épuisement des voies de recours internes ne s'applique pas lorsque l'État requérant se plaint de l'existence d'une pratique administrative, à savoir la répétition d'actes incompatibles avec la Convention, et d'une tolérance officielle de l'État  (voir paragraphe 28 ci-dessus), dans le but d'en empêcher la continuation ou la répétition, mais ne demande pas à la Cour de se prononcer sur chacun des cas avancés comme preuve ou illustration de cette pratique.</w:t>
      </w:r>
      <w:r w:rsidRPr="00720D91">
        <w:rPr>
          <w:rStyle w:val="Appelnotedebasdep"/>
          <w:rFonts w:ascii="Arial" w:hAnsi="Arial" w:cs="Arial"/>
          <w:sz w:val="22"/>
          <w:szCs w:val="22"/>
        </w:rPr>
        <w:footnoteReference w:id="50"/>
      </w:r>
      <w:r w:rsidRPr="00720D91">
        <w:rPr>
          <w:rFonts w:ascii="Arial" w:hAnsi="Arial" w:cs="Arial"/>
          <w:sz w:val="22"/>
          <w:szCs w:val="22"/>
        </w:rPr>
        <w:t xml:space="preserve"> En tout état de cause, la règle de l'épuisement des voies de </w:t>
      </w:r>
      <w:r w:rsidRPr="00720D91">
        <w:rPr>
          <w:rFonts w:ascii="Arial" w:hAnsi="Arial" w:cs="Arial"/>
          <w:sz w:val="22"/>
          <w:szCs w:val="22"/>
        </w:rPr>
        <w:lastRenderedPageBreak/>
        <w:t xml:space="preserve">recours internes ne s'applique pas lorsque l'existence d'une pratique administrative a été démontrée et qu'elle est de nature à rendre le recours futile ou inefficace. </w:t>
      </w:r>
      <w:r w:rsidRPr="00720D91">
        <w:rPr>
          <w:rStyle w:val="Appelnotedebasdep"/>
          <w:rFonts w:ascii="Arial" w:hAnsi="Arial" w:cs="Arial"/>
          <w:sz w:val="22"/>
          <w:szCs w:val="22"/>
        </w:rPr>
        <w:footnoteReference w:id="51"/>
      </w:r>
      <w:r w:rsidRPr="00720D91">
        <w:rPr>
          <w:rFonts w:ascii="Arial" w:hAnsi="Arial" w:cs="Arial"/>
          <w:strike/>
          <w:sz w:val="22"/>
          <w:szCs w:val="22"/>
        </w:rPr>
        <w:t xml:space="preserve"> </w:t>
      </w:r>
    </w:p>
    <w:p w14:paraId="50F6156E" w14:textId="77777777" w:rsidR="00720D91" w:rsidRPr="00720D91" w:rsidRDefault="00720D91" w:rsidP="00720D91">
      <w:pPr>
        <w:autoSpaceDE w:val="0"/>
        <w:autoSpaceDN w:val="0"/>
        <w:adjustRightInd w:val="0"/>
        <w:spacing w:after="240"/>
        <w:ind w:firstLine="426"/>
        <w:jc w:val="both"/>
        <w:rPr>
          <w:rFonts w:ascii="Arial" w:hAnsi="Arial" w:cs="Arial"/>
          <w:sz w:val="22"/>
          <w:szCs w:val="22"/>
        </w:rPr>
      </w:pPr>
      <w:r w:rsidRPr="00720D91">
        <w:rPr>
          <w:rFonts w:ascii="Arial" w:hAnsi="Arial" w:cs="Arial"/>
          <w:sz w:val="22"/>
          <w:szCs w:val="22"/>
        </w:rPr>
        <w:t>43. La règle de l'épuisement des voies de recours internes peut également être jugée inapplicable en ce qui concerne les requêtes individuelles lorsqu'il peut être établi qu'une pratique administrative existait.</w:t>
      </w:r>
      <w:r w:rsidRPr="00720D91">
        <w:rPr>
          <w:rStyle w:val="Appelnotedebasdep"/>
          <w:rFonts w:ascii="Arial" w:hAnsi="Arial" w:cs="Arial"/>
          <w:sz w:val="22"/>
          <w:szCs w:val="22"/>
        </w:rPr>
        <w:footnoteReference w:id="52"/>
      </w:r>
      <w:r w:rsidRPr="00720D91">
        <w:rPr>
          <w:rFonts w:ascii="Arial" w:hAnsi="Arial" w:cs="Arial"/>
          <w:sz w:val="22"/>
          <w:szCs w:val="22"/>
        </w:rPr>
        <w:t xml:space="preserve"> En ce qui concerne les requêtes individuelles, la Cour a pris en compte les nouvelles voies de recours introduites après la date d'introduction de la requête, à condition que les individus disposent d'un délai raisonnable pour prendre connaissance de la décision judiciaire. </w:t>
      </w:r>
      <w:r w:rsidRPr="00720D91">
        <w:rPr>
          <w:rStyle w:val="Appelnotedebasdep"/>
          <w:rFonts w:ascii="Arial" w:hAnsi="Arial" w:cs="Arial"/>
          <w:sz w:val="22"/>
          <w:szCs w:val="22"/>
        </w:rPr>
        <w:footnoteReference w:id="53"/>
      </w:r>
    </w:p>
    <w:p w14:paraId="0BA10C9C" w14:textId="77777777" w:rsidR="00720D91" w:rsidRPr="00720D91" w:rsidRDefault="00720D91" w:rsidP="00720D91">
      <w:pPr>
        <w:autoSpaceDE w:val="0"/>
        <w:autoSpaceDN w:val="0"/>
        <w:adjustRightInd w:val="0"/>
        <w:spacing w:after="240"/>
        <w:ind w:firstLine="426"/>
        <w:jc w:val="both"/>
        <w:rPr>
          <w:rStyle w:val="sb8d990e2"/>
          <w:rFonts w:ascii="Arial" w:eastAsiaTheme="majorEastAsia" w:hAnsi="Arial" w:cs="Arial"/>
          <w:sz w:val="22"/>
          <w:szCs w:val="22"/>
        </w:rPr>
      </w:pPr>
      <w:r w:rsidRPr="00720D91">
        <w:rPr>
          <w:rFonts w:ascii="Arial" w:hAnsi="Arial" w:cs="Arial"/>
          <w:sz w:val="22"/>
          <w:szCs w:val="22"/>
        </w:rPr>
        <w:t xml:space="preserve">44. Les critères de recevabilité énoncés à l'article 35 § 3 a) et b) de la Convention ne s'appliquent pas aux requêtes interétatiques, qui ne peuvent donc être déclarées irrecevables car </w:t>
      </w:r>
      <w:r w:rsidRPr="00720D91">
        <w:rPr>
          <w:rFonts w:ascii="Arial" w:hAnsi="Arial" w:cs="Arial"/>
          <w:b/>
          <w:i/>
          <w:sz w:val="22"/>
          <w:szCs w:val="22"/>
        </w:rPr>
        <w:t xml:space="preserve">manifestement mal fondées </w:t>
      </w:r>
      <w:r w:rsidRPr="00720D91">
        <w:rPr>
          <w:rFonts w:ascii="Arial" w:hAnsi="Arial" w:cs="Arial"/>
          <w:sz w:val="22"/>
          <w:szCs w:val="22"/>
        </w:rPr>
        <w:t xml:space="preserve">ou comme constituant un </w:t>
      </w:r>
      <w:r w:rsidRPr="00720D91">
        <w:rPr>
          <w:rFonts w:ascii="Arial" w:hAnsi="Arial" w:cs="Arial"/>
          <w:i/>
          <w:iCs/>
          <w:sz w:val="22"/>
          <w:szCs w:val="22"/>
        </w:rPr>
        <w:t>abus du droit de recours</w:t>
      </w:r>
      <w:r w:rsidRPr="00720D91">
        <w:rPr>
          <w:rFonts w:ascii="Arial" w:hAnsi="Arial" w:cs="Arial"/>
          <w:sz w:val="22"/>
          <w:szCs w:val="22"/>
        </w:rPr>
        <w:t>. Toutefois, cela n'empêche pas la Cour d'examiner, au stade de la recevabilité, la recevabilité au fond de la violation alléguée des dispositions de la Convention au titre de l'article 33.</w:t>
      </w:r>
      <w:r w:rsidRPr="00720D91">
        <w:rPr>
          <w:rStyle w:val="Appelnotedebasdep"/>
          <w:rFonts w:ascii="Arial" w:hAnsi="Arial" w:cs="Arial"/>
          <w:sz w:val="22"/>
          <w:szCs w:val="22"/>
        </w:rPr>
        <w:footnoteReference w:id="54"/>
      </w:r>
      <w:r w:rsidRPr="00720D91">
        <w:rPr>
          <w:rStyle w:val="sb8d990e2"/>
          <w:rFonts w:ascii="Arial" w:eastAsiaTheme="majorEastAsia" w:hAnsi="Arial" w:cs="Arial"/>
          <w:b/>
          <w:bCs/>
          <w:color w:val="FF0000"/>
          <w:sz w:val="22"/>
          <w:szCs w:val="22"/>
        </w:rPr>
        <w:t xml:space="preserve"> </w:t>
      </w:r>
      <w:r w:rsidRPr="00720D91">
        <w:rPr>
          <w:rFonts w:ascii="Arial" w:hAnsi="Arial" w:cs="Arial"/>
          <w:sz w:val="22"/>
          <w:szCs w:val="22"/>
        </w:rPr>
        <w:t>La Cour peut établir, au stade de la recevabilité, si elle est compétente pour connaître de l'affaire dont elle est saisie, en vertu des principes généraux régissant l'exercice de la compétence des tribunaux internationaux.</w:t>
      </w:r>
      <w:r w:rsidRPr="00720D91">
        <w:rPr>
          <w:rStyle w:val="Appelnotedebasdep"/>
          <w:rFonts w:ascii="Arial" w:hAnsi="Arial" w:cs="Arial"/>
          <w:sz w:val="22"/>
          <w:szCs w:val="22"/>
        </w:rPr>
        <w:footnoteReference w:id="55"/>
      </w:r>
      <w:r w:rsidRPr="00720D91">
        <w:rPr>
          <w:rStyle w:val="sb8d990e2"/>
          <w:rFonts w:ascii="Arial" w:eastAsiaTheme="majorEastAsia" w:hAnsi="Arial" w:cs="Arial"/>
          <w:b/>
          <w:bCs/>
          <w:color w:val="FF0000"/>
          <w:sz w:val="22"/>
          <w:szCs w:val="22"/>
        </w:rPr>
        <w:t xml:space="preserve"> </w:t>
      </w:r>
      <w:r w:rsidRPr="00720D91">
        <w:rPr>
          <w:rFonts w:ascii="Arial" w:hAnsi="Arial" w:cs="Arial"/>
          <w:sz w:val="22"/>
          <w:szCs w:val="22"/>
        </w:rPr>
        <w:t>La Cour, dans certaines affaires spécifiques, a jugé qu’elle n'interprète pas les dispositions procédurales de la Convention dans un sens qui exclut toute possibilité de procéder à une évaluation préliminaire du contenu de l'affaire en dehors du cadre de l'article 35 §1.</w:t>
      </w:r>
      <w:r w:rsidRPr="00720D91">
        <w:rPr>
          <w:rStyle w:val="Appelnotedebasdep"/>
          <w:rFonts w:ascii="Arial" w:hAnsi="Arial" w:cs="Arial"/>
          <w:sz w:val="22"/>
          <w:szCs w:val="22"/>
        </w:rPr>
        <w:footnoteReference w:id="56"/>
      </w:r>
      <w:r w:rsidRPr="00720D91">
        <w:rPr>
          <w:rStyle w:val="sb8d990e2"/>
          <w:rFonts w:ascii="Arial" w:eastAsiaTheme="majorEastAsia" w:hAnsi="Arial" w:cs="Arial"/>
          <w:sz w:val="22"/>
          <w:szCs w:val="22"/>
        </w:rPr>
        <w:t xml:space="preserve"> Si le libellé de l'article 35 §§ 2 et 3 fait référence à l'article 34, il n'exclut pas l'application d'une règle générale prévoyant la possibilité de déclarer une requête interétatique irrecevable, s'il est clair, dès le départ, qu'elle n'est pas du tout étayée ou qu'elle ne remplit pas les conditions d'une allégation authentique au sens de l'article 33 de la Convention.</w:t>
      </w:r>
      <w:r w:rsidRPr="00720D91">
        <w:rPr>
          <w:rStyle w:val="sb8d990e2"/>
          <w:rFonts w:eastAsiaTheme="majorEastAsia"/>
          <w:sz w:val="22"/>
          <w:szCs w:val="22"/>
          <w:vertAlign w:val="superscript"/>
        </w:rPr>
        <w:footnoteReference w:id="57"/>
      </w:r>
      <w:r w:rsidRPr="00720D91">
        <w:rPr>
          <w:rStyle w:val="sb8d990e2"/>
          <w:rFonts w:ascii="Arial" w:eastAsiaTheme="majorEastAsia" w:hAnsi="Arial" w:cs="Arial"/>
          <w:sz w:val="22"/>
          <w:szCs w:val="22"/>
        </w:rPr>
        <w:t xml:space="preserve"> Une telle approche est conforme au principe d'économie procédurale. </w:t>
      </w:r>
      <w:r w:rsidRPr="00720D91">
        <w:rPr>
          <w:rStyle w:val="sb8d990e2"/>
          <w:rFonts w:eastAsiaTheme="majorEastAsia"/>
          <w:sz w:val="22"/>
          <w:szCs w:val="22"/>
          <w:vertAlign w:val="superscript"/>
        </w:rPr>
        <w:footnoteReference w:id="58"/>
      </w:r>
    </w:p>
    <w:p w14:paraId="3C6D6283" w14:textId="77777777" w:rsidR="00720D91" w:rsidRPr="00720D91" w:rsidRDefault="00720D91" w:rsidP="00720D91">
      <w:pPr>
        <w:autoSpaceDE w:val="0"/>
        <w:autoSpaceDN w:val="0"/>
        <w:adjustRightInd w:val="0"/>
        <w:spacing w:after="240"/>
        <w:ind w:firstLine="426"/>
        <w:jc w:val="both"/>
        <w:rPr>
          <w:rStyle w:val="sb8d990e2"/>
          <w:rFonts w:ascii="Arial" w:eastAsiaTheme="majorEastAsia" w:hAnsi="Arial" w:cs="Arial"/>
          <w:sz w:val="22"/>
          <w:szCs w:val="22"/>
        </w:rPr>
      </w:pPr>
      <w:r w:rsidRPr="00720D91">
        <w:rPr>
          <w:rStyle w:val="sb8d990e2"/>
          <w:rFonts w:ascii="Arial" w:eastAsiaTheme="majorEastAsia" w:hAnsi="Arial" w:cs="Arial"/>
          <w:sz w:val="22"/>
          <w:szCs w:val="22"/>
        </w:rPr>
        <w:t>45</w:t>
      </w:r>
      <w:r w:rsidRPr="00720D91">
        <w:rPr>
          <w:rStyle w:val="sb8d990e2"/>
          <w:rFonts w:ascii="Arial" w:eastAsiaTheme="majorEastAsia" w:hAnsi="Arial" w:cs="Arial"/>
          <w:sz w:val="22"/>
          <w:szCs w:val="22"/>
          <w:shd w:val="clear" w:color="auto" w:fill="FFFFFF" w:themeFill="background1"/>
        </w:rPr>
        <w:t>. Sur la</w:t>
      </w:r>
      <w:r w:rsidRPr="00720D91">
        <w:rPr>
          <w:rFonts w:ascii="Arial" w:hAnsi="Arial" w:cs="Arial"/>
          <w:i/>
          <w:iCs/>
          <w:sz w:val="22"/>
          <w:szCs w:val="22"/>
          <w:shd w:val="clear" w:color="auto" w:fill="FFFFFF" w:themeFill="background1"/>
        </w:rPr>
        <w:t xml:space="preserve"> </w:t>
      </w:r>
      <w:r w:rsidRPr="00720D91">
        <w:rPr>
          <w:rStyle w:val="sb8d990e2"/>
          <w:rFonts w:ascii="Arial" w:eastAsiaTheme="majorEastAsia" w:hAnsi="Arial" w:cs="Arial"/>
          <w:sz w:val="22"/>
          <w:szCs w:val="22"/>
          <w:shd w:val="clear" w:color="auto" w:fill="FFFFFF" w:themeFill="background1"/>
        </w:rPr>
        <w:t xml:space="preserve">base de ces principes, la Cour s'est déjà prononcée au stade de la recevabilité sur des questions de fond telles que celle de </w:t>
      </w:r>
      <w:r w:rsidRPr="00720D91">
        <w:rPr>
          <w:rFonts w:ascii="Arial" w:hAnsi="Arial" w:cs="Arial"/>
          <w:sz w:val="22"/>
          <w:szCs w:val="22"/>
          <w:shd w:val="clear" w:color="auto" w:fill="FFFFFF" w:themeFill="background1"/>
        </w:rPr>
        <w:t xml:space="preserve">savoir si les faits dénoncés par le gouvernement requérant sont susceptibles de relever de la compétence de l’Etat défendeur même lorsqu'ils se produisent en dehors de son territoire national </w:t>
      </w:r>
      <w:r w:rsidRPr="00720D91">
        <w:rPr>
          <w:rStyle w:val="Appelnotedebasdep"/>
          <w:rFonts w:ascii="Arial" w:hAnsi="Arial" w:cs="Arial"/>
          <w:sz w:val="22"/>
          <w:szCs w:val="22"/>
          <w:shd w:val="clear" w:color="auto" w:fill="FFFFFF" w:themeFill="background1"/>
        </w:rPr>
        <w:footnoteReference w:id="59"/>
      </w:r>
      <w:r w:rsidRPr="00720D91">
        <w:rPr>
          <w:rFonts w:ascii="Arial" w:hAnsi="Arial" w:cs="Arial"/>
          <w:sz w:val="22"/>
          <w:szCs w:val="22"/>
          <w:shd w:val="clear" w:color="auto" w:fill="FFFFFF" w:themeFill="background1"/>
        </w:rPr>
        <w:t xml:space="preserve"> ou si ces faits relèvent de la compétence de l’Etat défendeur.</w:t>
      </w:r>
      <w:r w:rsidRPr="00720D91">
        <w:rPr>
          <w:rStyle w:val="Appelnotedebasdep"/>
          <w:rFonts w:ascii="Arial" w:hAnsi="Arial" w:cs="Arial"/>
          <w:sz w:val="22"/>
          <w:szCs w:val="22"/>
          <w:shd w:val="clear" w:color="auto" w:fill="FFFFFF" w:themeFill="background1"/>
        </w:rPr>
        <w:footnoteReference w:id="60"/>
      </w:r>
      <w:r w:rsidRPr="00720D91">
        <w:rPr>
          <w:rFonts w:ascii="Arial" w:hAnsi="Arial" w:cs="Arial"/>
          <w:sz w:val="22"/>
          <w:szCs w:val="22"/>
          <w:shd w:val="clear" w:color="auto" w:fill="FFFFFF" w:themeFill="background1"/>
        </w:rPr>
        <w:t xml:space="preserve"> La décision de la Cour sur ces questions préliminaires à ce stade de la procédure est sans préjudice des questions d'attribution et de responsabilité de l'État </w:t>
      </w:r>
      <w:r w:rsidRPr="00720D91">
        <w:rPr>
          <w:rFonts w:ascii="Arial" w:hAnsi="Arial" w:cs="Arial"/>
          <w:sz w:val="22"/>
          <w:szCs w:val="22"/>
          <w:shd w:val="clear" w:color="auto" w:fill="FFFFFF" w:themeFill="background1"/>
        </w:rPr>
        <w:lastRenderedPageBreak/>
        <w:t xml:space="preserve">défendeur au regard de la Convention pour les actes dénoncés, qui doivent être examinées au stade du fond de la procédure. </w:t>
      </w:r>
      <w:r w:rsidRPr="00720D91">
        <w:rPr>
          <w:rStyle w:val="Appelnotedebasdep"/>
          <w:rFonts w:ascii="Arial" w:hAnsi="Arial" w:cs="Arial"/>
          <w:sz w:val="22"/>
          <w:szCs w:val="22"/>
          <w:shd w:val="clear" w:color="auto" w:fill="FFFFFF" w:themeFill="background1"/>
        </w:rPr>
        <w:footnoteReference w:id="61"/>
      </w:r>
    </w:p>
    <w:p w14:paraId="4B690B03" w14:textId="77777777" w:rsidR="00720D91" w:rsidRPr="00720D91" w:rsidRDefault="00720D91" w:rsidP="00720D91">
      <w:pPr>
        <w:shd w:val="clear" w:color="auto" w:fill="FFFFFF" w:themeFill="background1"/>
        <w:autoSpaceDE w:val="0"/>
        <w:autoSpaceDN w:val="0"/>
        <w:adjustRightInd w:val="0"/>
        <w:spacing w:after="240"/>
        <w:ind w:firstLine="426"/>
        <w:jc w:val="both"/>
        <w:rPr>
          <w:rStyle w:val="sb8d990e2"/>
          <w:rFonts w:ascii="Arial" w:eastAsiaTheme="majorEastAsia" w:hAnsi="Arial" w:cs="Arial"/>
          <w:sz w:val="22"/>
          <w:szCs w:val="22"/>
          <w:shd w:val="clear" w:color="auto" w:fill="D9D9D9" w:themeFill="background1" w:themeFillShade="D9"/>
        </w:rPr>
      </w:pPr>
      <w:r w:rsidRPr="00720D91">
        <w:rPr>
          <w:rFonts w:ascii="Arial" w:hAnsi="Arial" w:cs="Arial"/>
          <w:sz w:val="22"/>
          <w:szCs w:val="22"/>
          <w:shd w:val="clear" w:color="auto" w:fill="FFFFFF" w:themeFill="background1"/>
        </w:rPr>
        <w:t>46. Parmi les autres exemples dans lesquels les institutions de la Convention ont procédé à un examen préliminaire du fond au stade de la recevabilité, on peut citer l'existence d'un commencement de</w:t>
      </w:r>
      <w:r w:rsidRPr="00720D91">
        <w:rPr>
          <w:rFonts w:ascii="Arial" w:hAnsi="Arial" w:cs="Arial"/>
          <w:i/>
          <w:iCs/>
          <w:sz w:val="22"/>
          <w:szCs w:val="22"/>
          <w:shd w:val="clear" w:color="auto" w:fill="FFFFFF" w:themeFill="background1"/>
        </w:rPr>
        <w:t xml:space="preserve"> </w:t>
      </w:r>
      <w:r w:rsidRPr="00720D91">
        <w:rPr>
          <w:rFonts w:ascii="Arial" w:hAnsi="Arial" w:cs="Arial"/>
          <w:sz w:val="22"/>
          <w:szCs w:val="22"/>
          <w:shd w:val="clear" w:color="auto" w:fill="FFFFFF" w:themeFill="background1"/>
        </w:rPr>
        <w:t xml:space="preserve">preuve d'une violation de la Convention à la lumière des preuves apportées par les Parties. </w:t>
      </w:r>
      <w:r w:rsidRPr="00720D91">
        <w:rPr>
          <w:rStyle w:val="Appelnotedebasdep"/>
          <w:rFonts w:ascii="Arial" w:hAnsi="Arial" w:cs="Arial"/>
          <w:sz w:val="22"/>
          <w:szCs w:val="22"/>
          <w:shd w:val="clear" w:color="auto" w:fill="FFFFFF" w:themeFill="background1"/>
        </w:rPr>
        <w:footnoteReference w:id="62"/>
      </w:r>
      <w:r w:rsidRPr="00720D91">
        <w:rPr>
          <w:rFonts w:ascii="Arial" w:hAnsi="Arial" w:cs="Arial"/>
          <w:sz w:val="22"/>
          <w:szCs w:val="22"/>
          <w:shd w:val="clear" w:color="auto" w:fill="FFFFFF" w:themeFill="background1"/>
        </w:rPr>
        <w:t xml:space="preserve"> Plus récemment, la Cour s'est prononcée au stade de la recevabilité sur l'existence d'un commencement de</w:t>
      </w:r>
      <w:r w:rsidRPr="00720D91">
        <w:rPr>
          <w:rFonts w:ascii="Arial" w:hAnsi="Arial" w:cs="Arial"/>
          <w:i/>
          <w:iCs/>
          <w:sz w:val="22"/>
          <w:szCs w:val="22"/>
          <w:shd w:val="clear" w:color="auto" w:fill="FFFFFF" w:themeFill="background1"/>
        </w:rPr>
        <w:t xml:space="preserve"> </w:t>
      </w:r>
      <w:r w:rsidRPr="00720D91">
        <w:rPr>
          <w:rFonts w:ascii="Arial" w:hAnsi="Arial" w:cs="Arial"/>
          <w:sz w:val="22"/>
          <w:szCs w:val="22"/>
          <w:shd w:val="clear" w:color="auto" w:fill="FFFFFF" w:themeFill="background1"/>
        </w:rPr>
        <w:t xml:space="preserve">preuve de l'existence d'une pratique administrative en relation avec chacune des plaintes déposées par le gouvernement requérant. </w:t>
      </w:r>
      <w:r w:rsidRPr="00720D91">
        <w:rPr>
          <w:rStyle w:val="Appelnotedebasdep"/>
          <w:rFonts w:ascii="Arial" w:hAnsi="Arial" w:cs="Arial"/>
          <w:sz w:val="22"/>
          <w:szCs w:val="22"/>
          <w:shd w:val="clear" w:color="auto" w:fill="FFFFFF" w:themeFill="background1"/>
        </w:rPr>
        <w:footnoteReference w:id="63"/>
      </w:r>
      <w:r w:rsidRPr="00720D91">
        <w:rPr>
          <w:rFonts w:ascii="Arial" w:hAnsi="Arial" w:cs="Arial"/>
          <w:sz w:val="22"/>
          <w:szCs w:val="22"/>
          <w:shd w:val="clear" w:color="auto" w:fill="FFFFFF" w:themeFill="background1"/>
        </w:rPr>
        <w:t xml:space="preserve"> Dans une autre affaire récente, la Cour s'est prononcée, au stade de la recevabilité, sur la question de </w:t>
      </w:r>
      <w:r w:rsidRPr="00720D91">
        <w:rPr>
          <w:rStyle w:val="sb8d990e2"/>
          <w:rFonts w:ascii="Arial" w:eastAsiaTheme="majorEastAsia" w:hAnsi="Arial" w:cs="Arial"/>
          <w:sz w:val="22"/>
          <w:szCs w:val="22"/>
          <w:shd w:val="clear" w:color="auto" w:fill="FFFFFF" w:themeFill="background1"/>
        </w:rPr>
        <w:t xml:space="preserve">savoir si la portée de l'article 33 </w:t>
      </w:r>
      <w:r w:rsidRPr="00720D91">
        <w:rPr>
          <w:rFonts w:ascii="Arial" w:hAnsi="Arial" w:cs="Arial"/>
          <w:sz w:val="22"/>
          <w:szCs w:val="22"/>
          <w:shd w:val="clear" w:color="auto" w:fill="FFFFFF" w:themeFill="background1"/>
        </w:rPr>
        <w:t xml:space="preserve">de la Convention permet à un gouvernement requérant de faire valoir les droits d'une organisation qui n'est pas « non gouvernementale » au sens de l'article 34 </w:t>
      </w:r>
      <w:r w:rsidRPr="00720D91">
        <w:rPr>
          <w:rStyle w:val="sb8d990e2"/>
          <w:rFonts w:ascii="Arial" w:eastAsiaTheme="majorEastAsia" w:hAnsi="Arial" w:cs="Arial"/>
          <w:sz w:val="22"/>
          <w:szCs w:val="22"/>
          <w:shd w:val="clear" w:color="auto" w:fill="FFFFFF" w:themeFill="background1"/>
        </w:rPr>
        <w:t>(cette question</w:t>
      </w:r>
      <w:r w:rsidRPr="00720D91">
        <w:rPr>
          <w:rStyle w:val="sb8d990e2"/>
          <w:rFonts w:ascii="Arial" w:eastAsiaTheme="majorEastAsia" w:hAnsi="Arial" w:cs="Arial"/>
          <w:sz w:val="22"/>
          <w:szCs w:val="22"/>
          <w:shd w:val="clear" w:color="auto" w:fill="D9D9D9" w:themeFill="background1" w:themeFillShade="D9"/>
        </w:rPr>
        <w:t xml:space="preserve"> </w:t>
      </w:r>
      <w:r w:rsidRPr="00720D91">
        <w:rPr>
          <w:rStyle w:val="sb8d990e2"/>
          <w:rFonts w:ascii="Arial" w:eastAsiaTheme="majorEastAsia" w:hAnsi="Arial" w:cs="Arial"/>
          <w:sz w:val="22"/>
          <w:szCs w:val="22"/>
        </w:rPr>
        <w:t xml:space="preserve">ne relève d'aucun </w:t>
      </w:r>
      <w:r w:rsidRPr="00720D91">
        <w:rPr>
          <w:rStyle w:val="sb8d990e2"/>
          <w:rFonts w:ascii="Arial" w:eastAsiaTheme="majorEastAsia" w:hAnsi="Arial" w:cs="Arial"/>
          <w:sz w:val="22"/>
          <w:szCs w:val="22"/>
          <w:shd w:val="clear" w:color="auto" w:fill="FFFFFF" w:themeFill="background1"/>
        </w:rPr>
        <w:t xml:space="preserve">des critères de recevabilité énoncés à l'article 35 de la Convention et relève plutôt de la compétence de la Cour au sens de l'article 32 § 2 de la Convention). </w:t>
      </w:r>
      <w:r w:rsidRPr="00720D91">
        <w:rPr>
          <w:rStyle w:val="Appelnotedebasdep"/>
          <w:rFonts w:ascii="Arial" w:hAnsi="Arial" w:cs="Arial"/>
          <w:sz w:val="22"/>
          <w:szCs w:val="22"/>
          <w:shd w:val="clear" w:color="auto" w:fill="FFFFFF" w:themeFill="background1"/>
        </w:rPr>
        <w:footnoteReference w:id="64"/>
      </w:r>
    </w:p>
    <w:p w14:paraId="17D8609D" w14:textId="77777777" w:rsidR="00720D91" w:rsidRPr="00720D91" w:rsidRDefault="00720D91" w:rsidP="00720D91">
      <w:pPr>
        <w:shd w:val="clear" w:color="auto" w:fill="FFFFFF" w:themeFill="background1"/>
        <w:autoSpaceDE w:val="0"/>
        <w:autoSpaceDN w:val="0"/>
        <w:adjustRightInd w:val="0"/>
        <w:spacing w:after="240"/>
        <w:ind w:firstLine="426"/>
        <w:jc w:val="both"/>
        <w:rPr>
          <w:rFonts w:ascii="Arial" w:hAnsi="Arial" w:cs="Arial"/>
          <w:sz w:val="22"/>
          <w:szCs w:val="22"/>
          <w:shd w:val="clear" w:color="auto" w:fill="D9D9D9" w:themeFill="background1" w:themeFillShade="D9"/>
        </w:rPr>
      </w:pPr>
      <w:r w:rsidRPr="00720D91">
        <w:rPr>
          <w:rStyle w:val="sb8d990e2"/>
          <w:rFonts w:ascii="Arial" w:eastAsiaTheme="majorEastAsia" w:hAnsi="Arial" w:cs="Arial"/>
          <w:sz w:val="22"/>
          <w:szCs w:val="22"/>
          <w:shd w:val="clear" w:color="auto" w:fill="FFFFFF" w:themeFill="background1"/>
        </w:rPr>
        <w:t xml:space="preserve">47. De plus, les institutions de la Convention ont examiné le contenu des requêtes interétatiques malgré le fait que la Convention ne permet pas de rejeter une requête interétatique au stade de la recevabilité comme constituant un abus du droit de pétition. La Commission l'a fait à la lumière d'un principe général selon lequel le droit de saisir une instance internationale ne doit pas faire l'objet d'un abus manifeste, en partant du principe qu'un tel principe général existe. </w:t>
      </w:r>
      <w:r w:rsidRPr="00720D91">
        <w:rPr>
          <w:rStyle w:val="Appelnotedebasdep"/>
          <w:rFonts w:ascii="Arial" w:hAnsi="Arial" w:cs="Arial"/>
          <w:sz w:val="22"/>
          <w:szCs w:val="22"/>
          <w:shd w:val="clear" w:color="auto" w:fill="FFFFFF" w:themeFill="background1"/>
        </w:rPr>
        <w:footnoteReference w:id="65"/>
      </w:r>
      <w:r w:rsidRPr="00720D91">
        <w:rPr>
          <w:rStyle w:val="sb8d990e2"/>
          <w:rFonts w:ascii="Arial" w:eastAsiaTheme="majorEastAsia" w:hAnsi="Arial" w:cs="Arial"/>
          <w:sz w:val="22"/>
          <w:szCs w:val="22"/>
          <w:shd w:val="clear" w:color="auto" w:fill="FFFFFF" w:themeFill="background1"/>
        </w:rPr>
        <w:t xml:space="preserve"> Dans ce contexte, la Commission s'est prononcée sur les allégations selon lesquelles la requête interétatique constitue un abus de la procédure prévue par la Convention en ce qu'elles contiennent des accusations de nature politique. </w:t>
      </w:r>
      <w:r w:rsidRPr="00720D91">
        <w:rPr>
          <w:rStyle w:val="Appelnotedebasdep"/>
          <w:rFonts w:ascii="Arial" w:hAnsi="Arial" w:cs="Arial"/>
          <w:sz w:val="22"/>
          <w:szCs w:val="22"/>
          <w:shd w:val="clear" w:color="auto" w:fill="FFFFFF" w:themeFill="background1"/>
        </w:rPr>
        <w:footnoteReference w:id="66"/>
      </w:r>
      <w:r w:rsidRPr="00720D91">
        <w:rPr>
          <w:rStyle w:val="sb8d990e2"/>
          <w:rFonts w:ascii="Arial" w:eastAsiaTheme="majorEastAsia" w:hAnsi="Arial" w:cs="Arial"/>
          <w:sz w:val="22"/>
          <w:szCs w:val="22"/>
          <w:shd w:val="clear" w:color="auto" w:fill="FFFFFF" w:themeFill="background1"/>
        </w:rPr>
        <w:t xml:space="preserve"> Plus récemment, en examinant si une requête interétatique ne remplissait pas les conditions d'une requête authentique au motif qu'elle posait à la Cour des questions politiques, la Cour a tenu compte de la nature juridique des questions soulevées devant elle par le gouvernement requérant.</w:t>
      </w:r>
      <w:r w:rsidRPr="00720D91">
        <w:rPr>
          <w:rStyle w:val="Appelnotedebasdep"/>
          <w:rFonts w:ascii="Arial" w:hAnsi="Arial" w:cs="Arial"/>
          <w:sz w:val="22"/>
          <w:szCs w:val="22"/>
          <w:shd w:val="clear" w:color="auto" w:fill="FFFFFF" w:themeFill="background1"/>
        </w:rPr>
        <w:footnoteReference w:id="67"/>
      </w:r>
      <w:r w:rsidRPr="00720D91">
        <w:rPr>
          <w:rStyle w:val="sb8d990e2"/>
          <w:rFonts w:ascii="Arial" w:eastAsiaTheme="majorEastAsia" w:hAnsi="Arial" w:cs="Arial"/>
          <w:sz w:val="22"/>
          <w:szCs w:val="22"/>
          <w:shd w:val="clear" w:color="auto" w:fill="FFFFFF" w:themeFill="background1"/>
        </w:rPr>
        <w:t xml:space="preserve"> Si ces questions comportent inévitablement une dimension politique, ce seul élément ne suffit pas pour autant à les priver de leur caractère juridique ; la Cour n'a jamais refusé d’examiner une affaire introduite devant elle au seul motif qu'elle aurait des implications politiques. </w:t>
      </w:r>
      <w:r w:rsidRPr="00720D91">
        <w:rPr>
          <w:rStyle w:val="Appelnotedebasdep"/>
          <w:rFonts w:ascii="Arial" w:hAnsi="Arial" w:cs="Arial"/>
          <w:sz w:val="22"/>
          <w:szCs w:val="22"/>
          <w:shd w:val="clear" w:color="auto" w:fill="FFFFFF" w:themeFill="background1"/>
        </w:rPr>
        <w:footnoteReference w:id="68"/>
      </w:r>
    </w:p>
    <w:p w14:paraId="62FF1770" w14:textId="77777777" w:rsidR="00720D91" w:rsidRPr="00720D91" w:rsidRDefault="00720D91" w:rsidP="00720D91">
      <w:pPr>
        <w:shd w:val="clear" w:color="auto" w:fill="FFFFFF" w:themeFill="background1"/>
        <w:autoSpaceDE w:val="0"/>
        <w:autoSpaceDN w:val="0"/>
        <w:adjustRightInd w:val="0"/>
        <w:spacing w:after="240"/>
        <w:ind w:firstLine="426"/>
        <w:jc w:val="both"/>
        <w:rPr>
          <w:rFonts w:ascii="Arial" w:hAnsi="Arial" w:cs="Arial"/>
          <w:sz w:val="22"/>
          <w:szCs w:val="22"/>
        </w:rPr>
      </w:pPr>
      <w:r w:rsidRPr="00720D91">
        <w:rPr>
          <w:rFonts w:ascii="Arial" w:hAnsi="Arial" w:cs="Arial"/>
          <w:sz w:val="22"/>
          <w:szCs w:val="22"/>
        </w:rPr>
        <w:t xml:space="preserve">48. Le critère de recevabilité consistant à prouver la </w:t>
      </w:r>
      <w:r w:rsidRPr="00720D91">
        <w:rPr>
          <w:rFonts w:ascii="Arial" w:hAnsi="Arial" w:cs="Arial"/>
          <w:b/>
          <w:i/>
          <w:sz w:val="22"/>
          <w:szCs w:val="22"/>
        </w:rPr>
        <w:t xml:space="preserve">qualité de victime </w:t>
      </w:r>
      <w:r w:rsidRPr="00720D91">
        <w:rPr>
          <w:rFonts w:ascii="Arial" w:hAnsi="Arial" w:cs="Arial"/>
          <w:sz w:val="22"/>
          <w:szCs w:val="22"/>
        </w:rPr>
        <w:t xml:space="preserve">ne s'applique qu'aux requêtes individuelles et non aux requêtes interétatiques. </w:t>
      </w:r>
      <w:r w:rsidRPr="00720D91">
        <w:rPr>
          <w:rFonts w:ascii="Arial" w:hAnsi="Arial" w:cs="Arial"/>
          <w:sz w:val="22"/>
          <w:szCs w:val="22"/>
          <w:shd w:val="clear" w:color="auto" w:fill="FFFFFF" w:themeFill="background1"/>
        </w:rPr>
        <w:t xml:space="preserve">La Cour a récemment examiné la question de savoir si la portée de l'article 33 de la Convention permet à un gouvernement requérant de défendre les droits d'une organisation qui n'est pas « non gouvernementale » au sens de l'article 34. </w:t>
      </w:r>
      <w:r w:rsidRPr="00720D91">
        <w:rPr>
          <w:rStyle w:val="Appelnotedebasdep"/>
          <w:rFonts w:ascii="Arial" w:hAnsi="Arial" w:cs="Arial"/>
          <w:sz w:val="22"/>
          <w:szCs w:val="22"/>
          <w:shd w:val="clear" w:color="auto" w:fill="FFFFFF" w:themeFill="background1"/>
        </w:rPr>
        <w:footnoteReference w:id="69"/>
      </w:r>
      <w:r w:rsidRPr="00720D91">
        <w:rPr>
          <w:rFonts w:ascii="Arial" w:hAnsi="Arial" w:cs="Arial"/>
          <w:sz w:val="22"/>
          <w:szCs w:val="22"/>
          <w:shd w:val="clear" w:color="auto" w:fill="FFFFFF" w:themeFill="background1"/>
        </w:rPr>
        <w:t xml:space="preserve"> En examinant la question préliminaire de savoir si elle peut examiner une telle requête, la Cour a noté que le gouvernement requérant est en droit de présenter une requête interétatique en vertu de l'article 33 de la Convention sans avoir à être d'une quelconque manière, même indirectement, lésé par les violations alléguées. </w:t>
      </w:r>
      <w:r w:rsidRPr="00720D91">
        <w:rPr>
          <w:rStyle w:val="Appelnotedebasdep"/>
          <w:rFonts w:ascii="Arial" w:hAnsi="Arial" w:cs="Arial"/>
          <w:sz w:val="22"/>
          <w:szCs w:val="22"/>
          <w:shd w:val="clear" w:color="auto" w:fill="FFFFFF" w:themeFill="background1"/>
        </w:rPr>
        <w:footnoteReference w:id="70"/>
      </w:r>
    </w:p>
    <w:p w14:paraId="6F330A90" w14:textId="77777777" w:rsidR="00720D91" w:rsidRPr="00720D91" w:rsidRDefault="00720D91" w:rsidP="00720D91">
      <w:pPr>
        <w:shd w:val="clear" w:color="auto" w:fill="FFFFFF" w:themeFill="background1"/>
        <w:autoSpaceDE w:val="0"/>
        <w:autoSpaceDN w:val="0"/>
        <w:adjustRightInd w:val="0"/>
        <w:spacing w:after="240"/>
        <w:ind w:firstLine="426"/>
        <w:jc w:val="both"/>
        <w:rPr>
          <w:rFonts w:ascii="Arial" w:hAnsi="Arial" w:cs="Arial"/>
          <w:sz w:val="22"/>
          <w:szCs w:val="22"/>
          <w:shd w:val="clear" w:color="auto" w:fill="D9D9D9" w:themeFill="background1" w:themeFillShade="D9"/>
        </w:rPr>
      </w:pPr>
      <w:r w:rsidRPr="00720D91">
        <w:rPr>
          <w:rStyle w:val="sb8d990e2"/>
          <w:rFonts w:ascii="Arial" w:eastAsiaTheme="majorEastAsia" w:hAnsi="Arial" w:cs="Arial"/>
          <w:sz w:val="22"/>
          <w:szCs w:val="22"/>
          <w:shd w:val="clear" w:color="auto" w:fill="FFFFFF" w:themeFill="background1"/>
        </w:rPr>
        <w:t xml:space="preserve">49. </w:t>
      </w:r>
      <w:r w:rsidRPr="00720D91">
        <w:rPr>
          <w:rFonts w:ascii="Arial" w:hAnsi="Arial" w:cs="Arial"/>
          <w:sz w:val="22"/>
          <w:szCs w:val="22"/>
          <w:shd w:val="clear" w:color="auto" w:fill="FFFFFF" w:themeFill="background1"/>
        </w:rPr>
        <w:t xml:space="preserve">La </w:t>
      </w:r>
      <w:r w:rsidRPr="00720D91">
        <w:rPr>
          <w:rStyle w:val="sb8d990e2"/>
          <w:rFonts w:ascii="Arial" w:eastAsiaTheme="majorEastAsia" w:hAnsi="Arial" w:cs="Arial"/>
          <w:sz w:val="22"/>
          <w:szCs w:val="22"/>
          <w:shd w:val="clear" w:color="auto" w:fill="FFFFFF" w:themeFill="background1"/>
        </w:rPr>
        <w:t xml:space="preserve">Cour a déterminé qu'il existe toutefois une corrélation systémique directe entre les articles 33 et 34 de la Convention en ce qu'une organisation qui n'est pas « non gouvernementale » au sens de l'article 34 ne peut faire défendre ses droits par un État  au </w:t>
      </w:r>
      <w:r w:rsidRPr="00720D91">
        <w:rPr>
          <w:rStyle w:val="sb8d990e2"/>
          <w:rFonts w:ascii="Arial" w:eastAsiaTheme="majorEastAsia" w:hAnsi="Arial" w:cs="Arial"/>
          <w:sz w:val="22"/>
          <w:szCs w:val="22"/>
          <w:shd w:val="clear" w:color="auto" w:fill="FFFFFF" w:themeFill="background1"/>
        </w:rPr>
        <w:lastRenderedPageBreak/>
        <w:t>moyen du mécanisme prévu par l'article 33.</w:t>
      </w:r>
      <w:r w:rsidRPr="00720D91">
        <w:rPr>
          <w:rStyle w:val="Appelnotedebasdep"/>
          <w:rFonts w:ascii="Arial" w:hAnsi="Arial" w:cs="Arial"/>
          <w:sz w:val="22"/>
          <w:szCs w:val="22"/>
          <w:shd w:val="clear" w:color="auto" w:fill="FFFFFF" w:themeFill="background1"/>
        </w:rPr>
        <w:footnoteReference w:id="71"/>
      </w:r>
      <w:r w:rsidRPr="00720D91">
        <w:rPr>
          <w:rStyle w:val="sb8d990e2"/>
          <w:rFonts w:ascii="Arial" w:eastAsiaTheme="majorEastAsia" w:hAnsi="Arial" w:cs="Arial"/>
          <w:sz w:val="22"/>
          <w:szCs w:val="22"/>
          <w:shd w:val="clear" w:color="auto" w:fill="FFFFFF" w:themeFill="background1"/>
        </w:rPr>
        <w:t xml:space="preserve"> En d'autres termes, l’article 33 de la Convention ne permet pas à un gouvernement requérant de défendre les droits d’une personne morale qui ne pourrait pas être qualifiée d’« organisation non gouvernementale » ni dès lors introduire une requête individuelle en vertu de l’article 34. </w:t>
      </w:r>
      <w:r w:rsidRPr="00720D91">
        <w:rPr>
          <w:rStyle w:val="Appelnotedebasdep"/>
          <w:rFonts w:ascii="Arial" w:hAnsi="Arial" w:cs="Arial"/>
          <w:sz w:val="22"/>
          <w:szCs w:val="22"/>
          <w:shd w:val="clear" w:color="auto" w:fill="FFFFFF" w:themeFill="background1"/>
        </w:rPr>
        <w:footnoteReference w:id="72"/>
      </w:r>
      <w:r w:rsidRPr="00720D91">
        <w:rPr>
          <w:rStyle w:val="sb8d990e2"/>
          <w:rFonts w:ascii="Arial" w:eastAsiaTheme="majorEastAsia" w:hAnsi="Arial" w:cs="Arial"/>
          <w:sz w:val="22"/>
          <w:szCs w:val="22"/>
          <w:shd w:val="clear" w:color="auto" w:fill="FFFFFF" w:themeFill="background1"/>
        </w:rPr>
        <w:t xml:space="preserve"> </w:t>
      </w:r>
    </w:p>
    <w:p w14:paraId="14291F37" w14:textId="77777777" w:rsidR="00720D91" w:rsidRPr="00720D91" w:rsidRDefault="00720D91" w:rsidP="00720D91">
      <w:pPr>
        <w:pStyle w:val="Commentaire"/>
        <w:shd w:val="clear" w:color="auto" w:fill="FFFFFF" w:themeFill="background1"/>
        <w:ind w:firstLine="426"/>
        <w:jc w:val="both"/>
        <w:rPr>
          <w:rFonts w:ascii="Arial" w:hAnsi="Arial"/>
          <w:sz w:val="22"/>
          <w:szCs w:val="22"/>
          <w:lang w:val="fr-FR"/>
        </w:rPr>
      </w:pPr>
      <w:r w:rsidRPr="00720D91">
        <w:rPr>
          <w:rFonts w:ascii="Arial" w:hAnsi="Arial"/>
          <w:sz w:val="22"/>
          <w:szCs w:val="22"/>
          <w:lang w:val="fr-FR"/>
        </w:rPr>
        <w:t xml:space="preserve">50. Le DH-SYSC-IV note qu'une question est soulevée concernant le statut de victime, à savoir si celui-ci est nécessaire et comment distinguer entre, d'une part, le droit procédural d'un État partie en vertu de l'article 33 d'introduire une requête interétatique pour les violations des droits substantiels de la Convention d'une ou plusieurs victimes particulières (qualité pour agir en vertu de l'article 33) et le statut de victime d'un requérant aux fins d'une requête individuelle en vertu de l'article 34 (qualité pour agir en vertu de l'article 34 de la Convention). Le Groupe de rédaction continuera à se pencher sur cette question. </w:t>
      </w:r>
    </w:p>
    <w:p w14:paraId="089F3FD9" w14:textId="77777777" w:rsidR="00720D91" w:rsidRPr="00720D91" w:rsidRDefault="00720D91" w:rsidP="00720D91">
      <w:pPr>
        <w:pStyle w:val="Titre2"/>
        <w:shd w:val="clear" w:color="auto" w:fill="FFFFFF" w:themeFill="background1"/>
        <w:ind w:firstLine="426"/>
        <w:rPr>
          <w:rFonts w:cs="Arial"/>
          <w:iCs/>
          <w:sz w:val="22"/>
          <w:szCs w:val="22"/>
          <w:lang w:val="fr-FR"/>
        </w:rPr>
      </w:pPr>
      <w:bookmarkStart w:id="18" w:name="_Toc83293806"/>
      <w:r w:rsidRPr="00720D91">
        <w:rPr>
          <w:rFonts w:cs="Arial"/>
          <w:iCs/>
          <w:sz w:val="22"/>
          <w:szCs w:val="22"/>
          <w:lang w:val="fr-FR"/>
        </w:rPr>
        <w:t>3. Questions procédurales</w:t>
      </w:r>
      <w:bookmarkEnd w:id="18"/>
      <w:r w:rsidRPr="00720D91">
        <w:rPr>
          <w:rFonts w:cs="Arial"/>
          <w:iCs/>
          <w:sz w:val="22"/>
          <w:szCs w:val="22"/>
          <w:lang w:val="fr-FR"/>
        </w:rPr>
        <w:t xml:space="preserve"> </w:t>
      </w:r>
    </w:p>
    <w:p w14:paraId="60612A84" w14:textId="77777777" w:rsidR="00720D91" w:rsidRPr="00720D91" w:rsidRDefault="00720D91" w:rsidP="00720D91">
      <w:pPr>
        <w:pStyle w:val="Sansinterligne"/>
        <w:rPr>
          <w:sz w:val="22"/>
          <w:szCs w:val="22"/>
        </w:rPr>
      </w:pPr>
    </w:p>
    <w:p w14:paraId="0AA8FD1F" w14:textId="77777777" w:rsidR="00720D91" w:rsidRPr="00720D91" w:rsidRDefault="00720D91" w:rsidP="00720D91">
      <w:pPr>
        <w:spacing w:after="240"/>
        <w:ind w:firstLine="426"/>
        <w:jc w:val="both"/>
        <w:rPr>
          <w:rFonts w:ascii="Arial" w:hAnsi="Arial" w:cs="Arial"/>
          <w:sz w:val="22"/>
          <w:szCs w:val="22"/>
        </w:rPr>
      </w:pPr>
      <w:r w:rsidRPr="00720D91">
        <w:rPr>
          <w:rFonts w:ascii="Arial" w:hAnsi="Arial" w:cs="Arial"/>
          <w:sz w:val="22"/>
          <w:szCs w:val="22"/>
        </w:rPr>
        <w:t>51. Le DH-SYSC-IV note que la jurisprudence de la Cour ainsi que les observations de la Cour</w:t>
      </w:r>
      <w:r w:rsidRPr="00720D91">
        <w:rPr>
          <w:rStyle w:val="Appelnotedebasdep"/>
          <w:rFonts w:ascii="Arial" w:hAnsi="Arial" w:cs="Arial"/>
          <w:sz w:val="22"/>
          <w:szCs w:val="22"/>
        </w:rPr>
        <w:footnoteReference w:id="73"/>
      </w:r>
      <w:r w:rsidRPr="00720D91">
        <w:rPr>
          <w:rFonts w:ascii="Arial" w:hAnsi="Arial" w:cs="Arial"/>
          <w:sz w:val="22"/>
          <w:szCs w:val="22"/>
        </w:rPr>
        <w:t xml:space="preserve"> n'ont pas reconnu ni identifié le fait d’avoir des critères de recevabilité différents comme posant des défis en ce qui concerne le traitement parallèle des requêtes interétatiques et des requêtes individuelles liées. </w:t>
      </w:r>
    </w:p>
    <w:p w14:paraId="100348B6" w14:textId="77777777" w:rsidR="00720D91" w:rsidRPr="00720D91" w:rsidRDefault="00720D91" w:rsidP="00720D91">
      <w:pPr>
        <w:spacing w:after="240"/>
        <w:ind w:firstLine="426"/>
        <w:jc w:val="both"/>
        <w:rPr>
          <w:rFonts w:ascii="Arial" w:hAnsi="Arial" w:cs="Arial"/>
          <w:sz w:val="22"/>
          <w:szCs w:val="22"/>
        </w:rPr>
      </w:pPr>
      <w:r w:rsidRPr="00720D91">
        <w:rPr>
          <w:rFonts w:ascii="Arial" w:hAnsi="Arial" w:cs="Arial"/>
          <w:sz w:val="22"/>
          <w:szCs w:val="22"/>
        </w:rPr>
        <w:t>52. Les critères de recevabilité applicables aux requêtes introduites en vertu de l'article 33 de la Convention, telles qu'elles ont été énoncées à l'article 35 § 1, reflètent les caractéristiques inhérentes et la fonction spécifique des requêtes interétatiques dans le système de la Convention, qui permettent aux États parties de protéger l'ordre public européen dans le cadre de la responsabilité collective découlant de la Convention. Les requêtes interétatiques restent en définitive concernées par la protection des droits fondamentaux des individus. De ce point de vue, en introduisant une requête interétatique, un État n'exerce pas tant un droit d'action visant à faire valoir ses propres droits qu'il ne porte devant la Cour une violation alléguée de l'ordre public européen (voir section IV/1 ci-dessus).</w:t>
      </w:r>
    </w:p>
    <w:p w14:paraId="6909154D" w14:textId="77777777" w:rsidR="00720D91" w:rsidRPr="00720D91" w:rsidRDefault="00720D91" w:rsidP="00720D91">
      <w:pPr>
        <w:spacing w:after="240"/>
        <w:ind w:firstLine="426"/>
        <w:jc w:val="both"/>
        <w:rPr>
          <w:rFonts w:ascii="Arial" w:hAnsi="Arial" w:cs="Arial"/>
          <w:sz w:val="22"/>
          <w:szCs w:val="22"/>
        </w:rPr>
      </w:pPr>
      <w:r w:rsidRPr="00720D91">
        <w:rPr>
          <w:rFonts w:ascii="Arial" w:hAnsi="Arial" w:cs="Arial"/>
          <w:sz w:val="22"/>
          <w:szCs w:val="22"/>
        </w:rPr>
        <w:t xml:space="preserve">53. Par ailleurs, une série de questions de procédure est soulevée par une délégation sur divers aspects de l’examen parallèle des requêtes interétatiques et les requêtes individuelles liées. </w:t>
      </w:r>
      <w:r w:rsidRPr="00720D91">
        <w:rPr>
          <w:rStyle w:val="Appelnotedebasdep"/>
          <w:rFonts w:ascii="Arial" w:hAnsi="Arial" w:cs="Arial"/>
          <w:sz w:val="22"/>
          <w:szCs w:val="22"/>
        </w:rPr>
        <w:footnoteReference w:id="74"/>
      </w:r>
      <w:r w:rsidRPr="00720D91">
        <w:rPr>
          <w:rFonts w:ascii="Arial" w:hAnsi="Arial" w:cs="Arial"/>
          <w:sz w:val="22"/>
          <w:szCs w:val="22"/>
        </w:rPr>
        <w:t xml:space="preserve"> </w:t>
      </w:r>
    </w:p>
    <w:p w14:paraId="1C832B1A" w14:textId="77777777" w:rsidR="00720D91" w:rsidRPr="00720D91" w:rsidRDefault="00720D91" w:rsidP="00720D91">
      <w:pPr>
        <w:pStyle w:val="Default"/>
        <w:ind w:firstLine="426"/>
        <w:jc w:val="both"/>
        <w:rPr>
          <w:color w:val="auto"/>
          <w:sz w:val="22"/>
          <w:szCs w:val="22"/>
          <w:shd w:val="clear" w:color="auto" w:fill="FFFFFF" w:themeFill="background1"/>
          <w:lang w:bidi="en-US"/>
        </w:rPr>
      </w:pPr>
      <w:r w:rsidRPr="00720D91">
        <w:rPr>
          <w:sz w:val="22"/>
          <w:szCs w:val="22"/>
        </w:rPr>
        <w:t>54. Tout d'abord, cette délégation a soulevé la question de savoir si une requête interétatique peut être introduite si une requête individuelle relative aux mêmes événements est pendante devant la Cour</w:t>
      </w:r>
      <w:r w:rsidRPr="00720D91">
        <w:rPr>
          <w:color w:val="auto"/>
          <w:sz w:val="22"/>
          <w:szCs w:val="22"/>
        </w:rPr>
        <w:t>.</w:t>
      </w:r>
      <w:r w:rsidRPr="00720D91">
        <w:rPr>
          <w:rStyle w:val="Appelnotedebasdep"/>
          <w:color w:val="auto"/>
          <w:sz w:val="22"/>
          <w:szCs w:val="22"/>
        </w:rPr>
        <w:footnoteReference w:id="75"/>
      </w:r>
      <w:r w:rsidRPr="00720D91">
        <w:rPr>
          <w:color w:val="auto"/>
          <w:sz w:val="22"/>
          <w:szCs w:val="22"/>
          <w:shd w:val="clear" w:color="auto" w:fill="FFFFFF" w:themeFill="background1"/>
          <w:lang w:bidi="en-US"/>
        </w:rPr>
        <w:t xml:space="preserve"> </w:t>
      </w:r>
    </w:p>
    <w:p w14:paraId="6F194F25" w14:textId="77777777" w:rsidR="00720D91" w:rsidRPr="00720D91" w:rsidRDefault="00720D91" w:rsidP="00720D91">
      <w:pPr>
        <w:pStyle w:val="Default"/>
        <w:ind w:firstLine="426"/>
        <w:jc w:val="both"/>
        <w:rPr>
          <w:color w:val="auto"/>
          <w:sz w:val="22"/>
          <w:szCs w:val="22"/>
          <w:shd w:val="clear" w:color="auto" w:fill="FFFFFF" w:themeFill="background1"/>
          <w:lang w:bidi="en-US"/>
        </w:rPr>
      </w:pPr>
    </w:p>
    <w:p w14:paraId="38FE4251" w14:textId="77777777" w:rsidR="00720D91" w:rsidRPr="00720D91" w:rsidRDefault="00720D91" w:rsidP="00720D91">
      <w:pPr>
        <w:pStyle w:val="Default"/>
        <w:ind w:firstLine="426"/>
        <w:jc w:val="both"/>
        <w:rPr>
          <w:sz w:val="22"/>
          <w:szCs w:val="22"/>
        </w:rPr>
      </w:pPr>
      <w:r w:rsidRPr="00720D91">
        <w:rPr>
          <w:color w:val="auto"/>
          <w:sz w:val="22"/>
          <w:szCs w:val="22"/>
          <w:shd w:val="clear" w:color="auto" w:fill="FFFFFF" w:themeFill="background1"/>
          <w:lang w:bidi="en-US"/>
        </w:rPr>
        <w:t>55. Le DH-SYSC-IV note que la Cour a jugé qu'une requête interétatique ne prive pas les requérants individuels de la possibilité d'introduire ou de poursuivre leurs propres demandes.</w:t>
      </w:r>
      <w:r w:rsidRPr="00720D91">
        <w:rPr>
          <w:sz w:val="22"/>
          <w:szCs w:val="22"/>
        </w:rPr>
        <w:t xml:space="preserve"> </w:t>
      </w:r>
      <w:r w:rsidRPr="00720D91">
        <w:rPr>
          <w:rStyle w:val="Appelnotedebasdep"/>
          <w:sz w:val="22"/>
          <w:szCs w:val="22"/>
        </w:rPr>
        <w:footnoteReference w:id="76"/>
      </w:r>
      <w:r w:rsidRPr="00720D91">
        <w:rPr>
          <w:color w:val="auto"/>
          <w:sz w:val="22"/>
          <w:szCs w:val="22"/>
          <w:shd w:val="clear" w:color="auto" w:fill="FFFFFF" w:themeFill="background1"/>
          <w:lang w:bidi="en-US"/>
        </w:rPr>
        <w:t xml:space="preserve">  Selon la pratique récente de la Cour en matière de priorisation, lorsqu'une affaire interétatique est pendante, les requêtes individuelles soulevant les mêmes questions ou découlant des mêmes circonstances sous-jacentes ne sont, en principe et dans la mesure du possible, pas tranchées avant que les questions primordiales découlant de la procédure interétatique aient été déterminées dans l'affaire interétatique.</w:t>
      </w:r>
      <w:r w:rsidRPr="00720D91">
        <w:rPr>
          <w:rStyle w:val="Appelnotedebasdep"/>
          <w:sz w:val="22"/>
          <w:szCs w:val="22"/>
        </w:rPr>
        <w:footnoteReference w:id="77"/>
      </w:r>
      <w:r w:rsidRPr="00720D91">
        <w:rPr>
          <w:sz w:val="22"/>
          <w:szCs w:val="22"/>
        </w:rPr>
        <w:t xml:space="preserve"> </w:t>
      </w:r>
      <w:r w:rsidRPr="00720D91">
        <w:rPr>
          <w:color w:val="auto"/>
          <w:sz w:val="22"/>
          <w:szCs w:val="22"/>
          <w:shd w:val="clear" w:color="auto" w:fill="FFFFFF" w:themeFill="background1"/>
          <w:lang w:bidi="en-US"/>
        </w:rPr>
        <w:t xml:space="preserve">Cela ne signifie pas que la </w:t>
      </w:r>
      <w:r w:rsidRPr="00720D91">
        <w:rPr>
          <w:color w:val="auto"/>
          <w:sz w:val="22"/>
          <w:szCs w:val="22"/>
          <w:shd w:val="clear" w:color="auto" w:fill="FFFFFF" w:themeFill="background1"/>
          <w:lang w:bidi="en-US"/>
        </w:rPr>
        <w:lastRenderedPageBreak/>
        <w:t>Cour met ces affaires de côté. Au contraire, la Cour identifie et examine de manière systématique les requêtes individuelles relatives aux affaires interétatiques en parallèle avec les requêtes interétatiques ainsi que les requêtes individuelles relatives aux affaires ou conflits interétatiques (en l'absence d'affaires interétatiques) et peut prendre les décisions qu'elle juge appropriées telles que déclarer irrecevables celles qui sont manifestement mal fondées.</w:t>
      </w:r>
      <w:r w:rsidRPr="00720D91">
        <w:rPr>
          <w:rStyle w:val="Appelnotedebasdep"/>
          <w:sz w:val="22"/>
          <w:szCs w:val="22"/>
        </w:rPr>
        <w:footnoteReference w:id="78"/>
      </w:r>
      <w:r w:rsidRPr="00720D91">
        <w:rPr>
          <w:sz w:val="22"/>
          <w:szCs w:val="22"/>
        </w:rPr>
        <w:t xml:space="preserve"> </w:t>
      </w:r>
    </w:p>
    <w:p w14:paraId="0D42EB48" w14:textId="77777777" w:rsidR="00720D91" w:rsidRPr="00720D91" w:rsidRDefault="00720D91" w:rsidP="00720D91">
      <w:pPr>
        <w:pStyle w:val="Default"/>
        <w:ind w:firstLine="426"/>
        <w:jc w:val="both"/>
        <w:rPr>
          <w:sz w:val="22"/>
          <w:szCs w:val="22"/>
        </w:rPr>
      </w:pPr>
    </w:p>
    <w:p w14:paraId="5B48D211" w14:textId="77777777" w:rsidR="00720D91" w:rsidRPr="00720D91" w:rsidRDefault="00720D91" w:rsidP="00720D91">
      <w:pPr>
        <w:pStyle w:val="Default"/>
        <w:shd w:val="clear" w:color="auto" w:fill="FFFFFF" w:themeFill="background1"/>
        <w:ind w:firstLine="426"/>
        <w:jc w:val="both"/>
        <w:rPr>
          <w:color w:val="auto"/>
          <w:sz w:val="22"/>
          <w:szCs w:val="22"/>
          <w:shd w:val="clear" w:color="auto" w:fill="FFFFFF" w:themeFill="background1"/>
          <w:lang w:bidi="en-US"/>
        </w:rPr>
      </w:pPr>
      <w:r w:rsidRPr="00720D91">
        <w:rPr>
          <w:sz w:val="22"/>
          <w:szCs w:val="22"/>
        </w:rPr>
        <w:t xml:space="preserve">56. Récemment, la Cour a également décidé que toutes les requêtes individuelles liées à des affaires interétatiques qui n'ont pas été déclarées irrecevables ou radiées dès le départ devaient être communiquées au(x) gouvernement(s) défendeur(s) approprié(s) pour observations, parallèlement à l'affaire interétatique. Après avoir reçu les observations en réponse des gouvernements et des requérants, la Cour a l'intention d'enregistrer un ajournement pour chaque affaire, dans l'attente d'un arrêt dans l'affaire interétatique, afin que les dossiers soient complets et prêts pour une décision ou un arrêt dès que possible par la suite. </w:t>
      </w:r>
      <w:r w:rsidRPr="00720D91">
        <w:rPr>
          <w:rStyle w:val="Appelnotedebasdep"/>
          <w:sz w:val="22"/>
          <w:szCs w:val="22"/>
        </w:rPr>
        <w:footnoteReference w:id="79"/>
      </w:r>
      <w:r w:rsidRPr="00720D91">
        <w:rPr>
          <w:sz w:val="22"/>
          <w:szCs w:val="22"/>
        </w:rPr>
        <w:t xml:space="preserve"> </w:t>
      </w:r>
    </w:p>
    <w:p w14:paraId="13AFB6C3" w14:textId="77777777" w:rsidR="00720D91" w:rsidRPr="00720D91" w:rsidRDefault="00720D91" w:rsidP="00720D91">
      <w:pPr>
        <w:pStyle w:val="Default"/>
        <w:shd w:val="clear" w:color="auto" w:fill="FFFFFF" w:themeFill="background1"/>
        <w:jc w:val="both"/>
        <w:rPr>
          <w:b/>
          <w:color w:val="FF0000"/>
          <w:sz w:val="22"/>
          <w:szCs w:val="22"/>
          <w:lang w:bidi="en-US"/>
        </w:rPr>
      </w:pPr>
    </w:p>
    <w:p w14:paraId="57030F7C" w14:textId="77777777" w:rsidR="00720D91" w:rsidRPr="00720D91" w:rsidRDefault="00720D91" w:rsidP="00720D91">
      <w:pPr>
        <w:pStyle w:val="Default"/>
        <w:shd w:val="clear" w:color="auto" w:fill="FFFFFF" w:themeFill="background1"/>
        <w:ind w:firstLine="426"/>
        <w:jc w:val="both"/>
        <w:rPr>
          <w:sz w:val="22"/>
          <w:szCs w:val="22"/>
        </w:rPr>
      </w:pPr>
      <w:r w:rsidRPr="00720D91">
        <w:rPr>
          <w:bCs/>
          <w:color w:val="auto"/>
          <w:sz w:val="22"/>
          <w:szCs w:val="22"/>
          <w:lang w:bidi="en-US"/>
        </w:rPr>
        <w:t xml:space="preserve">57. D'autres pratiques de la Cour qui cherche à accroître l'efficacité dans le traitement des requêtes interétatiques concernent l'ajustement de ce traitement en fonction de critères géographiques ou temporels ou des questions juridiques soulevées. </w:t>
      </w:r>
      <w:r w:rsidRPr="00720D91">
        <w:rPr>
          <w:rStyle w:val="Appelnotedebasdep"/>
          <w:sz w:val="22"/>
          <w:szCs w:val="22"/>
        </w:rPr>
        <w:footnoteReference w:id="80"/>
      </w:r>
      <w:r w:rsidRPr="00720D91">
        <w:rPr>
          <w:bCs/>
          <w:color w:val="auto"/>
          <w:sz w:val="22"/>
          <w:szCs w:val="22"/>
          <w:lang w:bidi="en-US"/>
        </w:rPr>
        <w:t xml:space="preserve"> La Cour a décidé de joindre à la requête interétatique </w:t>
      </w:r>
      <w:r w:rsidRPr="00720D91">
        <w:rPr>
          <w:bCs/>
          <w:i/>
          <w:iCs/>
          <w:color w:val="auto"/>
          <w:sz w:val="22"/>
          <w:szCs w:val="22"/>
          <w:lang w:bidi="en-US"/>
        </w:rPr>
        <w:t>Ukraine c. Russie (Ukraine de l’Est),</w:t>
      </w:r>
      <w:r w:rsidRPr="00720D91">
        <w:rPr>
          <w:bCs/>
          <w:color w:val="auto"/>
          <w:sz w:val="22"/>
          <w:szCs w:val="22"/>
          <w:lang w:bidi="en-US"/>
        </w:rPr>
        <w:t xml:space="preserve"> n° 8019/16, deux requêtes interétatiques, </w:t>
      </w:r>
      <w:r w:rsidRPr="00720D91">
        <w:rPr>
          <w:bCs/>
          <w:i/>
          <w:iCs/>
          <w:color w:val="auto"/>
          <w:sz w:val="22"/>
          <w:szCs w:val="22"/>
          <w:lang w:bidi="en-US"/>
        </w:rPr>
        <w:t>Ukraine c. Russie (II),</w:t>
      </w:r>
      <w:r w:rsidRPr="00720D91">
        <w:rPr>
          <w:bCs/>
          <w:color w:val="auto"/>
          <w:sz w:val="22"/>
          <w:szCs w:val="22"/>
          <w:lang w:bidi="en-US"/>
        </w:rPr>
        <w:t xml:space="preserve"> n° 43800/14, et Pays-Bas c. Russie, n°281999/16. 43800/14, et Pays-Bas c. Russie, n° 28525/20, qui étaient pendantes devant une chambre. Cette décision a été prise conformément aux articles 42 § 1 et 71 § 1 du Règlement de la Cour dans l'intérêt d'une administration efficace de la justice.</w:t>
      </w:r>
      <w:r w:rsidRPr="00720D91">
        <w:rPr>
          <w:sz w:val="22"/>
          <w:szCs w:val="22"/>
        </w:rPr>
        <w:t xml:space="preserve"> </w:t>
      </w:r>
      <w:r w:rsidRPr="00720D91">
        <w:rPr>
          <w:rStyle w:val="Appelnotedebasdep"/>
          <w:sz w:val="22"/>
          <w:szCs w:val="22"/>
        </w:rPr>
        <w:footnoteReference w:id="81"/>
      </w:r>
      <w:r w:rsidRPr="00720D91">
        <w:rPr>
          <w:sz w:val="22"/>
          <w:szCs w:val="22"/>
          <w:vertAlign w:val="superscript"/>
        </w:rPr>
        <w:t xml:space="preserve"> </w:t>
      </w:r>
      <w:r w:rsidRPr="00720D91">
        <w:rPr>
          <w:bCs/>
          <w:color w:val="auto"/>
          <w:sz w:val="22"/>
          <w:szCs w:val="22"/>
          <w:lang w:bidi="en-US"/>
        </w:rPr>
        <w:t xml:space="preserve"> Dans une autre affaire interétatique, la Cour a disséqué l'objet de la requête (à savoir l'allégation spécifique de l'existence d'un ensemble de violations des droits de l'homme) en le distinguant des questions relatives à des événements spécifiques qu'elle a considérés comme ne constituant pas un élément essentiel de la base factuelle et probante, n'ayant pas de rapport matériel direct avec la question à trancher par la Cour ou ne constituant pas l'objet du litige devant la Cour.</w:t>
      </w:r>
      <w:r w:rsidRPr="00720D91">
        <w:rPr>
          <w:sz w:val="22"/>
          <w:szCs w:val="22"/>
        </w:rPr>
        <w:t xml:space="preserve"> </w:t>
      </w:r>
      <w:r w:rsidRPr="00720D91">
        <w:rPr>
          <w:rStyle w:val="Appelnotedebasdep"/>
          <w:sz w:val="22"/>
          <w:szCs w:val="22"/>
        </w:rPr>
        <w:footnoteReference w:id="82"/>
      </w:r>
      <w:r w:rsidRPr="00720D91">
        <w:rPr>
          <w:bCs/>
          <w:color w:val="auto"/>
          <w:sz w:val="22"/>
          <w:szCs w:val="22"/>
          <w:lang w:bidi="en-US"/>
        </w:rPr>
        <w:t xml:space="preserve">  En outre, la Cour a estimé que ces événements spécifiques faisaient l'objet d'un certain nombre de requêtes individuelles pendantes devant la Cour. </w:t>
      </w:r>
      <w:r w:rsidRPr="00720D91">
        <w:rPr>
          <w:rStyle w:val="Appelnotedebasdep"/>
          <w:sz w:val="22"/>
          <w:szCs w:val="22"/>
        </w:rPr>
        <w:footnoteReference w:id="83"/>
      </w:r>
      <w:r w:rsidRPr="00720D91">
        <w:rPr>
          <w:sz w:val="22"/>
          <w:szCs w:val="22"/>
        </w:rPr>
        <w:t xml:space="preserve">   </w:t>
      </w:r>
    </w:p>
    <w:p w14:paraId="2B75EE2D" w14:textId="77777777" w:rsidR="00720D91" w:rsidRPr="00720D91" w:rsidRDefault="00720D91" w:rsidP="00720D91">
      <w:pPr>
        <w:pStyle w:val="Default"/>
        <w:shd w:val="clear" w:color="auto" w:fill="FFFFFF" w:themeFill="background1"/>
        <w:ind w:firstLine="426"/>
        <w:jc w:val="both"/>
        <w:rPr>
          <w:sz w:val="22"/>
          <w:szCs w:val="22"/>
        </w:rPr>
      </w:pPr>
    </w:p>
    <w:p w14:paraId="663EFDED" w14:textId="77777777" w:rsidR="00720D91" w:rsidRPr="00720D91" w:rsidRDefault="00720D91" w:rsidP="00720D91">
      <w:pPr>
        <w:pStyle w:val="Default"/>
        <w:shd w:val="clear" w:color="auto" w:fill="FFFFFF" w:themeFill="background1"/>
        <w:ind w:firstLine="426"/>
        <w:jc w:val="both"/>
        <w:rPr>
          <w:bCs/>
          <w:color w:val="auto"/>
          <w:sz w:val="22"/>
          <w:szCs w:val="22"/>
        </w:rPr>
      </w:pPr>
      <w:r w:rsidRPr="00720D91">
        <w:rPr>
          <w:sz w:val="22"/>
          <w:szCs w:val="22"/>
        </w:rPr>
        <w:t>58. Le DH-SYSC-IV prend note des pratiques de la Cour en matière de priorisation des affaires interétatiques et d'ajournement des requêtes individuelles parallèles ainsi que des pratiques évolutives d'ajustement du traitement des affaires interétatiques en fonction de critères géographiques ou temporels ou des questions juridiques soulevées. Il continuera d'examiner l'opportunité de formaliser ces pratiques et d'étudier la question de l'échange de positions concernant les requêtes individuelles pendant la période précédant le prononcé d'une décision sur la recevabilité ou d'un arrêt sur le fond d'une affaire interétatique liée.</w:t>
      </w:r>
    </w:p>
    <w:p w14:paraId="19A0552D" w14:textId="77777777" w:rsidR="00720D91" w:rsidRPr="00720D91" w:rsidRDefault="00720D91" w:rsidP="00720D91">
      <w:pPr>
        <w:pStyle w:val="Default"/>
        <w:shd w:val="clear" w:color="auto" w:fill="FFFFFF" w:themeFill="background1"/>
        <w:jc w:val="both"/>
        <w:rPr>
          <w:b/>
          <w:color w:val="FF0000"/>
          <w:sz w:val="22"/>
          <w:szCs w:val="22"/>
          <w:shd w:val="clear" w:color="auto" w:fill="D9D9D9" w:themeFill="background1" w:themeFillShade="D9"/>
          <w:lang w:bidi="en-US"/>
        </w:rPr>
      </w:pPr>
      <w:r w:rsidRPr="00720D91">
        <w:rPr>
          <w:b/>
          <w:color w:val="FF0000"/>
          <w:sz w:val="22"/>
          <w:szCs w:val="22"/>
          <w:shd w:val="clear" w:color="auto" w:fill="D9D9D9" w:themeFill="background1" w:themeFillShade="D9"/>
          <w:lang w:bidi="en-US"/>
        </w:rPr>
        <w:t xml:space="preserve"> </w:t>
      </w:r>
    </w:p>
    <w:p w14:paraId="36F05E4A" w14:textId="77777777" w:rsidR="00720D91" w:rsidRPr="00720D91" w:rsidRDefault="00720D91" w:rsidP="00720D91">
      <w:pPr>
        <w:pStyle w:val="Sansinterligne"/>
        <w:ind w:firstLine="426"/>
        <w:jc w:val="both"/>
        <w:rPr>
          <w:rFonts w:ascii="Arial" w:hAnsi="Arial" w:cs="Arial"/>
          <w:sz w:val="22"/>
          <w:szCs w:val="22"/>
        </w:rPr>
      </w:pPr>
      <w:r w:rsidRPr="00720D91">
        <w:rPr>
          <w:rFonts w:ascii="Arial" w:hAnsi="Arial" w:cs="Arial"/>
          <w:sz w:val="22"/>
          <w:szCs w:val="22"/>
        </w:rPr>
        <w:t xml:space="preserve">59. </w:t>
      </w:r>
      <w:r w:rsidRPr="00720D91">
        <w:rPr>
          <w:rFonts w:ascii="Arial" w:hAnsi="Arial" w:cs="Arial"/>
          <w:b/>
          <w:bCs/>
          <w:i/>
          <w:iCs/>
          <w:sz w:val="22"/>
          <w:szCs w:val="22"/>
        </w:rPr>
        <w:t>Deuxièmement</w:t>
      </w:r>
      <w:r w:rsidRPr="00720D91">
        <w:rPr>
          <w:rFonts w:ascii="Arial" w:hAnsi="Arial" w:cs="Arial"/>
          <w:sz w:val="22"/>
          <w:szCs w:val="22"/>
        </w:rPr>
        <w:t xml:space="preserve">, une question se pose quant aux </w:t>
      </w:r>
      <w:r w:rsidRPr="00720D91">
        <w:rPr>
          <w:rFonts w:ascii="Arial" w:hAnsi="Arial" w:cs="Arial"/>
          <w:b/>
          <w:sz w:val="22"/>
          <w:szCs w:val="22"/>
        </w:rPr>
        <w:t xml:space="preserve">risques potentiels de duplication et d'incohérence </w:t>
      </w:r>
      <w:r w:rsidRPr="00720D91">
        <w:rPr>
          <w:rFonts w:ascii="Arial" w:hAnsi="Arial" w:cs="Arial"/>
          <w:sz w:val="22"/>
          <w:szCs w:val="22"/>
        </w:rPr>
        <w:t>découlant du traitement en parallèle de requêtes interétatiques et individuelles introduites en rapport avec les mêmes événements.</w:t>
      </w:r>
      <w:r w:rsidRPr="00720D91">
        <w:rPr>
          <w:rFonts w:ascii="Arial" w:hAnsi="Arial" w:cs="Arial"/>
          <w:sz w:val="22"/>
          <w:szCs w:val="22"/>
          <w:vertAlign w:val="superscript"/>
        </w:rPr>
        <w:footnoteReference w:id="84"/>
      </w:r>
      <w:r w:rsidRPr="00720D91">
        <w:rPr>
          <w:rFonts w:ascii="Arial" w:hAnsi="Arial" w:cs="Arial"/>
          <w:sz w:val="22"/>
          <w:szCs w:val="22"/>
        </w:rPr>
        <w:t xml:space="preserve"> </w:t>
      </w:r>
    </w:p>
    <w:p w14:paraId="3E5E068A" w14:textId="77777777" w:rsidR="00720D91" w:rsidRPr="00720D91" w:rsidRDefault="00720D91" w:rsidP="00720D91">
      <w:pPr>
        <w:pStyle w:val="Sansinterligne"/>
        <w:ind w:firstLine="426"/>
        <w:jc w:val="both"/>
        <w:rPr>
          <w:rFonts w:ascii="Arial" w:hAnsi="Arial" w:cs="Arial"/>
          <w:sz w:val="22"/>
          <w:szCs w:val="22"/>
        </w:rPr>
      </w:pPr>
    </w:p>
    <w:p w14:paraId="382DA4D0" w14:textId="77777777" w:rsidR="00720D91" w:rsidRPr="00720D91" w:rsidRDefault="00720D91" w:rsidP="00720D91">
      <w:pPr>
        <w:pStyle w:val="Sansinterligne"/>
        <w:ind w:firstLine="426"/>
        <w:jc w:val="both"/>
        <w:rPr>
          <w:rFonts w:ascii="Arial" w:hAnsi="Arial" w:cs="Arial"/>
          <w:sz w:val="22"/>
          <w:szCs w:val="22"/>
        </w:rPr>
      </w:pPr>
      <w:r w:rsidRPr="00720D91">
        <w:rPr>
          <w:rFonts w:ascii="Arial" w:hAnsi="Arial" w:cs="Arial"/>
          <w:sz w:val="22"/>
          <w:szCs w:val="22"/>
        </w:rPr>
        <w:t xml:space="preserve">60. La Convention n'implique une interdiction de la « double peine de l'État [défendeur] » que dans la mesure où, en vertu de l'article 35 § 2 b) de la Convention, la Cour ne peut connaître d'une requête individuelle qui « est essentiellement la même qu'une affaire déjà examinée par la Cour ou déjà soumise à une autre instance internationale d'enquête ou de </w:t>
      </w:r>
      <w:r w:rsidRPr="00720D91">
        <w:rPr>
          <w:rFonts w:ascii="Arial" w:hAnsi="Arial" w:cs="Arial"/>
          <w:sz w:val="22"/>
          <w:szCs w:val="22"/>
        </w:rPr>
        <w:lastRenderedPageBreak/>
        <w:t>règlement et qui ne contient aucun élément nouveau pertinent »</w:t>
      </w:r>
      <w:r w:rsidRPr="00720D91">
        <w:rPr>
          <w:rFonts w:ascii="Arial" w:hAnsi="Arial" w:cs="Arial"/>
          <w:sz w:val="22"/>
          <w:szCs w:val="22"/>
          <w:vertAlign w:val="superscript"/>
        </w:rPr>
        <w:footnoteReference w:id="85"/>
      </w:r>
      <w:r w:rsidRPr="00720D91">
        <w:rPr>
          <w:rFonts w:ascii="Arial" w:hAnsi="Arial" w:cs="Arial"/>
          <w:sz w:val="22"/>
          <w:szCs w:val="22"/>
        </w:rPr>
        <w:t>. Pour qu'une requête soit « substantiellement la même », la Cour examine si les deux requêtes dont elle est saisie par les requérants portent essentiellement sur les mêmes personnes, les mêmes faits et les mêmes griefs.</w:t>
      </w:r>
      <w:r w:rsidRPr="00720D91">
        <w:rPr>
          <w:rStyle w:val="Appelnotedebasdep"/>
          <w:rFonts w:ascii="Arial" w:hAnsi="Arial" w:cs="Arial"/>
          <w:sz w:val="22"/>
          <w:szCs w:val="22"/>
        </w:rPr>
        <w:t xml:space="preserve"> </w:t>
      </w:r>
      <w:r w:rsidRPr="00720D91">
        <w:rPr>
          <w:rStyle w:val="Appelnotedebasdep"/>
          <w:rFonts w:ascii="Arial" w:hAnsi="Arial" w:cs="Arial"/>
          <w:sz w:val="22"/>
          <w:szCs w:val="22"/>
        </w:rPr>
        <w:footnoteReference w:id="86"/>
      </w:r>
      <w:r w:rsidRPr="00720D91">
        <w:rPr>
          <w:rFonts w:ascii="Arial" w:hAnsi="Arial" w:cs="Arial"/>
          <w:sz w:val="22"/>
          <w:szCs w:val="22"/>
        </w:rPr>
        <w:t xml:space="preserve"> Pour l'examen de la deuxième branche de l'article 35 § 2 b), voir la section V/1 ci-dessous.</w:t>
      </w:r>
    </w:p>
    <w:p w14:paraId="4A18A0BF" w14:textId="77777777" w:rsidR="00720D91" w:rsidRPr="00720D91" w:rsidRDefault="00720D91" w:rsidP="00720D91">
      <w:pPr>
        <w:pStyle w:val="Sansinterligne"/>
        <w:jc w:val="both"/>
        <w:rPr>
          <w:rFonts w:ascii="Arial" w:hAnsi="Arial" w:cs="Arial"/>
          <w:sz w:val="22"/>
          <w:szCs w:val="22"/>
        </w:rPr>
      </w:pPr>
      <w:r w:rsidRPr="00720D91">
        <w:rPr>
          <w:rFonts w:ascii="Arial" w:hAnsi="Arial" w:cs="Arial"/>
          <w:sz w:val="22"/>
          <w:szCs w:val="22"/>
        </w:rPr>
        <w:t xml:space="preserve"> </w:t>
      </w:r>
    </w:p>
    <w:p w14:paraId="2DDB896B" w14:textId="77777777" w:rsidR="00720D91" w:rsidRPr="00720D91" w:rsidRDefault="00720D91" w:rsidP="00720D91">
      <w:pPr>
        <w:spacing w:after="240"/>
        <w:ind w:firstLine="426"/>
        <w:jc w:val="both"/>
        <w:rPr>
          <w:rFonts w:ascii="Arial" w:hAnsi="Arial" w:cs="Arial"/>
          <w:sz w:val="22"/>
          <w:szCs w:val="22"/>
        </w:rPr>
      </w:pPr>
      <w:r w:rsidRPr="00720D91">
        <w:rPr>
          <w:rFonts w:ascii="Arial" w:hAnsi="Arial" w:cs="Arial"/>
          <w:sz w:val="22"/>
          <w:szCs w:val="22"/>
        </w:rPr>
        <w:t xml:space="preserve">61. Les pratiques de la Cour, expliquée au paragraphes 53 et 55 ci-dessus, vise à éviter les risques de duplication et les incohérences potentiels et à gérer les ressources de manière plus efficace. </w:t>
      </w:r>
    </w:p>
    <w:p w14:paraId="5A339307" w14:textId="77777777" w:rsidR="00720D91" w:rsidRPr="00720D91" w:rsidRDefault="00720D91" w:rsidP="00720D91">
      <w:pPr>
        <w:spacing w:after="240"/>
        <w:ind w:firstLine="426"/>
        <w:jc w:val="both"/>
        <w:rPr>
          <w:rFonts w:ascii="Arial" w:hAnsi="Arial" w:cs="Arial"/>
          <w:sz w:val="22"/>
          <w:szCs w:val="22"/>
        </w:rPr>
      </w:pPr>
      <w:r w:rsidRPr="00720D91">
        <w:rPr>
          <w:rFonts w:ascii="Arial" w:hAnsi="Arial" w:cs="Arial"/>
          <w:sz w:val="22"/>
          <w:szCs w:val="22"/>
        </w:rPr>
        <w:t xml:space="preserve">62. En outre, la méthode de la Cour consistant à prendre en compte les constatations ou conclusions formulées dans le cadre de procédures interétatiques dans des requêtes individuelles connexes permet également d'éviter toute incohérence et duplication potentiels. Par exemple, comme il a été expliqué ci-dessus, un constat antérieur de pratique administrative contraire à la Convention peut rendre la règle de l'épuisement des voies de recours internes inapplicable à la fois aux requêtes interétatiques et individuelles (voir paragraphe 41 ci-dessus). L'établissement de l'existence d'une pratique administrative dans une affaire interétatique peut également avoir une incidence sur l'examen ultérieur par la Cour de la charge de la preuve dans les requêtes individuelles portant sur le même objet. Il semble que la Cour, dans l'affaire </w:t>
      </w:r>
      <w:r w:rsidRPr="00720D91">
        <w:rPr>
          <w:rFonts w:ascii="Arial" w:hAnsi="Arial" w:cs="Arial"/>
          <w:i/>
          <w:sz w:val="22"/>
          <w:szCs w:val="22"/>
        </w:rPr>
        <w:t>Berdzenishvili et autres c. Russie</w:t>
      </w:r>
      <w:r w:rsidRPr="00720D91">
        <w:rPr>
          <w:rFonts w:ascii="Arial" w:hAnsi="Arial" w:cs="Arial"/>
          <w:sz w:val="22"/>
          <w:szCs w:val="22"/>
        </w:rPr>
        <w:t xml:space="preserve">, ayant précédemment conclu dans l'affaire interétatique </w:t>
      </w:r>
      <w:r w:rsidRPr="00720D91">
        <w:rPr>
          <w:rStyle w:val="s6b621b36"/>
          <w:rFonts w:ascii="Arial" w:eastAsiaTheme="minorEastAsia" w:hAnsi="Arial" w:cs="Arial"/>
          <w:i/>
          <w:sz w:val="22"/>
          <w:szCs w:val="22"/>
        </w:rPr>
        <w:t xml:space="preserve">Géorgie c. </w:t>
      </w:r>
      <w:r w:rsidRPr="00720D91">
        <w:rPr>
          <w:rStyle w:val="wordhighlighted"/>
          <w:rFonts w:ascii="Arial" w:hAnsi="Arial" w:cs="Arial"/>
          <w:i/>
          <w:sz w:val="22"/>
          <w:szCs w:val="22"/>
        </w:rPr>
        <w:t xml:space="preserve">Russie </w:t>
      </w:r>
      <w:r w:rsidRPr="00720D91">
        <w:rPr>
          <w:rFonts w:ascii="Arial" w:hAnsi="Arial" w:cs="Arial"/>
          <w:sz w:val="22"/>
          <w:szCs w:val="22"/>
        </w:rPr>
        <w:t xml:space="preserve">à l'existence d'une pratique administrative, ait créé une présomption réfutable selon laquelle un requérant dans toute requête individuelle suivante portant sur le même sujet était concerné par la même pratique administrative. Par conséquent, dans ces situations, la Cour a renversé la charge de la preuve sur l'État défendeur. </w:t>
      </w:r>
      <w:r w:rsidRPr="00720D91">
        <w:rPr>
          <w:rStyle w:val="Appelnotedebasdep"/>
          <w:rFonts w:ascii="Arial" w:hAnsi="Arial" w:cs="Arial"/>
          <w:sz w:val="22"/>
          <w:szCs w:val="22"/>
        </w:rPr>
        <w:footnoteReference w:id="87"/>
      </w:r>
      <w:r w:rsidRPr="00720D91">
        <w:rPr>
          <w:rFonts w:ascii="Arial" w:hAnsi="Arial" w:cs="Arial"/>
          <w:sz w:val="22"/>
          <w:szCs w:val="22"/>
        </w:rPr>
        <w:t xml:space="preserve"> </w:t>
      </w:r>
    </w:p>
    <w:p w14:paraId="079C667D" w14:textId="77777777" w:rsidR="00720D91" w:rsidRPr="00720D91" w:rsidRDefault="00720D91" w:rsidP="00720D91">
      <w:pPr>
        <w:spacing w:after="240"/>
        <w:ind w:firstLine="426"/>
        <w:jc w:val="both"/>
        <w:rPr>
          <w:rFonts w:ascii="Arial" w:hAnsi="Arial" w:cs="Arial"/>
          <w:sz w:val="22"/>
          <w:szCs w:val="22"/>
          <w:shd w:val="clear" w:color="auto" w:fill="FFFFFF" w:themeFill="background1"/>
        </w:rPr>
      </w:pPr>
      <w:r w:rsidRPr="00720D91">
        <w:rPr>
          <w:rFonts w:ascii="Arial" w:hAnsi="Arial" w:cs="Arial"/>
          <w:sz w:val="22"/>
          <w:szCs w:val="22"/>
        </w:rPr>
        <w:t>63. Selon une opinion,</w:t>
      </w:r>
      <w:r w:rsidRPr="00720D91">
        <w:rPr>
          <w:rStyle w:val="Appelnotedebasdep"/>
          <w:rFonts w:ascii="Arial" w:hAnsi="Arial" w:cs="Arial"/>
          <w:sz w:val="22"/>
          <w:szCs w:val="22"/>
          <w:shd w:val="clear" w:color="auto" w:fill="FFFFFF" w:themeFill="background1"/>
        </w:rPr>
        <w:footnoteReference w:id="88"/>
      </w:r>
      <w:r w:rsidRPr="00720D91">
        <w:rPr>
          <w:rFonts w:ascii="Arial" w:hAnsi="Arial" w:cs="Arial"/>
          <w:sz w:val="22"/>
          <w:szCs w:val="22"/>
        </w:rPr>
        <w:t xml:space="preserve"> une autre série de questions découlant des critères différents en matière de recevabilité dans les affaires interétatiques par rapport aux requêtes individuelles renvoie à des problèmes potentiels d'identification et de représentation des victimes présumées de violations de la Convention par </w:t>
      </w:r>
      <w:r w:rsidRPr="00720D91">
        <w:rPr>
          <w:rFonts w:ascii="Arial" w:hAnsi="Arial" w:cs="Arial"/>
          <w:sz w:val="22"/>
          <w:szCs w:val="22"/>
          <w:shd w:val="clear" w:color="auto" w:fill="FFFFFF" w:themeFill="background1"/>
        </w:rPr>
        <w:t>l'État. Le DH-SYSC-IV note toutefois que le critère de recevabilité consistant à prouver la qualité de victime n'est, en vertu de l'article 35 § 3 b), applicable qu'aux requêtes individuelles et non aux requêtes interétatiques (voir paragraphe 47 ci-dessus). En outre, la Cour a développé une pratique standard en ce qui concerne l'identification des victimes.</w:t>
      </w:r>
      <w:r w:rsidRPr="00720D91">
        <w:rPr>
          <w:rStyle w:val="Appelnotedebasdep"/>
          <w:rFonts w:ascii="Arial" w:hAnsi="Arial" w:cs="Arial"/>
          <w:sz w:val="22"/>
          <w:szCs w:val="22"/>
          <w:shd w:val="clear" w:color="auto" w:fill="FFFFFF" w:themeFill="background1"/>
        </w:rPr>
        <w:footnoteReference w:id="89"/>
      </w:r>
      <w:r w:rsidRPr="00720D91">
        <w:rPr>
          <w:rFonts w:ascii="Arial" w:hAnsi="Arial" w:cs="Arial"/>
          <w:sz w:val="22"/>
          <w:szCs w:val="22"/>
          <w:shd w:val="clear" w:color="auto" w:fill="FFFFFF" w:themeFill="background1"/>
        </w:rPr>
        <w:t xml:space="preserve"> </w:t>
      </w:r>
    </w:p>
    <w:p w14:paraId="16146EF4" w14:textId="77777777" w:rsidR="00720D91" w:rsidRPr="00720D91" w:rsidRDefault="00720D91" w:rsidP="00720D91">
      <w:pPr>
        <w:pStyle w:val="Titre1"/>
        <w:jc w:val="both"/>
        <w:rPr>
          <w:rFonts w:ascii="Arial" w:hAnsi="Arial" w:cs="Arial"/>
          <w:sz w:val="22"/>
          <w:szCs w:val="22"/>
          <w:lang w:val="fr-FR"/>
        </w:rPr>
      </w:pPr>
      <w:bookmarkStart w:id="22" w:name="_Toc83293807"/>
      <w:r w:rsidRPr="00720D91">
        <w:rPr>
          <w:rFonts w:ascii="Arial" w:hAnsi="Arial" w:cs="Arial"/>
          <w:sz w:val="22"/>
          <w:szCs w:val="22"/>
          <w:lang w:val="fr-FR"/>
        </w:rPr>
        <w:t>V. QUESTIONS RELATIVES À LA PLURALITÉ DES PROCÉDURES INTERNATIONALES</w:t>
      </w:r>
      <w:bookmarkEnd w:id="22"/>
    </w:p>
    <w:p w14:paraId="28F13A31" w14:textId="77777777" w:rsidR="00720D91" w:rsidRPr="00720D91" w:rsidRDefault="00720D91" w:rsidP="00720D91">
      <w:pPr>
        <w:rPr>
          <w:sz w:val="22"/>
          <w:szCs w:val="22"/>
          <w:lang w:eastAsia="en-GB"/>
        </w:rPr>
      </w:pPr>
    </w:p>
    <w:p w14:paraId="49524271" w14:textId="77777777" w:rsidR="00720D91" w:rsidRPr="00720D91" w:rsidRDefault="00720D91" w:rsidP="00720D91">
      <w:pPr>
        <w:spacing w:after="240"/>
        <w:ind w:firstLine="426"/>
        <w:jc w:val="both"/>
        <w:rPr>
          <w:rFonts w:ascii="Arial" w:hAnsi="Arial" w:cs="Arial"/>
          <w:sz w:val="22"/>
          <w:szCs w:val="22"/>
        </w:rPr>
      </w:pPr>
      <w:r w:rsidRPr="00720D91">
        <w:rPr>
          <w:rFonts w:ascii="Arial" w:hAnsi="Arial" w:cs="Arial"/>
          <w:sz w:val="22"/>
          <w:szCs w:val="22"/>
        </w:rPr>
        <w:t>64. D’un point de vue conceptuel, les duplications ou résultats contradictoires concernant des affaires relatives à des différends interétatiques peuvent se matérialiser dans deux scénarios principaux. Le premier concerne l'existence d'une requête individuelle relative à un différend interétatique devant la Cour et l'existence d'une affaire individuelle entre les mêmes parties, les mêmes faits et des revendications identiques ou similaires devant un autre mécanisme international de règlement des différends. Le second scénario concerne l'existence d'une affaire interétatique devant la Cour et d'une affaire interétatique entre les mêmes parties, sur les mêmes faits et portant sur des revendications identiques ou similaires devant un autre mécanisme international de règlement des différends.</w:t>
      </w:r>
      <w:r w:rsidRPr="00720D91">
        <w:rPr>
          <w:rStyle w:val="Appelnotedebasdep"/>
          <w:rFonts w:ascii="Arial" w:hAnsi="Arial" w:cs="Arial"/>
          <w:sz w:val="22"/>
          <w:szCs w:val="22"/>
        </w:rPr>
        <w:t xml:space="preserve"> </w:t>
      </w:r>
      <w:r w:rsidRPr="00720D91">
        <w:rPr>
          <w:rStyle w:val="Appelnotedebasdep"/>
          <w:rFonts w:ascii="Arial" w:hAnsi="Arial" w:cs="Arial"/>
          <w:sz w:val="22"/>
          <w:szCs w:val="22"/>
        </w:rPr>
        <w:footnoteReference w:id="90"/>
      </w:r>
      <w:r w:rsidRPr="00720D91">
        <w:rPr>
          <w:rFonts w:ascii="Arial" w:hAnsi="Arial" w:cs="Arial"/>
          <w:sz w:val="22"/>
          <w:szCs w:val="22"/>
        </w:rPr>
        <w:t xml:space="preserve"> Ces deux scénarios </w:t>
      </w:r>
      <w:r w:rsidRPr="00720D91">
        <w:rPr>
          <w:rFonts w:ascii="Arial" w:hAnsi="Arial" w:cs="Arial"/>
          <w:sz w:val="22"/>
          <w:szCs w:val="22"/>
        </w:rPr>
        <w:lastRenderedPageBreak/>
        <w:t xml:space="preserve">sont abordés sous l'angle des exigences applicables de la Convention, respectivement l'article 35 § 2 b) et l'article 55, ainsi que de la pratique de la Cour en la matière, en mettant en évidence, le cas échéant, les cas dans lesquels des questions de procédures internationales multiples ou parallèles se sont posées en pratique.  </w:t>
      </w:r>
    </w:p>
    <w:p w14:paraId="73CBBE51" w14:textId="77777777" w:rsidR="00720D91" w:rsidRPr="00720D91" w:rsidRDefault="00720D91" w:rsidP="00720D91">
      <w:pPr>
        <w:pStyle w:val="Titre2"/>
        <w:numPr>
          <w:ilvl w:val="0"/>
          <w:numId w:val="3"/>
        </w:numPr>
        <w:ind w:left="1080" w:hanging="720"/>
        <w:rPr>
          <w:rFonts w:cs="Arial"/>
          <w:sz w:val="22"/>
          <w:szCs w:val="22"/>
          <w:lang w:val="fr-FR"/>
        </w:rPr>
      </w:pPr>
      <w:bookmarkStart w:id="23" w:name="_Toc83293808"/>
      <w:r w:rsidRPr="00720D91">
        <w:rPr>
          <w:rFonts w:cs="Arial"/>
          <w:sz w:val="22"/>
          <w:szCs w:val="22"/>
          <w:lang w:val="fr-FR"/>
        </w:rPr>
        <w:t>Requêtes individuelles liées aux conflits interétatiques soumises à la Cour et à une autre procédure internationale</w:t>
      </w:r>
      <w:bookmarkEnd w:id="23"/>
      <w:r w:rsidRPr="00720D91">
        <w:rPr>
          <w:rFonts w:cs="Arial"/>
          <w:sz w:val="22"/>
          <w:szCs w:val="22"/>
          <w:lang w:val="fr-FR"/>
        </w:rPr>
        <w:t xml:space="preserve"> </w:t>
      </w:r>
    </w:p>
    <w:p w14:paraId="6A511E63" w14:textId="77777777" w:rsidR="00720D91" w:rsidRPr="00720D91" w:rsidRDefault="00720D91" w:rsidP="00720D91">
      <w:pPr>
        <w:rPr>
          <w:sz w:val="22"/>
          <w:szCs w:val="22"/>
        </w:rPr>
      </w:pPr>
    </w:p>
    <w:p w14:paraId="4507AAA2" w14:textId="77777777" w:rsidR="00720D91" w:rsidRPr="00720D91" w:rsidRDefault="00720D91" w:rsidP="00720D91">
      <w:pPr>
        <w:spacing w:after="240"/>
        <w:ind w:firstLine="426"/>
        <w:jc w:val="both"/>
        <w:rPr>
          <w:rFonts w:ascii="Arial" w:hAnsi="Arial" w:cs="Arial"/>
          <w:sz w:val="22"/>
          <w:szCs w:val="22"/>
        </w:rPr>
      </w:pPr>
      <w:r w:rsidRPr="00720D91">
        <w:rPr>
          <w:rFonts w:ascii="Arial" w:hAnsi="Arial" w:cs="Arial"/>
          <w:sz w:val="22"/>
          <w:szCs w:val="22"/>
        </w:rPr>
        <w:t>65. La deuxième branche de l'</w:t>
      </w:r>
      <w:bookmarkStart w:id="24" w:name="_Hlk40350199"/>
      <w:r w:rsidRPr="00720D91">
        <w:rPr>
          <w:rFonts w:ascii="Arial" w:hAnsi="Arial" w:cs="Arial"/>
          <w:sz w:val="22"/>
          <w:szCs w:val="22"/>
        </w:rPr>
        <w:t xml:space="preserve">article 35 § 2 b) </w:t>
      </w:r>
      <w:bookmarkEnd w:id="24"/>
      <w:r w:rsidRPr="00720D91">
        <w:rPr>
          <w:rFonts w:ascii="Arial" w:hAnsi="Arial" w:cs="Arial"/>
          <w:sz w:val="22"/>
          <w:szCs w:val="22"/>
        </w:rPr>
        <w:t xml:space="preserve">prévoit que la Cour ne se saisit pas d'une requête individuelle lorsque celle-ci </w:t>
      </w:r>
      <w:bookmarkStart w:id="25" w:name="_Hlk40350226"/>
      <w:r w:rsidRPr="00720D91">
        <w:rPr>
          <w:rFonts w:ascii="Arial" w:hAnsi="Arial" w:cs="Arial"/>
          <w:sz w:val="22"/>
          <w:szCs w:val="22"/>
        </w:rPr>
        <w:t>« a déjà été soumise à une autre instance internationale d'enquête ou de règlement</w:t>
      </w:r>
      <w:bookmarkEnd w:id="25"/>
      <w:r w:rsidRPr="00720D91">
        <w:rPr>
          <w:rFonts w:ascii="Arial" w:hAnsi="Arial" w:cs="Arial"/>
          <w:sz w:val="22"/>
          <w:szCs w:val="22"/>
        </w:rPr>
        <w:t> ». Cette disposition vise à éviter une situation dans laquelle plusieurs instances internationales traiteraient simultanément de requêtes substantiellement identiques. Cela serait incompatible avec l'esprit et la lettre de la Convention, qui vise à éviter une pluralité de procédures internationales portant sur les mêmes affaires.</w:t>
      </w:r>
      <w:r w:rsidRPr="00720D91">
        <w:rPr>
          <w:rStyle w:val="Appelnotedebasdep"/>
          <w:rFonts w:ascii="Arial" w:hAnsi="Arial" w:cs="Arial"/>
          <w:sz w:val="22"/>
          <w:szCs w:val="22"/>
        </w:rPr>
        <w:footnoteReference w:id="91"/>
      </w:r>
      <w:r w:rsidRPr="00720D91">
        <w:rPr>
          <w:rFonts w:ascii="Arial" w:hAnsi="Arial" w:cs="Arial"/>
          <w:sz w:val="22"/>
          <w:szCs w:val="22"/>
        </w:rPr>
        <w:t xml:space="preserve"> La Cour examine cette question d'office.</w:t>
      </w:r>
      <w:r w:rsidRPr="00720D91">
        <w:rPr>
          <w:rStyle w:val="Appelnotedebasdep"/>
          <w:rFonts w:ascii="Arial" w:hAnsi="Arial" w:cs="Arial"/>
          <w:sz w:val="22"/>
          <w:szCs w:val="22"/>
        </w:rPr>
        <w:footnoteReference w:id="92"/>
      </w:r>
      <w:r w:rsidRPr="00720D91">
        <w:rPr>
          <w:rFonts w:ascii="Arial" w:hAnsi="Arial" w:cs="Arial"/>
          <w:sz w:val="22"/>
          <w:szCs w:val="22"/>
        </w:rPr>
        <w:t xml:space="preserve"> </w:t>
      </w:r>
      <w:r w:rsidRPr="00720D91">
        <w:rPr>
          <w:rFonts w:ascii="Arial" w:hAnsi="Arial" w:cs="Arial"/>
          <w:color w:val="000000"/>
          <w:sz w:val="22"/>
          <w:szCs w:val="22"/>
          <w:lang w:eastAsia="en-US"/>
        </w:rPr>
        <w:t>Pour déterminer si sa compétence est exclue en vertu de l'</w:t>
      </w:r>
      <w:r w:rsidRPr="00720D91">
        <w:rPr>
          <w:rFonts w:ascii="Arial" w:hAnsi="Arial" w:cs="Arial"/>
          <w:sz w:val="22"/>
          <w:szCs w:val="22"/>
        </w:rPr>
        <w:t>article 35 § 2 b)</w:t>
      </w:r>
      <w:r w:rsidRPr="00720D91">
        <w:rPr>
          <w:rFonts w:ascii="Arial" w:hAnsi="Arial" w:cs="Arial"/>
          <w:color w:val="000000"/>
          <w:sz w:val="22"/>
          <w:szCs w:val="22"/>
          <w:lang w:eastAsia="en-US"/>
        </w:rPr>
        <w:t>, la Cour examine si l'affaire dont elle est saisie est substantiellement la même qu'une affaire qui a déjà été soumise à une procédure parallèle et, si tel est le cas, si la procédure simultanée peut être considérée comme « une autre instance internationale d'enquête ou de règlement » au sens de l'</w:t>
      </w:r>
      <w:r w:rsidRPr="00720D91">
        <w:rPr>
          <w:rFonts w:ascii="Arial" w:hAnsi="Arial" w:cs="Arial"/>
          <w:sz w:val="22"/>
          <w:szCs w:val="22"/>
        </w:rPr>
        <w:t xml:space="preserve">article 35 § 2 b). </w:t>
      </w:r>
      <w:r w:rsidRPr="00720D91">
        <w:rPr>
          <w:rStyle w:val="Appelnotedebasdep"/>
          <w:rFonts w:ascii="Arial" w:hAnsi="Arial" w:cs="Arial"/>
          <w:sz w:val="22"/>
          <w:szCs w:val="22"/>
        </w:rPr>
        <w:footnoteReference w:id="93"/>
      </w:r>
    </w:p>
    <w:p w14:paraId="5229ED8E" w14:textId="77777777" w:rsidR="00720D91" w:rsidRPr="00720D91" w:rsidRDefault="00720D91" w:rsidP="00720D91">
      <w:pPr>
        <w:spacing w:after="240"/>
        <w:ind w:firstLine="426"/>
        <w:jc w:val="both"/>
        <w:rPr>
          <w:rStyle w:val="sb8d990e2"/>
          <w:rFonts w:ascii="Arial" w:eastAsiaTheme="majorEastAsia" w:hAnsi="Arial" w:cs="Arial"/>
          <w:color w:val="000000"/>
          <w:sz w:val="22"/>
          <w:szCs w:val="22"/>
        </w:rPr>
      </w:pPr>
      <w:r w:rsidRPr="00720D91">
        <w:rPr>
          <w:rFonts w:ascii="Arial" w:hAnsi="Arial" w:cs="Arial"/>
          <w:sz w:val="22"/>
          <w:szCs w:val="22"/>
        </w:rPr>
        <w:t xml:space="preserve">66. La Cour vérifie </w:t>
      </w:r>
      <w:r w:rsidRPr="00720D91">
        <w:rPr>
          <w:rFonts w:ascii="Arial" w:hAnsi="Arial" w:cs="Arial"/>
          <w:color w:val="000000"/>
          <w:sz w:val="22"/>
          <w:szCs w:val="22"/>
          <w:lang w:eastAsia="en-US"/>
        </w:rPr>
        <w:t>si les requêtes individuelles auprès des différentes institutions internationales concernent en substance les mêmes personnes, faits et griefs.</w:t>
      </w:r>
      <w:r w:rsidRPr="00720D91">
        <w:rPr>
          <w:rStyle w:val="Appelnotedebasdep"/>
          <w:rFonts w:ascii="Arial" w:hAnsi="Arial" w:cs="Arial"/>
          <w:color w:val="000000"/>
          <w:sz w:val="22"/>
          <w:szCs w:val="22"/>
          <w:lang w:val="en-US" w:eastAsia="en-US"/>
        </w:rPr>
        <w:footnoteReference w:id="94"/>
      </w:r>
      <w:r w:rsidRPr="00720D91">
        <w:rPr>
          <w:rFonts w:ascii="Arial" w:hAnsi="Arial" w:cs="Arial"/>
          <w:sz w:val="22"/>
          <w:szCs w:val="22"/>
        </w:rPr>
        <w:t xml:space="preserve"> </w:t>
      </w:r>
      <w:r w:rsidRPr="00720D91">
        <w:rPr>
          <w:rFonts w:ascii="Arial" w:hAnsi="Arial" w:cs="Arial"/>
          <w:color w:val="000000"/>
          <w:sz w:val="22"/>
          <w:szCs w:val="22"/>
          <w:lang w:eastAsia="en-US"/>
        </w:rPr>
        <w:t>Si les requérants devant les deux institutions ne sont pas identiques, la requête à la Cour ne peut être considérée comme étant « essentiellement la même qu'une affaire soumise à une autre instance internationale d'enquête ou de règlement ».</w:t>
      </w:r>
      <w:r w:rsidRPr="00720D91">
        <w:rPr>
          <w:rStyle w:val="Appelnotedebasdep"/>
          <w:rFonts w:ascii="Arial" w:hAnsi="Arial" w:cs="Arial"/>
          <w:color w:val="000000"/>
          <w:sz w:val="22"/>
          <w:szCs w:val="22"/>
          <w:lang w:val="en-US" w:eastAsia="en-US"/>
        </w:rPr>
        <w:footnoteReference w:id="95"/>
      </w:r>
      <w:r w:rsidRPr="00720D91">
        <w:rPr>
          <w:rFonts w:ascii="Arial" w:hAnsi="Arial" w:cs="Arial"/>
          <w:sz w:val="22"/>
          <w:szCs w:val="22"/>
        </w:rPr>
        <w:t xml:space="preserve"> </w:t>
      </w:r>
      <w:r w:rsidRPr="00720D91">
        <w:rPr>
          <w:rFonts w:ascii="Arial" w:hAnsi="Arial" w:cs="Arial"/>
          <w:color w:val="000000"/>
          <w:sz w:val="22"/>
          <w:szCs w:val="22"/>
          <w:lang w:eastAsia="en-US"/>
        </w:rPr>
        <w:t xml:space="preserve">Toutefois, la Cour a </w:t>
      </w:r>
      <w:r w:rsidRPr="00720D91">
        <w:rPr>
          <w:rFonts w:ascii="Arial" w:hAnsi="Arial" w:cs="Arial"/>
          <w:sz w:val="22"/>
          <w:szCs w:val="22"/>
        </w:rPr>
        <w:t xml:space="preserve">récemment jugé qu'une plainte déposée par un syndicat dans le cadre de la procédure de l'Organisation internationale du travail était en substance la même qu'une requête individuelle introduite en vertu de la Convention par des dirigeants du syndicat en leur nom propre. La Cour a fondé ses conclusions sur l'étroite association entre le fond de la procédure et le statut des individus en tant que dirigeants du syndicat. Leur permettre de maintenir leur action devant la Cour serait donc revenu à contourner l'article 35 § 2 b) de la Convention. </w:t>
      </w:r>
      <w:r w:rsidRPr="00720D91">
        <w:rPr>
          <w:rStyle w:val="Appelnotedebasdep"/>
          <w:rFonts w:ascii="Arial" w:hAnsi="Arial" w:cs="Arial"/>
          <w:sz w:val="22"/>
          <w:szCs w:val="22"/>
        </w:rPr>
        <w:footnoteReference w:id="96"/>
      </w:r>
      <w:r w:rsidRPr="00720D91">
        <w:rPr>
          <w:rFonts w:ascii="Arial" w:hAnsi="Arial" w:cs="Arial"/>
          <w:color w:val="000000"/>
          <w:sz w:val="22"/>
          <w:szCs w:val="22"/>
          <w:lang w:eastAsia="en-US"/>
        </w:rPr>
        <w:t xml:space="preserve"> </w:t>
      </w:r>
      <w:r w:rsidRPr="00720D91">
        <w:rPr>
          <w:rFonts w:ascii="Arial" w:hAnsi="Arial" w:cs="Arial"/>
          <w:sz w:val="22"/>
          <w:szCs w:val="22"/>
        </w:rPr>
        <w:t xml:space="preserve">La </w:t>
      </w:r>
      <w:r w:rsidRPr="00720D91">
        <w:rPr>
          <w:rFonts w:ascii="Arial" w:hAnsi="Arial" w:cs="Arial"/>
          <w:color w:val="000000"/>
          <w:sz w:val="22"/>
          <w:szCs w:val="22"/>
          <w:lang w:eastAsia="en-US"/>
        </w:rPr>
        <w:t xml:space="preserve">Cour a </w:t>
      </w:r>
      <w:r w:rsidRPr="00720D91">
        <w:rPr>
          <w:rStyle w:val="sb8d990e2"/>
          <w:rFonts w:ascii="Arial" w:eastAsiaTheme="majorEastAsia" w:hAnsi="Arial" w:cs="Arial"/>
          <w:color w:val="000000"/>
          <w:sz w:val="22"/>
          <w:szCs w:val="22"/>
        </w:rPr>
        <w:t>jugé qu'une procédure devant le groupe de travail des Nations Unies sur la détention arbitraire était bien une « procédure d'enquête ou de règlement international ».</w:t>
      </w:r>
      <w:r w:rsidRPr="00720D91">
        <w:rPr>
          <w:rStyle w:val="Appelnotedebasdep"/>
          <w:rFonts w:ascii="Arial" w:hAnsi="Arial" w:cs="Arial"/>
          <w:color w:val="000000"/>
          <w:sz w:val="22"/>
          <w:szCs w:val="22"/>
          <w:lang w:val="en-US"/>
        </w:rPr>
        <w:footnoteReference w:id="97"/>
      </w:r>
      <w:r w:rsidRPr="00720D91">
        <w:rPr>
          <w:rFonts w:ascii="Arial" w:hAnsi="Arial" w:cs="Arial"/>
          <w:sz w:val="22"/>
          <w:szCs w:val="22"/>
        </w:rPr>
        <w:t xml:space="preserve"> Alors qu'une procédure devant </w:t>
      </w:r>
      <w:r w:rsidRPr="00720D91">
        <w:rPr>
          <w:rFonts w:ascii="Arial" w:hAnsi="Arial" w:cs="Arial"/>
          <w:sz w:val="22"/>
          <w:szCs w:val="22"/>
        </w:rPr>
        <w:lastRenderedPageBreak/>
        <w:t>la Commission européenne en vertu de l'article 258 du Traité sur le fonctionnement de l'Union européenne (TFUE) ne pouvait être comprise comme constituant une procédure d'enquête ou de règlement au sens de l'article 35 § 2 b) de la Convention.</w:t>
      </w:r>
      <w:r w:rsidRPr="00720D91">
        <w:rPr>
          <w:rStyle w:val="Appelnotedebasdep"/>
          <w:rFonts w:ascii="Arial" w:hAnsi="Arial" w:cs="Arial"/>
          <w:sz w:val="22"/>
          <w:szCs w:val="22"/>
        </w:rPr>
        <w:footnoteReference w:id="98"/>
      </w:r>
      <w:r w:rsidRPr="00720D91">
        <w:rPr>
          <w:rFonts w:ascii="Arial" w:hAnsi="Arial" w:cs="Arial"/>
          <w:sz w:val="22"/>
          <w:szCs w:val="22"/>
        </w:rPr>
        <w:t xml:space="preserve"> La Cour a estimé que l'Union interparlementaire est une organisation non gouvernementale </w:t>
      </w:r>
      <w:r w:rsidRPr="00720D91">
        <w:rPr>
          <w:rStyle w:val="sb8d990e2"/>
          <w:rFonts w:ascii="Arial" w:eastAsiaTheme="majorEastAsia" w:hAnsi="Arial" w:cs="Arial"/>
          <w:color w:val="000000"/>
          <w:sz w:val="22"/>
          <w:szCs w:val="22"/>
        </w:rPr>
        <w:t xml:space="preserve">qui ne peut être qualifiée d'« autre procédure » ; l'expression « autre procédure » désignait des procédures judiciaires ou quasi-judiciaires similaires à celles mises en place par la Convention, et l'expression « enquête ou règlement international » désignait des institutions et procédures mises en place par les États, excluant ainsi les organismes non gouvernementaux. </w:t>
      </w:r>
      <w:r w:rsidRPr="00720D91">
        <w:rPr>
          <w:rStyle w:val="Appelnotedebasdep"/>
          <w:rFonts w:ascii="Arial" w:hAnsi="Arial" w:cs="Arial"/>
          <w:color w:val="000000"/>
          <w:sz w:val="22"/>
          <w:szCs w:val="22"/>
          <w:lang w:val="en-US"/>
        </w:rPr>
        <w:footnoteReference w:id="99"/>
      </w:r>
    </w:p>
    <w:p w14:paraId="2D8B3F39" w14:textId="77777777" w:rsidR="00720D91" w:rsidRPr="00720D91" w:rsidRDefault="00720D91" w:rsidP="00720D91">
      <w:pPr>
        <w:spacing w:after="240"/>
        <w:ind w:firstLine="426"/>
        <w:jc w:val="both"/>
        <w:rPr>
          <w:rStyle w:val="sb8d990e2"/>
          <w:rFonts w:ascii="Arial" w:eastAsiaTheme="majorEastAsia" w:hAnsi="Arial" w:cs="Arial"/>
          <w:color w:val="000000"/>
          <w:sz w:val="22"/>
          <w:szCs w:val="22"/>
        </w:rPr>
      </w:pPr>
      <w:r w:rsidRPr="00720D91">
        <w:rPr>
          <w:rStyle w:val="sb8d990e2"/>
          <w:rFonts w:ascii="Arial" w:eastAsiaTheme="majorEastAsia" w:hAnsi="Arial" w:cs="Arial"/>
          <w:color w:val="000000"/>
          <w:sz w:val="22"/>
          <w:szCs w:val="22"/>
        </w:rPr>
        <w:t>67. Malgré les dispositions pertinentes de l’article 35 § 2 b) et la jurisprudence pertinente de la Cour, un risque potentiel de décisions contradictoires ou qui se superposent peut survenir lorsqu'un autre mécanisme international de droits de l'homme examine des communications sur des affaires substantiellement identiques à celles sur lesquelles la Cour a statué. Par exemple, le Comité des droits de l’homme (CDH) peut examiner des communications soulevant des griefs qui ont déjà été examinés par la Cour ou d'autres organes internationaux.</w:t>
      </w:r>
      <w:r w:rsidRPr="00720D91">
        <w:rPr>
          <w:rStyle w:val="Appelnotedebasdep"/>
          <w:rFonts w:ascii="Arial" w:hAnsi="Arial" w:cs="Arial"/>
          <w:sz w:val="22"/>
          <w:szCs w:val="22"/>
        </w:rPr>
        <w:t xml:space="preserve"> </w:t>
      </w:r>
      <w:r w:rsidRPr="00720D91">
        <w:rPr>
          <w:rStyle w:val="Appelnotedebasdep"/>
          <w:rFonts w:ascii="Arial" w:hAnsi="Arial" w:cs="Arial"/>
          <w:sz w:val="22"/>
          <w:szCs w:val="22"/>
        </w:rPr>
        <w:footnoteReference w:id="100"/>
      </w:r>
      <w:r w:rsidRPr="00720D91">
        <w:rPr>
          <w:rStyle w:val="sb8d990e2"/>
          <w:rFonts w:ascii="Arial" w:eastAsiaTheme="majorEastAsia" w:hAnsi="Arial" w:cs="Arial"/>
          <w:color w:val="000000"/>
          <w:sz w:val="22"/>
          <w:szCs w:val="22"/>
        </w:rPr>
        <w:t xml:space="preserve"> Afin de prévenir la possibilité de requêtes successives, 18 États membres du Conseil de l'Europe ont émis des réserves à l'encontre de la compétence du CDH pour réexaminer des communications déjà examinées dans le cadre d'une procédure internationale alternative. </w:t>
      </w:r>
      <w:r w:rsidRPr="00720D91">
        <w:rPr>
          <w:rStyle w:val="Appelnotedebasdep"/>
          <w:rFonts w:ascii="Arial" w:hAnsi="Arial" w:cs="Arial"/>
          <w:sz w:val="22"/>
          <w:szCs w:val="22"/>
        </w:rPr>
        <w:footnoteReference w:id="101"/>
      </w:r>
      <w:r w:rsidRPr="00720D91">
        <w:rPr>
          <w:rStyle w:val="sb8d990e2"/>
          <w:rFonts w:ascii="Arial" w:eastAsiaTheme="majorEastAsia" w:hAnsi="Arial" w:cs="Arial"/>
          <w:color w:val="000000"/>
          <w:sz w:val="22"/>
          <w:szCs w:val="22"/>
        </w:rPr>
        <w:t xml:space="preserve"> </w:t>
      </w:r>
    </w:p>
    <w:p w14:paraId="520530FE" w14:textId="77777777" w:rsidR="00720D91" w:rsidRPr="00720D91" w:rsidRDefault="00720D91" w:rsidP="00720D91">
      <w:pPr>
        <w:pStyle w:val="ECHRParaSpaced"/>
        <w:ind w:firstLine="340"/>
        <w:rPr>
          <w:rFonts w:ascii="Arial" w:hAnsi="Arial" w:cs="Arial"/>
          <w:lang w:val="fr-FR"/>
        </w:rPr>
      </w:pPr>
      <w:r w:rsidRPr="00720D91">
        <w:rPr>
          <w:rStyle w:val="sb8d990e2"/>
          <w:rFonts w:ascii="Arial" w:hAnsi="Arial" w:cs="Arial"/>
          <w:color w:val="000000"/>
          <w:lang w:val="fr-FR"/>
        </w:rPr>
        <w:t xml:space="preserve">68. La jurisprudence de longue date du CDH concernant les cas où le plaignant a déposé une communication concernant les mêmes événements qu'une requête déposée auprès de la Cour est que le CDH ne considère pas qu'il s'agisse d'une question qui a été examinée par un autre organe international au sens des réserves respectives à l'article 5 (2) (a) du Protocole facultatif si l'affaire a été précédemment déclarée irrecevable par la Cour uniquement pour des raisons de procédure. Lorsque la Cour a fondé sa décision d'irrecevabilité non seulement sur des motifs de procédure mais aussi sur des raisons qui incluent un certain examen du fond de l'affaire, la question devrait être considérée comme ayant été examinée au sens des réserves respectives à l'article 5 (2) (a) du Protocole facultatif. </w:t>
      </w:r>
      <w:r w:rsidRPr="00720D91">
        <w:rPr>
          <w:rStyle w:val="Appelnotedebasdep"/>
          <w:rFonts w:ascii="Arial" w:hAnsi="Arial" w:cs="Arial"/>
        </w:rPr>
        <w:footnoteReference w:id="102"/>
      </w:r>
      <w:r w:rsidRPr="00720D91">
        <w:rPr>
          <w:rFonts w:ascii="Arial" w:hAnsi="Arial" w:cs="Arial"/>
          <w:lang w:val="fr-FR"/>
        </w:rPr>
        <w:t xml:space="preserve"> </w:t>
      </w:r>
    </w:p>
    <w:p w14:paraId="2C355E76" w14:textId="77777777" w:rsidR="00720D91" w:rsidRPr="00720D91" w:rsidRDefault="00720D91" w:rsidP="00720D91">
      <w:pPr>
        <w:pStyle w:val="ECHRParaSpaced"/>
        <w:ind w:firstLine="340"/>
        <w:rPr>
          <w:rFonts w:ascii="Arial" w:hAnsi="Arial" w:cs="Arial"/>
          <w:lang w:val="fr-FR"/>
        </w:rPr>
      </w:pPr>
      <w:r w:rsidRPr="00720D91">
        <w:rPr>
          <w:rFonts w:ascii="Arial" w:hAnsi="Arial" w:cs="Arial"/>
          <w:lang w:val="fr-FR"/>
        </w:rPr>
        <w:t>69. Sur la base de cette interprétation de l'article 5 (2) (a) du Protocole facultatif, le CDH a effectivement procédé à l'examen au fond de plaintes concernant les mêmes faits, requérants et droits qui avaient été précédemment déclarés irrecevables par la Cour.</w:t>
      </w:r>
      <w:r w:rsidRPr="00720D91">
        <w:rPr>
          <w:rStyle w:val="Appelnotedebasdep"/>
          <w:rFonts w:ascii="Arial" w:hAnsi="Arial" w:cs="Arial"/>
          <w:lang w:val="fr-FR"/>
        </w:rPr>
        <w:t xml:space="preserve"> </w:t>
      </w:r>
      <w:r w:rsidRPr="00720D91">
        <w:rPr>
          <w:rStyle w:val="Appelnotedebasdep"/>
          <w:rFonts w:ascii="Arial" w:hAnsi="Arial" w:cs="Arial"/>
        </w:rPr>
        <w:footnoteReference w:id="103"/>
      </w:r>
      <w:r w:rsidRPr="00720D91">
        <w:rPr>
          <w:rFonts w:ascii="Arial" w:hAnsi="Arial" w:cs="Arial"/>
          <w:lang w:val="fr-FR"/>
        </w:rPr>
        <w:t xml:space="preserve">  Dans le cadre d’une requête interétatique – qui n’est pas liée à une affaire ou conflit interétatique – concernant une violation de l'article 6 § 3 (c) de la Convention, la Cour est parvenue à des conclusions différentes de celles du CDH, qui avait précédemment conclu à une violation de l'article 14 § 3 (d) du PIDCP pour les mêmes faits et le même requérant. </w:t>
      </w:r>
      <w:r w:rsidRPr="00720D91">
        <w:rPr>
          <w:rStyle w:val="Appelnotedebasdep"/>
          <w:rFonts w:ascii="Arial" w:hAnsi="Arial" w:cs="Arial"/>
        </w:rPr>
        <w:footnoteReference w:id="104"/>
      </w:r>
      <w:r w:rsidRPr="00720D91">
        <w:rPr>
          <w:rFonts w:ascii="Arial" w:hAnsi="Arial" w:cs="Arial"/>
          <w:lang w:val="fr-FR"/>
        </w:rPr>
        <w:t xml:space="preserve">    </w:t>
      </w:r>
    </w:p>
    <w:p w14:paraId="167594B5" w14:textId="77777777" w:rsidR="00720D91" w:rsidRPr="00720D91" w:rsidRDefault="00720D91" w:rsidP="00720D91">
      <w:pPr>
        <w:pStyle w:val="ECHRParaSpaced"/>
        <w:ind w:firstLine="340"/>
        <w:rPr>
          <w:rFonts w:ascii="Arial" w:hAnsi="Arial" w:cs="Arial"/>
          <w:lang w:val="fr-FR"/>
        </w:rPr>
      </w:pPr>
      <w:r w:rsidRPr="00720D91">
        <w:rPr>
          <w:rFonts w:ascii="Arial" w:hAnsi="Arial" w:cs="Arial"/>
          <w:lang w:val="fr-FR"/>
        </w:rPr>
        <w:t xml:space="preserve">70. Le CDDH a déjà analysé en profondeur les questions liées au chevauchement des compétences de la Cour et des organes conventionnels de l'ONU, d'un ou éventuellement de plusieurs d'entre eux, car une affaire peut facilement relever à la fois des traités généraux (la </w:t>
      </w:r>
      <w:r w:rsidRPr="00720D91">
        <w:rPr>
          <w:rFonts w:ascii="Arial" w:hAnsi="Arial" w:cs="Arial"/>
          <w:lang w:val="fr-FR"/>
        </w:rPr>
        <w:lastRenderedPageBreak/>
        <w:t xml:space="preserve">Convention et le PIDCP), mais aussi des conventions de l'ONU spécifiques à un sujet. </w:t>
      </w:r>
      <w:r w:rsidRPr="00720D91">
        <w:rPr>
          <w:rStyle w:val="Appelnotedebasdep"/>
          <w:rFonts w:ascii="Arial" w:hAnsi="Arial" w:cs="Arial"/>
        </w:rPr>
        <w:footnoteReference w:id="105"/>
      </w:r>
      <w:r w:rsidRPr="00720D91">
        <w:rPr>
          <w:rFonts w:ascii="Arial" w:hAnsi="Arial" w:cs="Arial"/>
          <w:lang w:val="fr-FR"/>
        </w:rPr>
        <w:t xml:space="preserve"> Si elle a noté que l'existence de mécanismes parallèles de protection des droits de l'homme était souvent une source d'enrichissement et de renforcement de la protection universelle des droits de l'homme, elle pouvait également entraîner certains problèmes en ce qui concerne les demandes individuelles. Il s'agit notamment du potentiel de duplication et/ou de conclusions contradictoires, du forum shopping, ainsi que de l'incertitude juridique pour les États parties sur la meilleure façon de remplir leurs engagements en matière de droits de l'homme en vertu de la Convention et d'autres instruments internationaux. Le CDDH a conclu qu'il est important que la Cour continue à s'efforcer d'interpréter la Convention en harmonie avec les autres règles internationales de protection des droits de l'homme, en particulier celles qui lient les Etats membres du Conseil de l'Europe, comme la (majorité des) conventions des Nations Unies, et qu'elle cherche à éviter la fragmentation du droit international. Une référence plus cohérente des organes de traités de l'ONU aux tribunaux régionaux et une discussion approfondie de la jurisprudence de ces derniers faciliteraient le développement de principes internationaux cohérents en matière de droits de l'homme. L'intensification des rencontres entre les membres de la Cour et les organes de traités des Nations unies est également soulignée comme un moyen d'accroître l'interaction entre les systèmes de la Cour et le système de protection des droits de l'homme des Nations unies. </w:t>
      </w:r>
      <w:r w:rsidRPr="00720D91">
        <w:rPr>
          <w:rStyle w:val="Appelnotedebasdep"/>
          <w:rFonts w:ascii="Arial" w:hAnsi="Arial" w:cs="Arial"/>
          <w:bCs/>
        </w:rPr>
        <w:footnoteReference w:id="106"/>
      </w:r>
      <w:r w:rsidRPr="00720D91">
        <w:rPr>
          <w:rFonts w:ascii="Arial" w:hAnsi="Arial" w:cs="Arial"/>
          <w:lang w:val="fr-FR"/>
        </w:rPr>
        <w:t xml:space="preserve"> </w:t>
      </w:r>
    </w:p>
    <w:p w14:paraId="37D6B44D" w14:textId="77777777" w:rsidR="00720D91" w:rsidRPr="00720D91" w:rsidRDefault="00720D91" w:rsidP="00720D91">
      <w:pPr>
        <w:pStyle w:val="ECHRParaSpaced"/>
        <w:ind w:firstLine="340"/>
        <w:rPr>
          <w:rFonts w:ascii="Arial" w:hAnsi="Arial" w:cs="Arial"/>
          <w:lang w:val="fr-FR"/>
        </w:rPr>
      </w:pPr>
      <w:r w:rsidRPr="00720D91">
        <w:rPr>
          <w:rFonts w:ascii="Arial" w:hAnsi="Arial" w:cs="Arial"/>
          <w:lang w:val="fr-FR"/>
        </w:rPr>
        <w:t xml:space="preserve">71. Le DH-SYSC-IV note que le rapport du CDDH sur la place de la Convention européenne des droits de l'homme dans l'ordre juridique européen et international dans son ensemble servira de base à tout examen futur éventuel des questions soulevées concernant l'interprétation et l'application de la Convention par la Cour d'une manière qui soit cohérente avec le cadre du droit international.  </w:t>
      </w:r>
    </w:p>
    <w:p w14:paraId="42CFD1ED" w14:textId="77777777" w:rsidR="00720D91" w:rsidRPr="00720D91" w:rsidRDefault="00720D91" w:rsidP="00720D91">
      <w:pPr>
        <w:pStyle w:val="Titre2"/>
        <w:numPr>
          <w:ilvl w:val="0"/>
          <w:numId w:val="3"/>
        </w:numPr>
        <w:ind w:left="1080" w:hanging="720"/>
        <w:jc w:val="both"/>
        <w:rPr>
          <w:rFonts w:cs="Arial"/>
          <w:bCs w:val="0"/>
          <w:iCs/>
          <w:sz w:val="22"/>
          <w:szCs w:val="22"/>
          <w:lang w:val="fr-FR"/>
        </w:rPr>
      </w:pPr>
      <w:bookmarkStart w:id="27" w:name="_Toc29388085"/>
      <w:bookmarkStart w:id="28" w:name="_Toc29388164"/>
      <w:bookmarkStart w:id="29" w:name="_Toc29388245"/>
      <w:bookmarkStart w:id="30" w:name="_Toc29396129"/>
      <w:bookmarkStart w:id="31" w:name="_Toc29464705"/>
      <w:bookmarkStart w:id="32" w:name="_Toc29464733"/>
      <w:bookmarkStart w:id="33" w:name="_Toc83293809"/>
      <w:bookmarkEnd w:id="27"/>
      <w:bookmarkEnd w:id="28"/>
      <w:bookmarkEnd w:id="29"/>
      <w:bookmarkEnd w:id="30"/>
      <w:bookmarkEnd w:id="31"/>
      <w:bookmarkEnd w:id="32"/>
      <w:r w:rsidRPr="00720D91">
        <w:rPr>
          <w:rFonts w:cs="Arial"/>
          <w:bCs w:val="0"/>
          <w:iCs/>
          <w:sz w:val="22"/>
          <w:szCs w:val="22"/>
          <w:lang w:val="fr-FR"/>
        </w:rPr>
        <w:t>Requêtes interétatiques soumises à la Cour et autres moyens de règlement des différends</w:t>
      </w:r>
      <w:bookmarkEnd w:id="33"/>
      <w:r w:rsidRPr="00720D91">
        <w:rPr>
          <w:rFonts w:cs="Arial"/>
          <w:bCs w:val="0"/>
          <w:iCs/>
          <w:sz w:val="22"/>
          <w:szCs w:val="22"/>
          <w:lang w:val="fr-FR"/>
        </w:rPr>
        <w:t xml:space="preserve"> </w:t>
      </w:r>
    </w:p>
    <w:p w14:paraId="39B556C7" w14:textId="77777777" w:rsidR="00720D91" w:rsidRPr="00720D91" w:rsidRDefault="00720D91" w:rsidP="00720D91">
      <w:pPr>
        <w:pStyle w:val="Sansinterligne"/>
        <w:rPr>
          <w:sz w:val="22"/>
          <w:szCs w:val="22"/>
        </w:rPr>
      </w:pPr>
    </w:p>
    <w:p w14:paraId="7CCED66C" w14:textId="77777777" w:rsidR="00720D91" w:rsidRPr="00720D91" w:rsidRDefault="00720D91" w:rsidP="00720D91">
      <w:pPr>
        <w:pStyle w:val="Sansinterligne"/>
        <w:ind w:firstLine="426"/>
        <w:jc w:val="both"/>
        <w:rPr>
          <w:rFonts w:ascii="Arial" w:hAnsi="Arial" w:cs="Arial"/>
          <w:sz w:val="22"/>
          <w:szCs w:val="22"/>
        </w:rPr>
      </w:pPr>
      <w:r w:rsidRPr="00720D91">
        <w:rPr>
          <w:rFonts w:ascii="Arial" w:hAnsi="Arial" w:cs="Arial"/>
          <w:sz w:val="22"/>
          <w:szCs w:val="22"/>
        </w:rPr>
        <w:t>72. L'article 35 § 2 b) de la Convention ne s'applique pas aux affaires interétatiques.</w:t>
      </w:r>
      <w:r w:rsidRPr="00720D91">
        <w:rPr>
          <w:rStyle w:val="Appelnotedebasdep"/>
          <w:rFonts w:ascii="Arial" w:hAnsi="Arial" w:cs="Arial"/>
          <w:sz w:val="22"/>
          <w:szCs w:val="22"/>
        </w:rPr>
        <w:footnoteReference w:id="107"/>
      </w:r>
      <w:r w:rsidRPr="00720D91">
        <w:rPr>
          <w:rFonts w:ascii="Arial" w:hAnsi="Arial" w:cs="Arial"/>
          <w:sz w:val="22"/>
          <w:szCs w:val="22"/>
        </w:rPr>
        <w:t xml:space="preserve"> Toutefois, des objections quant à la recevabilité d'une requête interétatique par la Cour en raison du règlement d'un différend découlant de l'interprétation ou de l'application de la Convention au moyen d'autres procédures internationales peuvent être soulevées en vertu de l'article 55 de la Convention. </w:t>
      </w:r>
      <w:r w:rsidRPr="00720D91">
        <w:rPr>
          <w:rStyle w:val="Appelnotedebasdep"/>
          <w:rFonts w:ascii="Arial" w:hAnsi="Arial" w:cs="Arial"/>
          <w:sz w:val="22"/>
          <w:szCs w:val="22"/>
        </w:rPr>
        <w:footnoteReference w:id="108"/>
      </w:r>
      <w:r w:rsidRPr="00720D91">
        <w:rPr>
          <w:rFonts w:ascii="Arial" w:hAnsi="Arial" w:cs="Arial"/>
          <w:sz w:val="22"/>
          <w:szCs w:val="22"/>
        </w:rPr>
        <w:t xml:space="preserve"> Selon cette disposition de la Convention, les États parties ne peuvent soumettre un différend découlant de l'interprétation ou de l'application de la Convention à un mode de règlement autre que ceux prévus par la Convention, sauf accord spécial. Dans la pratique, ces différends portent essentiellement sur la procédure de demande interétatique.</w:t>
      </w:r>
      <w:r w:rsidRPr="00720D91">
        <w:rPr>
          <w:rStyle w:val="Appelnotedebasdep"/>
          <w:rFonts w:ascii="Arial" w:hAnsi="Arial" w:cs="Arial"/>
          <w:sz w:val="22"/>
          <w:szCs w:val="22"/>
        </w:rPr>
        <w:footnoteReference w:id="109"/>
      </w:r>
      <w:r w:rsidRPr="00720D91">
        <w:rPr>
          <w:rFonts w:ascii="Arial" w:hAnsi="Arial" w:cs="Arial"/>
          <w:sz w:val="22"/>
          <w:szCs w:val="22"/>
        </w:rPr>
        <w:t xml:space="preserve"> Selon l'article 55, les États parties à la Convention ne doivent utiliser que la procédure établie par la Convention pour les plaintes contre une autre partie contractante à la Convention relatives à une violation alléguée d'un droit qui, en substance, est couvert à la fois par la Convention (ou ses protocoles) et par d'autres traités internationaux, notamment le PIDCP.</w:t>
      </w:r>
      <w:r w:rsidRPr="00720D91">
        <w:rPr>
          <w:rStyle w:val="Appelnotedebasdep"/>
          <w:rFonts w:ascii="Arial" w:hAnsi="Arial" w:cs="Arial"/>
          <w:sz w:val="22"/>
          <w:szCs w:val="22"/>
        </w:rPr>
        <w:footnoteReference w:id="110"/>
      </w:r>
      <w:r w:rsidRPr="00720D91">
        <w:rPr>
          <w:rFonts w:ascii="Arial" w:hAnsi="Arial" w:cs="Arial"/>
          <w:sz w:val="22"/>
          <w:szCs w:val="22"/>
        </w:rPr>
        <w:t xml:space="preserve"> Bien que la jurisprudence de la Cour sur l'article 55 ne soit pas très étendue, elle </w:t>
      </w:r>
      <w:r w:rsidRPr="00720D91">
        <w:rPr>
          <w:rFonts w:ascii="Arial" w:hAnsi="Arial" w:cs="Arial"/>
          <w:sz w:val="22"/>
          <w:szCs w:val="22"/>
        </w:rPr>
        <w:lastRenderedPageBreak/>
        <w:t xml:space="preserve">établit clairement le principe selon lequel la possibilité pour un État  partie de retirer une affaire de sa juridiction au motif qu'il a conclu un accord spécial avec l'autre État  partie concerné n'est donnée qu'avec le consentement des deux parties concernées et dans des circonstances exceptionnelles. </w:t>
      </w:r>
      <w:r w:rsidRPr="00720D91">
        <w:rPr>
          <w:rStyle w:val="Appelnotedebasdep"/>
          <w:rFonts w:ascii="Arial" w:hAnsi="Arial" w:cs="Arial"/>
          <w:sz w:val="22"/>
          <w:szCs w:val="22"/>
        </w:rPr>
        <w:footnoteReference w:id="111"/>
      </w:r>
    </w:p>
    <w:p w14:paraId="2604EE0A" w14:textId="77777777" w:rsidR="00720D91" w:rsidRPr="00720D91" w:rsidRDefault="00720D91" w:rsidP="00720D91">
      <w:pPr>
        <w:pStyle w:val="Sansinterligne"/>
        <w:rPr>
          <w:sz w:val="22"/>
          <w:szCs w:val="22"/>
        </w:rPr>
      </w:pPr>
    </w:p>
    <w:p w14:paraId="262CB267" w14:textId="77777777" w:rsidR="00720D91" w:rsidRPr="00720D91" w:rsidRDefault="00720D91" w:rsidP="00720D91">
      <w:pPr>
        <w:ind w:firstLine="426"/>
        <w:jc w:val="both"/>
        <w:rPr>
          <w:rFonts w:ascii="Arial" w:hAnsi="Arial" w:cs="Arial"/>
          <w:sz w:val="22"/>
          <w:szCs w:val="22"/>
        </w:rPr>
      </w:pPr>
      <w:r w:rsidRPr="00720D91">
        <w:rPr>
          <w:rFonts w:ascii="Arial" w:hAnsi="Arial" w:cs="Arial"/>
          <w:sz w:val="22"/>
          <w:szCs w:val="22"/>
        </w:rPr>
        <w:t xml:space="preserve">73. Le principe établi à l'article 55 est que les institutions de la Convention ont le monopole pour trancher les différends découlant de l'interprétation et de l'application de la Convention. Les États parties renoncent à se prévaloir des traités, conventions et déclarations en vigueur entre eux pour soumettre ces différends à d'autres modes de règlement. Une dérogation à ce principe n'est autorisée qu'à titre exceptionnel, sous réserve de l'existence d'un compromis spécial entre les États parties concernés, permettant de soumettre, par voie de requête, le différend relatif à l'interprétation ou à l'application de la Convention à un autre mode de règlement. </w:t>
      </w:r>
      <w:r w:rsidRPr="00720D91">
        <w:rPr>
          <w:rStyle w:val="Appelnotedebasdep"/>
          <w:rFonts w:ascii="Arial" w:hAnsi="Arial" w:cs="Arial"/>
          <w:sz w:val="22"/>
          <w:szCs w:val="22"/>
        </w:rPr>
        <w:footnoteReference w:id="112"/>
      </w:r>
      <w:r w:rsidRPr="00720D91">
        <w:rPr>
          <w:rFonts w:ascii="Arial" w:hAnsi="Arial" w:cs="Arial"/>
          <w:sz w:val="22"/>
          <w:szCs w:val="22"/>
        </w:rPr>
        <w:t xml:space="preserve"> L'article 55, s’il n’exclut pas totalement la possibilité que des différends interétatiques portant sur des questions de droits de l'homme soient portés devant d'autres organes internationaux, crée un obstacle pour les États parties qui ne sont pas satisfaits des arrêts de la Cour dans une affaire interétatique et qui ne peuvent pas « faire appel » de ces arrêts devant un autre organe international. </w:t>
      </w:r>
    </w:p>
    <w:p w14:paraId="1BC4D8CF" w14:textId="77777777" w:rsidR="00720D91" w:rsidRPr="00720D91" w:rsidRDefault="00720D91" w:rsidP="00720D91">
      <w:pPr>
        <w:ind w:firstLine="426"/>
        <w:jc w:val="both"/>
        <w:rPr>
          <w:rFonts w:ascii="Arial" w:hAnsi="Arial" w:cs="Arial"/>
          <w:sz w:val="22"/>
          <w:szCs w:val="22"/>
        </w:rPr>
      </w:pPr>
    </w:p>
    <w:p w14:paraId="69BE4A4C" w14:textId="77777777" w:rsidR="00720D91" w:rsidRPr="00720D91" w:rsidRDefault="00720D91" w:rsidP="00720D91">
      <w:pPr>
        <w:ind w:firstLine="426"/>
        <w:jc w:val="both"/>
        <w:rPr>
          <w:rFonts w:ascii="Arial" w:hAnsi="Arial" w:cs="Arial"/>
          <w:sz w:val="22"/>
          <w:szCs w:val="22"/>
        </w:rPr>
      </w:pPr>
      <w:r w:rsidRPr="00720D91">
        <w:rPr>
          <w:rFonts w:ascii="Arial" w:hAnsi="Arial" w:cs="Arial"/>
          <w:sz w:val="22"/>
          <w:szCs w:val="22"/>
        </w:rPr>
        <w:t>74. Il convient également de souligner que la Cour tiendra compte des décisions ou des résultats d'enquête d'autres organes internationaux et s'efforcera de rester dans les limites de sa compétence lorsqu'elle traitera d'affaires interétatiques et d'éviter autant que possible d'empiéter sur la compétence d'autres organes internationaux.</w:t>
      </w:r>
      <w:r w:rsidRPr="00720D91">
        <w:rPr>
          <w:rStyle w:val="Appelnotedebasdep"/>
          <w:rFonts w:ascii="Arial" w:hAnsi="Arial" w:cs="Arial"/>
          <w:sz w:val="22"/>
          <w:szCs w:val="22"/>
        </w:rPr>
        <w:t xml:space="preserve"> </w:t>
      </w:r>
      <w:r w:rsidRPr="00720D91">
        <w:rPr>
          <w:rStyle w:val="Appelnotedebasdep"/>
          <w:rFonts w:ascii="Arial" w:hAnsi="Arial" w:cs="Arial"/>
          <w:sz w:val="22"/>
          <w:szCs w:val="22"/>
        </w:rPr>
        <w:footnoteReference w:id="113"/>
      </w:r>
      <w:r w:rsidRPr="00720D91">
        <w:rPr>
          <w:rFonts w:ascii="Arial" w:hAnsi="Arial" w:cs="Arial"/>
          <w:sz w:val="22"/>
          <w:szCs w:val="22"/>
        </w:rPr>
        <w:t xml:space="preserve"> </w:t>
      </w:r>
    </w:p>
    <w:p w14:paraId="4435424A" w14:textId="77777777" w:rsidR="00720D91" w:rsidRPr="00720D91" w:rsidRDefault="00720D91" w:rsidP="00720D91">
      <w:pPr>
        <w:pStyle w:val="Titre1"/>
        <w:rPr>
          <w:rFonts w:ascii="Arial" w:hAnsi="Arial" w:cs="Arial"/>
          <w:sz w:val="22"/>
          <w:szCs w:val="22"/>
          <w:lang w:val="fr-FR"/>
        </w:rPr>
      </w:pPr>
      <w:bookmarkStart w:id="34" w:name="_Toc83293810"/>
      <w:r w:rsidRPr="00720D91">
        <w:rPr>
          <w:rFonts w:ascii="Arial" w:hAnsi="Arial" w:cs="Arial"/>
          <w:sz w:val="22"/>
          <w:szCs w:val="22"/>
          <w:lang w:val="fr-FR"/>
        </w:rPr>
        <w:t>VI. L'ÉTABLISSEMENT DES FAITS</w:t>
      </w:r>
      <w:bookmarkEnd w:id="34"/>
      <w:r w:rsidRPr="00720D91">
        <w:rPr>
          <w:rFonts w:ascii="Arial" w:hAnsi="Arial" w:cs="Arial"/>
          <w:sz w:val="22"/>
          <w:szCs w:val="22"/>
          <w:lang w:val="fr-FR"/>
        </w:rPr>
        <w:t xml:space="preserve"> </w:t>
      </w:r>
    </w:p>
    <w:p w14:paraId="4A3CF450" w14:textId="77777777" w:rsidR="00720D91" w:rsidRPr="00720D91" w:rsidRDefault="00720D91" w:rsidP="00720D91">
      <w:pPr>
        <w:pStyle w:val="Sansinterligne"/>
        <w:rPr>
          <w:sz w:val="22"/>
          <w:szCs w:val="22"/>
        </w:rPr>
      </w:pPr>
    </w:p>
    <w:p w14:paraId="1F757C54" w14:textId="77777777" w:rsidR="00720D91" w:rsidRPr="00720D91" w:rsidRDefault="00720D91" w:rsidP="00720D91">
      <w:pPr>
        <w:autoSpaceDE w:val="0"/>
        <w:autoSpaceDN w:val="0"/>
        <w:adjustRightInd w:val="0"/>
        <w:spacing w:after="240"/>
        <w:ind w:firstLine="426"/>
        <w:jc w:val="both"/>
        <w:rPr>
          <w:rFonts w:ascii="Arial" w:hAnsi="Arial" w:cs="Arial"/>
          <w:sz w:val="22"/>
          <w:szCs w:val="22"/>
        </w:rPr>
      </w:pPr>
      <w:r w:rsidRPr="00720D91">
        <w:rPr>
          <w:rFonts w:ascii="Arial" w:hAnsi="Arial" w:cs="Arial"/>
          <w:sz w:val="22"/>
          <w:szCs w:val="22"/>
        </w:rPr>
        <w:t xml:space="preserve">75. Un certain nombre de difficultés liés à l'établissement des faits sont spécifiques au traitement et au règlement des affaires interétatiques qui sont complexes en raison de leur nature et dimension, en particulier lorsqu’elles concernent des conflits armés. Il s'agit de l'obtention des éléments de preuves nécessaires, </w:t>
      </w:r>
      <w:r w:rsidRPr="00720D91">
        <w:rPr>
          <w:rFonts w:ascii="Arial" w:hAnsi="Arial" w:cs="Arial"/>
          <w:iCs/>
          <w:sz w:val="22"/>
          <w:szCs w:val="22"/>
        </w:rPr>
        <w:t>notamment</w:t>
      </w:r>
      <w:r w:rsidRPr="00720D91">
        <w:rPr>
          <w:rFonts w:ascii="Arial" w:hAnsi="Arial" w:cs="Arial"/>
          <w:i/>
          <w:sz w:val="22"/>
          <w:szCs w:val="22"/>
        </w:rPr>
        <w:t xml:space="preserve"> </w:t>
      </w:r>
      <w:r w:rsidRPr="00720D91">
        <w:rPr>
          <w:rFonts w:ascii="Arial" w:hAnsi="Arial" w:cs="Arial"/>
          <w:sz w:val="22"/>
          <w:szCs w:val="22"/>
        </w:rPr>
        <w:t xml:space="preserve">par des missions d'enquête et des auditions de témoins, ainsi que des différentes sources d'information et de l'évaluation des preuves par la Cour. </w:t>
      </w:r>
    </w:p>
    <w:p w14:paraId="792F5F21" w14:textId="77777777" w:rsidR="00720D91" w:rsidRPr="00720D91" w:rsidRDefault="00720D91" w:rsidP="00720D91">
      <w:pPr>
        <w:pStyle w:val="JuPara"/>
        <w:ind w:firstLine="426"/>
        <w:rPr>
          <w:rFonts w:ascii="Arial" w:hAnsi="Arial" w:cs="Arial"/>
          <w:sz w:val="22"/>
          <w:szCs w:val="22"/>
          <w:lang w:val="fr-FR"/>
        </w:rPr>
      </w:pPr>
      <w:r w:rsidRPr="00720D91">
        <w:rPr>
          <w:rFonts w:ascii="Arial" w:hAnsi="Arial" w:cs="Arial"/>
          <w:sz w:val="22"/>
          <w:szCs w:val="22"/>
          <w:lang w:val="fr-FR"/>
        </w:rPr>
        <w:t>76</w:t>
      </w:r>
      <w:r w:rsidRPr="00720D91">
        <w:rPr>
          <w:rFonts w:ascii="Arial" w:eastAsiaTheme="minorEastAsia" w:hAnsi="Arial" w:cs="Arial"/>
          <w:sz w:val="22"/>
          <w:szCs w:val="22"/>
          <w:lang w:val="fr-FR" w:eastAsia="en-GB"/>
        </w:rPr>
        <w:t>. Récemment, la Cour relevé des défis spécifiques dans les affaires concernant des allégations d'existence d'une pratique administrative au sens de la Convention, celle-ci peut être établie. La car la Cour est presque inévitablement confrontée aux mêmes difficultés en matière d'établissement et d’appréciation des preuves que celles auxquelles est confrontée toute juridiction de première instance.</w:t>
      </w:r>
      <w:r w:rsidRPr="00720D91">
        <w:rPr>
          <w:rFonts w:eastAsiaTheme="minorEastAsia"/>
          <w:sz w:val="22"/>
          <w:szCs w:val="22"/>
          <w:vertAlign w:val="superscript"/>
          <w:lang w:eastAsia="en-GB"/>
        </w:rPr>
        <w:footnoteReference w:id="114"/>
      </w:r>
      <w:r w:rsidRPr="00720D91">
        <w:rPr>
          <w:rFonts w:ascii="Arial" w:eastAsiaTheme="minorEastAsia" w:hAnsi="Arial" w:cs="Arial"/>
          <w:sz w:val="22"/>
          <w:szCs w:val="22"/>
          <w:vertAlign w:val="superscript"/>
          <w:lang w:val="fr-FR" w:eastAsia="en-GB"/>
        </w:rPr>
        <w:t xml:space="preserve"> </w:t>
      </w:r>
      <w:r w:rsidRPr="00720D91">
        <w:rPr>
          <w:rFonts w:ascii="Arial" w:eastAsiaTheme="minorEastAsia" w:hAnsi="Arial" w:cs="Arial"/>
          <w:sz w:val="22"/>
          <w:szCs w:val="22"/>
          <w:lang w:val="fr-FR" w:eastAsia="en-GB"/>
        </w:rPr>
        <w:t>La Cour a observé qu'il est particulièrement difficile d'établir les faits dans le contexte d'une affaire interétatique qui concerne un conflit armé et ses conséquences, impliquant des milliers de personnes et se déroulant sur une période significative dans une vaste zone géographique.</w:t>
      </w:r>
      <w:r w:rsidRPr="00720D91">
        <w:rPr>
          <w:rFonts w:eastAsiaTheme="minorEastAsia"/>
          <w:sz w:val="22"/>
          <w:szCs w:val="22"/>
          <w:vertAlign w:val="superscript"/>
          <w:lang w:eastAsia="en-GB"/>
        </w:rPr>
        <w:footnoteReference w:id="115"/>
      </w:r>
      <w:r w:rsidRPr="00720D91">
        <w:rPr>
          <w:rFonts w:ascii="Arial" w:eastAsiaTheme="minorEastAsia" w:hAnsi="Arial" w:cs="Arial"/>
          <w:sz w:val="22"/>
          <w:szCs w:val="22"/>
          <w:vertAlign w:val="superscript"/>
          <w:lang w:val="fr-FR" w:eastAsia="en-GB"/>
        </w:rPr>
        <w:t xml:space="preserve"> </w:t>
      </w:r>
      <w:r w:rsidRPr="00720D91">
        <w:rPr>
          <w:rFonts w:ascii="Arial" w:eastAsiaTheme="minorEastAsia" w:hAnsi="Arial" w:cs="Arial"/>
          <w:sz w:val="22"/>
          <w:szCs w:val="22"/>
          <w:lang w:val="fr-FR" w:eastAsia="en-GB"/>
        </w:rPr>
        <w:t>La</w:t>
      </w:r>
      <w:r w:rsidRPr="00720D91">
        <w:rPr>
          <w:rFonts w:ascii="Arial" w:hAnsi="Arial" w:cs="Arial"/>
          <w:sz w:val="22"/>
          <w:szCs w:val="22"/>
          <w:lang w:val="fr-FR"/>
        </w:rPr>
        <w:t xml:space="preserve"> Cour a </w:t>
      </w:r>
      <w:r w:rsidRPr="00720D91">
        <w:rPr>
          <w:rFonts w:ascii="Arial" w:hAnsi="Arial" w:cs="Arial"/>
          <w:sz w:val="22"/>
          <w:szCs w:val="22"/>
          <w:shd w:val="clear" w:color="auto" w:fill="FFFFFF" w:themeFill="background1"/>
          <w:lang w:val="fr-FR"/>
        </w:rPr>
        <w:t xml:space="preserve">également </w:t>
      </w:r>
      <w:r w:rsidRPr="00720D91">
        <w:rPr>
          <w:rFonts w:ascii="Arial" w:hAnsi="Arial" w:cs="Arial"/>
          <w:sz w:val="22"/>
          <w:szCs w:val="22"/>
          <w:lang w:val="fr-FR"/>
        </w:rPr>
        <w:t>souligné un certain nombre d'</w:t>
      </w:r>
      <w:r w:rsidRPr="00720D91">
        <w:rPr>
          <w:rFonts w:ascii="Arial" w:hAnsi="Arial" w:cs="Arial"/>
          <w:sz w:val="22"/>
          <w:szCs w:val="22"/>
          <w:shd w:val="clear" w:color="auto" w:fill="FFFFFF" w:themeFill="background1"/>
          <w:lang w:val="fr-FR"/>
        </w:rPr>
        <w:t xml:space="preserve">autres </w:t>
      </w:r>
      <w:r w:rsidRPr="00720D91">
        <w:rPr>
          <w:rFonts w:ascii="Arial" w:hAnsi="Arial" w:cs="Arial"/>
          <w:sz w:val="22"/>
          <w:szCs w:val="22"/>
          <w:lang w:val="fr-FR"/>
        </w:rPr>
        <w:t xml:space="preserve">difficultés </w:t>
      </w:r>
      <w:r w:rsidRPr="00720D91">
        <w:rPr>
          <w:rFonts w:ascii="Arial" w:hAnsi="Arial" w:cs="Arial"/>
          <w:sz w:val="22"/>
          <w:szCs w:val="22"/>
          <w:shd w:val="clear" w:color="auto" w:fill="FFFFFF" w:themeFill="background1"/>
          <w:lang w:val="fr-FR"/>
        </w:rPr>
        <w:t xml:space="preserve">liées aux cas où la Cour doit agir en tant que juridiction de première instance. Il s'agit notamment </w:t>
      </w:r>
      <w:r w:rsidRPr="00720D91">
        <w:rPr>
          <w:rFonts w:ascii="Arial" w:hAnsi="Arial" w:cs="Arial"/>
          <w:sz w:val="22"/>
          <w:szCs w:val="22"/>
          <w:lang w:val="fr-FR"/>
        </w:rPr>
        <w:t xml:space="preserve">de l'examen de l'efficacité et de l'accessibilité des recours internes en tant que preuve supplémentaire de l'existence d'une pratique administrative, de la longueur des observations et des annexes des parties et de l'incapacité des gouvernements défendeurs à fournir à la Cour tous les moyens nécessaires pour lui permettre d'établir les faits ainsi que les auditions de témoins et d'experts. </w:t>
      </w:r>
      <w:r w:rsidRPr="00720D91">
        <w:rPr>
          <w:rStyle w:val="Appelnotedebasdep"/>
          <w:rFonts w:ascii="Arial" w:hAnsi="Arial" w:cs="Arial"/>
          <w:sz w:val="22"/>
          <w:szCs w:val="22"/>
        </w:rPr>
        <w:footnoteReference w:id="116"/>
      </w:r>
      <w:r w:rsidRPr="00720D91">
        <w:rPr>
          <w:rFonts w:ascii="Arial" w:hAnsi="Arial" w:cs="Arial"/>
          <w:sz w:val="22"/>
          <w:szCs w:val="22"/>
          <w:lang w:val="fr-FR"/>
        </w:rPr>
        <w:t xml:space="preserve"> Certaines des difficultés à établir les faits </w:t>
      </w:r>
      <w:r w:rsidRPr="00720D91">
        <w:rPr>
          <w:rFonts w:ascii="Arial" w:hAnsi="Arial" w:cs="Arial"/>
          <w:sz w:val="22"/>
          <w:szCs w:val="22"/>
          <w:lang w:val="fr-FR"/>
        </w:rPr>
        <w:lastRenderedPageBreak/>
        <w:t>ont été mises en évidence dans le récent arrêt Géorgie c. Russie (II), dans lequel la Cour a répondu par la négative sur la question de savoir si les événements survenus pendant la phase active des hostilités dans le cadre d'un conflit armé international en dehors du territoire de l'État défendeur relevaient de la compétence de cet État.</w:t>
      </w:r>
      <w:r w:rsidRPr="00720D91">
        <w:rPr>
          <w:rFonts w:asciiTheme="minorBidi" w:hAnsiTheme="minorBidi"/>
          <w:sz w:val="22"/>
          <w:szCs w:val="22"/>
          <w:vertAlign w:val="superscript"/>
        </w:rPr>
        <w:footnoteReference w:id="117"/>
      </w:r>
    </w:p>
    <w:p w14:paraId="2961732B" w14:textId="77777777" w:rsidR="00720D91" w:rsidRPr="00720D91" w:rsidRDefault="00720D91" w:rsidP="00720D91">
      <w:pPr>
        <w:pStyle w:val="JuPara"/>
        <w:ind w:firstLine="426"/>
        <w:rPr>
          <w:rFonts w:ascii="Arial" w:hAnsi="Arial" w:cs="Arial"/>
          <w:sz w:val="22"/>
          <w:szCs w:val="22"/>
          <w:lang w:val="fr-FR"/>
        </w:rPr>
      </w:pPr>
    </w:p>
    <w:p w14:paraId="1A8C0DF8" w14:textId="77777777" w:rsidR="00720D91" w:rsidRPr="00720D91" w:rsidRDefault="00720D91" w:rsidP="00720D91">
      <w:pPr>
        <w:pStyle w:val="JuPara"/>
        <w:ind w:firstLine="426"/>
        <w:rPr>
          <w:rFonts w:ascii="Arial" w:hAnsi="Arial" w:cs="Arial"/>
          <w:b/>
          <w:bCs/>
          <w:color w:val="FF0000"/>
          <w:sz w:val="22"/>
          <w:szCs w:val="22"/>
          <w:shd w:val="clear" w:color="auto" w:fill="D9D9D9" w:themeFill="background1" w:themeFillShade="D9"/>
          <w:lang w:val="fr-FR"/>
        </w:rPr>
      </w:pPr>
      <w:r w:rsidRPr="00720D91">
        <w:rPr>
          <w:rFonts w:ascii="Arial" w:hAnsi="Arial" w:cs="Arial"/>
          <w:sz w:val="22"/>
          <w:szCs w:val="22"/>
          <w:lang w:val="fr-FR"/>
        </w:rPr>
        <w:t xml:space="preserve">77. Le présent chapitre aborde ces défis sous l'angle des principes généraux appliqués par la Cour en matière de recevabilité et d'appréciation de la preuve, du devoir de coopération des États parties avec la Cour en vertu de l'article 38 de la Convention (sections 1-3) ainsi que de la pratique actuelle de la Cour en matière d'établissement des faits (section 4). En ce qui concerne l'appréciation de la preuve et l'application de l'article 38, la Cour ne distingue pas les principes qui s'appliquent spécifiquement ou exclusivement aux requêtes interétatiques ou aux requêtes individuelles. Au contraire, les principes développés concernant les requêtes individuelles sont appliqués </w:t>
      </w:r>
      <w:r w:rsidRPr="00720D91">
        <w:rPr>
          <w:rFonts w:ascii="Arial" w:hAnsi="Arial" w:cs="Arial"/>
          <w:i/>
          <w:iCs/>
          <w:sz w:val="22"/>
          <w:szCs w:val="22"/>
          <w:lang w:val="fr-FR"/>
        </w:rPr>
        <w:t>mutatis mutandis</w:t>
      </w:r>
      <w:r w:rsidRPr="00720D91">
        <w:rPr>
          <w:rFonts w:ascii="Arial" w:hAnsi="Arial" w:cs="Arial"/>
          <w:sz w:val="22"/>
          <w:szCs w:val="22"/>
          <w:lang w:val="fr-FR"/>
        </w:rPr>
        <w:t xml:space="preserve"> aux requêtes interétatiques et vice-versa. </w:t>
      </w:r>
    </w:p>
    <w:p w14:paraId="0A00924D" w14:textId="77777777" w:rsidR="00720D91" w:rsidRPr="00720D91" w:rsidRDefault="00720D91" w:rsidP="00720D91">
      <w:pPr>
        <w:pStyle w:val="JuPara"/>
        <w:ind w:firstLine="426"/>
        <w:rPr>
          <w:rFonts w:ascii="Arial" w:hAnsi="Arial" w:cs="Arial"/>
          <w:sz w:val="22"/>
          <w:szCs w:val="22"/>
          <w:lang w:val="fr-FR"/>
        </w:rPr>
      </w:pPr>
    </w:p>
    <w:p w14:paraId="52F95815" w14:textId="77777777" w:rsidR="00720D91" w:rsidRPr="00720D91" w:rsidRDefault="00720D91" w:rsidP="00720D91">
      <w:pPr>
        <w:pStyle w:val="Titre2"/>
        <w:ind w:left="720"/>
        <w:jc w:val="both"/>
        <w:rPr>
          <w:rFonts w:cs="Arial"/>
          <w:bCs w:val="0"/>
          <w:iCs/>
          <w:sz w:val="22"/>
          <w:szCs w:val="22"/>
          <w:lang w:val="fr-FR"/>
        </w:rPr>
      </w:pPr>
      <w:bookmarkStart w:id="35" w:name="_Toc83293811"/>
      <w:bookmarkStart w:id="36" w:name="_Hlk27650650"/>
      <w:r w:rsidRPr="00720D91">
        <w:rPr>
          <w:rFonts w:cs="Arial"/>
          <w:bCs w:val="0"/>
          <w:iCs/>
          <w:sz w:val="22"/>
          <w:szCs w:val="22"/>
          <w:lang w:val="fr-FR"/>
        </w:rPr>
        <w:t>1. Principes de recevabilité et appréciation des éléments de preuve</w:t>
      </w:r>
      <w:bookmarkEnd w:id="35"/>
      <w:r w:rsidRPr="00720D91">
        <w:rPr>
          <w:rFonts w:cs="Arial"/>
          <w:bCs w:val="0"/>
          <w:iCs/>
          <w:sz w:val="22"/>
          <w:szCs w:val="22"/>
          <w:lang w:val="fr-FR"/>
        </w:rPr>
        <w:t xml:space="preserve"> </w:t>
      </w:r>
    </w:p>
    <w:bookmarkEnd w:id="36"/>
    <w:p w14:paraId="42B4FBBD" w14:textId="77777777" w:rsidR="00720D91" w:rsidRPr="00720D91" w:rsidRDefault="00720D91" w:rsidP="00720D91">
      <w:pPr>
        <w:pStyle w:val="Sansinterligne"/>
        <w:rPr>
          <w:sz w:val="22"/>
          <w:szCs w:val="22"/>
        </w:rPr>
      </w:pPr>
    </w:p>
    <w:p w14:paraId="342A60E5" w14:textId="77777777" w:rsidR="00720D91" w:rsidRPr="00720D91" w:rsidRDefault="00720D91" w:rsidP="00720D91">
      <w:pPr>
        <w:spacing w:after="240"/>
        <w:ind w:firstLine="426"/>
        <w:jc w:val="both"/>
        <w:rPr>
          <w:sz w:val="22"/>
          <w:szCs w:val="22"/>
        </w:rPr>
      </w:pPr>
      <w:r w:rsidRPr="00720D91">
        <w:rPr>
          <w:rFonts w:ascii="Arial" w:hAnsi="Arial" w:cs="Arial"/>
          <w:sz w:val="22"/>
          <w:szCs w:val="22"/>
        </w:rPr>
        <w:t>78. Ni la Convention ni le Règlement de la Cour ne cherchent à réglementer la manière dont les preuves doivent être admises ou appréciées par la Cour</w:t>
      </w:r>
      <w:r w:rsidRPr="00720D91">
        <w:rPr>
          <w:rFonts w:ascii="Arial" w:hAnsi="Arial" w:cs="Arial"/>
          <w:sz w:val="22"/>
          <w:szCs w:val="22"/>
          <w:shd w:val="clear" w:color="auto" w:fill="FFFFFF" w:themeFill="background1"/>
        </w:rPr>
        <w:t>.</w:t>
      </w:r>
      <w:r w:rsidRPr="00720D91">
        <w:rPr>
          <w:rStyle w:val="Appelnotedebasdep"/>
          <w:rFonts w:ascii="Arial" w:hAnsi="Arial" w:cs="Arial"/>
          <w:sz w:val="22"/>
          <w:szCs w:val="22"/>
          <w:shd w:val="clear" w:color="auto" w:fill="FFFFFF" w:themeFill="background1"/>
        </w:rPr>
        <w:footnoteReference w:id="118"/>
      </w:r>
      <w:r w:rsidRPr="00720D91">
        <w:rPr>
          <w:rFonts w:ascii="Arial" w:hAnsi="Arial" w:cs="Arial"/>
          <w:b/>
          <w:color w:val="FF0000"/>
          <w:sz w:val="22"/>
          <w:szCs w:val="22"/>
          <w:shd w:val="clear" w:color="auto" w:fill="FFFFFF" w:themeFill="background1"/>
          <w:lang w:eastAsia="en-US" w:bidi="en-US"/>
        </w:rPr>
        <w:t xml:space="preserve"> </w:t>
      </w:r>
      <w:r w:rsidRPr="00720D91">
        <w:rPr>
          <w:rFonts w:ascii="Arial" w:hAnsi="Arial" w:cs="Arial"/>
          <w:sz w:val="22"/>
          <w:szCs w:val="22"/>
          <w:shd w:val="clear" w:color="auto" w:fill="FFFFFF" w:themeFill="background1"/>
        </w:rPr>
        <w:t xml:space="preserve">La Cour examine tous les éléments dont elle est saisie, qu'ils proviennent des parties ou d'autres sources, et, si nécessaire, se les procure de sa propre initiative. </w:t>
      </w:r>
      <w:r w:rsidRPr="00720D91">
        <w:rPr>
          <w:rFonts w:ascii="Arial" w:hAnsi="Arial" w:cs="Arial"/>
          <w:sz w:val="22"/>
          <w:szCs w:val="22"/>
          <w:shd w:val="clear" w:color="auto" w:fill="FFFFFF" w:themeFill="background1"/>
          <w:vertAlign w:val="superscript"/>
        </w:rPr>
        <w:footnoteReference w:id="119"/>
      </w:r>
      <w:r w:rsidRPr="00720D91">
        <w:rPr>
          <w:rFonts w:ascii="Arial" w:hAnsi="Arial" w:cs="Arial"/>
          <w:sz w:val="22"/>
          <w:szCs w:val="22"/>
          <w:shd w:val="clear" w:color="auto" w:fill="FFFFFF" w:themeFill="background1"/>
        </w:rPr>
        <w:t xml:space="preserve"> Il n'existe </w:t>
      </w:r>
      <w:r w:rsidRPr="00720D91">
        <w:rPr>
          <w:rFonts w:ascii="Arial" w:hAnsi="Arial" w:cs="Arial"/>
          <w:b/>
          <w:bCs/>
          <w:i/>
          <w:iCs/>
          <w:sz w:val="22"/>
          <w:szCs w:val="22"/>
          <w:shd w:val="clear" w:color="auto" w:fill="FFFFFF" w:themeFill="background1"/>
        </w:rPr>
        <w:t>pas de barrières procédurales à la recevabilité des preuves ni de formules préétablies pour leur évaluation</w:t>
      </w:r>
      <w:r w:rsidRPr="00720D91">
        <w:rPr>
          <w:rFonts w:ascii="Arial" w:hAnsi="Arial" w:cs="Arial"/>
          <w:sz w:val="22"/>
          <w:szCs w:val="22"/>
          <w:shd w:val="clear" w:color="auto" w:fill="FFFFFF" w:themeFill="background1"/>
        </w:rPr>
        <w:t xml:space="preserve"> ; la Cour adopte les conclusions qui, à son avis, sont étayées par la libre évaluation de tous les éléments de preuve, y compris les déductions qui peuvent découler des faits et des arguments des parties. </w:t>
      </w:r>
      <w:r w:rsidRPr="00720D91">
        <w:rPr>
          <w:rFonts w:ascii="Arial" w:hAnsi="Arial" w:cs="Arial"/>
          <w:sz w:val="22"/>
          <w:szCs w:val="22"/>
          <w:shd w:val="clear" w:color="auto" w:fill="FFFFFF" w:themeFill="background1"/>
          <w:vertAlign w:val="superscript"/>
        </w:rPr>
        <w:footnoteReference w:id="120"/>
      </w:r>
    </w:p>
    <w:p w14:paraId="58D405DC" w14:textId="77777777" w:rsidR="00720D91" w:rsidRPr="00720D91" w:rsidRDefault="00720D91" w:rsidP="00720D91">
      <w:pPr>
        <w:spacing w:after="240"/>
        <w:ind w:firstLine="426"/>
        <w:jc w:val="both"/>
        <w:rPr>
          <w:rFonts w:ascii="Arial" w:hAnsi="Arial" w:cs="Arial"/>
          <w:color w:val="000000"/>
          <w:sz w:val="22"/>
          <w:szCs w:val="22"/>
          <w:shd w:val="clear" w:color="auto" w:fill="FFFFFF"/>
        </w:rPr>
      </w:pPr>
      <w:r w:rsidRPr="00720D91">
        <w:rPr>
          <w:rFonts w:ascii="Arial" w:hAnsi="Arial" w:cs="Arial"/>
          <w:sz w:val="22"/>
          <w:szCs w:val="22"/>
        </w:rPr>
        <w:t xml:space="preserve">79. </w:t>
      </w:r>
      <w:r w:rsidRPr="00720D91">
        <w:rPr>
          <w:rStyle w:val="sb8d990e2"/>
          <w:rFonts w:ascii="Arial" w:eastAsiaTheme="majorEastAsia" w:hAnsi="Arial" w:cs="Arial"/>
          <w:color w:val="000000"/>
          <w:sz w:val="22"/>
          <w:szCs w:val="22"/>
          <w:shd w:val="clear" w:color="auto" w:fill="FFFFFF"/>
        </w:rPr>
        <w:t xml:space="preserve">La </w:t>
      </w:r>
      <w:r w:rsidRPr="00720D91">
        <w:rPr>
          <w:rStyle w:val="sb8d990e2"/>
          <w:rFonts w:ascii="Arial" w:eastAsiaTheme="majorEastAsia" w:hAnsi="Arial" w:cs="Arial"/>
          <w:b/>
          <w:bCs/>
          <w:i/>
          <w:iCs/>
          <w:color w:val="000000"/>
          <w:sz w:val="22"/>
          <w:szCs w:val="22"/>
          <w:shd w:val="clear" w:color="auto" w:fill="FFFFFF"/>
        </w:rPr>
        <w:t>preuve</w:t>
      </w:r>
      <w:r w:rsidRPr="00720D91">
        <w:rPr>
          <w:rStyle w:val="sb8d990e2"/>
          <w:rFonts w:ascii="Arial" w:eastAsiaTheme="majorEastAsia" w:hAnsi="Arial" w:cs="Arial"/>
          <w:color w:val="000000"/>
          <w:sz w:val="22"/>
          <w:szCs w:val="22"/>
          <w:shd w:val="clear" w:color="auto" w:fill="FFFFFF"/>
        </w:rPr>
        <w:t xml:space="preserve"> peut découler de la coexistence d'inférences suffisamment fortes, claires et concordantes ou de présomptions de fait similaires non réfutées. En outre, le degré de persuasion nécessaire pour parvenir à une conclusion particulière et, à cet égard, la répartition de la charge de la preuve sont intrinsèquement liés à la spécificité des faits, à la nature de l'allégation formulée et au droit de la Convention en jeu. La Cour est également attentive à la gravité qui s'attache à la constatation de la violation des droits fondamentaux par un État contractant. </w:t>
      </w:r>
      <w:r w:rsidRPr="00720D91">
        <w:rPr>
          <w:rStyle w:val="Appelnotedebasdep"/>
          <w:rFonts w:ascii="Arial" w:hAnsi="Arial" w:cs="Arial"/>
          <w:color w:val="000000"/>
          <w:sz w:val="22"/>
          <w:szCs w:val="22"/>
          <w:shd w:val="clear" w:color="auto" w:fill="FFFFFF"/>
        </w:rPr>
        <w:footnoteReference w:id="121"/>
      </w:r>
    </w:p>
    <w:p w14:paraId="58F1AC80" w14:textId="77777777" w:rsidR="00720D91" w:rsidRPr="00720D91" w:rsidRDefault="00720D91" w:rsidP="00720D91">
      <w:pPr>
        <w:autoSpaceDE w:val="0"/>
        <w:autoSpaceDN w:val="0"/>
        <w:adjustRightInd w:val="0"/>
        <w:spacing w:after="240"/>
        <w:ind w:firstLine="426"/>
        <w:jc w:val="both"/>
        <w:rPr>
          <w:rFonts w:ascii="Arial" w:hAnsi="Arial" w:cs="Arial"/>
          <w:sz w:val="22"/>
          <w:szCs w:val="22"/>
          <w:lang w:eastAsia="en-US"/>
        </w:rPr>
      </w:pPr>
      <w:r w:rsidRPr="00720D91">
        <w:rPr>
          <w:rFonts w:ascii="Arial" w:hAnsi="Arial" w:cs="Arial"/>
          <w:sz w:val="22"/>
          <w:szCs w:val="22"/>
          <w:lang w:eastAsia="en-US"/>
        </w:rPr>
        <w:t>80. Maîtresse de sa procédure et de son règlement, la Cour a toute liberté pour évaluer non seulement la recevabilité et la pertinence mais aussi la valeur probante de chaque élément de preuve qui lui est soumis.</w:t>
      </w:r>
      <w:r w:rsidRPr="00720D91">
        <w:rPr>
          <w:rFonts w:ascii="Arial" w:hAnsi="Arial" w:cs="Arial"/>
          <w:sz w:val="22"/>
          <w:szCs w:val="22"/>
          <w:vertAlign w:val="superscript"/>
          <w:lang w:eastAsia="en-US"/>
        </w:rPr>
        <w:footnoteReference w:id="122"/>
      </w:r>
      <w:r w:rsidRPr="00720D91">
        <w:rPr>
          <w:rFonts w:ascii="Arial" w:hAnsi="Arial" w:cs="Arial"/>
          <w:sz w:val="22"/>
          <w:szCs w:val="22"/>
          <w:lang w:eastAsia="en-US"/>
        </w:rPr>
        <w:t xml:space="preserve"> Elle a souvent attaché de l'importance aux informations contenues dans des rapports récents émanant d'associations internationales indépendantes de protection des droits de l'homme ou de sources gouvernementales.</w:t>
      </w:r>
      <w:r w:rsidRPr="00720D91">
        <w:rPr>
          <w:rFonts w:ascii="Arial" w:hAnsi="Arial" w:cs="Arial"/>
          <w:sz w:val="22"/>
          <w:szCs w:val="22"/>
          <w:vertAlign w:val="superscript"/>
          <w:lang w:eastAsia="en-US"/>
        </w:rPr>
        <w:footnoteReference w:id="123"/>
      </w:r>
      <w:r w:rsidRPr="00720D91">
        <w:rPr>
          <w:rFonts w:ascii="Arial" w:hAnsi="Arial" w:cs="Arial"/>
          <w:sz w:val="22"/>
          <w:szCs w:val="22"/>
          <w:lang w:eastAsia="en-US"/>
        </w:rPr>
        <w:t xml:space="preserve"> Afin d'évaluer la fiabilité de ces rapports, les critères pertinents sont l'autorité et la réputation de leurs auteurs, le sérieux des enquêtes par lesquelles ils ont été compilés, la cohérence de leurs conclusions et le fait qu'elles soient corroborées par d'autres sources.</w:t>
      </w:r>
      <w:r w:rsidRPr="00720D91">
        <w:rPr>
          <w:rFonts w:ascii="Arial" w:hAnsi="Arial" w:cs="Arial"/>
          <w:sz w:val="22"/>
          <w:szCs w:val="22"/>
          <w:vertAlign w:val="superscript"/>
          <w:lang w:eastAsia="en-US"/>
        </w:rPr>
        <w:footnoteReference w:id="124"/>
      </w:r>
      <w:r w:rsidRPr="00720D91">
        <w:rPr>
          <w:rFonts w:ascii="Arial" w:hAnsi="Arial" w:cs="Arial"/>
          <w:sz w:val="22"/>
          <w:szCs w:val="22"/>
          <w:lang w:eastAsia="en-US"/>
        </w:rPr>
        <w:t xml:space="preserve"> La Cour peut organiser une audition de témoins pour vérifier la véracité des éléments de preuve exposés dans les rapports des organisations internationales concernant certains aspects de la requête.</w:t>
      </w:r>
      <w:r w:rsidRPr="00720D91">
        <w:rPr>
          <w:rStyle w:val="Appelnotedebasdep"/>
          <w:rFonts w:ascii="Arial" w:hAnsi="Arial" w:cs="Arial"/>
          <w:sz w:val="22"/>
          <w:szCs w:val="22"/>
        </w:rPr>
        <w:footnoteReference w:id="125"/>
      </w:r>
      <w:r w:rsidRPr="00720D91">
        <w:rPr>
          <w:rFonts w:ascii="Arial" w:hAnsi="Arial" w:cs="Arial"/>
          <w:sz w:val="22"/>
          <w:szCs w:val="22"/>
          <w:lang w:eastAsia="en-US"/>
        </w:rPr>
        <w:t xml:space="preserve"> Les rapports ou déclarations d'observateurs internationaux, d'organisations non gouvernementales ou des </w:t>
      </w:r>
      <w:r w:rsidRPr="00720D91">
        <w:rPr>
          <w:rFonts w:ascii="Arial" w:hAnsi="Arial" w:cs="Arial"/>
          <w:sz w:val="22"/>
          <w:szCs w:val="22"/>
          <w:lang w:eastAsia="en-US"/>
        </w:rPr>
        <w:lastRenderedPageBreak/>
        <w:t>médias, ou encore les décisions d'autres juridictions nationales ou internationales, sont souvent pris en compte pour, notamment, éclairer les faits ou corroborer les constatations faites par la Cour.</w:t>
      </w:r>
      <w:r w:rsidRPr="00720D91">
        <w:rPr>
          <w:rFonts w:ascii="Arial" w:hAnsi="Arial" w:cs="Arial"/>
          <w:sz w:val="22"/>
          <w:szCs w:val="22"/>
          <w:vertAlign w:val="superscript"/>
          <w:lang w:eastAsia="en-US"/>
        </w:rPr>
        <w:footnoteReference w:id="126"/>
      </w:r>
      <w:r w:rsidRPr="00720D91">
        <w:rPr>
          <w:rFonts w:ascii="Arial" w:hAnsi="Arial" w:cs="Arial"/>
          <w:sz w:val="22"/>
          <w:szCs w:val="22"/>
          <w:vertAlign w:val="superscript"/>
          <w:lang w:eastAsia="en-US"/>
        </w:rPr>
        <w:t xml:space="preserve"> </w:t>
      </w:r>
    </w:p>
    <w:p w14:paraId="4A7393B3" w14:textId="77777777" w:rsidR="00720D91" w:rsidRPr="00720D91" w:rsidRDefault="00720D91" w:rsidP="00720D91">
      <w:pPr>
        <w:autoSpaceDE w:val="0"/>
        <w:autoSpaceDN w:val="0"/>
        <w:adjustRightInd w:val="0"/>
        <w:spacing w:after="240"/>
        <w:ind w:firstLine="426"/>
        <w:jc w:val="both"/>
        <w:rPr>
          <w:rFonts w:ascii="Arial" w:hAnsi="Arial" w:cs="Arial"/>
          <w:sz w:val="22"/>
          <w:szCs w:val="22"/>
          <w:lang w:eastAsia="en-US"/>
        </w:rPr>
      </w:pPr>
      <w:r w:rsidRPr="00720D91">
        <w:rPr>
          <w:rFonts w:ascii="Arial" w:hAnsi="Arial" w:cs="Arial"/>
          <w:sz w:val="22"/>
          <w:szCs w:val="22"/>
        </w:rPr>
        <w:t>81. L</w:t>
      </w:r>
      <w:r w:rsidRPr="00720D91">
        <w:rPr>
          <w:rFonts w:ascii="Arial" w:hAnsi="Arial" w:cs="Arial"/>
          <w:sz w:val="22"/>
          <w:szCs w:val="22"/>
          <w:lang w:eastAsia="en-US"/>
        </w:rPr>
        <w:t xml:space="preserve">a Cour établit les faits principalement à partir des </w:t>
      </w:r>
      <w:r w:rsidRPr="00720D91">
        <w:rPr>
          <w:rFonts w:ascii="Arial" w:hAnsi="Arial" w:cs="Arial"/>
          <w:b/>
          <w:bCs/>
          <w:i/>
          <w:iCs/>
          <w:sz w:val="22"/>
          <w:szCs w:val="22"/>
          <w:lang w:eastAsia="en-US"/>
        </w:rPr>
        <w:t>preuves</w:t>
      </w:r>
      <w:r w:rsidRPr="00720D91">
        <w:rPr>
          <w:rFonts w:ascii="Arial" w:hAnsi="Arial" w:cs="Arial"/>
          <w:sz w:val="22"/>
          <w:szCs w:val="22"/>
          <w:lang w:eastAsia="en-US"/>
        </w:rPr>
        <w:t xml:space="preserve"> </w:t>
      </w:r>
      <w:r w:rsidRPr="00720D91">
        <w:rPr>
          <w:rFonts w:ascii="Arial" w:hAnsi="Arial" w:cs="Arial"/>
          <w:b/>
          <w:bCs/>
          <w:i/>
          <w:iCs/>
          <w:sz w:val="22"/>
          <w:szCs w:val="22"/>
          <w:lang w:eastAsia="en-US"/>
        </w:rPr>
        <w:t>documentaires</w:t>
      </w:r>
      <w:r w:rsidRPr="00720D91">
        <w:rPr>
          <w:rFonts w:ascii="Arial" w:hAnsi="Arial" w:cs="Arial"/>
          <w:sz w:val="22"/>
          <w:szCs w:val="22"/>
          <w:lang w:eastAsia="en-US"/>
        </w:rPr>
        <w:t xml:space="preserve"> qui comprennent non seulement les documents soumis par les parties mais aussi les rapports des organisations internationales gouvernementales et non gouvernementales.</w:t>
      </w:r>
      <w:r w:rsidRPr="00720D91">
        <w:rPr>
          <w:rStyle w:val="Appelnotedebasdep"/>
          <w:rFonts w:ascii="Arial" w:hAnsi="Arial" w:cs="Arial"/>
          <w:sz w:val="22"/>
          <w:szCs w:val="22"/>
        </w:rPr>
        <w:footnoteReference w:id="127"/>
      </w:r>
      <w:r w:rsidRPr="00720D91">
        <w:rPr>
          <w:rFonts w:ascii="Arial" w:hAnsi="Arial" w:cs="Arial"/>
          <w:sz w:val="22"/>
          <w:szCs w:val="22"/>
        </w:rPr>
        <w:t xml:space="preserve"> </w:t>
      </w:r>
      <w:r w:rsidRPr="00720D91">
        <w:rPr>
          <w:rFonts w:ascii="Arial" w:hAnsi="Arial" w:cs="Arial"/>
          <w:sz w:val="22"/>
          <w:szCs w:val="22"/>
          <w:lang w:eastAsia="en-US"/>
        </w:rPr>
        <w:t xml:space="preserve">Cela explique l'approche de la Cour qui reconnaît son rôle subsidiaire et s'en remet aux tribunaux nationaux qui ont eu l'occasion de voir et d'entendre les témoins pertinents et, par conséquent, la possibilité d'évaluer leur crédibilité. Si la Cour n'est pas liée par les constatations de faits des juridictions nationales, il lui faudra des « éléments convaincants » pour s'écarter de ces constatations. </w:t>
      </w:r>
      <w:r w:rsidRPr="00720D91">
        <w:rPr>
          <w:rStyle w:val="Appelnotedebasdep"/>
          <w:rFonts w:ascii="Arial" w:hAnsi="Arial" w:cs="Arial"/>
          <w:sz w:val="22"/>
          <w:szCs w:val="22"/>
          <w:lang w:val="en-US" w:eastAsia="en-US"/>
        </w:rPr>
        <w:footnoteReference w:id="128"/>
      </w:r>
    </w:p>
    <w:p w14:paraId="4EF614C4" w14:textId="77777777" w:rsidR="00720D91" w:rsidRPr="00720D91" w:rsidRDefault="00720D91" w:rsidP="00720D91">
      <w:pPr>
        <w:autoSpaceDE w:val="0"/>
        <w:autoSpaceDN w:val="0"/>
        <w:adjustRightInd w:val="0"/>
        <w:spacing w:after="240"/>
        <w:ind w:firstLine="426"/>
        <w:jc w:val="both"/>
        <w:rPr>
          <w:rFonts w:ascii="Arial" w:hAnsi="Arial" w:cs="Arial"/>
          <w:sz w:val="22"/>
          <w:szCs w:val="22"/>
          <w:lang w:eastAsia="en-US"/>
        </w:rPr>
      </w:pPr>
      <w:r w:rsidRPr="00720D91">
        <w:rPr>
          <w:rFonts w:ascii="Arial" w:hAnsi="Arial" w:cs="Arial"/>
          <w:sz w:val="22"/>
          <w:szCs w:val="22"/>
          <w:lang w:eastAsia="en-US"/>
        </w:rPr>
        <w:t xml:space="preserve">82. La Cour peut tirer des </w:t>
      </w:r>
      <w:r w:rsidRPr="00720D91">
        <w:rPr>
          <w:rFonts w:ascii="Arial" w:hAnsi="Arial" w:cs="Arial"/>
          <w:b/>
          <w:bCs/>
          <w:i/>
          <w:iCs/>
          <w:sz w:val="22"/>
          <w:szCs w:val="22"/>
          <w:lang w:eastAsia="en-US"/>
        </w:rPr>
        <w:t>conclusions défavorables</w:t>
      </w:r>
      <w:r w:rsidRPr="00720D91">
        <w:rPr>
          <w:rFonts w:ascii="Arial" w:hAnsi="Arial" w:cs="Arial"/>
          <w:sz w:val="22"/>
          <w:szCs w:val="22"/>
          <w:lang w:eastAsia="en-US"/>
        </w:rPr>
        <w:t xml:space="preserve"> du manquement des parties à leur obligation de fournir toutes les facilités nécessaires à l'examen de l'affaire par la Cour en vertu de l'article 38 de la Convention. Ceci est également explicitement prévu par l'article 44C du règlement de la Cour qui dispose que « lorsqu’une partie reste en défaut de produire les preuves ou informations requises par la Cour ou de divulguer de son propre chef des informations pertinentes, ou lorsqu’elle témoigne autrement d’un manque de participation effective à la procédure, la Cour peut tirer de son comportement les conclusions qu’elle juge appropriées. » Pour décrire la nature et le contenu de l'obligation de fournir toutes les facilités nécessaires en vertu de l'article 38 de la Convention, il est fait référence aux principes que la Cour a établis dans des requêtes individuelles concernant l'obligation procédurale de ne pas entraver l'exercice effectif du droit de pétition en vertu de l'article 34, étant donné que la Cour applique ces principes aux requêtes interétatiques.</w:t>
      </w:r>
      <w:r w:rsidRPr="00720D91">
        <w:rPr>
          <w:rFonts w:ascii="Arial" w:hAnsi="Arial" w:cs="Arial"/>
          <w:sz w:val="22"/>
          <w:szCs w:val="22"/>
        </w:rPr>
        <w:t xml:space="preserve"> </w:t>
      </w:r>
      <w:r w:rsidRPr="00720D91">
        <w:rPr>
          <w:rStyle w:val="Appelnotedebasdep"/>
          <w:rFonts w:ascii="Arial" w:hAnsi="Arial" w:cs="Arial"/>
          <w:sz w:val="22"/>
          <w:szCs w:val="22"/>
        </w:rPr>
        <w:footnoteReference w:id="129"/>
      </w:r>
    </w:p>
    <w:p w14:paraId="51877BC5" w14:textId="77777777" w:rsidR="00720D91" w:rsidRPr="00720D91" w:rsidRDefault="00720D91" w:rsidP="00720D91">
      <w:pPr>
        <w:spacing w:after="240"/>
        <w:ind w:firstLine="426"/>
        <w:jc w:val="both"/>
        <w:rPr>
          <w:rFonts w:ascii="Arial" w:hAnsi="Arial" w:cs="Arial"/>
          <w:sz w:val="22"/>
          <w:szCs w:val="22"/>
        </w:rPr>
      </w:pPr>
      <w:r w:rsidRPr="00720D91">
        <w:rPr>
          <w:rFonts w:ascii="Arial" w:hAnsi="Arial" w:cs="Arial"/>
          <w:sz w:val="22"/>
          <w:szCs w:val="22"/>
        </w:rPr>
        <w:t xml:space="preserve">83. </w:t>
      </w:r>
      <w:r w:rsidRPr="00720D91">
        <w:rPr>
          <w:rFonts w:ascii="Arial" w:hAnsi="Arial" w:cs="Arial"/>
          <w:b/>
          <w:bCs/>
          <w:i/>
          <w:iCs/>
          <w:sz w:val="22"/>
          <w:szCs w:val="22"/>
        </w:rPr>
        <w:t>L'obligation de fournir toutes les facilités nécessaires</w:t>
      </w:r>
      <w:r w:rsidRPr="00720D91">
        <w:rPr>
          <w:rFonts w:ascii="Arial" w:hAnsi="Arial" w:cs="Arial"/>
          <w:sz w:val="22"/>
          <w:szCs w:val="22"/>
        </w:rPr>
        <w:t xml:space="preserve"> est de la plus haute importance pour le bon fonctionnement du système de recours individuel institué par l'article 34 de la Convention et s'applique lorsque la Cour exerce ses fonctions générales en matière d'examen des requêtes ou lorsqu'elle procède à une enquête sur les faits.</w:t>
      </w:r>
      <w:r w:rsidRPr="00720D91">
        <w:rPr>
          <w:rStyle w:val="Appelnotedebasdep"/>
          <w:rFonts w:ascii="Arial" w:hAnsi="Arial" w:cs="Arial"/>
          <w:sz w:val="22"/>
          <w:szCs w:val="22"/>
        </w:rPr>
        <w:footnoteReference w:id="130"/>
      </w:r>
      <w:r w:rsidRPr="00720D91">
        <w:rPr>
          <w:rFonts w:ascii="Arial" w:hAnsi="Arial" w:cs="Arial"/>
          <w:sz w:val="22"/>
          <w:szCs w:val="22"/>
        </w:rPr>
        <w:t xml:space="preserve"> L'obligation prévue à l'article 38 est corollaire de l'obligation prévue à l'article 34, mais a un caractère autonome.</w:t>
      </w:r>
      <w:r w:rsidRPr="00720D91">
        <w:rPr>
          <w:rStyle w:val="Appelnotedebasdep"/>
          <w:rFonts w:ascii="Arial" w:hAnsi="Arial" w:cs="Arial"/>
          <w:sz w:val="22"/>
          <w:szCs w:val="22"/>
        </w:rPr>
        <w:footnoteReference w:id="131"/>
      </w:r>
      <w:r w:rsidRPr="00720D91">
        <w:rPr>
          <w:rFonts w:ascii="Arial" w:hAnsi="Arial" w:cs="Arial"/>
          <w:sz w:val="22"/>
          <w:szCs w:val="22"/>
        </w:rPr>
        <w:t xml:space="preserve"> Ces deux dispositions concourent à garantir le bon déroulement de la procédure judiciaire et portent sur des questions de procédure plutôt que sur le bien-fondé des griefs des requérants au regard des dispositions de fond de la Convention ou de ses Protocoles. </w:t>
      </w:r>
      <w:r w:rsidRPr="00720D91">
        <w:rPr>
          <w:rStyle w:val="Appelnotedebasdep"/>
          <w:rFonts w:ascii="Arial" w:hAnsi="Arial" w:cs="Arial"/>
          <w:sz w:val="22"/>
          <w:szCs w:val="22"/>
        </w:rPr>
        <w:footnoteReference w:id="132"/>
      </w:r>
      <w:r w:rsidRPr="00720D91">
        <w:rPr>
          <w:rFonts w:ascii="Arial" w:hAnsi="Arial" w:cs="Arial"/>
          <w:sz w:val="22"/>
          <w:szCs w:val="22"/>
        </w:rPr>
        <w:t xml:space="preserve"> La Cour a coutume d'examiner d'emblée le respect par le Gouvernement de ses obligations procédurales au titre de l'article 38 de la Convention, surtout si des déductions négatives doivent être tirées du fait que le Gouvernement n'a pas présenté les preuves demandées. </w:t>
      </w:r>
      <w:r w:rsidRPr="00720D91">
        <w:rPr>
          <w:rStyle w:val="Appelnotedebasdep"/>
          <w:rFonts w:ascii="Arial" w:hAnsi="Arial" w:cs="Arial"/>
          <w:sz w:val="22"/>
          <w:szCs w:val="22"/>
        </w:rPr>
        <w:footnoteReference w:id="133"/>
      </w:r>
      <w:r w:rsidRPr="00720D91">
        <w:rPr>
          <w:rFonts w:ascii="Arial" w:hAnsi="Arial" w:cs="Arial"/>
          <w:sz w:val="22"/>
          <w:szCs w:val="22"/>
        </w:rPr>
        <w:t xml:space="preserve"> La Cour peut établir un manquement du gouvernement défendeur à ses obligations procédurales même en l'absence de tout grief recevable de violation d'un droit substantiel de la Convention. En outre, il n'est pas nécessaire que l'ingérence alléguée du gouvernement ait effectivement restreint l'exercice du droit de recours individuel ou ait eu un impact sensible sur celui-ci. Les obligations procédurales de la partie contractante en vertu des articles 34 et 38 de la Convention doivent être respectées indépendamment de l'issue éventuelle de la </w:t>
      </w:r>
      <w:r w:rsidRPr="00720D91">
        <w:rPr>
          <w:rFonts w:ascii="Arial" w:hAnsi="Arial" w:cs="Arial"/>
          <w:sz w:val="22"/>
          <w:szCs w:val="22"/>
        </w:rPr>
        <w:lastRenderedPageBreak/>
        <w:t xml:space="preserve">procédure et de manière à éviter tout effet dissuasif réel ou potentiel sur les requérants ou leurs représentants. </w:t>
      </w:r>
      <w:r w:rsidRPr="00720D91">
        <w:rPr>
          <w:rStyle w:val="Appelnotedebasdep"/>
          <w:rFonts w:ascii="Arial" w:hAnsi="Arial" w:cs="Arial"/>
          <w:sz w:val="22"/>
          <w:szCs w:val="22"/>
        </w:rPr>
        <w:footnoteReference w:id="134"/>
      </w:r>
    </w:p>
    <w:p w14:paraId="55A402DE" w14:textId="77777777" w:rsidR="00720D91" w:rsidRPr="00720D91" w:rsidRDefault="00720D91" w:rsidP="00720D91">
      <w:pPr>
        <w:spacing w:after="240"/>
        <w:ind w:firstLine="426"/>
        <w:jc w:val="both"/>
        <w:rPr>
          <w:rFonts w:ascii="Arial" w:hAnsi="Arial" w:cs="Arial"/>
          <w:sz w:val="22"/>
          <w:szCs w:val="22"/>
        </w:rPr>
      </w:pPr>
      <w:r w:rsidRPr="00720D91">
        <w:rPr>
          <w:rFonts w:ascii="Arial" w:hAnsi="Arial" w:cs="Arial"/>
          <w:sz w:val="22"/>
          <w:szCs w:val="22"/>
        </w:rPr>
        <w:t>84. Cette obligation de fournir les éléments de preuve demandés par la Cour lie le gouvernement défendeur à partir du moment où une telle demande a été formulée, que ce soit lors de la communication initiale d'une requête au gouvernement ou à un stade ultérieur de la procédure.</w:t>
      </w:r>
      <w:r w:rsidRPr="00720D91">
        <w:rPr>
          <w:rStyle w:val="Appelnotedebasdep"/>
          <w:rFonts w:ascii="Arial" w:hAnsi="Arial" w:cs="Arial"/>
          <w:sz w:val="22"/>
          <w:szCs w:val="22"/>
        </w:rPr>
        <w:footnoteReference w:id="135"/>
      </w:r>
      <w:r w:rsidRPr="00720D91">
        <w:rPr>
          <w:rFonts w:ascii="Arial" w:hAnsi="Arial" w:cs="Arial"/>
          <w:sz w:val="22"/>
          <w:szCs w:val="22"/>
        </w:rPr>
        <w:t xml:space="preserve"> Il est fondamental que les pièces demandées soient soumises dans leur intégralité, si la Cour l'a ordonné, et que tout élément manquant soit dûment justifié.</w:t>
      </w:r>
      <w:r w:rsidRPr="00720D91">
        <w:rPr>
          <w:rStyle w:val="Appelnotedebasdep"/>
          <w:rFonts w:ascii="Arial" w:hAnsi="Arial" w:cs="Arial"/>
          <w:sz w:val="22"/>
          <w:szCs w:val="22"/>
        </w:rPr>
        <w:footnoteReference w:id="136"/>
      </w:r>
      <w:r w:rsidRPr="00720D91">
        <w:rPr>
          <w:rFonts w:ascii="Arial" w:hAnsi="Arial" w:cs="Arial"/>
          <w:sz w:val="22"/>
          <w:szCs w:val="22"/>
        </w:rPr>
        <w:t xml:space="preserve"> Par ailleurs, toute pièce demandée doit être produite rapidement et, en tout état de cause, dans le délai fixé par la Cour, car un retard important et inexpliqué peut amener la Cour à considérer que les explications de l'État défendeur ne sont pas convaincantes. </w:t>
      </w:r>
      <w:r w:rsidRPr="00720D91">
        <w:rPr>
          <w:rStyle w:val="Appelnotedebasdep"/>
          <w:rFonts w:ascii="Arial" w:hAnsi="Arial" w:cs="Arial"/>
          <w:sz w:val="22"/>
          <w:szCs w:val="22"/>
        </w:rPr>
        <w:footnoteReference w:id="137"/>
      </w:r>
    </w:p>
    <w:p w14:paraId="100ED15F" w14:textId="77777777" w:rsidR="00720D91" w:rsidRPr="00720D91" w:rsidRDefault="00720D91" w:rsidP="00720D91">
      <w:pPr>
        <w:spacing w:after="240"/>
        <w:ind w:firstLine="426"/>
        <w:jc w:val="both"/>
        <w:rPr>
          <w:rFonts w:ascii="Arial" w:hAnsi="Arial" w:cs="Arial"/>
          <w:sz w:val="22"/>
          <w:szCs w:val="22"/>
        </w:rPr>
      </w:pPr>
      <w:r w:rsidRPr="00720D91">
        <w:rPr>
          <w:rFonts w:ascii="Arial" w:hAnsi="Arial" w:cs="Arial"/>
          <w:sz w:val="22"/>
          <w:szCs w:val="22"/>
        </w:rPr>
        <w:t xml:space="preserve">85. La notion de fourniture des facilités nécessaires au sens de l'article 38 comprend </w:t>
      </w:r>
      <w:r w:rsidRPr="00720D91">
        <w:rPr>
          <w:rFonts w:ascii="Arial" w:hAnsi="Arial" w:cs="Arial"/>
          <w:iCs/>
          <w:sz w:val="22"/>
          <w:szCs w:val="22"/>
        </w:rPr>
        <w:t>notamment</w:t>
      </w:r>
      <w:r w:rsidRPr="00720D91">
        <w:rPr>
          <w:rFonts w:ascii="Arial" w:hAnsi="Arial" w:cs="Arial"/>
          <w:i/>
          <w:sz w:val="22"/>
          <w:szCs w:val="22"/>
        </w:rPr>
        <w:t xml:space="preserve"> </w:t>
      </w:r>
      <w:r w:rsidRPr="00720D91">
        <w:rPr>
          <w:rFonts w:ascii="Arial" w:hAnsi="Arial" w:cs="Arial"/>
          <w:iCs/>
          <w:sz w:val="22"/>
          <w:szCs w:val="22"/>
        </w:rPr>
        <w:t>la</w:t>
      </w:r>
      <w:r w:rsidRPr="00720D91">
        <w:rPr>
          <w:rFonts w:ascii="Arial" w:hAnsi="Arial" w:cs="Arial"/>
          <w:i/>
          <w:sz w:val="22"/>
          <w:szCs w:val="22"/>
        </w:rPr>
        <w:t xml:space="preserve"> </w:t>
      </w:r>
      <w:r w:rsidRPr="00720D91">
        <w:rPr>
          <w:rFonts w:ascii="Arial" w:hAnsi="Arial" w:cs="Arial"/>
          <w:sz w:val="22"/>
          <w:szCs w:val="22"/>
        </w:rPr>
        <w:t xml:space="preserve">présentation de preuves documentaires à la Cour, l'identification, la localisation et la présence des témoins aux audiences et la réponse aux questions posées par la Cour. Tout manquement à l'obligation de coopérer avec la Cour ne constitue pas une violation de l'article 38 de la Convention. La Cour apprécie dans chaque cas si le degré de non-coopération a été tel qu'il a porté préjudice à l'établissement des faits ou empêché de toute autre manière un examen approprié de l'affaire. </w:t>
      </w:r>
      <w:r w:rsidRPr="00720D91">
        <w:rPr>
          <w:rStyle w:val="Appelnotedebasdep"/>
          <w:rFonts w:ascii="Arial" w:hAnsi="Arial" w:cs="Arial"/>
          <w:sz w:val="22"/>
          <w:szCs w:val="22"/>
        </w:rPr>
        <w:footnoteReference w:id="138"/>
      </w:r>
      <w:r w:rsidRPr="00720D91">
        <w:rPr>
          <w:rFonts w:ascii="Arial" w:hAnsi="Arial" w:cs="Arial"/>
          <w:sz w:val="22"/>
          <w:szCs w:val="22"/>
        </w:rPr>
        <w:t xml:space="preserve"> </w:t>
      </w:r>
    </w:p>
    <w:p w14:paraId="2382F15F" w14:textId="77777777" w:rsidR="00720D91" w:rsidRPr="00720D91" w:rsidRDefault="00720D91" w:rsidP="00720D91">
      <w:pPr>
        <w:autoSpaceDE w:val="0"/>
        <w:autoSpaceDN w:val="0"/>
        <w:adjustRightInd w:val="0"/>
        <w:ind w:firstLine="426"/>
        <w:jc w:val="both"/>
        <w:rPr>
          <w:rFonts w:ascii="Arial" w:hAnsi="Arial" w:cs="Arial"/>
          <w:sz w:val="22"/>
          <w:szCs w:val="22"/>
        </w:rPr>
      </w:pPr>
      <w:r w:rsidRPr="00720D91">
        <w:rPr>
          <w:rFonts w:ascii="Arial" w:hAnsi="Arial" w:cs="Arial"/>
          <w:sz w:val="22"/>
          <w:szCs w:val="22"/>
          <w:lang w:eastAsia="en-US"/>
        </w:rPr>
        <w:t>86. Lorsque la Cour considère que le Gouvernement défendeur a un accès exclusif à des informations susceptibles de corroborer ou de réfuter les allégations du gouvernement requérant, tout manque de coopération de la part du gouvernement sans explication satisfaisante peut donner lieu à des déductions quant au bien-fondé des allégations du gouvernement requérant</w:t>
      </w:r>
      <w:r w:rsidRPr="00720D91">
        <w:rPr>
          <w:rStyle w:val="Appelnotedebasdep"/>
          <w:rFonts w:ascii="Arial" w:hAnsi="Arial" w:cs="Arial"/>
          <w:sz w:val="22"/>
          <w:szCs w:val="22"/>
        </w:rPr>
        <w:footnoteReference w:id="139"/>
      </w:r>
      <w:r w:rsidRPr="00720D91">
        <w:rPr>
          <w:rFonts w:ascii="Arial" w:hAnsi="Arial" w:cs="Arial"/>
          <w:sz w:val="22"/>
          <w:szCs w:val="22"/>
          <w:lang w:eastAsia="en-US"/>
        </w:rPr>
        <w:t xml:space="preserve"> et peut également avoir une incidence négative sur le niveau de respect par l'État défendeur des obligations qui lui incombent en vertu de l'article 38 de la Convention.</w:t>
      </w:r>
      <w:r w:rsidRPr="00720D91">
        <w:rPr>
          <w:rStyle w:val="Appelnotedebasdep"/>
          <w:rFonts w:ascii="Arial" w:hAnsi="Arial" w:cs="Arial"/>
          <w:sz w:val="22"/>
          <w:szCs w:val="22"/>
        </w:rPr>
        <w:footnoteReference w:id="140"/>
      </w:r>
      <w:r w:rsidRPr="00720D91">
        <w:rPr>
          <w:rFonts w:ascii="Arial" w:hAnsi="Arial" w:cs="Arial"/>
          <w:sz w:val="22"/>
          <w:szCs w:val="22"/>
        </w:rPr>
        <w:t xml:space="preserve"> Lorsque les requérants ne sont pas en mesure d'obtenir certains documents pour soumettre des preuves à la Cour à l'appui de leurs allégations et lorsqu'il est clair que ces documents ne peuvent être obtenus qu'avec l'aide des autorités nationales, la Cour peut demander aux représentants de l'Etat défendeur de les obtenir auprès des autorités nationales et de les mettre à la disposition de la Cour. En outre, à la lumière des informations déjà en sa possession, la Cour elle-même peut également identifier et demander d'autres documents au gouvernement défendeur. La Cour a estimé qu'un gouvernement défendeur ne s'est pas conformé aux exigences de l'article 38 lorsqu'il n'a pas soumis les documents demandés, ou s'ils ne sont pas soumis dans le délai imparti et qu'il n'a pas fourni d'explication à la Cour pour justifier son refus de soumettre des documents</w:t>
      </w:r>
      <w:r w:rsidRPr="00720D91">
        <w:rPr>
          <w:rStyle w:val="Appelnotedebasdep"/>
          <w:rFonts w:ascii="Arial" w:hAnsi="Arial" w:cs="Arial"/>
          <w:sz w:val="22"/>
          <w:szCs w:val="22"/>
          <w:lang w:val="en-US"/>
        </w:rPr>
        <w:footnoteReference w:id="141"/>
      </w:r>
      <w:r w:rsidRPr="00720D91">
        <w:rPr>
          <w:rFonts w:ascii="Arial" w:hAnsi="Arial" w:cs="Arial"/>
          <w:sz w:val="22"/>
          <w:szCs w:val="22"/>
        </w:rPr>
        <w:t xml:space="preserve"> ou lorsqu'il a soumis une copie incomplète ou déformée tout en refusant de produire le document original pour l'inspection de la Cour.  </w:t>
      </w:r>
      <w:r w:rsidRPr="00720D91">
        <w:rPr>
          <w:rStyle w:val="Appelnotedebasdep"/>
          <w:rFonts w:ascii="Arial" w:hAnsi="Arial" w:cs="Arial"/>
          <w:sz w:val="22"/>
          <w:szCs w:val="22"/>
          <w:lang w:val="en-US"/>
        </w:rPr>
        <w:footnoteReference w:id="142"/>
      </w:r>
    </w:p>
    <w:p w14:paraId="71728467" w14:textId="77777777" w:rsidR="00720D91" w:rsidRPr="00720D91" w:rsidRDefault="00720D91" w:rsidP="00720D91">
      <w:pPr>
        <w:pStyle w:val="s30eec3f8"/>
        <w:ind w:firstLine="426"/>
        <w:jc w:val="both"/>
        <w:rPr>
          <w:rStyle w:val="sb8d990e2"/>
          <w:rFonts w:ascii="Arial" w:eastAsiaTheme="minorEastAsia" w:hAnsi="Arial" w:cs="Arial"/>
          <w:sz w:val="22"/>
          <w:szCs w:val="22"/>
          <w:lang w:val="fr-FR"/>
        </w:rPr>
      </w:pPr>
      <w:r w:rsidRPr="00720D91">
        <w:rPr>
          <w:rStyle w:val="sb8d990e2"/>
          <w:rFonts w:ascii="Arial" w:eastAsiaTheme="minorEastAsia" w:hAnsi="Arial" w:cs="Arial"/>
          <w:sz w:val="22"/>
          <w:szCs w:val="22"/>
          <w:lang w:val="fr-FR"/>
        </w:rPr>
        <w:t>87. Si le gouvernement défendeur avance des considérations de confidentialité ou de sécurité pour justifier son refus de produire les éléments de preuve demandés, la Cour doit se convaincre qu'il existe des motifs raisonnables et solides de considérer les documents en question comme secrets ou confidentiels.</w:t>
      </w:r>
      <w:r w:rsidRPr="00720D91">
        <w:rPr>
          <w:rStyle w:val="Appelnotedebasdep"/>
          <w:rFonts w:ascii="Arial" w:eastAsiaTheme="minorEastAsia" w:hAnsi="Arial" w:cs="Arial"/>
          <w:sz w:val="22"/>
          <w:szCs w:val="22"/>
        </w:rPr>
        <w:footnoteReference w:id="143"/>
      </w:r>
      <w:r w:rsidRPr="00720D91">
        <w:rPr>
          <w:rStyle w:val="sb8d990e2"/>
          <w:rFonts w:ascii="Arial" w:eastAsiaTheme="minorEastAsia" w:hAnsi="Arial" w:cs="Arial"/>
          <w:sz w:val="22"/>
          <w:szCs w:val="22"/>
          <w:lang w:val="fr-FR"/>
        </w:rPr>
        <w:t xml:space="preserve"> La Cour peut également proposer des arrangements pratiques ou envisager de tels arrangements proposés par les parties pour soumettre des extraits non confidentiels lorsque le gouvernement défendeur refuse de </w:t>
      </w:r>
      <w:r w:rsidRPr="00720D91">
        <w:rPr>
          <w:rStyle w:val="sb8d990e2"/>
          <w:rFonts w:ascii="Arial" w:eastAsiaTheme="minorEastAsia" w:hAnsi="Arial" w:cs="Arial"/>
          <w:sz w:val="22"/>
          <w:szCs w:val="22"/>
          <w:lang w:val="fr-FR"/>
        </w:rPr>
        <w:lastRenderedPageBreak/>
        <w:t>soumettre les documents demandés par la Cour au motif que les documents en question constituent un secret d'État.</w:t>
      </w:r>
      <w:r w:rsidRPr="00720D91">
        <w:rPr>
          <w:rStyle w:val="sb8d990e2"/>
          <w:rFonts w:asciiTheme="minorBidi" w:eastAsiaTheme="minorEastAsia" w:hAnsiTheme="minorBidi" w:cstheme="minorBidi"/>
          <w:sz w:val="22"/>
          <w:szCs w:val="22"/>
          <w:vertAlign w:val="superscript"/>
          <w:lang w:val="fr-FR"/>
        </w:rPr>
        <w:footnoteReference w:id="144"/>
      </w:r>
      <w:r w:rsidRPr="00720D91">
        <w:rPr>
          <w:rStyle w:val="sb8d990e2"/>
          <w:rFonts w:ascii="Arial" w:eastAsiaTheme="minorEastAsia" w:hAnsi="Arial" w:cs="Arial"/>
          <w:sz w:val="22"/>
          <w:szCs w:val="22"/>
          <w:lang w:val="fr-FR"/>
        </w:rPr>
        <w:t xml:space="preserve"> </w:t>
      </w:r>
    </w:p>
    <w:p w14:paraId="514E5AC7" w14:textId="77777777" w:rsidR="00720D91" w:rsidRPr="00720D91" w:rsidRDefault="00720D91" w:rsidP="00720D91">
      <w:pPr>
        <w:pStyle w:val="s30eec3f8"/>
        <w:ind w:firstLine="426"/>
        <w:jc w:val="both"/>
        <w:rPr>
          <w:rStyle w:val="sb8d990e2"/>
          <w:rFonts w:ascii="Arial" w:eastAsiaTheme="minorEastAsia" w:hAnsi="Arial" w:cs="Arial"/>
          <w:sz w:val="22"/>
          <w:szCs w:val="22"/>
          <w:lang w:val="fr-FR"/>
        </w:rPr>
      </w:pPr>
      <w:r w:rsidRPr="00720D91">
        <w:rPr>
          <w:rStyle w:val="sb8d990e2"/>
          <w:rFonts w:ascii="Arial" w:eastAsiaTheme="minorEastAsia" w:hAnsi="Arial" w:cs="Arial"/>
          <w:sz w:val="22"/>
          <w:szCs w:val="22"/>
          <w:lang w:val="fr-FR"/>
        </w:rPr>
        <w:t>88. Lorsque des documents sont classés secrets d'État , le gouvernement défendeur ne peut pas se fonder sur des dispositions du droit interne pour justifier son refus de se conformer à la demande de la Cour de produire les éléments de preuve, mais doit plutôt fournir une explication du caractère secret de l'information.</w:t>
      </w:r>
      <w:r w:rsidRPr="00720D91">
        <w:rPr>
          <w:rStyle w:val="Appelnotedebasdep"/>
          <w:rFonts w:ascii="Arial" w:eastAsiaTheme="minorEastAsia" w:hAnsi="Arial" w:cs="Arial"/>
          <w:sz w:val="22"/>
          <w:szCs w:val="22"/>
        </w:rPr>
        <w:footnoteReference w:id="145"/>
      </w:r>
      <w:r w:rsidRPr="00720D91">
        <w:rPr>
          <w:rStyle w:val="sb8d990e2"/>
          <w:rFonts w:ascii="Arial" w:eastAsiaTheme="minorEastAsia" w:hAnsi="Arial" w:cs="Arial"/>
          <w:sz w:val="22"/>
          <w:szCs w:val="22"/>
          <w:lang w:val="fr-FR"/>
        </w:rPr>
        <w:t xml:space="preserve"> La Cour peut examiner la nature des informations classées secrètes en tenant compte de la question de savoir si le document était connu de quiconque en dehors des services secrets et des plus hauts responsables de l'État.</w:t>
      </w:r>
      <w:r w:rsidRPr="00720D91">
        <w:rPr>
          <w:rStyle w:val="Appelnotedebasdep"/>
          <w:rFonts w:ascii="Arial" w:eastAsiaTheme="minorEastAsia" w:hAnsi="Arial" w:cs="Arial"/>
          <w:sz w:val="22"/>
          <w:szCs w:val="22"/>
        </w:rPr>
        <w:footnoteReference w:id="146"/>
      </w:r>
      <w:r w:rsidRPr="00720D91">
        <w:rPr>
          <w:rStyle w:val="sb8d990e2"/>
          <w:rFonts w:ascii="Arial" w:eastAsiaTheme="minorEastAsia" w:hAnsi="Arial" w:cs="Arial"/>
          <w:sz w:val="22"/>
          <w:szCs w:val="22"/>
          <w:lang w:val="fr-FR"/>
        </w:rPr>
        <w:t xml:space="preserve"> Dans un cas particulier, la Cour n'a pas été convaincue que le droit interne ne prévoyait pas de procédure de communication d'informations classifiées à une organisation internationale. La Cour a souligné que, s'il existait des préoccupations légitimes en matière de sécurité nationale, le gouvernement aurait dû supprimer les passages sensibles ou fournir un résumé des motifs factuels pertinents. Le caractère hautement sensible prêté aux informations en cause a été mis en doute dès lors qu'il était apparu que des profanes, tels que l'avocat d’une partie à un procès civil pouvaient prendre connaissance du document qui les renfermait.</w:t>
      </w:r>
      <w:r w:rsidRPr="00720D91">
        <w:rPr>
          <w:rStyle w:val="Appelnotedebasdep"/>
          <w:rFonts w:ascii="Arial" w:eastAsiaTheme="minorEastAsia" w:hAnsi="Arial" w:cs="Arial"/>
          <w:sz w:val="22"/>
          <w:szCs w:val="22"/>
        </w:rPr>
        <w:footnoteReference w:id="147"/>
      </w:r>
      <w:r w:rsidRPr="00720D91">
        <w:rPr>
          <w:rStyle w:val="sb8d990e2"/>
          <w:rFonts w:ascii="Arial" w:eastAsiaTheme="minorEastAsia" w:hAnsi="Arial" w:cs="Arial"/>
          <w:sz w:val="22"/>
          <w:szCs w:val="22"/>
          <w:lang w:val="fr-FR"/>
        </w:rPr>
        <w:t xml:space="preserve"> L’article 33 du règlement de la Cour régit les questions relatives à l'accès du public aux documents soumis par les parties au greffe de la Cour et aux restrictions qui y sont apportées.  </w:t>
      </w:r>
      <w:r w:rsidRPr="00720D91">
        <w:rPr>
          <w:rStyle w:val="Appelnotedebasdep"/>
          <w:rFonts w:ascii="Arial" w:eastAsiaTheme="minorEastAsia" w:hAnsi="Arial" w:cs="Arial"/>
          <w:sz w:val="22"/>
          <w:szCs w:val="22"/>
        </w:rPr>
        <w:footnoteReference w:id="148"/>
      </w:r>
      <w:r w:rsidRPr="00720D91">
        <w:rPr>
          <w:rStyle w:val="sb8d990e2"/>
          <w:rFonts w:ascii="Arial" w:eastAsiaTheme="minorEastAsia" w:hAnsi="Arial" w:cs="Arial"/>
          <w:sz w:val="22"/>
          <w:szCs w:val="22"/>
          <w:lang w:val="fr-FR"/>
        </w:rPr>
        <w:t xml:space="preserve"> </w:t>
      </w:r>
    </w:p>
    <w:p w14:paraId="45FD6BC5" w14:textId="77777777" w:rsidR="00720D91" w:rsidRPr="00720D91" w:rsidRDefault="00720D91" w:rsidP="00720D91">
      <w:pPr>
        <w:pStyle w:val="Titre2"/>
        <w:ind w:left="720"/>
        <w:jc w:val="both"/>
        <w:rPr>
          <w:rFonts w:cs="Arial"/>
          <w:iCs/>
          <w:sz w:val="22"/>
          <w:szCs w:val="22"/>
          <w:lang w:val="fr-FR"/>
        </w:rPr>
      </w:pPr>
      <w:bookmarkStart w:id="38" w:name="_Toc83293812"/>
      <w:r w:rsidRPr="00720D91">
        <w:rPr>
          <w:rFonts w:cs="Arial"/>
          <w:iCs/>
          <w:sz w:val="22"/>
          <w:szCs w:val="22"/>
          <w:lang w:val="fr-FR"/>
        </w:rPr>
        <w:t>2. Le niveau de preuve</w:t>
      </w:r>
      <w:bookmarkEnd w:id="38"/>
      <w:r w:rsidRPr="00720D91">
        <w:rPr>
          <w:rFonts w:cs="Arial"/>
          <w:iCs/>
          <w:sz w:val="22"/>
          <w:szCs w:val="22"/>
          <w:lang w:val="fr-FR"/>
        </w:rPr>
        <w:t xml:space="preserve"> </w:t>
      </w:r>
    </w:p>
    <w:p w14:paraId="261C387D" w14:textId="77777777" w:rsidR="00720D91" w:rsidRPr="00720D91" w:rsidRDefault="00720D91" w:rsidP="00720D91">
      <w:pPr>
        <w:pStyle w:val="Sansinterligne"/>
        <w:shd w:val="clear" w:color="auto" w:fill="FFFFFF" w:themeFill="background1"/>
        <w:jc w:val="both"/>
        <w:rPr>
          <w:rFonts w:ascii="Arial" w:hAnsi="Arial" w:cs="Arial"/>
          <w:sz w:val="22"/>
          <w:szCs w:val="22"/>
          <w:shd w:val="clear" w:color="auto" w:fill="FFFFFF" w:themeFill="background1"/>
        </w:rPr>
      </w:pPr>
    </w:p>
    <w:p w14:paraId="23AFD7AC" w14:textId="77777777" w:rsidR="00720D91" w:rsidRPr="00720D91" w:rsidRDefault="00720D91" w:rsidP="00720D91">
      <w:pPr>
        <w:pStyle w:val="Sansinterligne"/>
        <w:shd w:val="clear" w:color="auto" w:fill="FFFFFF" w:themeFill="background1"/>
        <w:ind w:firstLine="426"/>
        <w:jc w:val="both"/>
        <w:rPr>
          <w:rFonts w:ascii="Arial" w:hAnsi="Arial" w:cs="Arial"/>
          <w:sz w:val="22"/>
          <w:szCs w:val="22"/>
          <w:shd w:val="clear" w:color="auto" w:fill="D9D9D9" w:themeFill="background1" w:themeFillShade="D9"/>
        </w:rPr>
      </w:pPr>
      <w:r w:rsidRPr="00720D91">
        <w:rPr>
          <w:rFonts w:ascii="Arial" w:hAnsi="Arial" w:cs="Arial"/>
          <w:sz w:val="22"/>
          <w:szCs w:val="22"/>
          <w:shd w:val="clear" w:color="auto" w:fill="FFFFFF" w:themeFill="background1"/>
        </w:rPr>
        <w:t>88.</w:t>
      </w:r>
      <w:r w:rsidRPr="00720D91">
        <w:rPr>
          <w:rFonts w:ascii="Arial" w:hAnsi="Arial" w:cs="Arial"/>
          <w:i/>
          <w:iCs/>
          <w:sz w:val="22"/>
          <w:szCs w:val="22"/>
          <w:shd w:val="clear" w:color="auto" w:fill="FFFFFF" w:themeFill="background1"/>
        </w:rPr>
        <w:t xml:space="preserve"> </w:t>
      </w:r>
      <w:r w:rsidRPr="00720D91">
        <w:rPr>
          <w:rFonts w:ascii="Arial" w:hAnsi="Arial" w:cs="Arial"/>
          <w:sz w:val="22"/>
          <w:szCs w:val="22"/>
          <w:shd w:val="clear" w:color="auto" w:fill="FFFFFF" w:themeFill="background1"/>
        </w:rPr>
        <w:t xml:space="preserve">Au </w:t>
      </w:r>
      <w:r w:rsidRPr="00720D91">
        <w:rPr>
          <w:rFonts w:ascii="Arial" w:hAnsi="Arial" w:cs="Arial"/>
          <w:b/>
          <w:bCs/>
          <w:i/>
          <w:iCs/>
          <w:sz w:val="22"/>
          <w:szCs w:val="22"/>
          <w:shd w:val="clear" w:color="auto" w:fill="FFFFFF" w:themeFill="background1"/>
        </w:rPr>
        <w:t>stade de la recevabilité</w:t>
      </w:r>
      <w:r w:rsidRPr="00720D91">
        <w:rPr>
          <w:rFonts w:ascii="Arial" w:hAnsi="Arial" w:cs="Arial"/>
          <w:sz w:val="22"/>
          <w:szCs w:val="22"/>
          <w:shd w:val="clear" w:color="auto" w:fill="FFFFFF" w:themeFill="background1"/>
        </w:rPr>
        <w:t>, la Cour estime que le niveau de preuve approprié d'une requête interétatique concernant des allégations de pratique administrative de violations des droits de l'homme est l’existence d’un commencement de preuve suffisamment</w:t>
      </w:r>
      <w:r w:rsidRPr="00720D91">
        <w:rPr>
          <w:rFonts w:ascii="Arial" w:hAnsi="Arial" w:cs="Arial"/>
          <w:i/>
          <w:iCs/>
          <w:sz w:val="22"/>
          <w:szCs w:val="22"/>
          <w:shd w:val="clear" w:color="auto" w:fill="FFFFFF" w:themeFill="background1"/>
        </w:rPr>
        <w:t xml:space="preserve"> </w:t>
      </w:r>
      <w:r w:rsidRPr="00720D91">
        <w:rPr>
          <w:rFonts w:ascii="Arial" w:hAnsi="Arial" w:cs="Arial"/>
          <w:sz w:val="22"/>
          <w:szCs w:val="22"/>
          <w:shd w:val="clear" w:color="auto" w:fill="FFFFFF" w:themeFill="background1"/>
        </w:rPr>
        <w:t>étayé.</w:t>
      </w:r>
      <w:r w:rsidRPr="00720D91">
        <w:rPr>
          <w:rStyle w:val="Appelnotedebasdep"/>
          <w:rFonts w:ascii="Arial" w:hAnsi="Arial" w:cs="Arial"/>
          <w:sz w:val="22"/>
          <w:szCs w:val="22"/>
          <w:shd w:val="clear" w:color="auto" w:fill="FFFFFF" w:themeFill="background1"/>
        </w:rPr>
        <w:footnoteReference w:id="149"/>
      </w:r>
      <w:r w:rsidRPr="00720D91">
        <w:rPr>
          <w:rFonts w:ascii="Arial" w:hAnsi="Arial" w:cs="Arial"/>
          <w:sz w:val="22"/>
          <w:szCs w:val="22"/>
          <w:shd w:val="clear" w:color="auto" w:fill="FFFFFF" w:themeFill="background1"/>
        </w:rPr>
        <w:t xml:space="preserve"> Le seuil d’un commencement de preuve doit être satisfait pour que l'exigence d'épuisement des voies de recours soit inapplicable à ces plaintes interétatiques. Ce n'est que si les deux éléments constitutifs de la « pratique administrative » alléguée (la « répétition d'actes » et la « tolérance officielle ») sont suffisamment étayés par un commencement de preuves que la règle de l'épuisement des recours de l'article 35 § 1 de la Convention ne s'applique pas. En l'absence d'une telle preuve, il ne sera pas nécessaire pour la Cour d'examiner ensuite s'il existe d'autres motifs, tels que l'inefficacité des voies de recours internes, qui dispensent le gouvernement requérant de l'obligation d'épuisement. Dans ce cas, ainsi qu'il a été noté ci-dessus, le grief d'une pratique administrative ne peut, pour des raisons de fond, être considéré comme recevable et justifiant l'examen de la Cour sur le fond.</w:t>
      </w:r>
      <w:r w:rsidRPr="00720D91">
        <w:rPr>
          <w:rStyle w:val="Appelnotedebasdep"/>
          <w:rFonts w:ascii="Arial" w:hAnsi="Arial" w:cs="Arial"/>
          <w:sz w:val="22"/>
          <w:szCs w:val="22"/>
          <w:shd w:val="clear" w:color="auto" w:fill="FFFFFF" w:themeFill="background1"/>
        </w:rPr>
        <w:footnoteReference w:id="150"/>
      </w:r>
      <w:r w:rsidRPr="00720D91">
        <w:rPr>
          <w:rFonts w:ascii="Arial" w:hAnsi="Arial" w:cs="Arial"/>
          <w:sz w:val="22"/>
          <w:szCs w:val="22"/>
          <w:shd w:val="clear" w:color="auto" w:fill="FFFFFF" w:themeFill="background1"/>
        </w:rPr>
        <w:t xml:space="preserve"> Toute conclusion de la Cour quant à la recevabilité de la plainte relative à une pratique administrative est sans préjudice de la question de savoir si l'existence d'une pratique administrative est ultérieurement établie </w:t>
      </w:r>
      <w:r w:rsidRPr="00720D91">
        <w:rPr>
          <w:rFonts w:ascii="Arial" w:hAnsi="Arial" w:cs="Arial"/>
          <w:sz w:val="22"/>
          <w:szCs w:val="22"/>
          <w:shd w:val="clear" w:color="auto" w:fill="FFFFFF" w:themeFill="background1"/>
        </w:rPr>
        <w:lastRenderedPageBreak/>
        <w:t xml:space="preserve">sur le fond « au-delà de tout doute raisonnable » et, dans l'affirmative, si, à cet égard, une quelconque responsabilité au titre de la Convention peut être imputée à l'État  défendeur. Il s'agit là de questions qui ne peuvent être déterminées qu'après un examen au fond. </w:t>
      </w:r>
      <w:r w:rsidRPr="00720D91">
        <w:rPr>
          <w:rStyle w:val="Appelnotedebasdep"/>
          <w:rFonts w:ascii="Arial" w:hAnsi="Arial" w:cs="Arial"/>
          <w:sz w:val="22"/>
          <w:szCs w:val="22"/>
          <w:shd w:val="clear" w:color="auto" w:fill="FFFFFF" w:themeFill="background1"/>
        </w:rPr>
        <w:footnoteReference w:id="151"/>
      </w:r>
      <w:r w:rsidRPr="00720D91">
        <w:rPr>
          <w:rFonts w:ascii="Arial" w:hAnsi="Arial" w:cs="Arial"/>
          <w:sz w:val="22"/>
          <w:szCs w:val="22"/>
          <w:shd w:val="clear" w:color="auto" w:fill="D9D9D9" w:themeFill="background1" w:themeFillShade="D9"/>
        </w:rPr>
        <w:t xml:space="preserve"> </w:t>
      </w:r>
    </w:p>
    <w:p w14:paraId="2BF1A72B" w14:textId="77777777" w:rsidR="00720D91" w:rsidRPr="00720D91" w:rsidRDefault="00720D91" w:rsidP="00720D91">
      <w:pPr>
        <w:pStyle w:val="Sansinterligne"/>
        <w:shd w:val="clear" w:color="auto" w:fill="FFFFFF" w:themeFill="background1"/>
        <w:jc w:val="both"/>
        <w:rPr>
          <w:rFonts w:ascii="Arial" w:hAnsi="Arial" w:cs="Arial"/>
          <w:b/>
          <w:bCs/>
          <w:color w:val="FF0000"/>
          <w:sz w:val="22"/>
          <w:szCs w:val="22"/>
          <w:shd w:val="clear" w:color="auto" w:fill="D9D9D9" w:themeFill="background1" w:themeFillShade="D9"/>
        </w:rPr>
      </w:pPr>
    </w:p>
    <w:p w14:paraId="70A6F39C" w14:textId="77777777" w:rsidR="00720D91" w:rsidRPr="00720D91" w:rsidRDefault="00720D91" w:rsidP="00720D91">
      <w:pPr>
        <w:pStyle w:val="Sansinterligne"/>
        <w:shd w:val="clear" w:color="auto" w:fill="FFFFFF" w:themeFill="background1"/>
        <w:ind w:firstLine="426"/>
        <w:jc w:val="both"/>
        <w:rPr>
          <w:rFonts w:ascii="Arial" w:hAnsi="Arial" w:cs="Arial"/>
          <w:sz w:val="22"/>
          <w:szCs w:val="22"/>
          <w:shd w:val="clear" w:color="auto" w:fill="D9D9D9" w:themeFill="background1" w:themeFillShade="D9"/>
        </w:rPr>
      </w:pPr>
      <w:r w:rsidRPr="00720D91">
        <w:rPr>
          <w:rFonts w:ascii="Arial" w:hAnsi="Arial" w:cs="Arial"/>
          <w:sz w:val="22"/>
          <w:szCs w:val="22"/>
          <w:shd w:val="clear" w:color="auto" w:fill="FFFFFF" w:themeFill="background1"/>
        </w:rPr>
        <w:t>89. Lorsque la Cour a examiné, au stade de la recevabilité, la question de savoir si les faits dénoncés par le gouvernement requérant (allégations spécifiques d'une pratique administrative adoptée par l'État défendeur en violation de la Convention) relèvent de la compétence du gouvernement défendeur, la Cour a estimé que la question de la compétence de l'État</w:t>
      </w:r>
      <w:r w:rsidRPr="00720D91">
        <w:rPr>
          <w:rFonts w:ascii="Arial" w:hAnsi="Arial" w:cs="Arial"/>
          <w:sz w:val="22"/>
          <w:szCs w:val="22"/>
          <w:shd w:val="clear" w:color="auto" w:fill="D9D9D9" w:themeFill="background1" w:themeFillShade="D9"/>
        </w:rPr>
        <w:t xml:space="preserve"> </w:t>
      </w:r>
      <w:r w:rsidRPr="00720D91">
        <w:rPr>
          <w:rFonts w:ascii="Arial" w:hAnsi="Arial" w:cs="Arial"/>
          <w:sz w:val="22"/>
          <w:szCs w:val="22"/>
          <w:shd w:val="clear" w:color="auto" w:fill="FFFFFF" w:themeFill="background1"/>
        </w:rPr>
        <w:t>défendeur au sens de l'article 1 de la Convention doit être examinée selon le critère de la preuve « au-delà du doute raisonnable ».</w:t>
      </w:r>
      <w:r w:rsidRPr="00720D91">
        <w:rPr>
          <w:rStyle w:val="Appelnotedebasdep"/>
          <w:rFonts w:ascii="Arial" w:hAnsi="Arial" w:cs="Arial"/>
          <w:sz w:val="22"/>
          <w:szCs w:val="22"/>
          <w:shd w:val="clear" w:color="auto" w:fill="FFFFFF" w:themeFill="background1"/>
        </w:rPr>
        <w:footnoteReference w:id="152"/>
      </w:r>
      <w:r w:rsidRPr="00720D91">
        <w:rPr>
          <w:rFonts w:ascii="Arial" w:hAnsi="Arial" w:cs="Arial"/>
          <w:sz w:val="22"/>
          <w:szCs w:val="22"/>
          <w:shd w:val="clear" w:color="auto" w:fill="FFFFFF" w:themeFill="background1"/>
        </w:rPr>
        <w:t xml:space="preserve"> Il est entendu que cette preuve peut résulter de la coexistence d'inférences suffisamment fortes, claires et concordantes ou de présomptions de fait similaires non réfutées. </w:t>
      </w:r>
      <w:r w:rsidRPr="00720D91">
        <w:rPr>
          <w:rStyle w:val="Appelnotedebasdep"/>
          <w:rFonts w:ascii="Arial" w:hAnsi="Arial" w:cs="Arial"/>
          <w:sz w:val="22"/>
          <w:szCs w:val="22"/>
          <w:shd w:val="clear" w:color="auto" w:fill="FFFFFF" w:themeFill="background1"/>
        </w:rPr>
        <w:footnoteReference w:id="153"/>
      </w:r>
      <w:r w:rsidRPr="00720D91">
        <w:rPr>
          <w:rFonts w:ascii="Arial" w:hAnsi="Arial" w:cs="Arial"/>
          <w:sz w:val="22"/>
          <w:szCs w:val="22"/>
          <w:shd w:val="clear" w:color="auto" w:fill="FFFFFF" w:themeFill="background1"/>
        </w:rPr>
        <w:t xml:space="preserve"> La décision de la Cour sur cette question préliminaire à ce stade de la procédure est sans préjudice des questions de l'attribution et de la responsabilité de l'État  défendeur au regard de la Convention pour les actes incriminés, qui seront examinées au stade du fond de la procédure.</w:t>
      </w:r>
      <w:r w:rsidRPr="00720D91">
        <w:rPr>
          <w:rStyle w:val="Appelnotedebasdep"/>
          <w:rFonts w:ascii="Arial" w:hAnsi="Arial" w:cs="Arial"/>
          <w:sz w:val="22"/>
          <w:szCs w:val="22"/>
          <w:shd w:val="clear" w:color="auto" w:fill="FFFFFF" w:themeFill="background1"/>
        </w:rPr>
        <w:footnoteReference w:id="154"/>
      </w:r>
      <w:r w:rsidRPr="00720D91">
        <w:rPr>
          <w:rFonts w:ascii="Arial" w:hAnsi="Arial" w:cs="Arial"/>
          <w:sz w:val="22"/>
          <w:szCs w:val="22"/>
          <w:shd w:val="clear" w:color="auto" w:fill="FFFFFF" w:themeFill="background1"/>
        </w:rPr>
        <w:t xml:space="preserve"> La conclusion de la Cour, au stade de la recevabilité, selon laquelle les victimes alléguées de la pratique administrative dénoncée par le requérant relèvent de la compétence de l'État  défendeur et que la Cour est donc compétente pour examiner la requête, est sans préjudice de la question de savoir si l'État  défendeur est responsable au regard de la Convention des actes qui fondent les griefs du gouvernement requérant, qui appartient à la phase du fond de la procédure de la Cour. </w:t>
      </w:r>
      <w:r w:rsidRPr="00720D91">
        <w:rPr>
          <w:rStyle w:val="Appelnotedebasdep"/>
          <w:rFonts w:ascii="Arial" w:hAnsi="Arial" w:cs="Arial"/>
          <w:sz w:val="22"/>
          <w:szCs w:val="22"/>
          <w:shd w:val="clear" w:color="auto" w:fill="FFFFFF" w:themeFill="background1"/>
        </w:rPr>
        <w:footnoteReference w:id="155"/>
      </w:r>
    </w:p>
    <w:p w14:paraId="4FDCA374" w14:textId="77777777" w:rsidR="00720D91" w:rsidRPr="00720D91" w:rsidRDefault="00720D91" w:rsidP="00720D91">
      <w:pPr>
        <w:pStyle w:val="Sansinterligne"/>
        <w:jc w:val="both"/>
        <w:rPr>
          <w:rFonts w:ascii="Arial" w:hAnsi="Arial" w:cs="Arial"/>
          <w:sz w:val="22"/>
          <w:szCs w:val="22"/>
        </w:rPr>
      </w:pPr>
    </w:p>
    <w:p w14:paraId="5E7775AD" w14:textId="77777777" w:rsidR="00720D91" w:rsidRPr="00720D91" w:rsidRDefault="00720D91" w:rsidP="00720D91">
      <w:pPr>
        <w:pStyle w:val="Sansinterligne"/>
        <w:shd w:val="clear" w:color="auto" w:fill="FFFFFF" w:themeFill="background1"/>
        <w:ind w:firstLine="426"/>
        <w:jc w:val="both"/>
        <w:rPr>
          <w:rStyle w:val="sb8d990e2"/>
          <w:rFonts w:ascii="Arial" w:eastAsiaTheme="majorEastAsia" w:hAnsi="Arial" w:cs="Arial"/>
          <w:sz w:val="22"/>
          <w:szCs w:val="22"/>
          <w:shd w:val="clear" w:color="auto" w:fill="FFFFFF"/>
        </w:rPr>
      </w:pPr>
      <w:r w:rsidRPr="00720D91">
        <w:rPr>
          <w:rFonts w:ascii="Arial" w:hAnsi="Arial" w:cs="Arial"/>
          <w:sz w:val="22"/>
          <w:szCs w:val="22"/>
        </w:rPr>
        <w:t xml:space="preserve">90. Le niveau de preuve n'est pas explicitement abordé dans les dispositions de la Convention ou dans le Règlement de la Cour. </w:t>
      </w:r>
      <w:r w:rsidRPr="00720D91">
        <w:rPr>
          <w:rStyle w:val="sb8d990e2"/>
          <w:rFonts w:ascii="Arial" w:eastAsiaTheme="majorEastAsia" w:hAnsi="Arial" w:cs="Arial"/>
          <w:sz w:val="22"/>
          <w:szCs w:val="22"/>
          <w:shd w:val="clear" w:color="auto" w:fill="FFFFFF"/>
        </w:rPr>
        <w:t>Dans ses premières affaires interétatiques, la Cour a adopté le niveau de preuve « </w:t>
      </w:r>
      <w:r w:rsidRPr="00720D91">
        <w:rPr>
          <w:rStyle w:val="sb8d990e2"/>
          <w:rFonts w:ascii="Arial" w:eastAsiaTheme="majorEastAsia" w:hAnsi="Arial" w:cs="Arial"/>
          <w:b/>
          <w:bCs/>
          <w:i/>
          <w:iCs/>
          <w:sz w:val="22"/>
          <w:szCs w:val="22"/>
          <w:shd w:val="clear" w:color="auto" w:fill="FFFFFF"/>
        </w:rPr>
        <w:t>au-delà du doute raisonnable</w:t>
      </w:r>
      <w:r w:rsidRPr="00720D91">
        <w:rPr>
          <w:rStyle w:val="sb8d990e2"/>
          <w:rFonts w:ascii="Arial" w:eastAsiaTheme="majorEastAsia" w:hAnsi="Arial" w:cs="Arial"/>
          <w:sz w:val="22"/>
          <w:szCs w:val="22"/>
          <w:shd w:val="clear" w:color="auto" w:fill="FFFFFF"/>
        </w:rPr>
        <w:t> » qui fait désormais partie de sa jurisprudence établie</w:t>
      </w:r>
      <w:r w:rsidRPr="00720D91">
        <w:rPr>
          <w:rFonts w:ascii="Arial" w:hAnsi="Arial" w:cs="Arial"/>
          <w:sz w:val="22"/>
          <w:szCs w:val="22"/>
          <w:shd w:val="clear" w:color="auto" w:fill="FFFFFF" w:themeFill="background1"/>
        </w:rPr>
        <w:t>.</w:t>
      </w:r>
      <w:r w:rsidRPr="00720D91">
        <w:rPr>
          <w:rStyle w:val="Appelnotedebasdep"/>
          <w:rFonts w:ascii="Arial" w:hAnsi="Arial" w:cs="Arial"/>
          <w:b/>
          <w:bCs/>
          <w:sz w:val="22"/>
          <w:szCs w:val="22"/>
          <w:shd w:val="clear" w:color="auto" w:fill="FFFFFF" w:themeFill="background1"/>
        </w:rPr>
        <w:footnoteReference w:id="156"/>
      </w:r>
      <w:r w:rsidRPr="00720D91">
        <w:rPr>
          <w:rFonts w:ascii="Arial" w:hAnsi="Arial" w:cs="Arial"/>
          <w:b/>
          <w:bCs/>
          <w:sz w:val="22"/>
          <w:szCs w:val="22"/>
          <w:shd w:val="clear" w:color="auto" w:fill="FFFFFF" w:themeFill="background1"/>
        </w:rPr>
        <w:t xml:space="preserve"> </w:t>
      </w:r>
      <w:r w:rsidRPr="00720D91">
        <w:rPr>
          <w:rFonts w:ascii="Arial" w:hAnsi="Arial" w:cs="Arial"/>
          <w:sz w:val="22"/>
          <w:szCs w:val="22"/>
          <w:shd w:val="clear" w:color="auto" w:fill="FFFFFF" w:themeFill="background1"/>
        </w:rPr>
        <w:t>Ce</w:t>
      </w:r>
      <w:r w:rsidRPr="00720D91">
        <w:rPr>
          <w:rFonts w:ascii="Arial" w:hAnsi="Arial" w:cs="Arial"/>
          <w:sz w:val="22"/>
          <w:szCs w:val="22"/>
        </w:rPr>
        <w:t xml:space="preserve"> niveau ne doit pas être assimilée au même niveau appliqué dans les procédures pénales</w:t>
      </w:r>
      <w:r w:rsidRPr="00720D91">
        <w:rPr>
          <w:rStyle w:val="Appelnotedebasdep"/>
          <w:rFonts w:ascii="Arial" w:hAnsi="Arial" w:cs="Arial"/>
          <w:sz w:val="22"/>
          <w:szCs w:val="22"/>
        </w:rPr>
        <w:footnoteReference w:id="157"/>
      </w:r>
      <w:r w:rsidRPr="00720D91">
        <w:rPr>
          <w:rFonts w:ascii="Arial" w:hAnsi="Arial" w:cs="Arial"/>
          <w:sz w:val="22"/>
          <w:szCs w:val="22"/>
        </w:rPr>
        <w:t xml:space="preserve">, mais a une signification assez indépendante que la Cour lui a attribuée et qui reflète le rôle essentiel de la </w:t>
      </w:r>
      <w:r w:rsidRPr="00720D91">
        <w:rPr>
          <w:rFonts w:ascii="Arial" w:hAnsi="Arial" w:cs="Arial"/>
          <w:sz w:val="22"/>
          <w:szCs w:val="22"/>
          <w:shd w:val="clear" w:color="auto" w:fill="FFFFFF" w:themeFill="background1"/>
        </w:rPr>
        <w:t>Cour, qui n'est pas de se prononcer sur la culpabilité au regard du droit pénal ou sur la responsabilité civile, mais sur la responsabilité des États contractants en vertu de la Convention.</w:t>
      </w:r>
      <w:r w:rsidRPr="00720D91">
        <w:rPr>
          <w:rStyle w:val="Appelnotedebasdep"/>
          <w:rFonts w:ascii="Arial" w:hAnsi="Arial" w:cs="Arial"/>
          <w:sz w:val="22"/>
          <w:szCs w:val="22"/>
          <w:shd w:val="clear" w:color="auto" w:fill="FFFFFF" w:themeFill="background1"/>
        </w:rPr>
        <w:footnoteReference w:id="158"/>
      </w:r>
      <w:r w:rsidRPr="00720D91">
        <w:rPr>
          <w:rFonts w:ascii="Arial" w:hAnsi="Arial" w:cs="Arial"/>
          <w:sz w:val="22"/>
          <w:szCs w:val="22"/>
          <w:shd w:val="clear" w:color="auto" w:fill="FFFFFF" w:themeFill="background1"/>
        </w:rPr>
        <w:t xml:space="preserve"> La spécificité de la tâche de la Cour que lui attribue l'article 19 de la Convention – assurer le respect par les Hautes Parties contractantes de leur engagement consistant à reconnaitre les droits fondamentaux consacrés par la Convention - conditionne sa façon d’aborder les questions de preuve.</w:t>
      </w:r>
      <w:r w:rsidRPr="00720D91">
        <w:rPr>
          <w:rStyle w:val="Appelnotedebasdep"/>
          <w:rFonts w:ascii="Arial" w:hAnsi="Arial" w:cs="Arial"/>
          <w:sz w:val="22"/>
          <w:szCs w:val="22"/>
          <w:shd w:val="clear" w:color="auto" w:fill="FFFFFF" w:themeFill="background1"/>
        </w:rPr>
        <w:footnoteReference w:id="159"/>
      </w:r>
    </w:p>
    <w:p w14:paraId="27EA5434" w14:textId="77777777" w:rsidR="00720D91" w:rsidRPr="00720D91" w:rsidRDefault="00720D91" w:rsidP="00720D91">
      <w:pPr>
        <w:pStyle w:val="Titre2"/>
        <w:numPr>
          <w:ilvl w:val="0"/>
          <w:numId w:val="22"/>
        </w:numPr>
        <w:shd w:val="clear" w:color="auto" w:fill="FFFFFF" w:themeFill="background1"/>
        <w:ind w:left="927"/>
        <w:jc w:val="both"/>
        <w:rPr>
          <w:rFonts w:cs="Arial"/>
          <w:bCs w:val="0"/>
          <w:i w:val="0"/>
          <w:color w:val="FF0000"/>
          <w:sz w:val="22"/>
          <w:szCs w:val="22"/>
          <w:shd w:val="clear" w:color="auto" w:fill="BFBFBF" w:themeFill="background1" w:themeFillShade="BF"/>
        </w:rPr>
      </w:pPr>
      <w:bookmarkStart w:id="42" w:name="_Toc43386144"/>
      <w:bookmarkStart w:id="43" w:name="_Toc83293813"/>
      <w:bookmarkEnd w:id="42"/>
      <w:r w:rsidRPr="00720D91">
        <w:rPr>
          <w:rFonts w:eastAsiaTheme="minorHAnsi" w:cs="Arial"/>
          <w:sz w:val="22"/>
          <w:szCs w:val="22"/>
          <w:lang w:eastAsia="en-US"/>
        </w:rPr>
        <w:t>Charge de la preuve</w:t>
      </w:r>
      <w:bookmarkEnd w:id="43"/>
      <w:r w:rsidRPr="00720D91">
        <w:rPr>
          <w:rFonts w:cs="Arial"/>
          <w:bCs w:val="0"/>
          <w:i w:val="0"/>
          <w:color w:val="FF0000"/>
          <w:sz w:val="22"/>
          <w:szCs w:val="22"/>
          <w:shd w:val="clear" w:color="auto" w:fill="BFBFBF" w:themeFill="background1" w:themeFillShade="BF"/>
        </w:rPr>
        <w:t xml:space="preserve"> </w:t>
      </w:r>
    </w:p>
    <w:p w14:paraId="63AD0703" w14:textId="77777777" w:rsidR="00720D91" w:rsidRPr="00720D91" w:rsidRDefault="00720D91" w:rsidP="00720D91">
      <w:pPr>
        <w:rPr>
          <w:sz w:val="22"/>
          <w:szCs w:val="22"/>
        </w:rPr>
      </w:pPr>
    </w:p>
    <w:p w14:paraId="7FF2D9CC" w14:textId="77777777" w:rsidR="00720D91" w:rsidRPr="00720D91" w:rsidRDefault="00720D91" w:rsidP="00720D91">
      <w:pPr>
        <w:pStyle w:val="Sansinterligne"/>
        <w:shd w:val="clear" w:color="auto" w:fill="FFFFFF" w:themeFill="background1"/>
        <w:ind w:firstLine="426"/>
        <w:jc w:val="both"/>
        <w:rPr>
          <w:rFonts w:ascii="Arial" w:eastAsiaTheme="minorHAnsi" w:hAnsi="Arial" w:cs="Arial"/>
          <w:sz w:val="22"/>
          <w:szCs w:val="22"/>
          <w:shd w:val="clear" w:color="auto" w:fill="D9D9D9" w:themeFill="background1" w:themeFillShade="D9"/>
          <w:lang w:eastAsia="en-US"/>
        </w:rPr>
      </w:pPr>
      <w:r w:rsidRPr="00720D91">
        <w:rPr>
          <w:rFonts w:ascii="Arial" w:eastAsiaTheme="minorHAnsi" w:hAnsi="Arial" w:cs="Arial"/>
          <w:sz w:val="22"/>
          <w:szCs w:val="22"/>
          <w:shd w:val="clear" w:color="auto" w:fill="FFFFFF" w:themeFill="background1"/>
          <w:lang w:eastAsia="en-US"/>
        </w:rPr>
        <w:t>91. La Cour estime qu'en tant que principe général du droit, la charge initiale de la preuve concernant une allégation incombe à la partie qui fait l'allégation en question (</w:t>
      </w:r>
      <w:r w:rsidRPr="00720D91">
        <w:rPr>
          <w:rFonts w:ascii="Arial" w:eastAsiaTheme="minorHAnsi" w:hAnsi="Arial" w:cs="Arial"/>
          <w:i/>
          <w:iCs/>
          <w:sz w:val="22"/>
          <w:szCs w:val="22"/>
          <w:shd w:val="clear" w:color="auto" w:fill="FFFFFF" w:themeFill="background1"/>
          <w:lang w:eastAsia="en-US"/>
        </w:rPr>
        <w:t>affirmanti incumbit probatio).</w:t>
      </w:r>
      <w:r w:rsidRPr="00720D91">
        <w:rPr>
          <w:rStyle w:val="Appelnotedebasdep"/>
          <w:rFonts w:ascii="Arial" w:eastAsiaTheme="minorHAnsi" w:hAnsi="Arial" w:cs="Arial"/>
          <w:sz w:val="22"/>
          <w:szCs w:val="22"/>
          <w:shd w:val="clear" w:color="auto" w:fill="FFFFFF" w:themeFill="background1"/>
          <w:lang w:val="en-US" w:eastAsia="en-US"/>
        </w:rPr>
        <w:footnoteReference w:id="160"/>
      </w:r>
      <w:r w:rsidRPr="00720D91">
        <w:rPr>
          <w:rFonts w:ascii="Arial" w:eastAsiaTheme="minorHAnsi" w:hAnsi="Arial" w:cs="Arial"/>
          <w:sz w:val="22"/>
          <w:szCs w:val="22"/>
          <w:shd w:val="clear" w:color="auto" w:fill="FFFFFF" w:themeFill="background1"/>
          <w:lang w:eastAsia="en-US"/>
        </w:rPr>
        <w:t xml:space="preserve"> La Cour a toutefois reconnu qu'une application stricte de ce principe n'est pas toujours appropriée.</w:t>
      </w:r>
      <w:r w:rsidRPr="00720D91">
        <w:rPr>
          <w:rStyle w:val="Appelnotedebasdep"/>
          <w:rFonts w:ascii="Arial" w:eastAsiaTheme="minorHAnsi" w:hAnsi="Arial" w:cs="Arial"/>
          <w:sz w:val="22"/>
          <w:szCs w:val="22"/>
          <w:shd w:val="clear" w:color="auto" w:fill="FFFFFF" w:themeFill="background1"/>
          <w:lang w:val="en-US" w:eastAsia="en-US"/>
        </w:rPr>
        <w:footnoteReference w:id="161"/>
      </w:r>
      <w:r w:rsidRPr="00720D91">
        <w:rPr>
          <w:rFonts w:ascii="Arial" w:eastAsiaTheme="minorHAnsi" w:hAnsi="Arial" w:cs="Arial"/>
          <w:sz w:val="22"/>
          <w:szCs w:val="22"/>
          <w:shd w:val="clear" w:color="auto" w:fill="FFFFFF" w:themeFill="background1"/>
          <w:lang w:eastAsia="en-US"/>
        </w:rPr>
        <w:t xml:space="preserve"> </w:t>
      </w:r>
      <w:r w:rsidRPr="00720D91">
        <w:rPr>
          <w:rStyle w:val="sb8d990e2"/>
          <w:rFonts w:ascii="Arial" w:eastAsiaTheme="majorEastAsia" w:hAnsi="Arial" w:cs="Arial"/>
          <w:sz w:val="22"/>
          <w:szCs w:val="22"/>
          <w:shd w:val="clear" w:color="auto" w:fill="FFFFFF" w:themeFill="background1"/>
        </w:rPr>
        <w:t xml:space="preserve">Son approche de la répartition de la charge de la preuve tient compte des circonstances dans lesquelles les </w:t>
      </w:r>
      <w:r w:rsidRPr="00720D91">
        <w:rPr>
          <w:rFonts w:ascii="Arial" w:eastAsiaTheme="minorHAnsi" w:hAnsi="Arial" w:cs="Arial"/>
          <w:sz w:val="22"/>
          <w:szCs w:val="22"/>
          <w:shd w:val="clear" w:color="auto" w:fill="FFFFFF" w:themeFill="background1"/>
          <w:lang w:eastAsia="en-US"/>
        </w:rPr>
        <w:t xml:space="preserve">événements en cause sont entièrement, ou en grande partie, à la connaissance exclusive des autorités de l'État défendeur et où seul le </w:t>
      </w:r>
      <w:r w:rsidRPr="00720D91">
        <w:rPr>
          <w:rFonts w:ascii="Arial" w:eastAsiaTheme="minorHAnsi" w:hAnsi="Arial" w:cs="Arial"/>
          <w:sz w:val="22"/>
          <w:szCs w:val="22"/>
          <w:shd w:val="clear" w:color="auto" w:fill="FFFFFF" w:themeFill="background1"/>
          <w:lang w:eastAsia="en-US"/>
        </w:rPr>
        <w:lastRenderedPageBreak/>
        <w:t>gouvernement défendeur a accès aux informations susceptibles de corroborer ou de réfuter les allégations du requérant.</w:t>
      </w:r>
      <w:r w:rsidRPr="00720D91">
        <w:rPr>
          <w:rStyle w:val="Appelnotedebasdep"/>
          <w:rFonts w:ascii="Arial" w:eastAsiaTheme="minorHAnsi" w:hAnsi="Arial" w:cs="Arial"/>
          <w:sz w:val="22"/>
          <w:szCs w:val="22"/>
          <w:shd w:val="clear" w:color="auto" w:fill="FFFFFF" w:themeFill="background1"/>
          <w:lang w:val="en-US" w:eastAsia="en-US"/>
        </w:rPr>
        <w:footnoteReference w:id="162"/>
      </w:r>
      <w:r w:rsidRPr="00720D91">
        <w:rPr>
          <w:rFonts w:ascii="Arial" w:eastAsiaTheme="minorHAnsi" w:hAnsi="Arial" w:cs="Arial"/>
          <w:sz w:val="22"/>
          <w:szCs w:val="22"/>
          <w:shd w:val="clear" w:color="auto" w:fill="FFFFFF" w:themeFill="background1"/>
          <w:lang w:eastAsia="en-US"/>
        </w:rPr>
        <w:t xml:space="preserve"> </w:t>
      </w:r>
      <w:r w:rsidRPr="00720D91">
        <w:rPr>
          <w:rFonts w:ascii="Arial" w:hAnsi="Arial" w:cs="Arial"/>
          <w:sz w:val="22"/>
          <w:szCs w:val="22"/>
          <w:shd w:val="clear" w:color="auto" w:fill="FFFFFF" w:themeFill="background1"/>
        </w:rPr>
        <w:t>La charge de la preuve ne sera déplacée de cette manière que s'il existe déjà des déductions concordantes à l'appui des allégations du requérant.</w:t>
      </w:r>
      <w:r w:rsidRPr="00720D91">
        <w:rPr>
          <w:rStyle w:val="Appelnotedebasdep"/>
          <w:rFonts w:ascii="Arial" w:hAnsi="Arial" w:cs="Arial"/>
          <w:sz w:val="22"/>
          <w:szCs w:val="22"/>
          <w:shd w:val="clear" w:color="auto" w:fill="FFFFFF" w:themeFill="background1"/>
        </w:rPr>
        <w:footnoteReference w:id="163"/>
      </w:r>
      <w:r w:rsidRPr="00720D91">
        <w:rPr>
          <w:rFonts w:ascii="Arial" w:eastAsiaTheme="minorHAnsi" w:hAnsi="Arial" w:cs="Arial"/>
          <w:sz w:val="22"/>
          <w:szCs w:val="22"/>
          <w:shd w:val="clear" w:color="auto" w:fill="FFFFFF" w:themeFill="background1"/>
          <w:lang w:eastAsia="en-US"/>
        </w:rPr>
        <w:t xml:space="preserve"> </w:t>
      </w:r>
      <w:r w:rsidRPr="00720D91">
        <w:rPr>
          <w:rFonts w:ascii="Arial" w:hAnsi="Arial" w:cs="Arial"/>
          <w:sz w:val="22"/>
          <w:szCs w:val="22"/>
          <w:shd w:val="clear" w:color="auto" w:fill="FFFFFF" w:themeFill="background1"/>
        </w:rPr>
        <w:t>Le degré de persuasion nécessaire pour parvenir à une conclusion particulière et, à cet égard, la répartition de la charge de la preuve, sont intrinsèquement liés à la spécificité des faits, à la nature de l'allégation formulée et au droit de la Convention en jeu.</w:t>
      </w:r>
      <w:r w:rsidRPr="00720D91">
        <w:rPr>
          <w:rStyle w:val="Appelnotedebasdep"/>
          <w:rFonts w:ascii="Arial" w:hAnsi="Arial" w:cs="Arial"/>
          <w:sz w:val="22"/>
          <w:szCs w:val="22"/>
          <w:shd w:val="clear" w:color="auto" w:fill="FFFFFF" w:themeFill="background1"/>
        </w:rPr>
        <w:footnoteReference w:id="164"/>
      </w:r>
      <w:r w:rsidRPr="00720D91">
        <w:rPr>
          <w:rFonts w:ascii="Arial" w:eastAsiaTheme="minorHAnsi" w:hAnsi="Arial" w:cs="Arial"/>
          <w:sz w:val="22"/>
          <w:szCs w:val="22"/>
          <w:shd w:val="clear" w:color="auto" w:fill="FFFFFF" w:themeFill="background1"/>
          <w:lang w:eastAsia="en-US"/>
        </w:rPr>
        <w:t xml:space="preserve"> Les </w:t>
      </w:r>
      <w:r w:rsidRPr="00720D91">
        <w:rPr>
          <w:rFonts w:ascii="Arial" w:hAnsi="Arial" w:cs="Arial"/>
          <w:sz w:val="22"/>
          <w:szCs w:val="22"/>
          <w:shd w:val="clear" w:color="auto" w:fill="FFFFFF" w:themeFill="background1"/>
        </w:rPr>
        <w:t>rapports ou déclarations d'observateurs internationaux, d'organisations non gouvernementales ou des médias, ou encore les décisions d'autres juridictions nationales ou internationales, sont souvent pris en compte pour, notamment, éclairer les faits ou corroborer les constatations faites par la Cour.</w:t>
      </w:r>
      <w:r w:rsidRPr="00720D91">
        <w:rPr>
          <w:rStyle w:val="Appelnotedebasdep"/>
          <w:rFonts w:ascii="Arial" w:hAnsi="Arial" w:cs="Arial"/>
          <w:sz w:val="22"/>
          <w:szCs w:val="22"/>
          <w:shd w:val="clear" w:color="auto" w:fill="FFFFFF" w:themeFill="background1"/>
        </w:rPr>
        <w:footnoteReference w:id="165"/>
      </w:r>
      <w:r w:rsidRPr="00720D91">
        <w:rPr>
          <w:rFonts w:ascii="Arial" w:eastAsiaTheme="minorHAnsi" w:hAnsi="Arial" w:cs="Arial"/>
          <w:sz w:val="22"/>
          <w:szCs w:val="22"/>
          <w:shd w:val="clear" w:color="auto" w:fill="FFFFFF" w:themeFill="background1"/>
          <w:lang w:eastAsia="en-US"/>
        </w:rPr>
        <w:t xml:space="preserve"> Dans le cadre des affaires interétatiques, en ce qui concerne spécifiquement la question de l'établissement de l'existence d'une pratique administrative, la Cour ne s'appuie pas sur le concept selon lequel la charge de la preuve incombe à l'un ou l'autre des deux gouvernements concernés, mais elle étudie tous les éléments dont elle dispose, quelle que soit leur source.</w:t>
      </w:r>
      <w:r w:rsidRPr="00720D91">
        <w:rPr>
          <w:rStyle w:val="Appelnotedebasdep"/>
          <w:rFonts w:ascii="Arial" w:eastAsiaTheme="minorHAnsi" w:hAnsi="Arial" w:cs="Arial"/>
          <w:sz w:val="22"/>
          <w:szCs w:val="22"/>
          <w:shd w:val="clear" w:color="auto" w:fill="FFFFFF" w:themeFill="background1"/>
          <w:lang w:val="en-US" w:eastAsia="en-US"/>
        </w:rPr>
        <w:footnoteReference w:id="166"/>
      </w:r>
      <w:r w:rsidRPr="00720D91">
        <w:rPr>
          <w:rFonts w:ascii="Arial" w:eastAsiaTheme="minorHAnsi" w:hAnsi="Arial" w:cs="Arial"/>
          <w:sz w:val="22"/>
          <w:szCs w:val="22"/>
          <w:shd w:val="clear" w:color="auto" w:fill="FFFFFF" w:themeFill="background1"/>
          <w:lang w:eastAsia="en-US"/>
        </w:rPr>
        <w:t xml:space="preserve"> Le comportement des parties par rapport aux efforts de la Cour pour obtenir des preuves peut constituer un élément à prendre en compte. </w:t>
      </w:r>
      <w:r w:rsidRPr="00720D91">
        <w:rPr>
          <w:rStyle w:val="Appelnotedebasdep"/>
          <w:rFonts w:ascii="Arial" w:eastAsiaTheme="minorHAnsi" w:hAnsi="Arial" w:cs="Arial"/>
          <w:sz w:val="22"/>
          <w:szCs w:val="22"/>
          <w:shd w:val="clear" w:color="auto" w:fill="FFFFFF" w:themeFill="background1"/>
          <w:lang w:val="en-US" w:eastAsia="en-US"/>
        </w:rPr>
        <w:footnoteReference w:id="167"/>
      </w:r>
    </w:p>
    <w:p w14:paraId="229A73E7" w14:textId="77777777" w:rsidR="00720D91" w:rsidRPr="00720D91" w:rsidRDefault="00720D91" w:rsidP="00720D91">
      <w:pPr>
        <w:pStyle w:val="Sansinterligne"/>
        <w:shd w:val="clear" w:color="auto" w:fill="FFFFFF" w:themeFill="background1"/>
        <w:jc w:val="both"/>
        <w:rPr>
          <w:rFonts w:ascii="Arial" w:hAnsi="Arial" w:cs="Arial"/>
          <w:b/>
          <w:bCs/>
          <w:color w:val="FF0000"/>
          <w:sz w:val="22"/>
          <w:szCs w:val="22"/>
        </w:rPr>
      </w:pPr>
    </w:p>
    <w:p w14:paraId="1A5D2416" w14:textId="77777777" w:rsidR="00720D91" w:rsidRPr="00720D91" w:rsidRDefault="00720D91" w:rsidP="00720D91">
      <w:pPr>
        <w:pStyle w:val="Sansinterligne"/>
        <w:shd w:val="clear" w:color="auto" w:fill="FFFFFF" w:themeFill="background1"/>
        <w:ind w:firstLine="426"/>
        <w:jc w:val="both"/>
        <w:rPr>
          <w:rFonts w:ascii="Arial" w:hAnsi="Arial" w:cs="Arial"/>
          <w:sz w:val="22"/>
          <w:szCs w:val="22"/>
        </w:rPr>
      </w:pPr>
      <w:r w:rsidRPr="00720D91">
        <w:rPr>
          <w:rFonts w:ascii="Arial" w:hAnsi="Arial" w:cs="Arial"/>
          <w:sz w:val="22"/>
          <w:szCs w:val="22"/>
        </w:rPr>
        <w:t xml:space="preserve">92. Dans le contexte des requêtes interétatiques, la Cour a jugé que, </w:t>
      </w:r>
      <w:r w:rsidRPr="00720D91">
        <w:rPr>
          <w:rFonts w:ascii="Arial" w:hAnsi="Arial" w:cs="Arial"/>
          <w:b/>
          <w:bCs/>
          <w:i/>
          <w:iCs/>
          <w:sz w:val="22"/>
          <w:szCs w:val="22"/>
        </w:rPr>
        <w:t>dans le domaine de l'épuisement des voies de recours internes</w:t>
      </w:r>
      <w:r w:rsidRPr="00720D91">
        <w:rPr>
          <w:rFonts w:ascii="Arial" w:hAnsi="Arial" w:cs="Arial"/>
          <w:sz w:val="22"/>
          <w:szCs w:val="22"/>
        </w:rPr>
        <w:t>, il y a une répartition de la charge de la preuve</w:t>
      </w:r>
      <w:r w:rsidRPr="00720D91">
        <w:rPr>
          <w:rStyle w:val="Appelnotedebasdep"/>
          <w:rFonts w:ascii="Arial" w:hAnsi="Arial" w:cs="Arial"/>
          <w:sz w:val="22"/>
          <w:szCs w:val="22"/>
          <w:shd w:val="clear" w:color="auto" w:fill="FFFFFF" w:themeFill="background1"/>
        </w:rPr>
        <w:t xml:space="preserve"> </w:t>
      </w:r>
      <w:r w:rsidRPr="00720D91">
        <w:rPr>
          <w:rStyle w:val="Appelnotedebasdep"/>
          <w:rFonts w:ascii="Arial" w:hAnsi="Arial" w:cs="Arial"/>
          <w:sz w:val="22"/>
          <w:szCs w:val="22"/>
          <w:shd w:val="clear" w:color="auto" w:fill="FFFFFF" w:themeFill="background1"/>
        </w:rPr>
        <w:footnoteReference w:id="168"/>
      </w:r>
      <w:r w:rsidRPr="00720D91">
        <w:rPr>
          <w:rStyle w:val="sb8d990e2"/>
          <w:rFonts w:ascii="Arial" w:eastAsiaTheme="majorEastAsia" w:hAnsi="Arial" w:cs="Arial"/>
          <w:sz w:val="22"/>
          <w:szCs w:val="22"/>
          <w:shd w:val="clear" w:color="auto" w:fill="FFFFFF" w:themeFill="background1"/>
        </w:rPr>
        <w:t> </w:t>
      </w:r>
      <w:r w:rsidRPr="00720D91">
        <w:rPr>
          <w:rFonts w:ascii="Arial" w:hAnsi="Arial" w:cs="Arial"/>
          <w:sz w:val="22"/>
          <w:szCs w:val="22"/>
          <w:shd w:val="clear" w:color="auto" w:fill="FFFFFF" w:themeFill="background1"/>
        </w:rPr>
        <w:t>; l</w:t>
      </w:r>
      <w:r w:rsidRPr="00720D91">
        <w:rPr>
          <w:rStyle w:val="sb8d990e2"/>
          <w:rFonts w:ascii="Arial" w:eastAsiaTheme="majorEastAsia" w:hAnsi="Arial" w:cs="Arial"/>
          <w:sz w:val="22"/>
          <w:szCs w:val="22"/>
          <w:shd w:val="clear" w:color="auto" w:fill="FFFFFF" w:themeFill="background1"/>
        </w:rPr>
        <w:t>'article 35 § 1 prévoyant cette répartition.</w:t>
      </w:r>
      <w:r w:rsidRPr="00720D91">
        <w:rPr>
          <w:rStyle w:val="Appelnotedebasdep"/>
          <w:rFonts w:ascii="Arial" w:hAnsi="Arial" w:cs="Arial"/>
          <w:sz w:val="22"/>
          <w:szCs w:val="22"/>
          <w:shd w:val="clear" w:color="auto" w:fill="FFFFFF" w:themeFill="background1"/>
        </w:rPr>
        <w:footnoteReference w:id="169"/>
      </w:r>
      <w:r w:rsidRPr="00720D91">
        <w:rPr>
          <w:rStyle w:val="sb8d990e2"/>
          <w:rFonts w:ascii="Arial" w:eastAsiaTheme="majorEastAsia" w:hAnsi="Arial" w:cs="Arial"/>
          <w:sz w:val="22"/>
          <w:szCs w:val="22"/>
          <w:shd w:val="clear" w:color="auto" w:fill="FFFFFF" w:themeFill="background1"/>
        </w:rPr>
        <w:t xml:space="preserve"> Il incombe au gouvernement défendeur qui invoque le non-épuisement de convaincre la Cour que les voies de recours étaient effectives et disponibles en théorie et en pratique à l'époque pertinente</w:t>
      </w:r>
      <w:r w:rsidRPr="00720D91">
        <w:rPr>
          <w:rStyle w:val="Appelnotedebasdep"/>
          <w:rFonts w:ascii="Arial" w:hAnsi="Arial" w:cs="Arial"/>
          <w:sz w:val="22"/>
          <w:szCs w:val="22"/>
          <w:shd w:val="clear" w:color="auto" w:fill="FFFFFF" w:themeFill="background1"/>
        </w:rPr>
        <w:footnoteReference w:id="170"/>
      </w:r>
      <w:r w:rsidRPr="00720D91">
        <w:rPr>
          <w:rStyle w:val="sb8d990e2"/>
          <w:rFonts w:ascii="Arial" w:eastAsiaTheme="majorEastAsia" w:hAnsi="Arial" w:cs="Arial"/>
          <w:sz w:val="22"/>
          <w:szCs w:val="22"/>
          <w:shd w:val="clear" w:color="auto" w:fill="FFFFFF" w:themeFill="background1"/>
        </w:rPr>
        <w:t xml:space="preserve">, c'est-à-dire qu'elles étaient accessibles, susceptibles d'apporter une réponse aux plaintes des individus lésés et offraient des perspectives raisonnables de succès. </w:t>
      </w:r>
      <w:r w:rsidRPr="00720D91">
        <w:rPr>
          <w:rStyle w:val="Appelnotedebasdep"/>
          <w:rFonts w:ascii="Arial" w:hAnsi="Arial" w:cs="Arial"/>
          <w:sz w:val="22"/>
          <w:szCs w:val="22"/>
          <w:shd w:val="clear" w:color="auto" w:fill="FFFFFF" w:themeFill="background1"/>
        </w:rPr>
        <w:footnoteReference w:id="171"/>
      </w:r>
      <w:r w:rsidRPr="00720D91">
        <w:rPr>
          <w:rStyle w:val="sb8d990e2"/>
          <w:rFonts w:ascii="Arial" w:eastAsiaTheme="majorEastAsia" w:hAnsi="Arial" w:cs="Arial"/>
          <w:sz w:val="22"/>
          <w:szCs w:val="22"/>
          <w:shd w:val="clear" w:color="auto" w:fill="FFFFFF" w:themeFill="background1"/>
        </w:rPr>
        <w:t xml:space="preserve"> Toutefois, une fois cette charge de la preuve acquittée, il incombe au requérant - en l'occurrence au gouvernement requérant - d'établir que les voies de recours ou l'ensemble des voies de recours proposées par le gouvernement défendeur ont été effectivement épuisées ou étaient, pour une raison quelconque, inadéquates et inefficaces dans les circonstances particulières de l'espèce,</w:t>
      </w:r>
      <w:r w:rsidRPr="00720D91">
        <w:rPr>
          <w:rStyle w:val="Appelnotedebasdep"/>
          <w:rFonts w:ascii="Arial" w:hAnsi="Arial" w:cs="Arial"/>
          <w:sz w:val="22"/>
          <w:szCs w:val="22"/>
          <w:shd w:val="clear" w:color="auto" w:fill="FFFFFF" w:themeFill="background1"/>
        </w:rPr>
        <w:footnoteReference w:id="172"/>
      </w:r>
      <w:r w:rsidRPr="00720D91">
        <w:rPr>
          <w:rStyle w:val="sb8d990e2"/>
          <w:rFonts w:ascii="Arial" w:eastAsiaTheme="majorEastAsia" w:hAnsi="Arial" w:cs="Arial"/>
          <w:sz w:val="22"/>
          <w:szCs w:val="22"/>
          <w:shd w:val="clear" w:color="auto" w:fill="FFFFFF" w:themeFill="background1"/>
        </w:rPr>
        <w:t xml:space="preserve"> ou qu'il existait des circonstances particulières dispensant les intéressés de l'obligation d'épuiser cette voie de recours.</w:t>
      </w:r>
      <w:r w:rsidRPr="00720D91">
        <w:rPr>
          <w:rStyle w:val="Appelnotedebasdep"/>
          <w:rFonts w:ascii="Arial" w:hAnsi="Arial" w:cs="Arial"/>
          <w:sz w:val="22"/>
          <w:szCs w:val="22"/>
          <w:shd w:val="clear" w:color="auto" w:fill="FFFFFF" w:themeFill="background1"/>
        </w:rPr>
        <w:footnoteReference w:id="173"/>
      </w:r>
      <w:r w:rsidRPr="00720D91">
        <w:rPr>
          <w:rStyle w:val="sb8d990e2"/>
          <w:rFonts w:ascii="Arial" w:eastAsiaTheme="majorEastAsia" w:hAnsi="Arial" w:cs="Arial"/>
          <w:sz w:val="22"/>
          <w:szCs w:val="22"/>
          <w:shd w:val="clear" w:color="auto" w:fill="FFFFFF" w:themeFill="background1"/>
        </w:rPr>
        <w:t xml:space="preserve"> Une telle raison peut être constituée par le fait que les autorités nationales sont restées totalement passives face à de graves allégations de faute ou de préjudice de la part d'agents de l'État, par exemple lorsqu'elles n'ont pas entrepris d'enquête ou offert leur assistance. Dans de telles circonstances, on peut dire que la charge de la preuve se déplace une fois de plus, de sorte qu'il incombe au gouvernement défendeur de montrer ce que les autorités ont fait en réponse à l'ampleur et à la gravité des faits reprochés.  </w:t>
      </w:r>
      <w:r w:rsidRPr="00720D91">
        <w:rPr>
          <w:rStyle w:val="Appelnotedebasdep"/>
          <w:rFonts w:ascii="Arial" w:hAnsi="Arial" w:cs="Arial"/>
          <w:sz w:val="22"/>
          <w:szCs w:val="22"/>
          <w:shd w:val="clear" w:color="auto" w:fill="FFFFFF" w:themeFill="background1"/>
        </w:rPr>
        <w:footnoteReference w:id="174"/>
      </w:r>
    </w:p>
    <w:p w14:paraId="023E1831" w14:textId="77777777" w:rsidR="00720D91" w:rsidRPr="00720D91" w:rsidRDefault="00720D91" w:rsidP="00720D91">
      <w:pPr>
        <w:pStyle w:val="Sansinterligne"/>
        <w:shd w:val="clear" w:color="auto" w:fill="FFFFFF" w:themeFill="background1"/>
        <w:jc w:val="both"/>
        <w:rPr>
          <w:rFonts w:ascii="Arial" w:hAnsi="Arial" w:cs="Arial"/>
          <w:sz w:val="22"/>
          <w:szCs w:val="22"/>
        </w:rPr>
      </w:pPr>
    </w:p>
    <w:p w14:paraId="2332CC1F" w14:textId="77777777" w:rsidR="00720D91" w:rsidRPr="00720D91" w:rsidRDefault="00720D91" w:rsidP="00720D91">
      <w:pPr>
        <w:pStyle w:val="Sansinterligne"/>
        <w:shd w:val="clear" w:color="auto" w:fill="FFFFFF" w:themeFill="background1"/>
        <w:ind w:firstLine="426"/>
        <w:jc w:val="both"/>
        <w:rPr>
          <w:rFonts w:ascii="Arial" w:hAnsi="Arial" w:cs="Arial"/>
          <w:sz w:val="22"/>
          <w:szCs w:val="22"/>
        </w:rPr>
      </w:pPr>
      <w:r w:rsidRPr="00720D91">
        <w:rPr>
          <w:rFonts w:ascii="Arial" w:hAnsi="Arial" w:cs="Arial"/>
          <w:sz w:val="22"/>
          <w:szCs w:val="22"/>
        </w:rPr>
        <w:t xml:space="preserve">93. Dans certaines </w:t>
      </w:r>
      <w:r w:rsidRPr="00720D91">
        <w:rPr>
          <w:rFonts w:ascii="Arial" w:hAnsi="Arial" w:cs="Arial"/>
          <w:b/>
          <w:bCs/>
          <w:i/>
          <w:iCs/>
          <w:sz w:val="22"/>
          <w:szCs w:val="22"/>
        </w:rPr>
        <w:t>circonstances spécifiques</w:t>
      </w:r>
      <w:r w:rsidRPr="00720D91">
        <w:rPr>
          <w:rFonts w:ascii="Arial" w:hAnsi="Arial" w:cs="Arial"/>
          <w:sz w:val="22"/>
          <w:szCs w:val="22"/>
        </w:rPr>
        <w:t xml:space="preserve">, la Cour a accepté de déplacer la charge de la preuve du requérant vers le gouvernement défendeur. Dans l'arrêt sur la satisfaction équitable dans l'affaire Géorgie c. Russie, la Cour a estimé que « eu égard au cadre numérique général sur lequel la Cour s'est fondée dans son arrêt principal pour conclure à l'existence de violations de la Convention [...], elle part du principe que les personnes citées dans la liste du </w:t>
      </w:r>
      <w:r w:rsidRPr="00720D91">
        <w:rPr>
          <w:rFonts w:ascii="Arial" w:hAnsi="Arial" w:cs="Arial"/>
          <w:sz w:val="22"/>
          <w:szCs w:val="22"/>
        </w:rPr>
        <w:lastRenderedPageBreak/>
        <w:t xml:space="preserve">gouvernement requérant peuvent être considérées comme des victimes de violations de la Convention dont le gouvernement défendeur a été tenu responsable. Eu égard au fait que les constats de violation des articles 3 et 5 § 1 de la Convention et de l'article 4 du Protocole n° 4 concernent des victimes individuelles et se fondent sur des événements survenus sur le territoire du gouvernement défendeur, la Cour estime que, dans les circonstances particulières de la présente affaire, il incombe au gouvernement défendeur de démontrer de manière convaincante que les personnes figurant sur la liste du gouvernement requérant n'ont pas la qualité de victime. En conséquence, lorsque l'examen préliminaire a permis à la Cour de conclure de manière satisfaisante qu'une personne a été victime d'une ou plusieurs violations de la Convention, et que le gouvernement défendeur n'a pas démontré que la personne en question n'avait pas la qualité de victime, cette personne sera incluse dans la liste interne définitive aux fins de la détermination de la somme totale à allouer au titre de la satisfaction équitable." </w:t>
      </w:r>
      <w:r w:rsidRPr="00720D91">
        <w:rPr>
          <w:rStyle w:val="Appelnotedebasdep"/>
          <w:rFonts w:ascii="Arial" w:hAnsi="Arial" w:cs="Arial"/>
          <w:sz w:val="22"/>
          <w:szCs w:val="22"/>
        </w:rPr>
        <w:footnoteReference w:id="175"/>
      </w:r>
    </w:p>
    <w:p w14:paraId="6ECD7D34" w14:textId="77777777" w:rsidR="00720D91" w:rsidRPr="00720D91" w:rsidRDefault="00720D91" w:rsidP="00720D91">
      <w:pPr>
        <w:pStyle w:val="Sansinterligne"/>
        <w:jc w:val="both"/>
        <w:rPr>
          <w:rFonts w:ascii="Arial" w:hAnsi="Arial" w:cs="Arial"/>
          <w:sz w:val="22"/>
          <w:szCs w:val="22"/>
        </w:rPr>
      </w:pPr>
    </w:p>
    <w:p w14:paraId="5C4930B8" w14:textId="77777777" w:rsidR="00720D91" w:rsidRPr="00720D91" w:rsidRDefault="00720D91" w:rsidP="00720D91">
      <w:pPr>
        <w:pStyle w:val="Titre2"/>
        <w:numPr>
          <w:ilvl w:val="0"/>
          <w:numId w:val="22"/>
        </w:numPr>
        <w:ind w:left="927"/>
        <w:jc w:val="both"/>
        <w:rPr>
          <w:rFonts w:cs="Arial"/>
          <w:bCs w:val="0"/>
          <w:iCs/>
          <w:sz w:val="22"/>
          <w:szCs w:val="22"/>
          <w:lang w:val="fr-FR"/>
        </w:rPr>
      </w:pPr>
      <w:bookmarkStart w:id="46" w:name="_Toc83293814"/>
      <w:bookmarkStart w:id="47" w:name="_Toc36049236"/>
      <w:r w:rsidRPr="00720D91">
        <w:rPr>
          <w:rFonts w:cs="Arial"/>
          <w:bCs w:val="0"/>
          <w:iCs/>
          <w:sz w:val="22"/>
          <w:szCs w:val="22"/>
          <w:lang w:val="fr-FR"/>
        </w:rPr>
        <w:t>La fonction d'établissement des faits de la Cour</w:t>
      </w:r>
      <w:bookmarkEnd w:id="46"/>
      <w:r w:rsidRPr="00720D91">
        <w:rPr>
          <w:rFonts w:cs="Arial"/>
          <w:bCs w:val="0"/>
          <w:iCs/>
          <w:sz w:val="22"/>
          <w:szCs w:val="22"/>
          <w:lang w:val="fr-FR"/>
        </w:rPr>
        <w:t xml:space="preserve"> </w:t>
      </w:r>
      <w:bookmarkEnd w:id="47"/>
    </w:p>
    <w:p w14:paraId="7EDEF45B" w14:textId="77777777" w:rsidR="00720D91" w:rsidRPr="00720D91" w:rsidRDefault="00720D91" w:rsidP="00720D91">
      <w:pPr>
        <w:pStyle w:val="Titre3"/>
        <w:ind w:left="720"/>
        <w:rPr>
          <w:rFonts w:ascii="Arial" w:hAnsi="Arial" w:cs="Arial"/>
          <w:b w:val="0"/>
          <w:i/>
          <w:color w:val="323E4F" w:themeColor="text2" w:themeShade="BF"/>
          <w:lang w:val="fr-FR"/>
        </w:rPr>
      </w:pPr>
      <w:bookmarkStart w:id="48" w:name="_Toc83293815"/>
      <w:r w:rsidRPr="00720D91">
        <w:rPr>
          <w:rFonts w:ascii="Arial" w:hAnsi="Arial" w:cs="Arial"/>
          <w:b w:val="0"/>
          <w:i/>
          <w:color w:val="323E4F" w:themeColor="text2" w:themeShade="BF"/>
          <w:lang w:val="fr-FR"/>
        </w:rPr>
        <w:t>4.1. Pouvoirs d'enquête</w:t>
      </w:r>
      <w:bookmarkEnd w:id="48"/>
      <w:r w:rsidRPr="00720D91">
        <w:rPr>
          <w:rFonts w:ascii="Arial" w:hAnsi="Arial" w:cs="Arial"/>
          <w:b w:val="0"/>
          <w:i/>
          <w:color w:val="323E4F" w:themeColor="text2" w:themeShade="BF"/>
          <w:lang w:val="fr-FR"/>
        </w:rPr>
        <w:t xml:space="preserve"> </w:t>
      </w:r>
    </w:p>
    <w:p w14:paraId="4A514E61" w14:textId="77777777" w:rsidR="00720D91" w:rsidRPr="00720D91" w:rsidRDefault="00720D91" w:rsidP="00720D91">
      <w:pPr>
        <w:pStyle w:val="Sansinterligne"/>
        <w:rPr>
          <w:sz w:val="22"/>
          <w:szCs w:val="22"/>
        </w:rPr>
      </w:pPr>
    </w:p>
    <w:p w14:paraId="2C38BAE1" w14:textId="77777777" w:rsidR="00720D91" w:rsidRPr="00720D91" w:rsidRDefault="00720D91" w:rsidP="00720D91">
      <w:pPr>
        <w:shd w:val="clear" w:color="auto" w:fill="FFFFFF" w:themeFill="background1"/>
        <w:spacing w:after="240"/>
        <w:ind w:firstLine="426"/>
        <w:jc w:val="both"/>
        <w:rPr>
          <w:rFonts w:ascii="Arial" w:hAnsi="Arial" w:cs="Arial"/>
          <w:sz w:val="22"/>
          <w:szCs w:val="22"/>
        </w:rPr>
      </w:pPr>
      <w:r w:rsidRPr="00720D91">
        <w:rPr>
          <w:rFonts w:ascii="Arial" w:hAnsi="Arial" w:cs="Arial"/>
          <w:sz w:val="22"/>
          <w:szCs w:val="22"/>
        </w:rPr>
        <w:t>94. Comme indiqué ci-dessus, la Cour établit les faits en se fondant principalement sur des preuves documentaires qui comprennent notamment des rapports d'organisations internationales gouvernementales et non gouvernementales (voir paragraphe 84 ci-dessus).</w:t>
      </w:r>
      <w:r w:rsidRPr="00720D91">
        <w:rPr>
          <w:rStyle w:val="Appelnotedebasdep"/>
          <w:rFonts w:ascii="Arial" w:hAnsi="Arial" w:cs="Arial"/>
          <w:sz w:val="22"/>
          <w:szCs w:val="22"/>
        </w:rPr>
        <w:footnoteReference w:id="176"/>
      </w:r>
      <w:r w:rsidRPr="00720D91">
        <w:rPr>
          <w:rFonts w:ascii="Arial" w:hAnsi="Arial" w:cs="Arial"/>
          <w:sz w:val="22"/>
          <w:szCs w:val="22"/>
        </w:rPr>
        <w:t xml:space="preserve"> Toutefois, </w:t>
      </w:r>
      <w:bookmarkStart w:id="50" w:name="_Hlk38984341"/>
      <w:r w:rsidRPr="00720D91">
        <w:rPr>
          <w:rFonts w:ascii="Arial" w:hAnsi="Arial" w:cs="Arial"/>
          <w:sz w:val="22"/>
          <w:szCs w:val="22"/>
        </w:rPr>
        <w:t xml:space="preserve">la Cour peut être amenée à agir en tant que juridiction de première instance lorsqu'il existe des différends factuels entre les parties qui ne peuvent être résolus par l'examen des documents dont elle est saisie ou lorsqu'il n'y a pas eu d'examen des faits reprochés par les juridictions internes. La Cour peut donc décider de recourir à des </w:t>
      </w:r>
      <w:r w:rsidRPr="00720D91">
        <w:rPr>
          <w:rFonts w:ascii="Arial" w:hAnsi="Arial" w:cs="Arial"/>
          <w:sz w:val="22"/>
          <w:szCs w:val="22"/>
          <w:shd w:val="clear" w:color="auto" w:fill="FFFFFF" w:themeFill="background1"/>
        </w:rPr>
        <w:t xml:space="preserve">procédures d'établissement des faits telles que des audiences d’information ou des enquêtes sur place. Il est signalé que parmi les </w:t>
      </w:r>
      <w:r w:rsidRPr="00720D91">
        <w:rPr>
          <w:rFonts w:ascii="Arial" w:hAnsi="Arial" w:cs="Arial"/>
          <w:sz w:val="22"/>
          <w:szCs w:val="22"/>
        </w:rPr>
        <w:t xml:space="preserve">facteurs clés d'une telle décision figurent l'incapacité des autorités nationales à établir pleinement les faits pertinents d'une affaire, les défaillances systématiques dans le fonctionnement des tribunaux nationaux, le potentiel de l'audience d'enquête à conduire à l'établissement d'une violation de la Convention et, dans le cas d'une visite sur place, le temps qui s'est écoulé depuis que les événements en question ont eu lieu. </w:t>
      </w:r>
      <w:r w:rsidRPr="00720D91">
        <w:rPr>
          <w:rStyle w:val="Appelnotedebasdep"/>
          <w:rFonts w:ascii="Arial" w:hAnsi="Arial" w:cs="Arial"/>
          <w:sz w:val="22"/>
          <w:szCs w:val="22"/>
        </w:rPr>
        <w:footnoteReference w:id="177"/>
      </w:r>
    </w:p>
    <w:bookmarkEnd w:id="50"/>
    <w:p w14:paraId="176602D6" w14:textId="77777777" w:rsidR="00720D91" w:rsidRPr="00720D91" w:rsidRDefault="00720D91" w:rsidP="00720D91">
      <w:pPr>
        <w:autoSpaceDE w:val="0"/>
        <w:autoSpaceDN w:val="0"/>
        <w:adjustRightInd w:val="0"/>
        <w:ind w:firstLine="426"/>
        <w:jc w:val="both"/>
        <w:rPr>
          <w:rFonts w:ascii="Arial" w:hAnsi="Arial" w:cs="Arial"/>
          <w:sz w:val="22"/>
          <w:szCs w:val="22"/>
        </w:rPr>
      </w:pPr>
      <w:r w:rsidRPr="00720D91">
        <w:rPr>
          <w:rFonts w:ascii="Arial" w:hAnsi="Arial" w:cs="Arial"/>
          <w:sz w:val="22"/>
          <w:szCs w:val="22"/>
        </w:rPr>
        <w:t xml:space="preserve">95. La décision de recourir ou non à des mesures d'enquête est laissée à la discrétion de la Cour et peut être prise d'office ou à la demande de l'une des parties. </w:t>
      </w:r>
      <w:r w:rsidRPr="00720D91">
        <w:rPr>
          <w:rFonts w:ascii="Arial" w:hAnsi="Arial" w:cs="Arial"/>
          <w:sz w:val="22"/>
          <w:szCs w:val="22"/>
          <w:lang w:eastAsia="en-US"/>
        </w:rPr>
        <w:t>Le refus effectif de coopération d'un gouvernement dans une affaire dissuadera considérablement la Cour d'organiser une mission d'enquête.</w:t>
      </w:r>
      <w:r w:rsidRPr="00720D91">
        <w:rPr>
          <w:rStyle w:val="Appelnotedebasdep"/>
          <w:rFonts w:ascii="Arial" w:hAnsi="Arial" w:cs="Arial"/>
          <w:sz w:val="22"/>
          <w:szCs w:val="22"/>
        </w:rPr>
        <w:footnoteReference w:id="178"/>
      </w:r>
      <w:r w:rsidRPr="00720D91">
        <w:rPr>
          <w:rFonts w:ascii="Arial" w:hAnsi="Arial" w:cs="Arial"/>
          <w:sz w:val="22"/>
          <w:szCs w:val="22"/>
          <w:lang w:eastAsia="en-US"/>
        </w:rPr>
        <w:t xml:space="preserve"> </w:t>
      </w:r>
      <w:r w:rsidRPr="00720D91">
        <w:rPr>
          <w:rFonts w:ascii="Arial" w:hAnsi="Arial" w:cs="Arial"/>
          <w:sz w:val="22"/>
          <w:szCs w:val="22"/>
        </w:rPr>
        <w:t xml:space="preserve">Une </w:t>
      </w:r>
      <w:r w:rsidRPr="00720D91">
        <w:rPr>
          <w:rFonts w:ascii="Arial" w:hAnsi="Arial" w:cs="Arial"/>
          <w:sz w:val="22"/>
          <w:szCs w:val="22"/>
          <w:lang w:eastAsia="en-US"/>
        </w:rPr>
        <w:t xml:space="preserve">demande bien justifiée d'audience d'enquête soumise par une partie peut avoir une influence considérable sur le processus décisionnel de la Cour et une liste de témoins (y compris des informations sur la pertinence de leur témoignage attendu) est une partie essentielle d'une demande bien argumentée de mission d'enquête. </w:t>
      </w:r>
      <w:r w:rsidRPr="00720D91">
        <w:rPr>
          <w:rStyle w:val="Appelnotedebasdep"/>
          <w:rFonts w:ascii="Arial" w:hAnsi="Arial" w:cs="Arial"/>
          <w:sz w:val="22"/>
          <w:szCs w:val="22"/>
        </w:rPr>
        <w:footnoteReference w:id="179"/>
      </w:r>
      <w:r w:rsidRPr="00720D91">
        <w:rPr>
          <w:rFonts w:ascii="Arial" w:hAnsi="Arial" w:cs="Arial"/>
          <w:sz w:val="22"/>
          <w:szCs w:val="22"/>
        </w:rPr>
        <w:t xml:space="preserve"> En ce qui concerne le calendrier des activités d'enquête de la Cour, la Convention ne traite pas explicitement de cette question. Cependant, le Règlement de la Cour précise que l'enquête a lieu après qu'une affaire a été déclarée recevable, ou exceptionnellement, avant la décision sur la recevabilité. </w:t>
      </w:r>
      <w:r w:rsidRPr="00720D91">
        <w:rPr>
          <w:rStyle w:val="Appelnotedebasdep"/>
          <w:rFonts w:ascii="Arial" w:hAnsi="Arial" w:cs="Arial"/>
          <w:sz w:val="22"/>
          <w:szCs w:val="22"/>
        </w:rPr>
        <w:footnoteReference w:id="180"/>
      </w:r>
    </w:p>
    <w:p w14:paraId="3F878EF4" w14:textId="77777777" w:rsidR="00720D91" w:rsidRPr="00720D91" w:rsidRDefault="00720D91" w:rsidP="00720D91">
      <w:pPr>
        <w:pStyle w:val="Sansinterligne"/>
        <w:rPr>
          <w:sz w:val="22"/>
          <w:szCs w:val="22"/>
        </w:rPr>
      </w:pPr>
    </w:p>
    <w:p w14:paraId="4E83FDDB" w14:textId="77777777" w:rsidR="00720D91" w:rsidRPr="00720D91" w:rsidRDefault="00720D91" w:rsidP="00720D91">
      <w:pPr>
        <w:spacing w:after="240"/>
        <w:ind w:firstLine="426"/>
        <w:jc w:val="both"/>
        <w:rPr>
          <w:rFonts w:ascii="Arial" w:hAnsi="Arial" w:cs="Arial"/>
          <w:sz w:val="22"/>
          <w:szCs w:val="22"/>
        </w:rPr>
      </w:pPr>
      <w:r w:rsidRPr="00720D91">
        <w:rPr>
          <w:rFonts w:ascii="Arial" w:hAnsi="Arial" w:cs="Arial"/>
          <w:sz w:val="22"/>
          <w:szCs w:val="22"/>
        </w:rPr>
        <w:t xml:space="preserve">96. Les pouvoirs d'enquête de la Cour se fondent sur l'article 38 de la Convention et sont exercés en vertu du Règlement de la Cour (Article A1 à A8 de l'Annexe) qui contient des </w:t>
      </w:r>
      <w:r w:rsidRPr="00720D91">
        <w:rPr>
          <w:rFonts w:ascii="Arial" w:hAnsi="Arial" w:cs="Arial"/>
          <w:sz w:val="22"/>
          <w:szCs w:val="22"/>
        </w:rPr>
        <w:lastRenderedPageBreak/>
        <w:t xml:space="preserve">dispositions détaillées concernant les mesures d'enquête et les obligations des parties à cet égard. Après qu'une affaire a été déclarée recevable ou, exceptionnellement, avant la décision sur la recevabilité, la Chambre peut désigner un ou plusieurs de ses membres ou des autres juges de la Cour, comme son ou ses délégués, pour mener une enquête, effectuer une investigation sur place ou recueillir des preuves d'une autre manière. La Chambre peut également désigner toute personne ou institution de son choix pour assister la délégation de la manière qu'elle juge appropriée. </w:t>
      </w:r>
      <w:r w:rsidRPr="00720D91">
        <w:rPr>
          <w:rStyle w:val="Appelnotedebasdep"/>
          <w:rFonts w:ascii="Arial" w:hAnsi="Arial" w:cs="Arial"/>
          <w:sz w:val="22"/>
          <w:szCs w:val="22"/>
        </w:rPr>
        <w:footnoteReference w:id="181"/>
      </w:r>
    </w:p>
    <w:p w14:paraId="38AEA4E2" w14:textId="77777777" w:rsidR="00720D91" w:rsidRPr="00720D91" w:rsidRDefault="00720D91" w:rsidP="00720D91">
      <w:pPr>
        <w:pStyle w:val="Titre3"/>
        <w:ind w:left="720"/>
        <w:rPr>
          <w:rFonts w:ascii="Arial" w:hAnsi="Arial" w:cs="Arial"/>
          <w:b w:val="0"/>
          <w:i/>
          <w:color w:val="323E4F" w:themeColor="text2" w:themeShade="BF"/>
          <w:lang w:val="fr-FR"/>
        </w:rPr>
      </w:pPr>
      <w:bookmarkStart w:id="51" w:name="_Toc83293816"/>
      <w:r w:rsidRPr="00720D91">
        <w:rPr>
          <w:rFonts w:ascii="Arial" w:hAnsi="Arial" w:cs="Arial"/>
          <w:b w:val="0"/>
          <w:i/>
          <w:color w:val="323E4F" w:themeColor="text2" w:themeShade="BF"/>
          <w:lang w:val="fr-FR"/>
        </w:rPr>
        <w:t>4.2. Auditions de témoins</w:t>
      </w:r>
      <w:bookmarkEnd w:id="51"/>
      <w:r w:rsidRPr="00720D91">
        <w:rPr>
          <w:rFonts w:ascii="Arial" w:hAnsi="Arial" w:cs="Arial"/>
          <w:b w:val="0"/>
          <w:i/>
          <w:color w:val="323E4F" w:themeColor="text2" w:themeShade="BF"/>
          <w:lang w:val="fr-FR"/>
        </w:rPr>
        <w:t xml:space="preserve"> </w:t>
      </w:r>
    </w:p>
    <w:p w14:paraId="1EF84247" w14:textId="77777777" w:rsidR="00720D91" w:rsidRPr="00720D91" w:rsidRDefault="00720D91" w:rsidP="00720D91">
      <w:pPr>
        <w:pStyle w:val="Sansinterligne"/>
        <w:rPr>
          <w:sz w:val="22"/>
          <w:szCs w:val="22"/>
        </w:rPr>
      </w:pPr>
    </w:p>
    <w:p w14:paraId="35135EE8" w14:textId="77777777" w:rsidR="00720D91" w:rsidRPr="00720D91" w:rsidRDefault="00720D91" w:rsidP="00720D91">
      <w:pPr>
        <w:spacing w:after="240"/>
        <w:ind w:firstLine="426"/>
        <w:jc w:val="both"/>
        <w:rPr>
          <w:rFonts w:ascii="Arial" w:hAnsi="Arial" w:cs="Arial"/>
          <w:sz w:val="22"/>
          <w:szCs w:val="22"/>
        </w:rPr>
      </w:pPr>
      <w:r w:rsidRPr="00720D91">
        <w:rPr>
          <w:rFonts w:ascii="Arial" w:hAnsi="Arial" w:cs="Arial"/>
          <w:sz w:val="22"/>
          <w:szCs w:val="22"/>
        </w:rPr>
        <w:t xml:space="preserve">97. Comme cela a été mentionné ci-dessus (voir paragraphe 83 ci-dessus), la Cour peut organiser une audition de témoins et d'experts non seulement dans le but d'établir les faits mais aussi dans le but de vérifier la véracité des preuves soumises par les parties et des preuves exposées dans les rapports des organisations internationales concernant certains aspects de la requête. </w:t>
      </w:r>
      <w:r w:rsidRPr="00720D91">
        <w:rPr>
          <w:rStyle w:val="Appelnotedebasdep"/>
          <w:rFonts w:ascii="Arial" w:hAnsi="Arial" w:cs="Arial"/>
          <w:sz w:val="22"/>
          <w:szCs w:val="22"/>
        </w:rPr>
        <w:footnoteReference w:id="182"/>
      </w:r>
      <w:r w:rsidRPr="00720D91">
        <w:rPr>
          <w:rFonts w:ascii="Arial" w:hAnsi="Arial" w:cs="Arial"/>
          <w:sz w:val="22"/>
          <w:szCs w:val="22"/>
        </w:rPr>
        <w:t xml:space="preserve"> L'obtention des preuves nécessaires par le biais d'auditions de témoins est l'un des défis auxquels la Cour est souvent confrontée dans le cadre de requêtes interétatiques et de requêtes individuelles liées.</w:t>
      </w:r>
    </w:p>
    <w:p w14:paraId="432CBE33" w14:textId="77777777" w:rsidR="00720D91" w:rsidRPr="00720D91" w:rsidRDefault="00720D91" w:rsidP="00720D91">
      <w:pPr>
        <w:spacing w:after="240"/>
        <w:ind w:firstLine="426"/>
        <w:jc w:val="both"/>
        <w:rPr>
          <w:rFonts w:ascii="Arial" w:hAnsi="Arial" w:cs="Arial"/>
          <w:sz w:val="22"/>
          <w:szCs w:val="22"/>
        </w:rPr>
      </w:pPr>
      <w:r w:rsidRPr="00720D91">
        <w:rPr>
          <w:rFonts w:ascii="Arial" w:hAnsi="Arial" w:cs="Arial"/>
          <w:sz w:val="22"/>
          <w:szCs w:val="22"/>
        </w:rPr>
        <w:t>98. Les témoins sont convoqués par le greffier de la Cour,</w:t>
      </w:r>
      <w:r w:rsidRPr="00720D91">
        <w:rPr>
          <w:rStyle w:val="Appelnotedebasdep"/>
          <w:rFonts w:ascii="Arial" w:hAnsi="Arial" w:cs="Arial"/>
          <w:sz w:val="22"/>
          <w:szCs w:val="22"/>
        </w:rPr>
        <w:footnoteReference w:id="183"/>
      </w:r>
      <w:r w:rsidRPr="00720D91">
        <w:rPr>
          <w:rFonts w:ascii="Arial" w:hAnsi="Arial" w:cs="Arial"/>
          <w:sz w:val="22"/>
          <w:szCs w:val="22"/>
        </w:rPr>
        <w:t xml:space="preserve"> tandis que l'État contractant sur le territoire duquel le témoin réside est chargé de signifier toute convocation qui lui est adressée par la Cour.</w:t>
      </w:r>
      <w:r w:rsidRPr="00720D91">
        <w:rPr>
          <w:rStyle w:val="Appelnotedebasdep"/>
          <w:rFonts w:ascii="Arial" w:hAnsi="Arial" w:cs="Arial"/>
          <w:sz w:val="22"/>
          <w:szCs w:val="22"/>
        </w:rPr>
        <w:footnoteReference w:id="184"/>
      </w:r>
      <w:r w:rsidRPr="00720D91">
        <w:rPr>
          <w:rFonts w:ascii="Arial" w:hAnsi="Arial" w:cs="Arial"/>
          <w:sz w:val="22"/>
          <w:szCs w:val="22"/>
        </w:rPr>
        <w:t xml:space="preserve"> Chaque Partie peut proposer des témoins à entendre lors d'une audience. La communication relative à la préparation de l'audition des témoins entre les États parties et la Cour se fait principalement par écrit mais, si nécessaire, une réunion préparatoire peut également être organisée. </w:t>
      </w:r>
      <w:r w:rsidRPr="00720D91">
        <w:rPr>
          <w:rStyle w:val="Appelnotedebasdep"/>
          <w:rFonts w:ascii="Arial" w:hAnsi="Arial" w:cs="Arial"/>
          <w:sz w:val="22"/>
          <w:szCs w:val="22"/>
        </w:rPr>
        <w:footnoteReference w:id="185"/>
      </w:r>
    </w:p>
    <w:p w14:paraId="26899527" w14:textId="77777777" w:rsidR="00720D91" w:rsidRPr="00720D91" w:rsidRDefault="00720D91" w:rsidP="00720D91">
      <w:pPr>
        <w:spacing w:after="240"/>
        <w:ind w:firstLine="426"/>
        <w:jc w:val="both"/>
        <w:rPr>
          <w:rFonts w:ascii="Arial" w:hAnsi="Arial" w:cs="Arial"/>
          <w:sz w:val="22"/>
          <w:szCs w:val="22"/>
        </w:rPr>
      </w:pPr>
      <w:r w:rsidRPr="00720D91">
        <w:rPr>
          <w:rFonts w:ascii="Arial" w:hAnsi="Arial" w:cs="Arial"/>
          <w:sz w:val="22"/>
          <w:szCs w:val="22"/>
        </w:rPr>
        <w:t xml:space="preserve">99. Même si la Cour jouit d'un large pouvoir d'appréciation en ce qui concerne la sélection des témoins, il est souvent nécessaire en pratique de limiter le nombre de témoins qu'elle entend, compte tenu du fait qu'elle ne dispose que d'un temps relativement court pour mener une audience. Dans l'affaire </w:t>
      </w:r>
      <w:r w:rsidRPr="00720D91">
        <w:rPr>
          <w:rFonts w:ascii="Arial" w:hAnsi="Arial" w:cs="Arial"/>
          <w:i/>
          <w:sz w:val="22"/>
          <w:szCs w:val="22"/>
        </w:rPr>
        <w:t>Chypre c. Turquie</w:t>
      </w:r>
      <w:r w:rsidRPr="00720D91">
        <w:rPr>
          <w:rFonts w:ascii="Arial" w:hAnsi="Arial" w:cs="Arial"/>
          <w:sz w:val="22"/>
          <w:szCs w:val="22"/>
        </w:rPr>
        <w:t xml:space="preserve">, par exemple, elle a justifié cette approche en faisant valoir que l'exécution efficace de son rôle d'établissement des faits l'obligeait nécessairement à réglementer la procédure d'obtention des preuves orales, en tenant compte des contraintes de temps et de sa propre évaluation de la pertinence des témoignages supplémentaires. </w:t>
      </w:r>
      <w:r w:rsidRPr="00720D91">
        <w:rPr>
          <w:rStyle w:val="Appelnotedebasdep"/>
          <w:rFonts w:ascii="Arial" w:hAnsi="Arial" w:cs="Arial"/>
          <w:sz w:val="22"/>
          <w:szCs w:val="22"/>
        </w:rPr>
        <w:footnoteReference w:id="186"/>
      </w:r>
    </w:p>
    <w:p w14:paraId="072BBEDB" w14:textId="77777777" w:rsidR="00720D91" w:rsidRPr="00720D91" w:rsidRDefault="00720D91" w:rsidP="00720D91">
      <w:pPr>
        <w:spacing w:after="240"/>
        <w:ind w:firstLine="426"/>
        <w:jc w:val="both"/>
        <w:rPr>
          <w:rFonts w:ascii="Arial" w:hAnsi="Arial" w:cs="Arial"/>
          <w:sz w:val="22"/>
          <w:szCs w:val="22"/>
        </w:rPr>
      </w:pPr>
      <w:r w:rsidRPr="00720D91">
        <w:rPr>
          <w:rFonts w:ascii="Arial" w:hAnsi="Arial" w:cs="Arial"/>
          <w:sz w:val="22"/>
          <w:szCs w:val="22"/>
        </w:rPr>
        <w:t xml:space="preserve">100. Jusqu'à présent, de manière générale, il y a eu des auditions de témoins dans les affaires interétatiques. Dans les affaires </w:t>
      </w:r>
      <w:r w:rsidRPr="00720D91">
        <w:rPr>
          <w:rFonts w:ascii="Arial" w:hAnsi="Arial" w:cs="Arial"/>
          <w:i/>
          <w:sz w:val="22"/>
          <w:szCs w:val="22"/>
        </w:rPr>
        <w:t xml:space="preserve">Chypre c. Turquie </w:t>
      </w:r>
      <w:r w:rsidRPr="00720D91">
        <w:rPr>
          <w:rFonts w:ascii="Arial" w:hAnsi="Arial" w:cs="Arial"/>
          <w:sz w:val="22"/>
          <w:szCs w:val="22"/>
        </w:rPr>
        <w:t xml:space="preserve">et </w:t>
      </w:r>
      <w:r w:rsidRPr="00720D91">
        <w:rPr>
          <w:rFonts w:ascii="Arial" w:hAnsi="Arial" w:cs="Arial"/>
          <w:i/>
          <w:sz w:val="22"/>
          <w:szCs w:val="22"/>
        </w:rPr>
        <w:t>Irlande c. Royaume-Uni</w:t>
      </w:r>
      <w:r w:rsidRPr="00720D91">
        <w:rPr>
          <w:rFonts w:ascii="Arial" w:hAnsi="Arial" w:cs="Arial"/>
          <w:sz w:val="22"/>
          <w:szCs w:val="22"/>
        </w:rPr>
        <w:t xml:space="preserve">, par exemple, les auditions par la Commission ont eu lieu dans le pays concerné ou dans des lieux extérieurs aux locaux de la Cour. Plus récemment, dans les affaires </w:t>
      </w:r>
      <w:r w:rsidRPr="00720D91">
        <w:rPr>
          <w:rFonts w:ascii="Arial" w:hAnsi="Arial" w:cs="Arial"/>
          <w:i/>
          <w:sz w:val="22"/>
          <w:szCs w:val="22"/>
        </w:rPr>
        <w:t xml:space="preserve">Géorgie c. Russie </w:t>
      </w:r>
      <w:r w:rsidRPr="00720D91">
        <w:rPr>
          <w:rFonts w:ascii="Arial" w:hAnsi="Arial" w:cs="Arial"/>
          <w:sz w:val="22"/>
          <w:szCs w:val="22"/>
        </w:rPr>
        <w:t>(I) et (II), les audiences ont eu lieu à Strasbourg, dans les locaux de la Cour, et ont duré respectivement une et deux semaines.</w:t>
      </w:r>
      <w:r w:rsidRPr="00720D91">
        <w:rPr>
          <w:rStyle w:val="Appelnotedebasdep"/>
          <w:rFonts w:ascii="Arial" w:hAnsi="Arial" w:cs="Arial"/>
          <w:sz w:val="22"/>
          <w:szCs w:val="22"/>
          <w:shd w:val="clear" w:color="auto" w:fill="FFFFFF" w:themeFill="background1"/>
        </w:rPr>
        <w:footnoteReference w:id="187"/>
      </w:r>
      <w:r w:rsidRPr="00720D91">
        <w:rPr>
          <w:rFonts w:ascii="Arial" w:hAnsi="Arial" w:cs="Arial"/>
          <w:sz w:val="22"/>
          <w:szCs w:val="22"/>
          <w:shd w:val="clear" w:color="auto" w:fill="FFFFFF" w:themeFill="background1"/>
        </w:rPr>
        <w:t xml:space="preserve"> </w:t>
      </w:r>
      <w:r w:rsidRPr="00720D91">
        <w:rPr>
          <w:rFonts w:ascii="Arial" w:hAnsi="Arial" w:cs="Arial"/>
          <w:sz w:val="22"/>
          <w:szCs w:val="22"/>
        </w:rPr>
        <w:t>Cette approche présente des avantages pour la Cour en ce qui concerne la disponibilité du personnel juridique, du matériel d'enregistrement et des interprètes. Il convient également de noter que lorsqu'un témoin est cité à la demande ou au nom d'une Partie contractante, les frais de sa comparution sont à la charge de cette dernière, sauf décision contraire de la chambre.</w:t>
      </w:r>
      <w:r w:rsidRPr="00720D91">
        <w:rPr>
          <w:rStyle w:val="Appelnotedebasdep"/>
          <w:rFonts w:ascii="Arial" w:hAnsi="Arial" w:cs="Arial"/>
          <w:sz w:val="22"/>
          <w:szCs w:val="22"/>
        </w:rPr>
        <w:footnoteReference w:id="188"/>
      </w:r>
      <w:r w:rsidRPr="00720D91">
        <w:rPr>
          <w:rFonts w:ascii="Arial" w:hAnsi="Arial" w:cs="Arial"/>
          <w:sz w:val="22"/>
          <w:szCs w:val="22"/>
        </w:rPr>
        <w:t xml:space="preserve"> En outre, elle peut fournir un lieu neutre et ainsi éviter </w:t>
      </w:r>
      <w:r w:rsidRPr="00720D91">
        <w:rPr>
          <w:rFonts w:ascii="Arial" w:hAnsi="Arial" w:cs="Arial"/>
          <w:sz w:val="22"/>
          <w:szCs w:val="22"/>
        </w:rPr>
        <w:lastRenderedPageBreak/>
        <w:t xml:space="preserve">le désaccord des parties quant au lieu de l'audience d'établissement des faits. Toutefois, cette approche présuppose que les témoins sont libres et disposés à assister à l'audience. </w:t>
      </w:r>
    </w:p>
    <w:p w14:paraId="34458830" w14:textId="77777777" w:rsidR="00720D91" w:rsidRPr="00720D91" w:rsidRDefault="00720D91" w:rsidP="00720D91">
      <w:pPr>
        <w:pStyle w:val="Sansinterligne"/>
        <w:ind w:firstLine="426"/>
        <w:jc w:val="both"/>
        <w:rPr>
          <w:rFonts w:ascii="Arial" w:hAnsi="Arial" w:cs="Arial"/>
          <w:sz w:val="22"/>
          <w:szCs w:val="22"/>
        </w:rPr>
      </w:pPr>
      <w:bookmarkStart w:id="52" w:name="_Toc36049239"/>
      <w:r w:rsidRPr="00720D91">
        <w:rPr>
          <w:rFonts w:ascii="Arial" w:hAnsi="Arial" w:cs="Arial"/>
          <w:sz w:val="22"/>
          <w:szCs w:val="22"/>
        </w:rPr>
        <w:t>101. Les États membres sont tenus d'assurer la liberté de circulation et une sécurité adéquate pour, entre autres, les témoins et les experts.</w:t>
      </w:r>
      <w:r w:rsidRPr="00720D91">
        <w:rPr>
          <w:rStyle w:val="Appelnotedebasdep"/>
          <w:rFonts w:ascii="Arial" w:hAnsi="Arial" w:cs="Arial"/>
          <w:sz w:val="22"/>
          <w:szCs w:val="22"/>
        </w:rPr>
        <w:footnoteReference w:id="189"/>
      </w:r>
      <w:r w:rsidRPr="00720D91">
        <w:rPr>
          <w:rFonts w:ascii="Arial" w:hAnsi="Arial" w:cs="Arial"/>
          <w:sz w:val="22"/>
          <w:szCs w:val="22"/>
        </w:rPr>
        <w:t xml:space="preserve"> </w:t>
      </w:r>
      <w:bookmarkEnd w:id="52"/>
      <w:r w:rsidRPr="00720D91">
        <w:rPr>
          <w:rFonts w:ascii="Arial" w:hAnsi="Arial" w:cs="Arial"/>
          <w:sz w:val="22"/>
          <w:szCs w:val="22"/>
        </w:rPr>
        <w:t xml:space="preserve">Les questions liées à la </w:t>
      </w:r>
      <w:r w:rsidRPr="00720D91">
        <w:rPr>
          <w:rFonts w:ascii="Arial" w:hAnsi="Arial" w:cs="Arial"/>
          <w:bCs/>
          <w:sz w:val="22"/>
          <w:szCs w:val="22"/>
        </w:rPr>
        <w:t xml:space="preserve">protection des témoins ainsi que </w:t>
      </w:r>
      <w:r w:rsidRPr="00720D91">
        <w:rPr>
          <w:rFonts w:ascii="Arial" w:hAnsi="Arial" w:cs="Arial"/>
          <w:sz w:val="22"/>
          <w:szCs w:val="22"/>
        </w:rPr>
        <w:t>le manque de coopération des États avec la Cour à cet égard ont été identifiés comme des aspects difficiles de la fonction d'établissement des faits de la Cour.</w:t>
      </w:r>
      <w:r w:rsidRPr="00720D91">
        <w:rPr>
          <w:rStyle w:val="Appelnotedebasdep"/>
          <w:rFonts w:ascii="Arial" w:hAnsi="Arial" w:cs="Arial"/>
          <w:sz w:val="22"/>
          <w:szCs w:val="22"/>
        </w:rPr>
        <w:footnoteReference w:id="190"/>
      </w:r>
      <w:r w:rsidRPr="00720D91">
        <w:rPr>
          <w:rFonts w:ascii="Arial" w:hAnsi="Arial" w:cs="Arial"/>
          <w:sz w:val="22"/>
          <w:szCs w:val="22"/>
        </w:rPr>
        <w:t xml:space="preserve"> Le chef de délégation peut prendre des dispositions particulières pour que des témoins, des experts ou d'autres personnes soient entendus en l'absence des parties lorsque cela est nécessaire à la bonne administration de la justice.</w:t>
      </w:r>
      <w:r w:rsidRPr="00720D91">
        <w:rPr>
          <w:rStyle w:val="Appelnotedebasdep"/>
          <w:rFonts w:ascii="Arial" w:hAnsi="Arial" w:cs="Arial"/>
          <w:sz w:val="22"/>
          <w:szCs w:val="22"/>
        </w:rPr>
        <w:footnoteReference w:id="191"/>
      </w:r>
      <w:r w:rsidRPr="00720D91">
        <w:rPr>
          <w:rFonts w:ascii="Arial" w:hAnsi="Arial" w:cs="Arial"/>
          <w:sz w:val="22"/>
          <w:szCs w:val="22"/>
        </w:rPr>
        <w:t xml:space="preserve"> Par exemple, dans l'affaire </w:t>
      </w:r>
      <w:r w:rsidRPr="00720D91">
        <w:rPr>
          <w:rFonts w:ascii="Arial" w:hAnsi="Arial" w:cs="Arial"/>
          <w:i/>
          <w:sz w:val="22"/>
          <w:szCs w:val="22"/>
        </w:rPr>
        <w:t>Chypre c. Turquie</w:t>
      </w:r>
      <w:r w:rsidRPr="00720D91">
        <w:rPr>
          <w:rFonts w:ascii="Arial" w:hAnsi="Arial" w:cs="Arial"/>
          <w:sz w:val="22"/>
          <w:szCs w:val="22"/>
        </w:rPr>
        <w:t xml:space="preserve">, </w:t>
      </w:r>
      <w:r w:rsidRPr="00720D91">
        <w:rPr>
          <w:rFonts w:ascii="Arial" w:hAnsi="Arial" w:cs="Arial"/>
          <w:i/>
          <w:sz w:val="22"/>
          <w:szCs w:val="22"/>
        </w:rPr>
        <w:t xml:space="preserve">un </w:t>
      </w:r>
      <w:r w:rsidRPr="00720D91">
        <w:rPr>
          <w:rFonts w:ascii="Arial" w:hAnsi="Arial" w:cs="Arial"/>
          <w:sz w:val="22"/>
          <w:szCs w:val="22"/>
        </w:rPr>
        <w:t xml:space="preserve">certain nombre de témoins ont été interrogés uniquement par des membres de la délégation de la Commission, sans que leur identité soit révélée pour des raisons de sécurité. Par la suite, dans son appréciation, la Cour a établi que la Commission avait pris les mesures nécessaires pour que l'obtention de preuves auprès de témoins non identifiés soit conforme aux exigences d'équité de l'article 6 de la Convention. Il a été noté que l'État défendeur pouvait suffisamment participer à la procédure, commenter les preuves recueillies et présenter des contre-preuves, même si cette approche a été critiquée par l'État défendeur en question. </w:t>
      </w:r>
      <w:r w:rsidRPr="00720D91">
        <w:rPr>
          <w:rStyle w:val="Appelnotedebasdep"/>
          <w:rFonts w:ascii="Arial" w:hAnsi="Arial" w:cs="Arial"/>
          <w:sz w:val="22"/>
          <w:szCs w:val="22"/>
        </w:rPr>
        <w:footnoteReference w:id="192"/>
      </w:r>
    </w:p>
    <w:p w14:paraId="6A866EDA" w14:textId="77777777" w:rsidR="00720D91" w:rsidRPr="00720D91" w:rsidRDefault="00720D91" w:rsidP="00720D91">
      <w:pPr>
        <w:pStyle w:val="Sansinterligne"/>
        <w:rPr>
          <w:sz w:val="22"/>
          <w:szCs w:val="22"/>
        </w:rPr>
      </w:pPr>
    </w:p>
    <w:p w14:paraId="4257A418" w14:textId="77777777" w:rsidR="00720D91" w:rsidRPr="00720D91" w:rsidRDefault="00720D91" w:rsidP="00720D91">
      <w:pPr>
        <w:spacing w:after="240"/>
        <w:ind w:firstLine="426"/>
        <w:jc w:val="both"/>
        <w:rPr>
          <w:rFonts w:ascii="Arial" w:hAnsi="Arial" w:cs="Arial"/>
          <w:sz w:val="22"/>
          <w:szCs w:val="22"/>
        </w:rPr>
      </w:pPr>
      <w:r w:rsidRPr="00720D91">
        <w:rPr>
          <w:rFonts w:ascii="Arial" w:hAnsi="Arial" w:cs="Arial"/>
          <w:sz w:val="22"/>
          <w:szCs w:val="22"/>
        </w:rPr>
        <w:t xml:space="preserve">102. La non-comparution des témoins devant la </w:t>
      </w:r>
      <w:r w:rsidRPr="00720D91">
        <w:rPr>
          <w:rFonts w:ascii="Arial" w:hAnsi="Arial" w:cs="Arial"/>
          <w:sz w:val="22"/>
          <w:szCs w:val="22"/>
          <w:shd w:val="clear" w:color="auto" w:fill="FFFFFF" w:themeFill="background1"/>
        </w:rPr>
        <w:t>Cour a été considérée comme l'un</w:t>
      </w:r>
      <w:r w:rsidRPr="00720D91">
        <w:rPr>
          <w:rFonts w:ascii="Arial" w:hAnsi="Arial" w:cs="Arial"/>
          <w:sz w:val="22"/>
          <w:szCs w:val="22"/>
        </w:rPr>
        <w:t xml:space="preserve"> des problèmes les plus importants rencontrés lors des audiences d'établissement des faits. Dans certains cas, les témoins n'ont pas répondu aux convocations de la Cour, sont tombés malades ou les États n'ont pas localisé et convoqué les témoins résidant sur leur territoire (concernant l'obligation des États à cet égard, voir l'article A5 § 4 de l'annexe au règlement de la Cour).</w:t>
      </w:r>
      <w:r w:rsidRPr="00720D91">
        <w:rPr>
          <w:rStyle w:val="Appelnotedebasdep"/>
          <w:rFonts w:ascii="Arial" w:hAnsi="Arial" w:cs="Arial"/>
          <w:sz w:val="22"/>
          <w:szCs w:val="22"/>
        </w:rPr>
        <w:footnoteReference w:id="193"/>
      </w:r>
      <w:r w:rsidRPr="00720D91">
        <w:rPr>
          <w:rFonts w:ascii="Arial" w:hAnsi="Arial" w:cs="Arial"/>
          <w:sz w:val="22"/>
          <w:szCs w:val="22"/>
        </w:rPr>
        <w:t xml:space="preserve"> Une étude de la fonction d'établissement des faits de la Cour, fondée sur des entretiens avec des membres concernés du greffe, a suggéré qu' « </w:t>
      </w:r>
      <w:r w:rsidRPr="00720D91">
        <w:rPr>
          <w:rFonts w:ascii="Arial" w:hAnsi="Arial" w:cs="Arial"/>
          <w:sz w:val="22"/>
          <w:szCs w:val="22"/>
          <w:lang w:eastAsia="en-US"/>
        </w:rPr>
        <w:t>il existe des distinctions claires entre les raisons de la non-comparution des témoins des requérants et des témoins des États. Les raisons pour lesquelles les témoins des requérants ne se présentent pas sont généralement liées à des questions de peur et de pression, alors que les explications de la non-comparution des témoins de l'État sont plus diverses ».</w:t>
      </w:r>
      <w:r w:rsidRPr="00720D91">
        <w:rPr>
          <w:rStyle w:val="Appelnotedebasdep"/>
          <w:rFonts w:ascii="Arial" w:hAnsi="Arial" w:cs="Arial"/>
          <w:sz w:val="22"/>
          <w:szCs w:val="22"/>
          <w:lang w:val="en-US" w:eastAsia="en-US"/>
        </w:rPr>
        <w:footnoteReference w:id="194"/>
      </w:r>
      <w:r w:rsidRPr="00720D91">
        <w:rPr>
          <w:rFonts w:ascii="Arial" w:hAnsi="Arial" w:cs="Arial"/>
          <w:sz w:val="22"/>
          <w:szCs w:val="22"/>
        </w:rPr>
        <w:t xml:space="preserve"> En revanche, la Cour ne dispose d'aucun moyen pour contraindre les témoins à assister à ses audiences. </w:t>
      </w:r>
    </w:p>
    <w:p w14:paraId="373F1312" w14:textId="77777777" w:rsidR="00720D91" w:rsidRPr="00720D91" w:rsidRDefault="00720D91" w:rsidP="00720D91">
      <w:pPr>
        <w:spacing w:after="240"/>
        <w:ind w:firstLine="426"/>
        <w:jc w:val="both"/>
        <w:rPr>
          <w:rFonts w:ascii="Arial" w:hAnsi="Arial" w:cs="Arial"/>
          <w:sz w:val="22"/>
          <w:szCs w:val="22"/>
        </w:rPr>
      </w:pPr>
      <w:r w:rsidRPr="00720D91">
        <w:rPr>
          <w:rFonts w:ascii="Arial" w:hAnsi="Arial" w:cs="Arial"/>
          <w:sz w:val="22"/>
          <w:szCs w:val="22"/>
        </w:rPr>
        <w:t>103. Néanmoins, la Cour tire ses propres conclusions lorsque des témoins, notamment ceux qui sont fonctionnaires de police ou procureurs, ne se présentent pas. La Cour considère que l'engagement pris par les États parties en vertu de l'article 38 de fournir toutes les facilités nécessaires à la conduite efficace des enquêtes de la Cour comprend l'identification, la localisation et l'assurance de la présence des témoins.</w:t>
      </w:r>
      <w:r w:rsidRPr="00720D91">
        <w:rPr>
          <w:rStyle w:val="Appelnotedebasdep"/>
          <w:rFonts w:ascii="Arial" w:hAnsi="Arial" w:cs="Arial"/>
          <w:sz w:val="22"/>
          <w:szCs w:val="22"/>
        </w:rPr>
        <w:footnoteReference w:id="195"/>
      </w:r>
      <w:r w:rsidRPr="00720D91">
        <w:rPr>
          <w:rFonts w:ascii="Arial" w:hAnsi="Arial" w:cs="Arial"/>
          <w:sz w:val="22"/>
          <w:szCs w:val="22"/>
        </w:rPr>
        <w:t xml:space="preserve"> Par conséquent, la Cour a pris l'habitude de demander aux gouvernements défendeurs de justifier la non-présence des témoins qu'elle a sollicités. A cet égard, la Cour peut tirer des conclusions quant au respect par l'État défendeur de ses obligations au titre de l'article 38 de la Convention.</w:t>
      </w:r>
      <w:r w:rsidRPr="00720D91">
        <w:rPr>
          <w:rStyle w:val="Appelnotedebasdep"/>
          <w:rFonts w:ascii="Arial" w:hAnsi="Arial" w:cs="Arial"/>
          <w:sz w:val="22"/>
          <w:szCs w:val="22"/>
        </w:rPr>
        <w:footnoteReference w:id="196"/>
      </w:r>
      <w:r w:rsidRPr="00720D91">
        <w:rPr>
          <w:rFonts w:ascii="Arial" w:hAnsi="Arial" w:cs="Arial"/>
          <w:sz w:val="22"/>
          <w:szCs w:val="22"/>
        </w:rPr>
        <w:t xml:space="preserve"> En outre, la </w:t>
      </w:r>
      <w:r w:rsidRPr="00720D91">
        <w:rPr>
          <w:rFonts w:ascii="Arial" w:hAnsi="Arial" w:cs="Arial"/>
          <w:sz w:val="22"/>
          <w:szCs w:val="22"/>
        </w:rPr>
        <w:lastRenderedPageBreak/>
        <w:t xml:space="preserve">Cour peut tirer des conclusions du comportement d'un gouvernement défendeur qui n'avance aucune explication, ou aucune explication convaincante, pour justifier ses retards et omissions en réponse aux demandes de témoins de la Cour. </w:t>
      </w:r>
      <w:r w:rsidRPr="00720D91">
        <w:rPr>
          <w:rStyle w:val="Appelnotedebasdep"/>
          <w:rFonts w:ascii="Arial" w:hAnsi="Arial" w:cs="Arial"/>
          <w:sz w:val="22"/>
          <w:szCs w:val="22"/>
        </w:rPr>
        <w:footnoteReference w:id="197"/>
      </w:r>
      <w:r w:rsidRPr="00720D91">
        <w:rPr>
          <w:rFonts w:ascii="Arial" w:hAnsi="Arial" w:cs="Arial"/>
          <w:sz w:val="22"/>
          <w:szCs w:val="22"/>
        </w:rPr>
        <w:t xml:space="preserve"> Cette pratique est reflétée dans le Règlement de la Cour qui prévoit que lorsqu'une partie s'abstient de produire des éléments de preuve ou de fournir des informations demandées par la Cour ou de divulguer d'office des informations pertinentes ou s'abstient de toute autre manière de participer effectivement à la procédure, la Cour peut tirer les conclusions qu'elle juge appropriées. </w:t>
      </w:r>
      <w:r w:rsidRPr="00720D91">
        <w:rPr>
          <w:rStyle w:val="Appelnotedebasdep"/>
          <w:rFonts w:ascii="Arial" w:hAnsi="Arial" w:cs="Arial"/>
          <w:sz w:val="22"/>
          <w:szCs w:val="22"/>
        </w:rPr>
        <w:footnoteReference w:id="198"/>
      </w:r>
    </w:p>
    <w:p w14:paraId="09CB7807" w14:textId="77777777" w:rsidR="00720D91" w:rsidRPr="00720D91" w:rsidRDefault="00720D91" w:rsidP="00720D91">
      <w:pPr>
        <w:spacing w:after="240"/>
        <w:ind w:firstLine="426"/>
        <w:jc w:val="both"/>
        <w:rPr>
          <w:rFonts w:ascii="Arial" w:hAnsi="Arial" w:cs="Arial"/>
          <w:sz w:val="22"/>
          <w:szCs w:val="22"/>
        </w:rPr>
      </w:pPr>
      <w:r w:rsidRPr="00720D91">
        <w:rPr>
          <w:rFonts w:ascii="Arial" w:hAnsi="Arial" w:cs="Arial"/>
          <w:sz w:val="22"/>
          <w:szCs w:val="22"/>
        </w:rPr>
        <w:t xml:space="preserve">104. Le Règlement de la Cour ne prévoit pas explicitement l'audition de témoins par le biais d'une participation à distance ou de moyens informatiques. Cette méthode pourrait en effet présenter des avantages en termes de coût-efficacité. L'opportunité et la faisabilité d'organiser les auditions de témoins de cette manière méritent une réflexion plus approfondie. </w:t>
      </w:r>
    </w:p>
    <w:p w14:paraId="5DC859E4" w14:textId="77777777" w:rsidR="00720D91" w:rsidRPr="00720D91" w:rsidRDefault="00720D91" w:rsidP="00720D91">
      <w:pPr>
        <w:spacing w:after="240"/>
        <w:ind w:firstLine="426"/>
        <w:jc w:val="both"/>
        <w:rPr>
          <w:rFonts w:ascii="Arial" w:hAnsi="Arial" w:cs="Arial"/>
          <w:sz w:val="22"/>
          <w:szCs w:val="22"/>
        </w:rPr>
      </w:pPr>
    </w:p>
    <w:p w14:paraId="6A2D6641" w14:textId="77777777" w:rsidR="00720D91" w:rsidRPr="00720D91" w:rsidRDefault="00720D91" w:rsidP="00720D91">
      <w:pPr>
        <w:pStyle w:val="Titre3"/>
        <w:ind w:left="720"/>
        <w:rPr>
          <w:rFonts w:ascii="Arial" w:hAnsi="Arial" w:cs="Arial"/>
          <w:b w:val="0"/>
          <w:i/>
          <w:color w:val="323E4F" w:themeColor="text2" w:themeShade="BF"/>
          <w:lang w:val="fr-FR"/>
        </w:rPr>
      </w:pPr>
      <w:bookmarkStart w:id="53" w:name="_Toc83293817"/>
      <w:r w:rsidRPr="00720D91">
        <w:rPr>
          <w:rFonts w:ascii="Arial" w:hAnsi="Arial" w:cs="Arial"/>
          <w:b w:val="0"/>
          <w:i/>
          <w:color w:val="323E4F" w:themeColor="text2" w:themeShade="BF"/>
          <w:lang w:val="fr-FR"/>
        </w:rPr>
        <w:t>4.3. Enquêtes sur place</w:t>
      </w:r>
      <w:bookmarkEnd w:id="53"/>
      <w:r w:rsidRPr="00720D91">
        <w:rPr>
          <w:rFonts w:ascii="Arial" w:hAnsi="Arial" w:cs="Arial"/>
          <w:b w:val="0"/>
          <w:i/>
          <w:color w:val="323E4F" w:themeColor="text2" w:themeShade="BF"/>
          <w:lang w:val="fr-FR"/>
        </w:rPr>
        <w:t xml:space="preserve"> </w:t>
      </w:r>
    </w:p>
    <w:p w14:paraId="6AB8B110" w14:textId="77777777" w:rsidR="00720D91" w:rsidRPr="00720D91" w:rsidRDefault="00720D91" w:rsidP="00720D91">
      <w:pPr>
        <w:autoSpaceDE w:val="0"/>
        <w:autoSpaceDN w:val="0"/>
        <w:adjustRightInd w:val="0"/>
        <w:rPr>
          <w:rFonts w:ascii="Arial" w:hAnsi="Arial" w:cs="Arial"/>
          <w:sz w:val="22"/>
          <w:szCs w:val="22"/>
        </w:rPr>
      </w:pPr>
    </w:p>
    <w:p w14:paraId="4A6DB0C4" w14:textId="77777777" w:rsidR="00720D91" w:rsidRPr="00720D91" w:rsidRDefault="00720D91" w:rsidP="00720D91">
      <w:pPr>
        <w:autoSpaceDE w:val="0"/>
        <w:autoSpaceDN w:val="0"/>
        <w:adjustRightInd w:val="0"/>
        <w:ind w:firstLine="284"/>
        <w:jc w:val="both"/>
        <w:rPr>
          <w:rFonts w:ascii="Arial" w:hAnsi="Arial" w:cs="Arial"/>
          <w:sz w:val="22"/>
          <w:szCs w:val="22"/>
        </w:rPr>
      </w:pPr>
      <w:r w:rsidRPr="00720D91">
        <w:rPr>
          <w:rFonts w:ascii="Arial" w:hAnsi="Arial" w:cs="Arial"/>
          <w:sz w:val="22"/>
          <w:szCs w:val="22"/>
        </w:rPr>
        <w:t xml:space="preserve">105. Les institutions de la Convention ont effectué des enquêtes sur place concernant des requêtes interétatiques dans des affaires limitées, qui remontent tous à la période antérieure au Protocole 11. Par exemple, dans l'affaire </w:t>
      </w:r>
      <w:r w:rsidRPr="00720D91">
        <w:rPr>
          <w:rFonts w:ascii="Arial" w:hAnsi="Arial" w:cs="Arial"/>
          <w:i/>
          <w:iCs/>
          <w:sz w:val="22"/>
          <w:szCs w:val="22"/>
        </w:rPr>
        <w:t>Danemark, Norvège, Suède et Pays-Bas c. Grèce</w:t>
      </w:r>
      <w:r w:rsidRPr="00720D91">
        <w:rPr>
          <w:rStyle w:val="Appelnotedebasdep"/>
          <w:rFonts w:ascii="Arial" w:hAnsi="Arial" w:cs="Arial"/>
          <w:sz w:val="22"/>
          <w:szCs w:val="22"/>
        </w:rPr>
        <w:footnoteReference w:id="199"/>
      </w:r>
      <w:r w:rsidRPr="00720D91">
        <w:rPr>
          <w:rFonts w:ascii="Arial" w:hAnsi="Arial" w:cs="Arial"/>
          <w:sz w:val="22"/>
          <w:szCs w:val="22"/>
        </w:rPr>
        <w:t xml:space="preserve">, qui a donné lieu à une enquête approfondie de la part de la Commission, le rapport final contenait plus de 1000 pages. En outre, dans l'affaire </w:t>
      </w:r>
      <w:r w:rsidRPr="00720D91">
        <w:rPr>
          <w:rFonts w:ascii="Arial" w:hAnsi="Arial" w:cs="Arial"/>
          <w:i/>
          <w:iCs/>
          <w:sz w:val="22"/>
          <w:szCs w:val="22"/>
        </w:rPr>
        <w:t>Irlande contre Royaume-Uni</w:t>
      </w:r>
      <w:r w:rsidRPr="00720D91">
        <w:rPr>
          <w:rFonts w:ascii="Arial" w:hAnsi="Arial" w:cs="Arial"/>
          <w:sz w:val="22"/>
          <w:szCs w:val="22"/>
        </w:rPr>
        <w:t xml:space="preserve">, la Commission a beaucoup investi dans l'établissement des faits, recueillant des témoignages en divers endroits. De même, dans l'affaire </w:t>
      </w:r>
      <w:r w:rsidRPr="00720D91">
        <w:rPr>
          <w:rFonts w:ascii="Arial" w:hAnsi="Arial" w:cs="Arial"/>
          <w:i/>
          <w:iCs/>
          <w:sz w:val="22"/>
          <w:szCs w:val="22"/>
        </w:rPr>
        <w:t>Chypre c. Turquie</w:t>
      </w:r>
      <w:r w:rsidRPr="00720D91">
        <w:rPr>
          <w:rFonts w:ascii="Arial" w:hAnsi="Arial" w:cs="Arial"/>
          <w:sz w:val="22"/>
          <w:szCs w:val="22"/>
        </w:rPr>
        <w:t>, la Commission a mené une audience d'établissement des faits et des enquêtes sur place sur des questions liées au contrôle effectif et à la juridiction dans la partie nord de Chypre</w:t>
      </w:r>
      <w:r w:rsidRPr="00720D91">
        <w:rPr>
          <w:rStyle w:val="Appelnotedebasdep"/>
          <w:rFonts w:ascii="Arial" w:hAnsi="Arial" w:cs="Arial"/>
          <w:sz w:val="22"/>
          <w:szCs w:val="22"/>
        </w:rPr>
        <w:footnoteReference w:id="200"/>
      </w:r>
      <w:r w:rsidRPr="00720D91">
        <w:rPr>
          <w:rFonts w:ascii="Arial" w:hAnsi="Arial" w:cs="Arial"/>
          <w:sz w:val="22"/>
          <w:szCs w:val="22"/>
        </w:rPr>
        <w:t>. Depuis l'entrée en vigueur du Protocole 11, la Cour n'a pas effectué de missions d'enquête mais a plutôt procédé à des auditions de témoins qui ont eu lieu à Strasbourg (Géorgie c. Russie (I) et (II). La tendance de la Cour à ne pas effectuer de missions d'enquête serait principalement liée à des facteurs de coût et de temps ; l'augmentation de la charge de travail de la Cour et la longueur des procédures ont apparemment une incidence sur la possibilité d'effectuer des audiences d'enquête dans toutes les affaires dans lesquelles elles seraient autrement justifiées.</w:t>
      </w:r>
      <w:r w:rsidRPr="00720D91">
        <w:rPr>
          <w:rStyle w:val="Appelnotedebasdep"/>
          <w:rFonts w:ascii="Arial" w:hAnsi="Arial" w:cs="Arial"/>
          <w:sz w:val="22"/>
          <w:szCs w:val="22"/>
        </w:rPr>
        <w:footnoteReference w:id="201"/>
      </w:r>
    </w:p>
    <w:p w14:paraId="6D233601" w14:textId="77777777" w:rsidR="00720D91" w:rsidRPr="00720D91" w:rsidRDefault="00720D91" w:rsidP="00720D91">
      <w:pPr>
        <w:autoSpaceDE w:val="0"/>
        <w:autoSpaceDN w:val="0"/>
        <w:adjustRightInd w:val="0"/>
        <w:ind w:firstLine="284"/>
        <w:jc w:val="both"/>
        <w:rPr>
          <w:rFonts w:ascii="Arial" w:hAnsi="Arial" w:cs="Arial"/>
          <w:sz w:val="22"/>
          <w:szCs w:val="22"/>
        </w:rPr>
      </w:pPr>
    </w:p>
    <w:p w14:paraId="7ADBA64B" w14:textId="77777777" w:rsidR="00720D91" w:rsidRPr="00720D91" w:rsidRDefault="00720D91" w:rsidP="00720D91">
      <w:pPr>
        <w:autoSpaceDE w:val="0"/>
        <w:autoSpaceDN w:val="0"/>
        <w:adjustRightInd w:val="0"/>
        <w:ind w:firstLine="284"/>
        <w:jc w:val="both"/>
        <w:rPr>
          <w:rFonts w:ascii="Arial" w:hAnsi="Arial" w:cs="Arial"/>
          <w:sz w:val="22"/>
          <w:szCs w:val="22"/>
        </w:rPr>
      </w:pPr>
      <w:r w:rsidRPr="00720D91">
        <w:rPr>
          <w:rFonts w:ascii="Arial" w:hAnsi="Arial" w:cs="Arial"/>
          <w:sz w:val="22"/>
          <w:szCs w:val="22"/>
        </w:rPr>
        <w:t xml:space="preserve">106. Les enquêtes sur place jouent un rôle crucial dans certaines affaires, notamment lorsque les faits n'ont pas été établis par les juridictions </w:t>
      </w:r>
      <w:r w:rsidRPr="00720D91">
        <w:rPr>
          <w:rFonts w:ascii="Arial" w:hAnsi="Arial" w:cs="Arial"/>
          <w:sz w:val="22"/>
          <w:szCs w:val="22"/>
          <w:shd w:val="clear" w:color="auto" w:fill="FFFFFF" w:themeFill="background1"/>
        </w:rPr>
        <w:t>internes. Cependant, elles sont incontestablement coûteuses et prennent du temps à la Cour. En outre, l'opportunité de missions d'enquête lorsque l'événement en question a eu lieu de nombreuses années auparavant ont</w:t>
      </w:r>
      <w:r w:rsidRPr="00720D91">
        <w:rPr>
          <w:rFonts w:ascii="Arial" w:hAnsi="Arial" w:cs="Arial"/>
          <w:sz w:val="22"/>
          <w:szCs w:val="22"/>
        </w:rPr>
        <w:t xml:space="preserve"> été soulevées comme un problème potentiel.</w:t>
      </w:r>
    </w:p>
    <w:p w14:paraId="578774AB" w14:textId="77777777" w:rsidR="00720D91" w:rsidRPr="00720D91" w:rsidRDefault="00720D91" w:rsidP="00720D91">
      <w:pPr>
        <w:autoSpaceDE w:val="0"/>
        <w:autoSpaceDN w:val="0"/>
        <w:adjustRightInd w:val="0"/>
        <w:jc w:val="both"/>
        <w:rPr>
          <w:rFonts w:ascii="Arial" w:hAnsi="Arial" w:cs="Arial"/>
          <w:sz w:val="22"/>
          <w:szCs w:val="22"/>
        </w:rPr>
      </w:pPr>
    </w:p>
    <w:p w14:paraId="0293B3D8" w14:textId="77777777" w:rsidR="00720D91" w:rsidRPr="00720D91" w:rsidRDefault="00720D91" w:rsidP="00720D91">
      <w:pPr>
        <w:autoSpaceDE w:val="0"/>
        <w:autoSpaceDN w:val="0"/>
        <w:adjustRightInd w:val="0"/>
        <w:ind w:firstLine="284"/>
        <w:jc w:val="both"/>
        <w:rPr>
          <w:rFonts w:ascii="Arial" w:hAnsi="Arial" w:cs="Arial"/>
          <w:sz w:val="22"/>
          <w:szCs w:val="22"/>
        </w:rPr>
      </w:pPr>
      <w:r w:rsidRPr="00720D91">
        <w:rPr>
          <w:rFonts w:ascii="Arial" w:hAnsi="Arial" w:cs="Arial"/>
          <w:sz w:val="22"/>
          <w:szCs w:val="22"/>
        </w:rPr>
        <w:t>107. L'efficacité des enquêtes sur place dépend dans une large mesure de la pleine coopération de l'État défendeur. Certaines des difficultés qui sont apparues dans le contexte des enquêtes sur place sont liées à la réticence, et parfois au refus, des autorités de l'État défendeur d'assurer l'accès de la délégation de la Cour au territoire</w:t>
      </w:r>
      <w:r w:rsidRPr="00720D91">
        <w:rPr>
          <w:rStyle w:val="Appelnotedebasdep"/>
          <w:rFonts w:ascii="Arial" w:hAnsi="Arial" w:cs="Arial"/>
          <w:sz w:val="22"/>
          <w:szCs w:val="22"/>
        </w:rPr>
        <w:footnoteReference w:id="202"/>
      </w:r>
      <w:r w:rsidRPr="00720D91">
        <w:rPr>
          <w:rFonts w:ascii="Arial" w:hAnsi="Arial" w:cs="Arial"/>
          <w:sz w:val="22"/>
          <w:szCs w:val="22"/>
        </w:rPr>
        <w:t xml:space="preserve"> ou aux locaux pertinents pour l'affaire.</w:t>
      </w:r>
      <w:r w:rsidRPr="00720D91">
        <w:rPr>
          <w:rStyle w:val="Appelnotedebasdep"/>
          <w:rFonts w:ascii="Arial" w:hAnsi="Arial" w:cs="Arial"/>
          <w:sz w:val="22"/>
          <w:szCs w:val="22"/>
        </w:rPr>
        <w:footnoteReference w:id="203"/>
      </w:r>
      <w:r w:rsidRPr="00720D91">
        <w:rPr>
          <w:rFonts w:ascii="Arial" w:hAnsi="Arial" w:cs="Arial"/>
          <w:sz w:val="22"/>
          <w:szCs w:val="22"/>
        </w:rPr>
        <w:t xml:space="preserve"> Conformément à l'article A1 (1) du Règlement, la Cour peut décider d'office </w:t>
      </w:r>
      <w:r w:rsidRPr="00720D91">
        <w:rPr>
          <w:rFonts w:ascii="Arial" w:hAnsi="Arial" w:cs="Arial"/>
          <w:sz w:val="22"/>
          <w:szCs w:val="22"/>
        </w:rPr>
        <w:lastRenderedPageBreak/>
        <w:t xml:space="preserve">d'effectuer une mission d'enquête et n'a donc pas besoin d'obtenir le consentement de l'État concerné. L'efficacité de l'enquête peut toutefois être compromise dans la pratique si l'État défendeur n'est pas disposé à coopérer. Il est arrivé que la Cour doive renoncer à une mission d'enquête prévue lorsqu'elle n'a pas pu persuader l'État défendeur d'adopter une attitude plus coopérative. Dans de tels cas, la Cour a plutôt procédé à la préparation de l'arrêt sur la base des éléments de preuve dont elle disposait. </w:t>
      </w:r>
      <w:r w:rsidRPr="00720D91">
        <w:rPr>
          <w:rStyle w:val="Appelnotedebasdep"/>
          <w:rFonts w:ascii="Arial" w:hAnsi="Arial" w:cs="Arial"/>
          <w:sz w:val="22"/>
          <w:szCs w:val="22"/>
        </w:rPr>
        <w:footnoteReference w:id="204"/>
      </w:r>
    </w:p>
    <w:p w14:paraId="77671246" w14:textId="77777777" w:rsidR="00720D91" w:rsidRPr="00720D91" w:rsidRDefault="00720D91" w:rsidP="00720D91">
      <w:pPr>
        <w:autoSpaceDE w:val="0"/>
        <w:autoSpaceDN w:val="0"/>
        <w:adjustRightInd w:val="0"/>
        <w:ind w:firstLine="284"/>
        <w:jc w:val="both"/>
        <w:rPr>
          <w:rFonts w:ascii="Arial" w:hAnsi="Arial" w:cs="Arial"/>
          <w:sz w:val="22"/>
          <w:szCs w:val="22"/>
        </w:rPr>
      </w:pPr>
    </w:p>
    <w:p w14:paraId="4834F919" w14:textId="77777777" w:rsidR="00720D91" w:rsidRPr="00720D91" w:rsidRDefault="00720D91" w:rsidP="00720D91">
      <w:pPr>
        <w:autoSpaceDE w:val="0"/>
        <w:autoSpaceDN w:val="0"/>
        <w:adjustRightInd w:val="0"/>
        <w:ind w:firstLine="284"/>
        <w:jc w:val="both"/>
        <w:rPr>
          <w:rFonts w:ascii="Arial" w:hAnsi="Arial" w:cs="Arial"/>
          <w:sz w:val="22"/>
          <w:szCs w:val="22"/>
        </w:rPr>
      </w:pPr>
      <w:r w:rsidRPr="00720D91">
        <w:rPr>
          <w:rFonts w:ascii="Arial" w:hAnsi="Arial" w:cs="Arial"/>
          <w:sz w:val="22"/>
          <w:szCs w:val="22"/>
        </w:rPr>
        <w:t xml:space="preserve">108. Le DH-SYSC-IV continuera à se pencher sur la question de savoir s'il est possible et/ou souhaitable que des missions d'enquête soient organisées par la Cour dans les affaires interétatiques et sur l'application des obligations des Etats parties en vertu de l'article 38 dans ce contexte. </w:t>
      </w:r>
    </w:p>
    <w:p w14:paraId="3345139E" w14:textId="77777777" w:rsidR="00720D91" w:rsidRPr="00720D91" w:rsidRDefault="00720D91" w:rsidP="00720D91">
      <w:pPr>
        <w:pStyle w:val="Titre1"/>
        <w:ind w:firstLine="284"/>
        <w:jc w:val="both"/>
        <w:rPr>
          <w:rFonts w:ascii="Arial" w:hAnsi="Arial" w:cs="Arial"/>
          <w:sz w:val="22"/>
          <w:szCs w:val="22"/>
          <w:lang w:val="fr-FR"/>
        </w:rPr>
      </w:pPr>
      <w:bookmarkStart w:id="54" w:name="_Toc29388094"/>
      <w:bookmarkStart w:id="55" w:name="_Toc29388173"/>
      <w:bookmarkStart w:id="56" w:name="_Toc29388254"/>
      <w:bookmarkStart w:id="57" w:name="_Toc29396138"/>
      <w:bookmarkStart w:id="58" w:name="_Toc29464714"/>
      <w:bookmarkStart w:id="59" w:name="_Toc29464742"/>
      <w:bookmarkStart w:id="60" w:name="_Toc29388099"/>
      <w:bookmarkStart w:id="61" w:name="_Toc29388178"/>
      <w:bookmarkStart w:id="62" w:name="_Toc29388259"/>
      <w:bookmarkStart w:id="63" w:name="_Toc29396143"/>
      <w:bookmarkStart w:id="64" w:name="_Toc29464719"/>
      <w:bookmarkStart w:id="65" w:name="_Toc29464747"/>
      <w:bookmarkStart w:id="66" w:name="_Toc29388100"/>
      <w:bookmarkStart w:id="67" w:name="_Toc29388179"/>
      <w:bookmarkStart w:id="68" w:name="_Toc29388260"/>
      <w:bookmarkStart w:id="69" w:name="_Toc29396144"/>
      <w:bookmarkStart w:id="70" w:name="_Toc29464720"/>
      <w:bookmarkStart w:id="71" w:name="_Toc29464748"/>
      <w:bookmarkStart w:id="72" w:name="_Toc36049248"/>
      <w:bookmarkStart w:id="73" w:name="_Toc83293818"/>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sidRPr="00720D91">
        <w:rPr>
          <w:rFonts w:ascii="Arial" w:hAnsi="Arial" w:cs="Arial"/>
          <w:sz w:val="22"/>
          <w:szCs w:val="22"/>
          <w:lang w:val="fr-FR"/>
        </w:rPr>
        <w:t xml:space="preserve">VII. </w:t>
      </w:r>
      <w:bookmarkEnd w:id="72"/>
      <w:r w:rsidRPr="00720D91">
        <w:rPr>
          <w:rFonts w:ascii="Arial" w:hAnsi="Arial" w:cs="Arial"/>
          <w:sz w:val="22"/>
          <w:szCs w:val="22"/>
          <w:lang w:val="fr-FR"/>
        </w:rPr>
        <w:t>LA SATISFACTION ÉQUITABLE DANS LES AFFAIRES INTERÉTATIQUES</w:t>
      </w:r>
      <w:bookmarkEnd w:id="73"/>
      <w:r w:rsidRPr="00720D91">
        <w:rPr>
          <w:rFonts w:ascii="Arial" w:hAnsi="Arial" w:cs="Arial"/>
          <w:sz w:val="22"/>
          <w:szCs w:val="22"/>
          <w:lang w:val="fr-FR"/>
        </w:rPr>
        <w:t xml:space="preserve"> </w:t>
      </w:r>
    </w:p>
    <w:p w14:paraId="7C0E5E93" w14:textId="77777777" w:rsidR="00720D91" w:rsidRPr="00720D91" w:rsidRDefault="00720D91" w:rsidP="00720D91">
      <w:pPr>
        <w:pStyle w:val="Sansinterligne"/>
        <w:rPr>
          <w:sz w:val="22"/>
          <w:szCs w:val="22"/>
        </w:rPr>
      </w:pPr>
    </w:p>
    <w:p w14:paraId="4E4F26DC" w14:textId="77777777" w:rsidR="00720D91" w:rsidRPr="00720D91" w:rsidRDefault="00720D91" w:rsidP="00720D91">
      <w:pPr>
        <w:spacing w:after="240"/>
        <w:ind w:firstLine="426"/>
        <w:jc w:val="both"/>
        <w:rPr>
          <w:rStyle w:val="sb8d990e2"/>
          <w:rFonts w:ascii="Arial" w:eastAsiaTheme="majorEastAsia" w:hAnsi="Arial" w:cs="Arial"/>
          <w:sz w:val="22"/>
          <w:szCs w:val="22"/>
        </w:rPr>
      </w:pPr>
      <w:r w:rsidRPr="00720D91">
        <w:rPr>
          <w:rFonts w:ascii="Arial" w:hAnsi="Arial" w:cs="Arial"/>
          <w:sz w:val="22"/>
          <w:szCs w:val="22"/>
        </w:rPr>
        <w:t xml:space="preserve">109. L’article 41 de la Convention ne se réfère pas explicitement aux procédures prévues aux articles 33 et 34. En vertu de la jurisprudence de la Cour, l’article 41 s’applique à la fois aux requêtes interétatiques et individuelles. Dans l'affaire </w:t>
      </w:r>
      <w:r w:rsidRPr="00720D91">
        <w:rPr>
          <w:rFonts w:ascii="Arial" w:hAnsi="Arial" w:cs="Arial"/>
          <w:i/>
          <w:sz w:val="22"/>
          <w:szCs w:val="22"/>
        </w:rPr>
        <w:t>Chypre c. Turquie</w:t>
      </w:r>
      <w:r w:rsidRPr="00720D91">
        <w:rPr>
          <w:rStyle w:val="Appelnotedebasdep"/>
          <w:rFonts w:ascii="Arial" w:hAnsi="Arial" w:cs="Arial"/>
          <w:sz w:val="22"/>
          <w:szCs w:val="22"/>
        </w:rPr>
        <w:footnoteReference w:id="205"/>
      </w:r>
      <w:r w:rsidRPr="00720D91">
        <w:rPr>
          <w:rFonts w:ascii="Arial" w:hAnsi="Arial" w:cs="Arial"/>
          <w:sz w:val="22"/>
          <w:szCs w:val="22"/>
        </w:rPr>
        <w:t xml:space="preserve">, la Cour a, pour la première fois, accordé une satisfaction équitable à des particuliers pour des violations établies sur le fond dans une affaire interétatique. Gardant à l’esprit la nature spécifique de l’article 41 de la Convention en tant que </w:t>
      </w:r>
      <w:r w:rsidRPr="00720D91">
        <w:rPr>
          <w:rFonts w:ascii="Arial" w:hAnsi="Arial" w:cs="Arial"/>
          <w:i/>
          <w:iCs/>
          <w:sz w:val="22"/>
          <w:szCs w:val="22"/>
        </w:rPr>
        <w:t xml:space="preserve">lex specialis </w:t>
      </w:r>
      <w:r w:rsidRPr="00720D91">
        <w:rPr>
          <w:rFonts w:ascii="Arial" w:hAnsi="Arial" w:cs="Arial"/>
          <w:sz w:val="22"/>
          <w:szCs w:val="22"/>
        </w:rPr>
        <w:t xml:space="preserve">par rapport aux règles et principes généraux du droit international, la Cour a puisé dans les principes du droit international public </w:t>
      </w:r>
      <w:r w:rsidRPr="00720D91">
        <w:rPr>
          <w:rStyle w:val="sb8d990e2"/>
          <w:rFonts w:ascii="Arial" w:eastAsiaTheme="majorEastAsia" w:hAnsi="Arial" w:cs="Arial"/>
          <w:sz w:val="22"/>
          <w:szCs w:val="22"/>
        </w:rPr>
        <w:t xml:space="preserve">relatifs à la responsabilité des États, </w:t>
      </w:r>
      <w:r w:rsidRPr="00720D91">
        <w:rPr>
          <w:rFonts w:ascii="Arial" w:hAnsi="Arial" w:cs="Arial"/>
          <w:sz w:val="22"/>
          <w:szCs w:val="22"/>
        </w:rPr>
        <w:t xml:space="preserve">les </w:t>
      </w:r>
      <w:r w:rsidRPr="00720D91">
        <w:rPr>
          <w:rFonts w:ascii="Arial" w:hAnsi="Arial" w:cs="Arial"/>
          <w:i/>
          <w:sz w:val="22"/>
          <w:szCs w:val="22"/>
        </w:rPr>
        <w:t xml:space="preserve">travaux préparatoires </w:t>
      </w:r>
      <w:r w:rsidRPr="00720D91">
        <w:rPr>
          <w:rFonts w:ascii="Arial" w:hAnsi="Arial" w:cs="Arial"/>
          <w:iCs/>
          <w:sz w:val="22"/>
          <w:szCs w:val="22"/>
        </w:rPr>
        <w:t xml:space="preserve">de </w:t>
      </w:r>
      <w:r w:rsidRPr="00720D91">
        <w:rPr>
          <w:rFonts w:ascii="Arial" w:hAnsi="Arial" w:cs="Arial"/>
          <w:sz w:val="22"/>
          <w:szCs w:val="22"/>
        </w:rPr>
        <w:t xml:space="preserve">la Convention ainsi que le </w:t>
      </w:r>
      <w:r w:rsidRPr="00720D91">
        <w:rPr>
          <w:rStyle w:val="sb8d990e2"/>
          <w:rFonts w:ascii="Arial" w:eastAsiaTheme="majorEastAsia" w:hAnsi="Arial" w:cs="Arial"/>
          <w:sz w:val="22"/>
          <w:szCs w:val="22"/>
        </w:rPr>
        <w:t>projet d'articles de la Commission du droit international sur la protection diplomatique</w:t>
      </w:r>
      <w:r w:rsidRPr="00720D91">
        <w:rPr>
          <w:rFonts w:ascii="Arial" w:hAnsi="Arial" w:cs="Arial"/>
          <w:i/>
          <w:sz w:val="22"/>
          <w:szCs w:val="22"/>
        </w:rPr>
        <w:t>.</w:t>
      </w:r>
      <w:r w:rsidRPr="00720D91">
        <w:rPr>
          <w:rStyle w:val="Appelnotedebasdep"/>
          <w:rFonts w:ascii="Arial" w:hAnsi="Arial" w:cs="Arial"/>
          <w:sz w:val="22"/>
          <w:szCs w:val="22"/>
        </w:rPr>
        <w:footnoteReference w:id="206"/>
      </w:r>
      <w:r w:rsidRPr="00720D91">
        <w:rPr>
          <w:rStyle w:val="sb8d990e2"/>
          <w:rFonts w:ascii="Arial" w:eastAsiaTheme="majorEastAsia" w:hAnsi="Arial" w:cs="Arial"/>
          <w:sz w:val="22"/>
          <w:szCs w:val="22"/>
        </w:rPr>
        <w:t xml:space="preserve"> La </w:t>
      </w:r>
      <w:r w:rsidRPr="00720D91">
        <w:rPr>
          <w:rFonts w:ascii="Arial" w:hAnsi="Arial" w:cs="Arial"/>
          <w:sz w:val="22"/>
          <w:szCs w:val="22"/>
        </w:rPr>
        <w:t>Cour a noté que « </w:t>
      </w:r>
      <w:r w:rsidRPr="00720D91">
        <w:rPr>
          <w:rStyle w:val="sb8d990e2"/>
          <w:rFonts w:ascii="Arial" w:eastAsiaTheme="majorEastAsia" w:hAnsi="Arial" w:cs="Arial"/>
          <w:sz w:val="22"/>
          <w:szCs w:val="22"/>
        </w:rPr>
        <w:t>selon la nature même de la Convention, c'est l'individu, et non l'État, qui est directement ou indirectement lésé et principalement « lésé » par une violation d'un ou plusieurs droits de la Convention. Par conséquent, si une satisfaction équitable est accordée dans une affaire interétatique, elle doit toujours l'être au profit des victimes individuelles ».</w:t>
      </w:r>
      <w:r w:rsidRPr="00720D91">
        <w:rPr>
          <w:rStyle w:val="Appelnotedebasdep"/>
          <w:rFonts w:ascii="Arial" w:hAnsi="Arial" w:cs="Arial"/>
          <w:sz w:val="22"/>
          <w:szCs w:val="22"/>
        </w:rPr>
        <w:footnoteReference w:id="207"/>
      </w:r>
      <w:r w:rsidRPr="00720D91">
        <w:rPr>
          <w:rStyle w:val="sb8d990e2"/>
          <w:rFonts w:ascii="Arial" w:eastAsiaTheme="majorEastAsia" w:hAnsi="Arial" w:cs="Arial"/>
          <w:sz w:val="22"/>
          <w:szCs w:val="22"/>
        </w:rPr>
        <w:t xml:space="preserve"> </w:t>
      </w:r>
    </w:p>
    <w:p w14:paraId="4D92B0B2" w14:textId="77777777" w:rsidR="00720D91" w:rsidRPr="00720D91" w:rsidRDefault="00720D91" w:rsidP="00720D91">
      <w:pPr>
        <w:spacing w:after="240"/>
        <w:ind w:firstLine="426"/>
        <w:jc w:val="both"/>
        <w:rPr>
          <w:rFonts w:ascii="Arial" w:hAnsi="Arial" w:cs="Arial"/>
          <w:color w:val="000000"/>
          <w:sz w:val="22"/>
          <w:szCs w:val="22"/>
          <w:lang w:eastAsia="en-US"/>
        </w:rPr>
      </w:pPr>
      <w:r w:rsidRPr="00720D91">
        <w:rPr>
          <w:rStyle w:val="sb8d990e2"/>
          <w:rFonts w:ascii="Arial" w:eastAsiaTheme="majorEastAsia" w:hAnsi="Arial" w:cs="Arial"/>
          <w:sz w:val="22"/>
          <w:szCs w:val="22"/>
        </w:rPr>
        <w:t xml:space="preserve">110. Le règlement de la Cour reflète la jurisprudence de la Cour sur l'applicabilité de l'article 41 aux affaires interétatiques. En conséquence, la </w:t>
      </w:r>
      <w:r w:rsidRPr="00720D91">
        <w:rPr>
          <w:rFonts w:ascii="Arial" w:hAnsi="Arial" w:cs="Arial"/>
          <w:color w:val="000000"/>
          <w:sz w:val="22"/>
          <w:szCs w:val="22"/>
          <w:lang w:eastAsia="en-US"/>
        </w:rPr>
        <w:t xml:space="preserve">ou les Parties contractantes qui ont l'intention de saisir la Cour en vertu de l'article 33 de la Convention doivent déposer au greffe une requête exposant, </w:t>
      </w:r>
      <w:r w:rsidRPr="00720D91">
        <w:rPr>
          <w:rFonts w:ascii="Arial" w:hAnsi="Arial" w:cs="Arial"/>
          <w:i/>
          <w:color w:val="000000"/>
          <w:sz w:val="22"/>
          <w:szCs w:val="22"/>
          <w:lang w:eastAsia="en-US"/>
        </w:rPr>
        <w:t xml:space="preserve">entre autres, </w:t>
      </w:r>
      <w:r w:rsidRPr="00720D91">
        <w:rPr>
          <w:rFonts w:ascii="Arial" w:hAnsi="Arial" w:cs="Arial"/>
          <w:color w:val="000000"/>
          <w:sz w:val="22"/>
          <w:szCs w:val="22"/>
          <w:lang w:eastAsia="en-US"/>
        </w:rPr>
        <w:t>l'objet de la demande et une indication générale de toute demande de satisfaction équitable formulée en vertu de l'article 41 de la Convention au nom de la ou des parties prétendument lésées.</w:t>
      </w:r>
      <w:r w:rsidRPr="00720D91">
        <w:rPr>
          <w:rStyle w:val="Appelnotedebasdep"/>
          <w:rFonts w:ascii="Arial" w:hAnsi="Arial" w:cs="Arial"/>
          <w:color w:val="000000"/>
          <w:sz w:val="22"/>
          <w:szCs w:val="22"/>
          <w:lang w:val="en-US" w:eastAsia="en-US"/>
        </w:rPr>
        <w:footnoteReference w:id="208"/>
      </w:r>
      <w:r w:rsidRPr="00720D91">
        <w:rPr>
          <w:rFonts w:ascii="Arial" w:hAnsi="Arial" w:cs="Arial"/>
          <w:color w:val="000000"/>
          <w:sz w:val="22"/>
          <w:szCs w:val="22"/>
          <w:lang w:eastAsia="en-US"/>
        </w:rPr>
        <w:t xml:space="preserve"> Les demandes de satisfaction équitable du requérant, y compris les indications détaillées de toutes les demandes, ainsi que toutes les pièces justificatives pertinentes, dans le délai fixé pour la présentation des observations du requérant sur le fond, sont transmises à la Partie contractante défenderesse pour commentaires. </w:t>
      </w:r>
      <w:r w:rsidRPr="00720D91">
        <w:rPr>
          <w:rStyle w:val="Appelnotedebasdep"/>
          <w:rFonts w:ascii="Arial" w:hAnsi="Arial" w:cs="Arial"/>
          <w:color w:val="000000"/>
          <w:sz w:val="22"/>
          <w:szCs w:val="22"/>
          <w:lang w:val="en-US" w:eastAsia="en-US"/>
        </w:rPr>
        <w:footnoteReference w:id="209"/>
      </w:r>
    </w:p>
    <w:p w14:paraId="0F91704A" w14:textId="77777777" w:rsidR="00720D91" w:rsidRPr="00720D91" w:rsidRDefault="00720D91" w:rsidP="00720D91">
      <w:pPr>
        <w:spacing w:after="240"/>
        <w:ind w:firstLine="426"/>
        <w:jc w:val="both"/>
        <w:rPr>
          <w:rStyle w:val="sb8d990e2"/>
          <w:rFonts w:ascii="Arial" w:eastAsiaTheme="majorEastAsia" w:hAnsi="Arial" w:cs="Arial"/>
          <w:sz w:val="22"/>
          <w:szCs w:val="22"/>
        </w:rPr>
      </w:pPr>
      <w:r w:rsidRPr="00720D91">
        <w:rPr>
          <w:rStyle w:val="sb8d990e2"/>
          <w:rFonts w:ascii="Arial" w:eastAsiaTheme="majorEastAsia" w:hAnsi="Arial" w:cs="Arial"/>
          <w:sz w:val="22"/>
          <w:szCs w:val="22"/>
        </w:rPr>
        <w:t xml:space="preserve">111. L'octroi d'une satisfaction équitable à un État requérant est évalué et décidé par la Cour au cas par cas, en tenant compte, </w:t>
      </w:r>
      <w:r w:rsidRPr="00720D91">
        <w:rPr>
          <w:rStyle w:val="s6b621b36"/>
          <w:rFonts w:ascii="Arial" w:eastAsiaTheme="minorEastAsia" w:hAnsi="Arial" w:cs="Arial"/>
          <w:i/>
          <w:sz w:val="22"/>
          <w:szCs w:val="22"/>
        </w:rPr>
        <w:t xml:space="preserve">entre autres, </w:t>
      </w:r>
      <w:r w:rsidRPr="00720D91">
        <w:rPr>
          <w:rStyle w:val="sb8d990e2"/>
          <w:rFonts w:ascii="Arial" w:eastAsiaTheme="majorEastAsia" w:hAnsi="Arial" w:cs="Arial"/>
          <w:sz w:val="22"/>
          <w:szCs w:val="22"/>
        </w:rPr>
        <w:t>du type de plainte formulée par le gouvernement requérant, de la possibilité d'identifier les victimes de violations, ainsi que du but principal de l'introduction de la procédure, dans la mesure où celui-ci peut être discerné dans la requête initiale à la Cour.</w:t>
      </w:r>
      <w:bookmarkStart w:id="74" w:name="_Hlk42527680"/>
      <w:r w:rsidRPr="00720D91">
        <w:rPr>
          <w:rStyle w:val="Appelnotedebasdep"/>
          <w:rFonts w:ascii="Arial" w:hAnsi="Arial" w:cs="Arial"/>
          <w:color w:val="000000"/>
          <w:sz w:val="22"/>
          <w:szCs w:val="22"/>
        </w:rPr>
        <w:footnoteReference w:id="210"/>
      </w:r>
      <w:r w:rsidRPr="00720D91">
        <w:rPr>
          <w:rStyle w:val="sb8d990e2"/>
          <w:rFonts w:ascii="Arial" w:eastAsiaTheme="majorEastAsia" w:hAnsi="Arial" w:cs="Arial"/>
          <w:sz w:val="22"/>
          <w:szCs w:val="22"/>
        </w:rPr>
        <w:t xml:space="preserve"> </w:t>
      </w:r>
      <w:bookmarkEnd w:id="74"/>
      <w:r w:rsidRPr="00720D91">
        <w:rPr>
          <w:rStyle w:val="sb8d990e2"/>
          <w:rFonts w:ascii="Arial" w:eastAsiaTheme="majorEastAsia" w:hAnsi="Arial" w:cs="Arial"/>
          <w:sz w:val="22"/>
          <w:szCs w:val="22"/>
        </w:rPr>
        <w:t xml:space="preserve">La Cour reconnaît qu'une requête introduite devant elle </w:t>
      </w:r>
      <w:r w:rsidRPr="00720D91">
        <w:rPr>
          <w:rStyle w:val="sb8d990e2"/>
          <w:rFonts w:ascii="Arial" w:eastAsiaTheme="majorEastAsia" w:hAnsi="Arial" w:cs="Arial"/>
          <w:sz w:val="22"/>
          <w:szCs w:val="22"/>
        </w:rPr>
        <w:lastRenderedPageBreak/>
        <w:t xml:space="preserve">en vertu de l'article 33 de la Convention peut contenir différents types de griefs poursuivant des buts différents. Dans ce cas, chaque grief doit être examiné séparément afin de déterminer si l'octroi d'une satisfaction équitable à son égard serait justifié. </w:t>
      </w:r>
      <w:r w:rsidRPr="00720D91">
        <w:rPr>
          <w:rStyle w:val="Appelnotedebasdep"/>
          <w:rFonts w:ascii="Arial" w:hAnsi="Arial" w:cs="Arial"/>
          <w:sz w:val="22"/>
          <w:szCs w:val="22"/>
        </w:rPr>
        <w:footnoteReference w:id="211"/>
      </w:r>
    </w:p>
    <w:p w14:paraId="598D6F45" w14:textId="77777777" w:rsidR="00720D91" w:rsidRPr="00720D91" w:rsidRDefault="00720D91" w:rsidP="00720D91">
      <w:pPr>
        <w:shd w:val="clear" w:color="auto" w:fill="FFFFFF" w:themeFill="background1"/>
        <w:spacing w:after="240"/>
        <w:ind w:firstLine="426"/>
        <w:jc w:val="both"/>
        <w:rPr>
          <w:rFonts w:ascii="Arial" w:hAnsi="Arial" w:cs="Arial"/>
          <w:b/>
          <w:bCs/>
          <w:color w:val="FF0000"/>
          <w:sz w:val="22"/>
          <w:szCs w:val="22"/>
        </w:rPr>
      </w:pPr>
      <w:r w:rsidRPr="00720D91">
        <w:rPr>
          <w:rFonts w:ascii="Arial" w:hAnsi="Arial" w:cs="Arial"/>
          <w:sz w:val="22"/>
          <w:szCs w:val="22"/>
        </w:rPr>
        <w:t xml:space="preserve">112. </w:t>
      </w:r>
      <w:r w:rsidRPr="00720D91">
        <w:rPr>
          <w:rFonts w:ascii="Arial" w:hAnsi="Arial" w:cs="Arial"/>
          <w:sz w:val="22"/>
          <w:szCs w:val="22"/>
          <w:shd w:val="clear" w:color="auto" w:fill="FFFFFF" w:themeFill="background1"/>
        </w:rPr>
        <w:t>L'application de l'article 41 de la Convention requiert l'identification des victimes individuelles concernées.</w:t>
      </w:r>
      <w:r w:rsidRPr="00720D91">
        <w:rPr>
          <w:rStyle w:val="Appelnotedebasdep"/>
          <w:rFonts w:ascii="Arial" w:hAnsi="Arial" w:cs="Arial"/>
          <w:sz w:val="22"/>
          <w:szCs w:val="22"/>
          <w:shd w:val="clear" w:color="auto" w:fill="FFFFFF" w:themeFill="background1"/>
        </w:rPr>
        <w:footnoteReference w:id="212"/>
      </w:r>
      <w:r w:rsidRPr="00720D91">
        <w:rPr>
          <w:rStyle w:val="sb8d990e2"/>
          <w:rFonts w:ascii="Arial" w:eastAsiaTheme="majorEastAsia" w:hAnsi="Arial" w:cs="Arial"/>
          <w:sz w:val="22"/>
          <w:szCs w:val="22"/>
          <w:shd w:val="clear" w:color="auto" w:fill="FFFFFF" w:themeFill="background1"/>
        </w:rPr>
        <w:t xml:space="preserve"> </w:t>
      </w:r>
      <w:r w:rsidRPr="00720D91">
        <w:rPr>
          <w:rFonts w:ascii="Arial" w:hAnsi="Arial" w:cs="Arial"/>
          <w:sz w:val="22"/>
          <w:szCs w:val="22"/>
          <w:shd w:val="clear" w:color="auto" w:fill="FFFFFF" w:themeFill="background1"/>
        </w:rPr>
        <w:t>La</w:t>
      </w:r>
      <w:r w:rsidRPr="00720D91">
        <w:rPr>
          <w:rFonts w:ascii="Arial" w:hAnsi="Arial" w:cs="Arial"/>
          <w:sz w:val="22"/>
          <w:szCs w:val="22"/>
        </w:rPr>
        <w:t xml:space="preserve"> Cour se fonde sur la détermination d'un groupe « suffisamment précis et objectivement identifiable » de personnes dont les droits ont été violés aux fins de l'octroi d'une satisfaction équitable au titre des violations constatées et des critères à appliquer pour l'octroi d'une satisfaction équitable au </w:t>
      </w:r>
      <w:r w:rsidRPr="00720D91">
        <w:rPr>
          <w:rFonts w:ascii="Arial" w:hAnsi="Arial" w:cs="Arial"/>
          <w:sz w:val="22"/>
          <w:szCs w:val="22"/>
          <w:shd w:val="clear" w:color="auto" w:fill="FFFFFF" w:themeFill="background1"/>
        </w:rPr>
        <w:t>titre du préjudice moral.</w:t>
      </w:r>
      <w:r w:rsidRPr="00720D91">
        <w:rPr>
          <w:rStyle w:val="Appelnotedebasdep"/>
          <w:rFonts w:ascii="Arial" w:hAnsi="Arial" w:cs="Arial"/>
          <w:sz w:val="22"/>
          <w:szCs w:val="22"/>
          <w:shd w:val="clear" w:color="auto" w:fill="FFFFFF" w:themeFill="background1"/>
        </w:rPr>
        <w:footnoteReference w:id="213"/>
      </w:r>
      <w:r w:rsidRPr="00720D91">
        <w:rPr>
          <w:rStyle w:val="sb8d990e2"/>
          <w:rFonts w:ascii="Arial" w:eastAsiaTheme="majorEastAsia" w:hAnsi="Arial" w:cs="Arial"/>
          <w:color w:val="000000"/>
          <w:sz w:val="22"/>
          <w:szCs w:val="22"/>
          <w:shd w:val="clear" w:color="auto" w:fill="FFFFFF" w:themeFill="background1"/>
        </w:rPr>
        <w:t xml:space="preserve"> </w:t>
      </w:r>
      <w:r w:rsidRPr="00720D91">
        <w:rPr>
          <w:rFonts w:ascii="Arial" w:hAnsi="Arial" w:cs="Arial"/>
          <w:sz w:val="22"/>
          <w:szCs w:val="22"/>
          <w:shd w:val="clear" w:color="auto" w:fill="FFFFFF" w:themeFill="background1"/>
        </w:rPr>
        <w:t xml:space="preserve">Dans l'affaire </w:t>
      </w:r>
      <w:r w:rsidRPr="00720D91">
        <w:rPr>
          <w:rFonts w:ascii="Arial" w:hAnsi="Arial" w:cs="Arial"/>
          <w:i/>
          <w:iCs/>
          <w:sz w:val="22"/>
          <w:szCs w:val="22"/>
          <w:shd w:val="clear" w:color="auto" w:fill="FFFFFF" w:themeFill="background1"/>
        </w:rPr>
        <w:t>Géorgie c. Russie (I)</w:t>
      </w:r>
      <w:r w:rsidRPr="00720D91">
        <w:rPr>
          <w:rFonts w:ascii="Arial" w:hAnsi="Arial" w:cs="Arial"/>
          <w:sz w:val="22"/>
          <w:szCs w:val="22"/>
          <w:shd w:val="clear" w:color="auto" w:fill="FFFFFF" w:themeFill="background1"/>
        </w:rPr>
        <w:t>, dans laquelle le constat de l'existence d'une pratique administrative contraire à la Convention se fondait sur des décisions administratives individuelles d'expulsion de ressortissants géorgiens de la Fédération de Russie au cours de l'automne 2006, la Cour a estimé que les parties devaient être en mesure d'identifier les ressortissants géorgiens concernés et de lui fournir les informations pertinentes.</w:t>
      </w:r>
      <w:r w:rsidRPr="00720D91">
        <w:rPr>
          <w:rStyle w:val="Appelnotedebasdep"/>
          <w:rFonts w:ascii="Arial" w:hAnsi="Arial" w:cs="Arial"/>
          <w:sz w:val="22"/>
          <w:szCs w:val="22"/>
          <w:shd w:val="clear" w:color="auto" w:fill="FFFFFF" w:themeFill="background1"/>
        </w:rPr>
        <w:footnoteReference w:id="214"/>
      </w:r>
      <w:r w:rsidRPr="00720D91">
        <w:rPr>
          <w:rStyle w:val="sb8d990e2"/>
          <w:rFonts w:ascii="Arial" w:eastAsiaTheme="majorEastAsia" w:hAnsi="Arial" w:cs="Arial"/>
          <w:sz w:val="22"/>
          <w:szCs w:val="22"/>
          <w:shd w:val="clear" w:color="auto" w:fill="FFFFFF" w:themeFill="background1"/>
        </w:rPr>
        <w:t xml:space="preserve"> Conformément</w:t>
      </w:r>
      <w:r w:rsidRPr="00720D91">
        <w:rPr>
          <w:rStyle w:val="sb8d990e2"/>
          <w:rFonts w:ascii="Arial" w:eastAsiaTheme="majorEastAsia" w:hAnsi="Arial" w:cs="Arial"/>
          <w:sz w:val="22"/>
          <w:szCs w:val="22"/>
        </w:rPr>
        <w:t xml:space="preserve"> </w:t>
      </w:r>
      <w:r w:rsidRPr="00720D91">
        <w:rPr>
          <w:rStyle w:val="sb8d990e2"/>
          <w:rFonts w:ascii="Arial" w:eastAsiaTheme="majorEastAsia" w:hAnsi="Arial" w:cs="Arial"/>
          <w:color w:val="000000"/>
          <w:sz w:val="22"/>
          <w:szCs w:val="22"/>
        </w:rPr>
        <w:t xml:space="preserve">à l'article 60 § 2 du Règlement de la </w:t>
      </w:r>
      <w:r w:rsidRPr="00720D91">
        <w:rPr>
          <w:rStyle w:val="sb8d990e2"/>
          <w:rFonts w:ascii="Arial" w:eastAsiaTheme="majorEastAsia" w:hAnsi="Arial" w:cs="Arial"/>
          <w:sz w:val="22"/>
          <w:szCs w:val="22"/>
        </w:rPr>
        <w:t xml:space="preserve">Cour, </w:t>
      </w:r>
      <w:r w:rsidRPr="00720D91">
        <w:rPr>
          <w:rStyle w:val="sb8d990e2"/>
          <w:rFonts w:ascii="Arial" w:eastAsiaTheme="majorEastAsia" w:hAnsi="Arial" w:cs="Arial"/>
          <w:sz w:val="22"/>
          <w:szCs w:val="22"/>
          <w:shd w:val="clear" w:color="auto" w:fill="FFFFFF" w:themeFill="background1"/>
        </w:rPr>
        <w:t>elle a invité</w:t>
      </w:r>
      <w:r w:rsidRPr="00720D91">
        <w:rPr>
          <w:rStyle w:val="sb8d990e2"/>
          <w:rFonts w:ascii="Arial" w:eastAsiaTheme="majorEastAsia" w:hAnsi="Arial" w:cs="Arial"/>
          <w:sz w:val="22"/>
          <w:szCs w:val="22"/>
        </w:rPr>
        <w:t xml:space="preserve"> </w:t>
      </w:r>
      <w:r w:rsidRPr="00720D91">
        <w:rPr>
          <w:rStyle w:val="sb8d990e2"/>
          <w:rFonts w:ascii="Arial" w:eastAsiaTheme="majorEastAsia" w:hAnsi="Arial" w:cs="Arial"/>
          <w:color w:val="000000"/>
          <w:sz w:val="22"/>
          <w:szCs w:val="22"/>
        </w:rPr>
        <w:t>le gouvernement requérant à présenter une liste de ses ressortissants victimes de la « politique coordonnée d'arrestation, de détention et d'expulsion de ressortissants géorgiens » mise en place en Fédération de Russie à l'automne 2006.</w:t>
      </w:r>
      <w:r w:rsidRPr="00720D91">
        <w:rPr>
          <w:rStyle w:val="Appelnotedebasdep"/>
          <w:rFonts w:ascii="Arial" w:hAnsi="Arial" w:cs="Arial"/>
          <w:color w:val="000000"/>
          <w:sz w:val="22"/>
          <w:szCs w:val="22"/>
        </w:rPr>
        <w:footnoteReference w:id="215"/>
      </w:r>
      <w:r w:rsidRPr="00720D91">
        <w:rPr>
          <w:rStyle w:val="sb8d990e2"/>
          <w:rFonts w:ascii="Arial" w:eastAsiaTheme="majorEastAsia" w:hAnsi="Arial" w:cs="Arial"/>
          <w:color w:val="000000"/>
          <w:sz w:val="22"/>
          <w:szCs w:val="22"/>
        </w:rPr>
        <w:t xml:space="preserve"> Il a également demandé au gouvernement défendeur de soumettre toutes les informations et documents pertinents (en particulier les ordres d'expulsion et les décisions de justice) concernant les ressortissants géorgiens victimes de cette politique pendant la période en question.</w:t>
      </w:r>
      <w:r w:rsidRPr="00720D91">
        <w:rPr>
          <w:rStyle w:val="Appelnotedebasdep"/>
          <w:rFonts w:ascii="Arial" w:hAnsi="Arial" w:cs="Arial"/>
          <w:color w:val="000000"/>
          <w:sz w:val="22"/>
          <w:szCs w:val="22"/>
        </w:rPr>
        <w:footnoteReference w:id="216"/>
      </w:r>
      <w:r w:rsidRPr="00720D91">
        <w:rPr>
          <w:rStyle w:val="sb8d990e2"/>
          <w:rFonts w:ascii="Arial" w:eastAsiaTheme="majorEastAsia" w:hAnsi="Arial" w:cs="Arial"/>
          <w:color w:val="000000"/>
          <w:sz w:val="22"/>
          <w:szCs w:val="22"/>
        </w:rPr>
        <w:t xml:space="preserve"> En l'espèce, le gouvernement défendeur a demandé à la Cour d'identifier chacune des victimes individuelles des violations qu'elle a constatées dans le cadre d'une procédure contradictoire, au motif que la tâche d'établir les faits relève de la compétence exclusive de la Cour. A cet égard, la Cour a relevé que les parties avaient échangé des observations sur la question de la satisfaction équitable dans le respect du principe du contradictoire. En outre, la Cour a observé que, dans les affaires concernant des violations systématiques de la Convention, elle n'est pas un tribunal de première instance ; elle n'a pas la capacité, et il n'est pas approprié à sa fonction de tribunal international, de statuer sur un grand nombre d'affaires qui nécessitent l'établissement de faits spécifiques ou le calcul d'une compensation monétaire - deux tâches qui, par principe et dans la pratique, devraient être du ressort des juridictions nationales</w:t>
      </w:r>
      <w:r w:rsidRPr="00720D91">
        <w:rPr>
          <w:rStyle w:val="sb8d990e2"/>
          <w:rFonts w:ascii="Arial" w:eastAsiaTheme="majorEastAsia" w:hAnsi="Arial" w:cs="Arial"/>
          <w:color w:val="000000"/>
          <w:sz w:val="22"/>
          <w:szCs w:val="22"/>
          <w:shd w:val="clear" w:color="auto" w:fill="FFFFFF" w:themeFill="background1"/>
        </w:rPr>
        <w:t>.</w:t>
      </w:r>
      <w:r w:rsidRPr="00720D91">
        <w:rPr>
          <w:rStyle w:val="Appelnotedebasdep"/>
          <w:rFonts w:ascii="Arial" w:hAnsi="Arial" w:cs="Arial"/>
          <w:color w:val="000000"/>
          <w:sz w:val="22"/>
          <w:szCs w:val="22"/>
          <w:shd w:val="clear" w:color="auto" w:fill="FFFFFF" w:themeFill="background1"/>
        </w:rPr>
        <w:footnoteReference w:id="217"/>
      </w:r>
      <w:r w:rsidRPr="00720D91">
        <w:rPr>
          <w:rFonts w:ascii="Arial" w:hAnsi="Arial" w:cs="Arial"/>
          <w:b/>
          <w:color w:val="FF0000"/>
          <w:sz w:val="22"/>
          <w:szCs w:val="22"/>
          <w:shd w:val="clear" w:color="auto" w:fill="FFFFFF" w:themeFill="background1"/>
        </w:rPr>
        <w:t xml:space="preserve"> </w:t>
      </w:r>
      <w:r w:rsidRPr="00720D91">
        <w:rPr>
          <w:rFonts w:ascii="Arial" w:hAnsi="Arial" w:cs="Arial"/>
          <w:sz w:val="22"/>
          <w:szCs w:val="22"/>
          <w:shd w:val="clear" w:color="auto" w:fill="FFFFFF" w:themeFill="background1"/>
        </w:rPr>
        <w:t xml:space="preserve">Aussi, dans l'affaire </w:t>
      </w:r>
      <w:r w:rsidRPr="00720D91">
        <w:rPr>
          <w:rFonts w:ascii="Arial" w:hAnsi="Arial" w:cs="Arial"/>
          <w:i/>
          <w:iCs/>
          <w:sz w:val="22"/>
          <w:szCs w:val="22"/>
          <w:shd w:val="clear" w:color="auto" w:fill="FFFFFF" w:themeFill="background1"/>
        </w:rPr>
        <w:t>Géorgie c. Russie (I)</w:t>
      </w:r>
      <w:r w:rsidRPr="00720D91">
        <w:rPr>
          <w:rFonts w:ascii="Arial" w:hAnsi="Arial" w:cs="Arial"/>
          <w:sz w:val="22"/>
          <w:szCs w:val="22"/>
          <w:shd w:val="clear" w:color="auto" w:fill="FFFFFF" w:themeFill="background1"/>
        </w:rPr>
        <w:t xml:space="preserve">, la Cour a considéré, </w:t>
      </w:r>
      <w:r w:rsidRPr="00720D91">
        <w:rPr>
          <w:rFonts w:ascii="Arial" w:hAnsi="Arial" w:cs="Arial"/>
          <w:i/>
          <w:iCs/>
          <w:sz w:val="22"/>
          <w:szCs w:val="22"/>
          <w:shd w:val="clear" w:color="auto" w:fill="FFFFFF" w:themeFill="background1"/>
        </w:rPr>
        <w:t xml:space="preserve">entre autres, </w:t>
      </w:r>
      <w:r w:rsidRPr="00720D91">
        <w:rPr>
          <w:rFonts w:ascii="Arial" w:hAnsi="Arial" w:cs="Arial"/>
          <w:sz w:val="22"/>
          <w:szCs w:val="22"/>
          <w:shd w:val="clear" w:color="auto" w:fill="FFFFFF" w:themeFill="background1"/>
        </w:rPr>
        <w:t xml:space="preserve">qu'un certain nombre de personnes figurant sur la liste des victimes soumise par le gouvernement requérant ne pouvaient être considérées comme telles ou ne pouvaient se voir accorder une satisfaction équitable dans le cadre de cette procédure car elles avaient introduit des requêtes individuelles devant la Cour. </w:t>
      </w:r>
      <w:r w:rsidRPr="00720D91">
        <w:rPr>
          <w:rStyle w:val="Appelnotedebasdep"/>
          <w:rFonts w:ascii="Arial" w:hAnsi="Arial" w:cs="Arial"/>
          <w:sz w:val="22"/>
          <w:szCs w:val="22"/>
          <w:shd w:val="clear" w:color="auto" w:fill="FFFFFF" w:themeFill="background1"/>
        </w:rPr>
        <w:footnoteReference w:id="218"/>
      </w:r>
    </w:p>
    <w:p w14:paraId="21F2803C" w14:textId="77777777" w:rsidR="00720D91" w:rsidRPr="00720D91" w:rsidRDefault="00720D91" w:rsidP="00720D91">
      <w:pPr>
        <w:spacing w:after="240"/>
        <w:ind w:firstLine="426"/>
        <w:jc w:val="both"/>
        <w:rPr>
          <w:rFonts w:ascii="Arial" w:hAnsi="Arial" w:cs="Arial"/>
          <w:sz w:val="22"/>
          <w:szCs w:val="22"/>
          <w:shd w:val="clear" w:color="auto" w:fill="FFFFFF" w:themeFill="background1"/>
        </w:rPr>
      </w:pPr>
      <w:r w:rsidRPr="00720D91">
        <w:rPr>
          <w:rFonts w:ascii="Arial" w:hAnsi="Arial" w:cs="Arial"/>
          <w:sz w:val="22"/>
          <w:szCs w:val="22"/>
        </w:rPr>
        <w:lastRenderedPageBreak/>
        <w:t xml:space="preserve">113. La Cour a observé que la procédure de l’article 41 est normalement très complexe ; il est important de demander au Gouvernement </w:t>
      </w:r>
      <w:r w:rsidRPr="00720D91">
        <w:rPr>
          <w:rFonts w:ascii="Arial" w:hAnsi="Arial" w:cs="Arial"/>
          <w:sz w:val="22"/>
          <w:szCs w:val="22"/>
          <w:shd w:val="clear" w:color="auto" w:fill="FFFFFF" w:themeFill="background1"/>
        </w:rPr>
        <w:t>requérant de soumettre dès le départ une liste d’individus clairement identifiables.</w:t>
      </w:r>
      <w:r w:rsidRPr="00720D91">
        <w:rPr>
          <w:rStyle w:val="Appelnotedebasdep"/>
          <w:rFonts w:ascii="Arial" w:hAnsi="Arial" w:cs="Arial"/>
          <w:sz w:val="22"/>
          <w:szCs w:val="22"/>
          <w:shd w:val="clear" w:color="auto" w:fill="FFFFFF" w:themeFill="background1"/>
        </w:rPr>
        <w:footnoteReference w:id="219"/>
      </w:r>
      <w:r w:rsidRPr="00720D91">
        <w:rPr>
          <w:rFonts w:ascii="Arial" w:hAnsi="Arial" w:cs="Arial"/>
          <w:sz w:val="22"/>
          <w:szCs w:val="22"/>
          <w:shd w:val="clear" w:color="auto" w:fill="FFFFFF" w:themeFill="background1"/>
        </w:rPr>
        <w:t xml:space="preserve"> Le DH-SYSC-IV note qu'une discussion plus approfondie est nécessaire pour savoir si ces listes doivent être soumises au début de la procédure de la satisfaction équitable ou au moment où une requête interétatique est introduite. </w:t>
      </w:r>
    </w:p>
    <w:p w14:paraId="6F2E534A" w14:textId="77777777" w:rsidR="00720D91" w:rsidRPr="00720D91" w:rsidRDefault="00720D91" w:rsidP="00720D91">
      <w:pPr>
        <w:spacing w:after="240"/>
        <w:ind w:firstLine="426"/>
        <w:jc w:val="both"/>
        <w:rPr>
          <w:rFonts w:ascii="Arial" w:hAnsi="Arial" w:cs="Arial"/>
          <w:sz w:val="22"/>
          <w:szCs w:val="22"/>
          <w:shd w:val="clear" w:color="auto" w:fill="FFFFFF" w:themeFill="background1"/>
        </w:rPr>
      </w:pPr>
      <w:r w:rsidRPr="00720D91">
        <w:rPr>
          <w:rFonts w:ascii="Arial" w:hAnsi="Arial" w:cs="Arial"/>
          <w:sz w:val="22"/>
          <w:szCs w:val="22"/>
          <w:shd w:val="clear" w:color="auto" w:fill="FFFFFF" w:themeFill="background1"/>
        </w:rPr>
        <w:t>114. La Cour rappelle l'obligation de coopération des États avec la Cour, qui est énoncée à l'article 38 de la Convention et à l'article 44A du règlement de la Cour, est particulièrement important pour la bonne administration de la justice lorsque la Cour accorde une satisfaction équitable en vertu de l'article 41 de la Convention dans des affaires interétatiques. Il s'applique aux deux parties : le gouvernement requérant, qui, conformément à l'article 60 du règlement de la Cour, doit étayer ses prétentions, et aussi le gouvernement défendeur, à l'égard duquel l'existence d'une pratique administrative contraire à la Convention a été constatée dans l'arrêt principal.</w:t>
      </w:r>
      <w:r w:rsidRPr="00720D91">
        <w:rPr>
          <w:rStyle w:val="Appelnotedebasdep"/>
          <w:rFonts w:ascii="Arial" w:hAnsi="Arial" w:cs="Arial"/>
          <w:sz w:val="22"/>
          <w:szCs w:val="22"/>
          <w:shd w:val="clear" w:color="auto" w:fill="FFFFFF" w:themeFill="background1"/>
        </w:rPr>
        <w:footnoteReference w:id="220"/>
      </w:r>
      <w:r w:rsidRPr="00720D91">
        <w:rPr>
          <w:rFonts w:ascii="Arial" w:hAnsi="Arial" w:cs="Arial"/>
          <w:sz w:val="22"/>
          <w:szCs w:val="22"/>
          <w:shd w:val="clear" w:color="auto" w:fill="FFFFFF" w:themeFill="background1"/>
        </w:rPr>
        <w:t xml:space="preserve"> Ainsi, le risque d'octroyer une satisfaction équitable à des personnes qui ne peuvent y prétendre pour diverses raisons pourrait être réduit. En outre, il est important, dans le dispositif de l'arrêt sur</w:t>
      </w:r>
      <w:r w:rsidRPr="00720D91">
        <w:rPr>
          <w:rFonts w:ascii="Arial" w:hAnsi="Arial" w:cs="Arial"/>
          <w:sz w:val="22"/>
          <w:szCs w:val="22"/>
        </w:rPr>
        <w:t xml:space="preserve"> le fond, de fixer un délai pour l'échange d'observations des parties sur la satisfaction équitable</w:t>
      </w:r>
      <w:r w:rsidRPr="00720D91">
        <w:rPr>
          <w:rStyle w:val="Appelnotedebasdep"/>
          <w:rFonts w:ascii="Arial" w:hAnsi="Arial" w:cs="Arial"/>
          <w:sz w:val="22"/>
          <w:szCs w:val="22"/>
        </w:rPr>
        <w:footnoteReference w:id="221"/>
      </w:r>
      <w:r w:rsidRPr="00720D91">
        <w:rPr>
          <w:rFonts w:ascii="Arial" w:hAnsi="Arial" w:cs="Arial"/>
          <w:sz w:val="22"/>
          <w:szCs w:val="22"/>
        </w:rPr>
        <w:t xml:space="preserve"> afin d'éviter de longs intervalles de temps entre l'arrêt sur le fond et l'arrêt sur la satisfaction équitable.</w:t>
      </w:r>
      <w:r w:rsidRPr="00720D91">
        <w:rPr>
          <w:rStyle w:val="Appelnotedebasdep"/>
          <w:rFonts w:ascii="Arial" w:hAnsi="Arial" w:cs="Arial"/>
          <w:sz w:val="22"/>
          <w:szCs w:val="22"/>
        </w:rPr>
        <w:footnoteReference w:id="222"/>
      </w:r>
      <w:r w:rsidRPr="00720D91">
        <w:rPr>
          <w:rFonts w:ascii="Arial" w:hAnsi="Arial" w:cs="Arial"/>
          <w:sz w:val="22"/>
          <w:szCs w:val="22"/>
        </w:rPr>
        <w:t xml:space="preserve"> Dans le récent arrêt sur le fond </w:t>
      </w:r>
      <w:r w:rsidRPr="00720D91">
        <w:rPr>
          <w:rFonts w:ascii="Arial" w:hAnsi="Arial" w:cs="Arial"/>
          <w:i/>
          <w:iCs/>
          <w:sz w:val="22"/>
          <w:szCs w:val="22"/>
        </w:rPr>
        <w:t xml:space="preserve">Géorgie c. Russie (II), </w:t>
      </w:r>
      <w:r w:rsidRPr="00720D91">
        <w:rPr>
          <w:rFonts w:ascii="Arial" w:hAnsi="Arial" w:cs="Arial"/>
          <w:sz w:val="22"/>
          <w:szCs w:val="22"/>
        </w:rPr>
        <w:t>la Cour a fixé un délai de douze mois aux parties pour soumettre par écrit leurs observations sur la satisfaction équitable.</w:t>
      </w:r>
      <w:r w:rsidRPr="00720D91">
        <w:rPr>
          <w:rStyle w:val="Appelnotedebasdep"/>
          <w:rFonts w:ascii="Arial" w:hAnsi="Arial" w:cs="Arial"/>
          <w:sz w:val="22"/>
          <w:szCs w:val="22"/>
        </w:rPr>
        <w:footnoteReference w:id="223"/>
      </w:r>
      <w:r w:rsidRPr="00720D91">
        <w:rPr>
          <w:rFonts w:ascii="Arial" w:hAnsi="Arial" w:cs="Arial"/>
          <w:sz w:val="22"/>
          <w:szCs w:val="22"/>
        </w:rPr>
        <w:t xml:space="preserve"> </w:t>
      </w:r>
    </w:p>
    <w:p w14:paraId="5F3E2163" w14:textId="77777777" w:rsidR="00720D91" w:rsidRPr="00720D91" w:rsidRDefault="00720D91" w:rsidP="00720D91">
      <w:pPr>
        <w:spacing w:after="240"/>
        <w:ind w:firstLine="426"/>
        <w:jc w:val="both"/>
        <w:rPr>
          <w:rStyle w:val="sb8d990e2"/>
          <w:rFonts w:ascii="Arial" w:eastAsiaTheme="majorEastAsia" w:hAnsi="Arial" w:cs="Arial"/>
          <w:color w:val="000000"/>
          <w:sz w:val="22"/>
          <w:szCs w:val="22"/>
        </w:rPr>
      </w:pPr>
      <w:r w:rsidRPr="00720D91">
        <w:rPr>
          <w:rFonts w:ascii="Arial" w:hAnsi="Arial" w:cs="Arial"/>
          <w:sz w:val="22"/>
          <w:szCs w:val="22"/>
        </w:rPr>
        <w:t xml:space="preserve">115. </w:t>
      </w:r>
      <w:r w:rsidRPr="00720D91">
        <w:rPr>
          <w:rFonts w:ascii="Arial" w:hAnsi="Arial" w:cs="Arial"/>
          <w:color w:val="000000"/>
          <w:sz w:val="22"/>
          <w:szCs w:val="22"/>
        </w:rPr>
        <w:t>S’agissant des critères à appliquer pour octroyer une satisfaction équitable pour dommage moral, la Cour a constamment soutenu qu’aucune disposition de la Convention ne prévoyait expressément le versement d’une telle indemnité</w:t>
      </w:r>
      <w:r w:rsidRPr="00720D91">
        <w:rPr>
          <w:rStyle w:val="Appelnotedebasdep"/>
          <w:rFonts w:ascii="Arial" w:hAnsi="Arial" w:cs="Arial"/>
          <w:color w:val="000000"/>
          <w:sz w:val="22"/>
          <w:szCs w:val="22"/>
        </w:rPr>
        <w:footnoteReference w:id="224"/>
      </w:r>
      <w:r w:rsidRPr="00720D91">
        <w:rPr>
          <w:rFonts w:ascii="Arial" w:hAnsi="Arial" w:cs="Arial"/>
          <w:color w:val="000000"/>
          <w:sz w:val="22"/>
          <w:szCs w:val="22"/>
        </w:rPr>
        <w:t xml:space="preserve">. </w:t>
      </w:r>
      <w:r w:rsidRPr="00720D91">
        <w:rPr>
          <w:rStyle w:val="sb8d990e2"/>
          <w:rFonts w:ascii="Arial" w:eastAsiaTheme="majorEastAsia" w:hAnsi="Arial" w:cs="Arial"/>
          <w:color w:val="000000"/>
          <w:sz w:val="22"/>
          <w:szCs w:val="22"/>
        </w:rPr>
        <w:t xml:space="preserve">La Cour a cependant développé progressivement un certain nombre de principes relatifs à l’octroi d’une indemnité pour dommage moral. La Cour établit une distinction entre les situations où le requérant a subi un traumatisme évident, physique ou psychologique, des douleurs et souffrances, de la détresse, de l’angoisse, de la frustration, des sentiments d’injustice ou d’humiliation, une incertitude prolongée, une perturbation dans sa vie ou une véritable perte de chances, et les situations où la reconnaissance publique, dans un arrêt contraignant pour l’État contractant, du préjudice souffert par le requérant représente en soi une forme efficace de réparation. Dans certaines situations, le constat par la Cour de la non-conformité aux normes de la Convention d’une loi, d’une procédure ou d’une pratique est suffisant pour redresser la situation. Dans d’autres toutefois, l’impact de la violation peut être considéré comme étant d’une nature et d’un degré propres à avoir porté au bien-être moral du requérant une atteinte telle que cette réparation ne suffit pas. Ces éléments ne se prêtent pas à un calcul ou à une quantification précise. La </w:t>
      </w:r>
      <w:r w:rsidRPr="00720D91">
        <w:rPr>
          <w:rStyle w:val="sb8d990e2"/>
          <w:rFonts w:ascii="Arial" w:eastAsiaTheme="majorEastAsia" w:hAnsi="Arial" w:cs="Arial"/>
          <w:color w:val="000000"/>
          <w:sz w:val="22"/>
          <w:szCs w:val="22"/>
        </w:rPr>
        <w:lastRenderedPageBreak/>
        <w:t>Cour n’a pas non plus pour rôle d’agir comme une juridiction nationale appelée, en matière civile, à déterminer les responsabilités et octroyer des dommages-intérêts. Elle est guidée par le principe de l’équité, qui implique avant tout une certaine souplesse et un examen objectif de ce qui est juste, équitable et raisonnable, compte tenu de l’ensemble des circonstances de l’affaire, c’est-à-dire non seulement de la situation du requérant, mais aussi du contexte général dans lequel la violation a été commise. Les indemnités qu’elle alloue pour préjudice moral ont pour objet de reconnaître le fait qu’un dommage moral est résulté de la violation d’un droit fondamental et elles sont chiffrées de manière à refléter approximativement la gravité de ce dommage</w:t>
      </w:r>
      <w:r w:rsidRPr="00720D91">
        <w:rPr>
          <w:rStyle w:val="Appelnotedebasdep"/>
          <w:rFonts w:ascii="Arial" w:hAnsi="Arial" w:cs="Arial"/>
          <w:color w:val="000000"/>
          <w:sz w:val="22"/>
          <w:szCs w:val="22"/>
        </w:rPr>
        <w:footnoteReference w:id="225"/>
      </w:r>
      <w:r w:rsidRPr="00720D91">
        <w:rPr>
          <w:rStyle w:val="sb8d990e2"/>
          <w:rFonts w:ascii="Arial" w:eastAsiaTheme="majorEastAsia" w:hAnsi="Arial" w:cs="Arial"/>
          <w:color w:val="000000"/>
          <w:sz w:val="22"/>
          <w:szCs w:val="22"/>
        </w:rPr>
        <w:t xml:space="preserve">. </w:t>
      </w:r>
    </w:p>
    <w:p w14:paraId="6D93B532" w14:textId="77777777" w:rsidR="00720D91" w:rsidRPr="00720D91" w:rsidRDefault="00720D91" w:rsidP="00720D91">
      <w:pPr>
        <w:spacing w:after="240"/>
        <w:ind w:firstLine="426"/>
        <w:jc w:val="both"/>
        <w:rPr>
          <w:rFonts w:ascii="Arial" w:hAnsi="Arial" w:cs="Arial"/>
          <w:color w:val="000000"/>
          <w:sz w:val="22"/>
          <w:szCs w:val="22"/>
        </w:rPr>
      </w:pPr>
      <w:r w:rsidRPr="00720D91">
        <w:rPr>
          <w:rStyle w:val="sb8d990e2"/>
          <w:rFonts w:ascii="Arial" w:eastAsiaTheme="majorEastAsia" w:hAnsi="Arial" w:cs="Arial"/>
          <w:color w:val="000000"/>
          <w:sz w:val="22"/>
          <w:szCs w:val="22"/>
        </w:rPr>
        <w:t xml:space="preserve">116. En ce qui concerne le calcul du niveau de satisfaction équitable à accorder, la Cour dispose d'un pouvoir discrétionnaire en fonction de ce qu'elle juge équitable. La Cour rappelle à cet égard qu'elle a toujours refusé par le passé d'accorder des dommages et intérêts punitifs ou exemplaires, même lorsque de telles demandes sont formulées par des victimes individuelles d'une pratique administrative. </w:t>
      </w:r>
      <w:r w:rsidRPr="00720D91">
        <w:rPr>
          <w:rStyle w:val="Appelnotedebasdep"/>
          <w:rFonts w:ascii="Arial" w:hAnsi="Arial" w:cs="Arial"/>
          <w:color w:val="000000"/>
          <w:sz w:val="22"/>
          <w:szCs w:val="22"/>
        </w:rPr>
        <w:footnoteReference w:id="226"/>
      </w:r>
    </w:p>
    <w:p w14:paraId="569B1E06" w14:textId="77777777" w:rsidR="00720D91" w:rsidRPr="00720D91" w:rsidRDefault="00720D91" w:rsidP="00720D91">
      <w:pPr>
        <w:pStyle w:val="Titre1"/>
        <w:ind w:firstLine="720"/>
        <w:rPr>
          <w:rFonts w:ascii="Arial" w:hAnsi="Arial" w:cs="Arial"/>
          <w:sz w:val="22"/>
          <w:szCs w:val="22"/>
          <w:lang w:val="fr-FR"/>
        </w:rPr>
      </w:pPr>
      <w:bookmarkStart w:id="76" w:name="_ftnref2"/>
      <w:bookmarkStart w:id="77" w:name="_Toc36049249"/>
      <w:bookmarkStart w:id="78" w:name="_Toc83293819"/>
      <w:bookmarkEnd w:id="76"/>
      <w:r w:rsidRPr="00720D91">
        <w:rPr>
          <w:rFonts w:ascii="Arial" w:hAnsi="Arial" w:cs="Arial"/>
          <w:sz w:val="22"/>
          <w:szCs w:val="22"/>
          <w:lang w:val="fr-FR"/>
        </w:rPr>
        <w:t xml:space="preserve">VIII. </w:t>
      </w:r>
      <w:bookmarkEnd w:id="77"/>
      <w:r w:rsidRPr="00720D91">
        <w:rPr>
          <w:rFonts w:ascii="Arial" w:hAnsi="Arial" w:cs="Arial"/>
          <w:sz w:val="22"/>
          <w:szCs w:val="22"/>
          <w:lang w:val="fr-FR"/>
        </w:rPr>
        <w:t>RÈGLEMENT AMIABLE</w:t>
      </w:r>
      <w:bookmarkEnd w:id="78"/>
      <w:r w:rsidRPr="00720D91">
        <w:rPr>
          <w:rFonts w:ascii="Arial" w:hAnsi="Arial" w:cs="Arial"/>
          <w:sz w:val="22"/>
          <w:szCs w:val="22"/>
          <w:lang w:val="fr-FR"/>
        </w:rPr>
        <w:t xml:space="preserve"> </w:t>
      </w:r>
    </w:p>
    <w:p w14:paraId="17DBA486" w14:textId="77777777" w:rsidR="00720D91" w:rsidRPr="00720D91" w:rsidRDefault="00720D91" w:rsidP="00720D91">
      <w:pPr>
        <w:pStyle w:val="Titre2"/>
        <w:ind w:firstLine="720"/>
        <w:rPr>
          <w:rFonts w:cs="Arial"/>
          <w:bCs w:val="0"/>
          <w:iCs/>
          <w:color w:val="323E4F" w:themeColor="text2" w:themeShade="BF"/>
          <w:sz w:val="22"/>
          <w:szCs w:val="22"/>
          <w:lang w:val="fr-FR"/>
        </w:rPr>
      </w:pPr>
      <w:bookmarkStart w:id="79" w:name="_Toc83293820"/>
      <w:r w:rsidRPr="00720D91">
        <w:rPr>
          <w:rFonts w:cs="Arial"/>
          <w:bCs w:val="0"/>
          <w:iCs/>
          <w:color w:val="323E4F" w:themeColor="text2" w:themeShade="BF"/>
          <w:sz w:val="22"/>
          <w:szCs w:val="22"/>
          <w:lang w:val="fr-FR"/>
        </w:rPr>
        <w:t>1. La pratique de la Cour et possibilités de développement ultérieur</w:t>
      </w:r>
      <w:bookmarkEnd w:id="79"/>
      <w:r w:rsidRPr="00720D91">
        <w:rPr>
          <w:rFonts w:cs="Arial"/>
          <w:bCs w:val="0"/>
          <w:iCs/>
          <w:color w:val="323E4F" w:themeColor="text2" w:themeShade="BF"/>
          <w:sz w:val="22"/>
          <w:szCs w:val="22"/>
          <w:lang w:val="fr-FR"/>
        </w:rPr>
        <w:t xml:space="preserve"> </w:t>
      </w:r>
    </w:p>
    <w:p w14:paraId="60436213" w14:textId="77777777" w:rsidR="00720D91" w:rsidRPr="00720D91" w:rsidRDefault="00720D91" w:rsidP="00720D91">
      <w:pPr>
        <w:pStyle w:val="Sansinterligne"/>
        <w:jc w:val="both"/>
        <w:rPr>
          <w:rFonts w:ascii="Arial" w:hAnsi="Arial" w:cs="Arial"/>
          <w:sz w:val="22"/>
          <w:szCs w:val="22"/>
        </w:rPr>
      </w:pPr>
    </w:p>
    <w:p w14:paraId="141651FD" w14:textId="77777777" w:rsidR="00720D91" w:rsidRPr="00720D91" w:rsidRDefault="00720D91" w:rsidP="00720D91">
      <w:pPr>
        <w:pStyle w:val="Sansinterligne"/>
        <w:ind w:firstLine="284"/>
        <w:jc w:val="both"/>
        <w:rPr>
          <w:rFonts w:ascii="Arial" w:hAnsi="Arial" w:cs="Arial"/>
          <w:sz w:val="22"/>
          <w:szCs w:val="22"/>
        </w:rPr>
      </w:pPr>
      <w:r w:rsidRPr="00720D91">
        <w:rPr>
          <w:rFonts w:ascii="Arial" w:hAnsi="Arial" w:cs="Arial"/>
          <w:sz w:val="22"/>
          <w:szCs w:val="22"/>
        </w:rPr>
        <w:t>117. La Cour peut à tout moment de la procédure, en vertu de l'article 39 de la Convention, se mettre à la disposition des parties concernées en vue d'obtenir un règlement amiable de l'affaire sur la base du respect des droits de l'homme tels que définis dans la Convention et ses Protocoles. La Cour ne raye pas automatiquement une affaire du rôle lorsqu'un règlement amiable a été trouvé. Elle peut en effet décider, en vertu de l'article 37 § 1 de la Convention, de poursuivre l'examen de la requête si le respect des droits de l'homme tels que définis dans la Convention et ses Protocoles l'exige. Le système de la Convention a pour mission, outre le redressement individuel, de « trancher des questions d'ordre public dans l'intérêt commun, élevant ainsi le niveau général de protection des droits de l'homme et étendant la jurisprudence en matière de droits de l'homme à l'ensemble de la communauté des États parties à la Convention ».</w:t>
      </w:r>
      <w:r w:rsidRPr="00720D91">
        <w:rPr>
          <w:rStyle w:val="Appelnotedebasdep"/>
          <w:rFonts w:ascii="Arial" w:hAnsi="Arial" w:cs="Arial"/>
          <w:sz w:val="22"/>
          <w:szCs w:val="22"/>
        </w:rPr>
        <w:footnoteReference w:id="227"/>
      </w:r>
      <w:r w:rsidRPr="00720D91">
        <w:rPr>
          <w:rFonts w:ascii="Arial" w:hAnsi="Arial" w:cs="Arial"/>
          <w:sz w:val="22"/>
          <w:szCs w:val="22"/>
        </w:rPr>
        <w:t xml:space="preserve"> La Cour peut toutefois se satisfaire du contenu d'un accord de règlement amiable, même lorsque l'État  défendeur ne reconnaît pas explicitement une violation de la Convention dans le cas d'espèce, si elle considère qu'elle a précisé la nature et la portée des obligations de l'État  défendeur dans des arrêts antérieurs concernant des questions similaires.</w:t>
      </w:r>
      <w:r w:rsidRPr="00720D91">
        <w:rPr>
          <w:rStyle w:val="Appelnotedebasdep"/>
          <w:rFonts w:ascii="Arial" w:hAnsi="Arial" w:cs="Arial"/>
          <w:sz w:val="22"/>
          <w:szCs w:val="22"/>
        </w:rPr>
        <w:footnoteReference w:id="228"/>
      </w:r>
    </w:p>
    <w:p w14:paraId="37541DA5" w14:textId="77777777" w:rsidR="00720D91" w:rsidRPr="00720D91" w:rsidRDefault="00720D91" w:rsidP="00720D91">
      <w:pPr>
        <w:pStyle w:val="Sansinterligne"/>
        <w:jc w:val="both"/>
        <w:rPr>
          <w:rFonts w:ascii="Arial" w:hAnsi="Arial" w:cs="Arial"/>
          <w:sz w:val="22"/>
          <w:szCs w:val="22"/>
        </w:rPr>
      </w:pPr>
    </w:p>
    <w:p w14:paraId="31020867" w14:textId="77777777" w:rsidR="00720D91" w:rsidRPr="00720D91" w:rsidRDefault="00720D91" w:rsidP="00720D91">
      <w:pPr>
        <w:pStyle w:val="Sansinterligne"/>
        <w:ind w:firstLine="284"/>
        <w:jc w:val="both"/>
        <w:rPr>
          <w:rFonts w:ascii="Arial" w:hAnsi="Arial" w:cs="Arial"/>
          <w:sz w:val="22"/>
          <w:szCs w:val="22"/>
        </w:rPr>
      </w:pPr>
      <w:r w:rsidRPr="00720D91">
        <w:rPr>
          <w:rFonts w:ascii="Arial" w:hAnsi="Arial" w:cs="Arial"/>
          <w:sz w:val="22"/>
          <w:szCs w:val="22"/>
        </w:rPr>
        <w:t xml:space="preserve">118. Les procédures menées dans le cadre d'un règlement amiable sont confidentielles. Si un règlement amiable est conclu et que la Cour décide de rayer l'affaire du rôle par une décision, celle-ci se limite à un bref exposé des faits et de la solution trouvée. La décision est transmise au Comité des Ministres, qui surveille l'exécution des termes du règlement amiable tels qu'ils figurent dans la </w:t>
      </w:r>
      <w:r w:rsidRPr="00720D91">
        <w:rPr>
          <w:rFonts w:ascii="Arial" w:hAnsi="Arial" w:cs="Arial"/>
          <w:sz w:val="22"/>
          <w:szCs w:val="22"/>
          <w:shd w:val="clear" w:color="auto" w:fill="FFFFFF" w:themeFill="background1"/>
        </w:rPr>
        <w:t>décision. Normalement, dans les requêtes individuelles, le</w:t>
      </w:r>
      <w:r w:rsidRPr="00720D91">
        <w:rPr>
          <w:rFonts w:ascii="Arial" w:hAnsi="Arial" w:cs="Arial"/>
          <w:sz w:val="22"/>
          <w:szCs w:val="22"/>
        </w:rPr>
        <w:t xml:space="preserve"> greffier entre en contact avec les parties en vue d'obtenir un règlement amiable dès qu'une requête a été déclarée recevable. </w:t>
      </w:r>
      <w:r w:rsidRPr="00720D91">
        <w:rPr>
          <w:rFonts w:ascii="Arial" w:eastAsiaTheme="minorHAnsi" w:hAnsi="Arial" w:cs="Arial"/>
          <w:color w:val="000000"/>
          <w:sz w:val="22"/>
          <w:szCs w:val="22"/>
          <w:lang w:eastAsia="en-US"/>
        </w:rPr>
        <w:t xml:space="preserve">Les négociations de règlement amiable sont confidentielles et sans préjudice des arguments des parties dans la procédure contentieuse. Aucune communication écrite ou orale, aucune offre ou concession faite dans le cadre de la tentative de règlement </w:t>
      </w:r>
      <w:r w:rsidRPr="00720D91">
        <w:rPr>
          <w:rFonts w:ascii="Arial" w:eastAsiaTheme="minorHAnsi" w:hAnsi="Arial" w:cs="Arial"/>
          <w:color w:val="000000"/>
          <w:sz w:val="22"/>
          <w:szCs w:val="22"/>
          <w:lang w:eastAsia="en-US"/>
        </w:rPr>
        <w:lastRenderedPageBreak/>
        <w:t>amiable ne peut être mentionnée ou invoquée dans la procédure contentieuse.</w:t>
      </w:r>
      <w:r w:rsidRPr="00720D91">
        <w:rPr>
          <w:rStyle w:val="Appelnotedebasdep"/>
          <w:rFonts w:ascii="Arial" w:eastAsiaTheme="minorHAnsi" w:hAnsi="Arial" w:cs="Arial"/>
          <w:color w:val="000000"/>
          <w:sz w:val="22"/>
          <w:szCs w:val="22"/>
          <w:lang w:val="en-US" w:eastAsia="en-US"/>
        </w:rPr>
        <w:footnoteReference w:id="229"/>
      </w:r>
      <w:r w:rsidRPr="00720D91">
        <w:rPr>
          <w:rFonts w:ascii="Arial" w:eastAsiaTheme="minorHAnsi" w:hAnsi="Arial" w:cs="Arial"/>
          <w:color w:val="000000"/>
          <w:sz w:val="22"/>
          <w:szCs w:val="22"/>
          <w:lang w:eastAsia="en-US"/>
        </w:rPr>
        <w:t xml:space="preserve"> </w:t>
      </w:r>
      <w:r w:rsidRPr="00720D91">
        <w:rPr>
          <w:rFonts w:ascii="Arial" w:hAnsi="Arial" w:cs="Arial"/>
          <w:sz w:val="22"/>
          <w:szCs w:val="22"/>
        </w:rPr>
        <w:t xml:space="preserve">Toute violation de la confidentialité de la part du demandeur peut entraîner l'irrecevabilité de l'affaire pour abus du droit de recours. </w:t>
      </w:r>
      <w:r w:rsidRPr="00720D91">
        <w:rPr>
          <w:rStyle w:val="Appelnotedebasdep"/>
          <w:rFonts w:ascii="Arial" w:hAnsi="Arial" w:cs="Arial"/>
          <w:sz w:val="22"/>
          <w:szCs w:val="22"/>
        </w:rPr>
        <w:footnoteReference w:id="230"/>
      </w:r>
    </w:p>
    <w:p w14:paraId="36091981" w14:textId="77777777" w:rsidR="00720D91" w:rsidRPr="00720D91" w:rsidRDefault="00720D91" w:rsidP="00720D91">
      <w:pPr>
        <w:pStyle w:val="Sansinterligne"/>
        <w:jc w:val="both"/>
        <w:rPr>
          <w:rFonts w:ascii="Arial" w:hAnsi="Arial" w:cs="Arial"/>
          <w:sz w:val="22"/>
          <w:szCs w:val="22"/>
        </w:rPr>
      </w:pPr>
    </w:p>
    <w:p w14:paraId="16244BA6" w14:textId="77777777" w:rsidR="00720D91" w:rsidRPr="00720D91" w:rsidRDefault="00720D91" w:rsidP="00720D91">
      <w:pPr>
        <w:pStyle w:val="Sansinterligne"/>
        <w:ind w:firstLine="284"/>
        <w:jc w:val="both"/>
        <w:rPr>
          <w:rFonts w:ascii="Arial" w:hAnsi="Arial" w:cs="Arial"/>
          <w:sz w:val="22"/>
          <w:szCs w:val="22"/>
        </w:rPr>
      </w:pPr>
      <w:r w:rsidRPr="00720D91">
        <w:rPr>
          <w:rFonts w:ascii="Arial" w:hAnsi="Arial" w:cs="Arial"/>
          <w:sz w:val="22"/>
          <w:szCs w:val="22"/>
        </w:rPr>
        <w:t xml:space="preserve">119. En 2020, 1375 requêtes individuelles ont été rayées du rôle par une chambre ou un comité, dans une décision faisant suite à un règlement amiable ce qui représente une diminution de 19% par rapport à 2019 (1668). </w:t>
      </w:r>
      <w:r w:rsidRPr="00720D91">
        <w:rPr>
          <w:rStyle w:val="Appelnotedebasdep"/>
          <w:rFonts w:ascii="Arial" w:hAnsi="Arial" w:cs="Arial"/>
          <w:sz w:val="22"/>
          <w:szCs w:val="22"/>
        </w:rPr>
        <w:footnoteReference w:id="231"/>
      </w:r>
    </w:p>
    <w:p w14:paraId="0976D45C" w14:textId="77777777" w:rsidR="00720D91" w:rsidRPr="00720D91" w:rsidRDefault="00720D91" w:rsidP="00720D91">
      <w:pPr>
        <w:pStyle w:val="Sansinterligne"/>
        <w:jc w:val="both"/>
        <w:rPr>
          <w:rFonts w:ascii="Arial" w:hAnsi="Arial" w:cs="Arial"/>
          <w:sz w:val="22"/>
          <w:szCs w:val="22"/>
        </w:rPr>
      </w:pPr>
    </w:p>
    <w:p w14:paraId="2EBD719D" w14:textId="77777777" w:rsidR="00720D91" w:rsidRPr="00720D91" w:rsidRDefault="00720D91" w:rsidP="00720D91">
      <w:pPr>
        <w:pStyle w:val="Sansinterligne"/>
        <w:ind w:firstLine="284"/>
        <w:jc w:val="both"/>
        <w:rPr>
          <w:rFonts w:ascii="Arial" w:hAnsi="Arial" w:cs="Arial"/>
          <w:sz w:val="22"/>
          <w:szCs w:val="22"/>
        </w:rPr>
      </w:pPr>
      <w:r w:rsidRPr="00720D91">
        <w:rPr>
          <w:rFonts w:ascii="Arial" w:hAnsi="Arial" w:cs="Arial"/>
          <w:sz w:val="22"/>
          <w:szCs w:val="22"/>
        </w:rPr>
        <w:t xml:space="preserve">120. En ce qui concerne plus particulièrement les procédures interétatiques, il convient de noter qu'un certain nombre d'entre elles ont été clôturées à la suite d'accords politiques ou de règlements conclus par les parties. Ces affaires remontent à l'époque où la Commission opérait. Dans l'affaire </w:t>
      </w:r>
      <w:r w:rsidRPr="00720D91">
        <w:rPr>
          <w:rFonts w:ascii="Arial" w:hAnsi="Arial" w:cs="Arial"/>
          <w:i/>
          <w:sz w:val="22"/>
          <w:szCs w:val="22"/>
        </w:rPr>
        <w:t>Grèce c. Royaume-Uni (I)</w:t>
      </w:r>
      <w:r w:rsidRPr="00720D91">
        <w:rPr>
          <w:rFonts w:ascii="Arial" w:hAnsi="Arial" w:cs="Arial"/>
          <w:sz w:val="22"/>
          <w:szCs w:val="22"/>
        </w:rPr>
        <w:t>, la Sous-commission a invité les Parties à examiner les possibilités d'un règlement amiable, conformément à l'article 28 § b) (actuel article 39) de la Convention, mais ces efforts n'ont pas abouti.</w:t>
      </w:r>
      <w:r w:rsidRPr="00720D91">
        <w:rPr>
          <w:rStyle w:val="Appelnotedebasdep"/>
          <w:rFonts w:ascii="Arial" w:hAnsi="Arial" w:cs="Arial"/>
          <w:sz w:val="22"/>
          <w:szCs w:val="22"/>
          <w:lang w:val="en-US"/>
        </w:rPr>
        <w:footnoteReference w:id="232"/>
      </w:r>
      <w:r w:rsidRPr="00720D91">
        <w:rPr>
          <w:rFonts w:ascii="Arial" w:hAnsi="Arial" w:cs="Arial"/>
          <w:sz w:val="22"/>
          <w:szCs w:val="22"/>
        </w:rPr>
        <w:t xml:space="preserve"> Dans son rapport établi en vertu de l'ancien article 31 § 3 de la Convention, la Commission a déclaré qu'à la suite de ses diverses décisions, la question de la formulation de propositions spécifiques en vue de remédier à toute violation de la Convention ne se pose pas dans le cas concret.</w:t>
      </w:r>
      <w:r w:rsidRPr="00720D91">
        <w:rPr>
          <w:rStyle w:val="Appelnotedebasdep"/>
          <w:rFonts w:ascii="Arial" w:hAnsi="Arial" w:cs="Arial"/>
          <w:sz w:val="22"/>
          <w:szCs w:val="22"/>
          <w:lang w:val="en-US"/>
        </w:rPr>
        <w:footnoteReference w:id="233"/>
      </w:r>
      <w:r w:rsidRPr="00720D91">
        <w:rPr>
          <w:rFonts w:ascii="Arial" w:hAnsi="Arial" w:cs="Arial"/>
          <w:sz w:val="22"/>
          <w:szCs w:val="22"/>
        </w:rPr>
        <w:t xml:space="preserve"> La Commission a noté que la pleine jouissance des droits de l'homme à Chypre est étroitement liée à la solution des problèmes politiques plus larges relatifs au statut constitutionnel de l'île. Une fois ces problèmes politiques résolus, aucune raison ne devrait subsister pour ne pas donner effet aux droits de l'homme et à la liberté à Chypre. Certains des facteurs que la Commission a considérés comme constituant un danger public menaçant la vie de la nation au sens de l'article 15 de la Convention semblent également être à l'origine des divergences politiques plus larges. La Commission a conclu en exprimant la ferme conviction que le Comité des Ministres du Conseil de l'Europe ne pouvait pas contribuer davantage à rétablir la pleine et entière jouissance des droits de l'homme à Chypre qu'en prêtant son concours à la promotion d'un règlement du problème chypriote dans tous ses aspects, conformément à l'esprit d'une véritable démocratie. Le rapport a ensuite été transmis au </w:t>
      </w:r>
      <w:r w:rsidRPr="00720D91">
        <w:rPr>
          <w:rFonts w:ascii="Arial" w:hAnsi="Arial" w:cs="Arial"/>
          <w:color w:val="000000" w:themeColor="text1"/>
          <w:sz w:val="22"/>
          <w:szCs w:val="22"/>
        </w:rPr>
        <w:t xml:space="preserve">Comité des Ministres qui, ayant pris note du règlement définitif de la question chypriote intervenu depuis lors, a décidé qu'aucune autre action n'était nécessaire. </w:t>
      </w:r>
      <w:r w:rsidRPr="00720D91">
        <w:rPr>
          <w:rStyle w:val="Appelnotedebasdep"/>
          <w:rFonts w:ascii="Arial" w:hAnsi="Arial" w:cs="Arial"/>
          <w:color w:val="000000" w:themeColor="text1"/>
          <w:sz w:val="22"/>
          <w:szCs w:val="22"/>
          <w:lang w:val="en-US"/>
        </w:rPr>
        <w:footnoteReference w:id="234"/>
      </w:r>
    </w:p>
    <w:p w14:paraId="34BC639C" w14:textId="77777777" w:rsidR="00720D91" w:rsidRPr="00720D91" w:rsidRDefault="00720D91" w:rsidP="00720D91">
      <w:pPr>
        <w:pStyle w:val="Sansinterligne"/>
        <w:jc w:val="both"/>
        <w:rPr>
          <w:rFonts w:ascii="Arial" w:hAnsi="Arial" w:cs="Arial"/>
          <w:sz w:val="22"/>
          <w:szCs w:val="22"/>
        </w:rPr>
      </w:pPr>
    </w:p>
    <w:p w14:paraId="3A462DC4" w14:textId="77777777" w:rsidR="00720D91" w:rsidRPr="00720D91" w:rsidRDefault="00720D91" w:rsidP="00720D91">
      <w:pPr>
        <w:pStyle w:val="Sansinterligne"/>
        <w:ind w:firstLine="284"/>
        <w:jc w:val="both"/>
        <w:rPr>
          <w:rFonts w:ascii="Arial" w:hAnsi="Arial"/>
          <w:sz w:val="22"/>
          <w:szCs w:val="22"/>
        </w:rPr>
      </w:pPr>
      <w:r w:rsidRPr="00720D91">
        <w:rPr>
          <w:rFonts w:ascii="Arial" w:hAnsi="Arial" w:cs="Arial"/>
          <w:sz w:val="22"/>
          <w:szCs w:val="22"/>
        </w:rPr>
        <w:t xml:space="preserve">121. Dans l'affaire </w:t>
      </w:r>
      <w:r w:rsidRPr="00720D91">
        <w:rPr>
          <w:rFonts w:ascii="Arial" w:hAnsi="Arial"/>
          <w:i/>
          <w:iCs/>
          <w:color w:val="000000" w:themeColor="text1"/>
          <w:sz w:val="22"/>
          <w:szCs w:val="22"/>
        </w:rPr>
        <w:t xml:space="preserve">Grèce c. Royaume-Uni </w:t>
      </w:r>
      <w:r w:rsidRPr="00720D91">
        <w:rPr>
          <w:rFonts w:ascii="Arial" w:hAnsi="Arial"/>
          <w:color w:val="000000" w:themeColor="text1"/>
          <w:sz w:val="22"/>
          <w:szCs w:val="22"/>
        </w:rPr>
        <w:t>(II)</w:t>
      </w:r>
      <w:r w:rsidRPr="00720D91">
        <w:rPr>
          <w:rStyle w:val="Appelnotedebasdep"/>
          <w:rFonts w:ascii="Arial" w:hAnsi="Arial"/>
          <w:sz w:val="22"/>
          <w:szCs w:val="22"/>
          <w:lang w:val="en-US"/>
        </w:rPr>
        <w:footnoteReference w:id="235"/>
      </w:r>
      <w:r w:rsidRPr="00720D91">
        <w:rPr>
          <w:rFonts w:ascii="Arial" w:hAnsi="Arial"/>
          <w:color w:val="000000" w:themeColor="text1"/>
          <w:sz w:val="22"/>
          <w:szCs w:val="22"/>
        </w:rPr>
        <w:t xml:space="preserve"> </w:t>
      </w:r>
      <w:r w:rsidRPr="00720D91">
        <w:rPr>
          <w:rFonts w:ascii="Arial" w:hAnsi="Arial"/>
          <w:sz w:val="22"/>
          <w:szCs w:val="22"/>
        </w:rPr>
        <w:t>la Commission a finalisé son rapport en indiquant que l'affaire ne semblait pas relever exactement de l'ancien article 30 ou de l'article 31 de la Convention. Avant la fin de l'examen de la requête, la Grèce et le Royaume-Uni, agissant de concert, ont demandé à la Commission d'autoriser la clôture de la procédure en raison « d'un changement fondamental dans la situation de l'île par la conclusion de l'Accord de Zurich et de Londres pour le règlement définitif du problème de Chypre ». Eu égard à la demande des Parties et notamment à l'importance du règlement politique intervenu à Zurich et à Londres comme moyen de rendre au peuple chypriote la pleine et parfaite jouissance de ses droits et libertés, et eu égard aux informations reçues selon lesquelles les dispositions de la Convention sont à nouveau pleinement exécutées à Chypre, la Commission a décidé de clore la procédure et de faire rapport de cette décision au Comité des Ministres.</w:t>
      </w:r>
      <w:r w:rsidRPr="00720D91">
        <w:rPr>
          <w:rStyle w:val="Appelnotedebasdep"/>
          <w:rFonts w:ascii="Arial" w:hAnsi="Arial"/>
          <w:sz w:val="22"/>
          <w:szCs w:val="22"/>
          <w:lang w:val="en-US"/>
        </w:rPr>
        <w:footnoteReference w:id="236"/>
      </w:r>
      <w:r w:rsidRPr="00720D91">
        <w:rPr>
          <w:rFonts w:ascii="Arial" w:hAnsi="Arial"/>
          <w:sz w:val="22"/>
          <w:szCs w:val="22"/>
        </w:rPr>
        <w:t xml:space="preserve"> Le rapport de la Commission a été rendu public par le Comité des Ministres en 2006.</w:t>
      </w:r>
      <w:r w:rsidRPr="00720D91">
        <w:rPr>
          <w:rStyle w:val="Appelnotedebasdep"/>
          <w:rFonts w:ascii="Arial" w:hAnsi="Arial"/>
          <w:sz w:val="22"/>
          <w:szCs w:val="22"/>
          <w:lang w:val="en-US"/>
        </w:rPr>
        <w:footnoteReference w:id="237"/>
      </w:r>
      <w:r w:rsidRPr="00720D91">
        <w:rPr>
          <w:rFonts w:ascii="Arial" w:hAnsi="Arial"/>
          <w:sz w:val="22"/>
          <w:szCs w:val="22"/>
        </w:rPr>
        <w:t xml:space="preserve"> Le Comité des </w:t>
      </w:r>
      <w:r w:rsidRPr="00720D91">
        <w:rPr>
          <w:rFonts w:ascii="Arial" w:hAnsi="Arial"/>
          <w:sz w:val="22"/>
          <w:szCs w:val="22"/>
        </w:rPr>
        <w:lastRenderedPageBreak/>
        <w:t xml:space="preserve">Ministres, ayant pris note des raisons pour lesquelles la Commission, à la demande des Parties, a décidé de clore la procédure sans entrer dans le fond de la demande, eu égard, en particulier, aux Accords de Zurich et de Londres pour le règlement définitif du problème de Chypre, a décidé qu'aucune autre action n'était requise. </w:t>
      </w:r>
      <w:r w:rsidRPr="00720D91">
        <w:rPr>
          <w:rStyle w:val="Appelnotedebasdep"/>
          <w:rFonts w:ascii="Arial" w:hAnsi="Arial"/>
          <w:bCs/>
          <w:sz w:val="22"/>
          <w:szCs w:val="22"/>
        </w:rPr>
        <w:footnoteReference w:id="238"/>
      </w:r>
    </w:p>
    <w:p w14:paraId="315686BB" w14:textId="77777777" w:rsidR="00720D91" w:rsidRPr="00720D91" w:rsidRDefault="00720D91" w:rsidP="00720D91">
      <w:pPr>
        <w:pStyle w:val="Sansinterligne"/>
        <w:rPr>
          <w:sz w:val="22"/>
          <w:szCs w:val="22"/>
        </w:rPr>
      </w:pPr>
    </w:p>
    <w:p w14:paraId="1E4BE106" w14:textId="40F309D0" w:rsidR="00720D91" w:rsidRPr="00720D91" w:rsidRDefault="00720D91" w:rsidP="00720D91">
      <w:pPr>
        <w:pStyle w:val="Commentaire"/>
        <w:ind w:firstLine="284"/>
        <w:jc w:val="both"/>
        <w:rPr>
          <w:rFonts w:ascii="&amp;quot" w:eastAsia="Times New Roman" w:hAnsi="&amp;quot"/>
          <w:bCs w:val="0"/>
          <w:color w:val="333333"/>
          <w:sz w:val="22"/>
          <w:szCs w:val="22"/>
          <w:lang w:val="fr-FR"/>
        </w:rPr>
      </w:pPr>
      <w:r w:rsidRPr="00720D91">
        <w:rPr>
          <w:rFonts w:ascii="Arial" w:eastAsia="Times New Roman" w:hAnsi="Arial"/>
          <w:sz w:val="22"/>
          <w:szCs w:val="22"/>
          <w:lang w:val="fr-FR"/>
        </w:rPr>
        <w:t xml:space="preserve">122. Une </w:t>
      </w:r>
      <w:r w:rsidRPr="00720D91">
        <w:rPr>
          <w:rFonts w:ascii="Arial" w:hAnsi="Arial"/>
          <w:sz w:val="22"/>
          <w:szCs w:val="22"/>
          <w:lang w:val="fr-FR"/>
        </w:rPr>
        <w:t xml:space="preserve">autre affaire a été réglée par les Parties, à savoir la requête introduite par le </w:t>
      </w:r>
      <w:r w:rsidRPr="00720D91">
        <w:rPr>
          <w:rFonts w:ascii="Arial" w:hAnsi="Arial"/>
          <w:i/>
          <w:sz w:val="22"/>
          <w:szCs w:val="22"/>
          <w:lang w:val="fr-FR"/>
        </w:rPr>
        <w:t>Danemark, la Norvège, la Suède contre la Grèce (la deuxième affaire grecque)</w:t>
      </w:r>
      <w:r w:rsidRPr="00720D91">
        <w:rPr>
          <w:rFonts w:ascii="Arial" w:hAnsi="Arial"/>
          <w:sz w:val="22"/>
          <w:szCs w:val="22"/>
          <w:lang w:val="fr-FR"/>
        </w:rPr>
        <w:t>. Cette affaire concerne les poursuites pénales engagées contre 34 personnes accusées d'activités subversives et le procès subséquent devant la cour martiale extraordinaire, pendant la dictature militaire. Les gouvernements requérants alléguaient des violations des articles 3 et 6 de la Convention.</w:t>
      </w:r>
      <w:r w:rsidRPr="00720D91">
        <w:rPr>
          <w:rStyle w:val="Appelnotedebasdep"/>
          <w:rFonts w:ascii="Arial" w:hAnsi="Arial"/>
          <w:sz w:val="22"/>
          <w:szCs w:val="22"/>
          <w:lang w:val="en-US"/>
        </w:rPr>
        <w:footnoteReference w:id="239"/>
      </w:r>
      <w:r w:rsidRPr="00720D91">
        <w:rPr>
          <w:rFonts w:ascii="Arial" w:hAnsi="Arial"/>
          <w:sz w:val="22"/>
          <w:szCs w:val="22"/>
          <w:lang w:val="fr-FR"/>
        </w:rPr>
        <w:t xml:space="preserve"> A la suite de la dénonciation de la Convection par la Grèce et de la cessation de sa qualité de Partie à la Convention le 13 juin 1970, la Commission a déclaré qu'elle ne pouvait poursuivre ses fonctions de manière adéquate. Le Comité des Ministres a pris note du rapport de la Commission en 1971. Toutefois, le 28 novembre 1974, après le rétablissement de la démocratie, la Grèce a réintégré le Conseil de l'Europe et est redevenue Partie contractante. Par la suite, toutes les Parties ont demandé à la Commission de clore la procédure. Les gouvernements requérants ont présumé que toutes les personnes concernées n'étaient plus détenues ou emprisonnées. La Commission a donc décidé d'accéder aux demandes concordantes des Parties de clore la procédure et de rayer la requête de son rôle. </w:t>
      </w:r>
      <w:r w:rsidRPr="00720D91">
        <w:rPr>
          <w:rStyle w:val="Appelnotedebasdep"/>
          <w:rFonts w:ascii="Arial" w:hAnsi="Arial"/>
          <w:sz w:val="22"/>
          <w:szCs w:val="22"/>
          <w:lang w:val="en-US"/>
        </w:rPr>
        <w:footnoteReference w:id="240"/>
      </w:r>
    </w:p>
    <w:p w14:paraId="60045F32" w14:textId="77777777" w:rsidR="00720D91" w:rsidRPr="00720D91" w:rsidRDefault="00720D91" w:rsidP="00720D91">
      <w:pPr>
        <w:pStyle w:val="Commentaire"/>
        <w:ind w:firstLine="284"/>
        <w:jc w:val="both"/>
        <w:rPr>
          <w:rFonts w:ascii="Arial" w:hAnsi="Arial"/>
          <w:sz w:val="22"/>
          <w:szCs w:val="22"/>
          <w:lang w:val="fr-FR"/>
        </w:rPr>
      </w:pPr>
      <w:r w:rsidRPr="00720D91">
        <w:rPr>
          <w:rFonts w:ascii="Arial" w:eastAsia="Times New Roman" w:hAnsi="Arial"/>
          <w:sz w:val="22"/>
          <w:szCs w:val="22"/>
          <w:lang w:val="fr-FR"/>
        </w:rPr>
        <w:t xml:space="preserve">123. </w:t>
      </w:r>
      <w:r w:rsidRPr="00720D91">
        <w:rPr>
          <w:rFonts w:ascii="Arial" w:hAnsi="Arial"/>
          <w:sz w:val="22"/>
          <w:szCs w:val="22"/>
          <w:lang w:val="fr-FR"/>
        </w:rPr>
        <w:t xml:space="preserve">En 1982, le premier règlement amiable a été conclu conformément à l'ex-article 28 § b) dans l'affaire </w:t>
      </w:r>
      <w:r w:rsidRPr="00720D91">
        <w:rPr>
          <w:rFonts w:ascii="Arial" w:hAnsi="Arial"/>
          <w:i/>
          <w:sz w:val="22"/>
          <w:szCs w:val="22"/>
          <w:lang w:val="fr-FR"/>
        </w:rPr>
        <w:t>Danemark, France, Norvège, Suède et Pays-Bas c. Turquie</w:t>
      </w:r>
      <w:r w:rsidRPr="00720D91">
        <w:rPr>
          <w:rFonts w:ascii="Arial" w:hAnsi="Arial"/>
          <w:sz w:val="22"/>
          <w:szCs w:val="22"/>
          <w:lang w:val="fr-FR"/>
        </w:rPr>
        <w:t>.</w:t>
      </w:r>
      <w:r w:rsidRPr="00720D91">
        <w:rPr>
          <w:rStyle w:val="Appelnotedebasdep"/>
          <w:rFonts w:ascii="Arial" w:hAnsi="Arial"/>
          <w:sz w:val="22"/>
          <w:szCs w:val="22"/>
          <w:lang w:val="en-US"/>
        </w:rPr>
        <w:footnoteReference w:id="241"/>
      </w:r>
      <w:r w:rsidRPr="00720D91">
        <w:rPr>
          <w:rFonts w:ascii="Arial" w:hAnsi="Arial"/>
          <w:sz w:val="22"/>
          <w:szCs w:val="22"/>
          <w:lang w:val="fr-FR"/>
        </w:rPr>
        <w:t xml:space="preserve"> Les requêtes concernaient la situation en Turquie entre le 12 septembre 1980 et le 1er juillet 1982. Les gouvernements requérants alléguaient des violations des articles 3 de la Convention (torture et traitements inhumains et dégradants des détenus constituant une pratique systématique), 5 et 6 (détention et poursuites pénales sous la loi martiale) et 9, 10 et 11 (restrictions aux partis politiques, aux syndicats et à la presse).La Commission a déclaré la requête recevable en 1983.</w:t>
      </w:r>
      <w:r w:rsidRPr="00720D91">
        <w:rPr>
          <w:rStyle w:val="Appelnotedebasdep"/>
          <w:rFonts w:ascii="Arial" w:hAnsi="Arial"/>
          <w:sz w:val="22"/>
          <w:szCs w:val="22"/>
          <w:lang w:val="en-US"/>
        </w:rPr>
        <w:footnoteReference w:id="242"/>
      </w:r>
      <w:r w:rsidRPr="00720D91">
        <w:rPr>
          <w:rFonts w:ascii="Arial" w:hAnsi="Arial"/>
          <w:sz w:val="22"/>
          <w:szCs w:val="22"/>
          <w:lang w:val="fr-FR"/>
        </w:rPr>
        <w:t xml:space="preserve"> En 1985, les Parties ont présenté, à la lumière de l'évolution de la situation en Turquie en vue de rétablir une démocratie effective et d'assurer le respect de la Convention, leur proposition conjointe de règlement de l'affaire et ont informé la Commission qu'elles étaient parvenues à un règlement amiable. La Commission a décidé de mettre fin à la procédure contentieuse au titre de l'ancien article 28 b).</w:t>
      </w:r>
      <w:r w:rsidRPr="00720D91">
        <w:rPr>
          <w:rStyle w:val="Appelnotedebasdep"/>
          <w:rFonts w:ascii="Arial" w:hAnsi="Arial"/>
          <w:sz w:val="22"/>
          <w:szCs w:val="22"/>
          <w:lang w:val="en-US"/>
        </w:rPr>
        <w:footnoteReference w:id="243"/>
      </w:r>
      <w:r w:rsidRPr="00720D91">
        <w:rPr>
          <w:rFonts w:ascii="Arial" w:hAnsi="Arial"/>
          <w:sz w:val="22"/>
          <w:szCs w:val="22"/>
          <w:lang w:val="fr-FR"/>
        </w:rPr>
        <w:t xml:space="preserve"> Elle a noté en particulier un certain nombre de mesures prises par la Turquie en ce qui concerne les poursuites pénales et les condamnations dans des affaires de torture, la levée progressive de la loi martiale dans le pays et le fait que le règlement amiable prévoyait de nouveaux progrès en ce qui concerne les questions soulevées dans l'affaire, à savoir les conditions et les procédures de détention, la poursuite de la mise en œuvre des droits et libertés individuels et la question de l'amnistie. Notant la volonté des cinq gouvernements candidats, y compris les mesures prises par la Turquie en vue de rétablir une démocratie effective et d'assurer le respect des droits et libertés énoncés dans la Convention, et tenant compte en particulier du fait que les termes de l'accord prévoient de nouveaux progrès et une information continue de la Commission. Par conséquent, elle a conclu que le règlement obtenu était garanti, au sens de l'article 28 § b. </w:t>
      </w:r>
    </w:p>
    <w:p w14:paraId="22C4EDF6" w14:textId="77777777" w:rsidR="00720D91" w:rsidRPr="00720D91" w:rsidRDefault="00720D91" w:rsidP="00720D91">
      <w:pPr>
        <w:pStyle w:val="Commentaire"/>
        <w:ind w:firstLine="284"/>
        <w:jc w:val="both"/>
        <w:rPr>
          <w:rFonts w:ascii="Arial" w:hAnsi="Arial"/>
          <w:sz w:val="22"/>
          <w:szCs w:val="22"/>
          <w:lang w:val="fr-FR"/>
        </w:rPr>
      </w:pPr>
    </w:p>
    <w:p w14:paraId="77E9C650" w14:textId="77777777" w:rsidR="00720D91" w:rsidRPr="00720D91" w:rsidRDefault="00720D91" w:rsidP="00720D91">
      <w:pPr>
        <w:pStyle w:val="Sansinterligne"/>
        <w:ind w:firstLine="284"/>
        <w:jc w:val="both"/>
        <w:rPr>
          <w:rFonts w:ascii="Arial" w:hAnsi="Arial" w:cs="Arial"/>
          <w:sz w:val="22"/>
          <w:szCs w:val="22"/>
        </w:rPr>
      </w:pPr>
      <w:r w:rsidRPr="00720D91">
        <w:rPr>
          <w:rFonts w:ascii="Arial" w:hAnsi="Arial" w:cs="Arial"/>
          <w:sz w:val="22"/>
          <w:szCs w:val="22"/>
        </w:rPr>
        <w:lastRenderedPageBreak/>
        <w:t xml:space="preserve">124. La Cour a accepté le règlement amiable conclu entre les Parties dans l'affaire interétatique </w:t>
      </w:r>
      <w:r w:rsidRPr="00720D91">
        <w:rPr>
          <w:rFonts w:ascii="Arial" w:hAnsi="Arial" w:cs="Arial"/>
          <w:i/>
          <w:sz w:val="22"/>
          <w:szCs w:val="22"/>
        </w:rPr>
        <w:t>Danemark c. Turquie</w:t>
      </w:r>
      <w:r w:rsidRPr="00720D91">
        <w:rPr>
          <w:rFonts w:ascii="Arial" w:hAnsi="Arial" w:cs="Arial"/>
          <w:sz w:val="22"/>
          <w:szCs w:val="22"/>
        </w:rPr>
        <w:t>.</w:t>
      </w:r>
      <w:r w:rsidRPr="00720D91">
        <w:rPr>
          <w:rFonts w:ascii="Arial" w:hAnsi="Arial" w:cs="Arial"/>
          <w:bCs/>
          <w:iCs/>
          <w:sz w:val="22"/>
          <w:szCs w:val="22"/>
        </w:rPr>
        <w:t xml:space="preserve"> </w:t>
      </w:r>
      <w:r w:rsidRPr="00720D91">
        <w:rPr>
          <w:rStyle w:val="Appelnotedebasdep"/>
          <w:rFonts w:ascii="Arial" w:hAnsi="Arial" w:cs="Arial"/>
          <w:bCs/>
          <w:iCs/>
          <w:sz w:val="22"/>
          <w:szCs w:val="22"/>
        </w:rPr>
        <w:footnoteReference w:id="244"/>
      </w:r>
      <w:r w:rsidRPr="00720D91">
        <w:rPr>
          <w:rFonts w:ascii="Arial" w:hAnsi="Arial" w:cs="Arial"/>
          <w:sz w:val="22"/>
          <w:szCs w:val="22"/>
        </w:rPr>
        <w:t xml:space="preserve"> </w:t>
      </w:r>
      <w:r w:rsidRPr="00720D91">
        <w:rPr>
          <w:rFonts w:ascii="Arial" w:hAnsi="Arial" w:cs="Arial"/>
          <w:color w:val="000000" w:themeColor="text1"/>
          <w:sz w:val="22"/>
          <w:szCs w:val="22"/>
        </w:rPr>
        <w:t xml:space="preserve">Le Gouvernement requérant a introduit une requête interétatique contre la Turquie alléguant les mauvais traitements subis par un citoyen danois pendant sa détention en Turquie, en violation de l'article 3 de la Convention. En 1999, la Cour a déclaré la requête recevable. En 2000, les agents des gouvernements danois et turc ont soumis des déclarations formelles selon lesquelles ils étaient parvenus à un règlement amiable, en vertu de l'article 39 de la Convention. </w:t>
      </w:r>
      <w:r w:rsidRPr="00720D91">
        <w:rPr>
          <w:rFonts w:ascii="Arial" w:hAnsi="Arial" w:cs="Arial"/>
          <w:sz w:val="22"/>
          <w:szCs w:val="22"/>
        </w:rPr>
        <w:t xml:space="preserve">La Cour a pris note du règlement amiable intervenu entre les parties en observant que les parties avaient convenu du versement d'une somme d'argent au gouvernement requérant, qu'une déclaration de regret avait été faite par le gouvernement défendeur, que des modifications avaient été apportées au cadre juridique et administratif turc en réponse à la torture et aux mauvais traitements et que le gouvernement défendeur s'était engagé à apporter de nouvelles améliorations concernant la survenance d'incidents de torture et de mauvais traitements et à poursuivre sa coopération avec les organes internationaux de défense des droits de l'homme, en particulier le Comité européen pour la prévention de la torture et des peines ou traitements inhumains ou dégradants. </w:t>
      </w:r>
      <w:r w:rsidRPr="00720D91">
        <w:rPr>
          <w:rStyle w:val="Appelnotedebasdep"/>
          <w:rFonts w:ascii="Arial" w:hAnsi="Arial" w:cs="Arial"/>
          <w:bCs/>
          <w:iCs/>
          <w:sz w:val="22"/>
          <w:szCs w:val="22"/>
        </w:rPr>
        <w:footnoteReference w:id="245"/>
      </w:r>
    </w:p>
    <w:p w14:paraId="5E69E3FF" w14:textId="77777777" w:rsidR="00720D91" w:rsidRPr="00720D91" w:rsidRDefault="00720D91" w:rsidP="00720D91">
      <w:pPr>
        <w:pStyle w:val="Sansinterligne"/>
        <w:ind w:firstLine="284"/>
        <w:jc w:val="both"/>
        <w:rPr>
          <w:rFonts w:ascii="Arial" w:hAnsi="Arial" w:cs="Arial"/>
          <w:sz w:val="22"/>
          <w:szCs w:val="22"/>
        </w:rPr>
      </w:pPr>
    </w:p>
    <w:p w14:paraId="1F5C8E12" w14:textId="77777777" w:rsidR="00720D91" w:rsidRPr="00720D91" w:rsidRDefault="00720D91" w:rsidP="00720D91">
      <w:pPr>
        <w:pStyle w:val="Sansinterligne"/>
        <w:ind w:firstLine="284"/>
        <w:jc w:val="both"/>
        <w:rPr>
          <w:rFonts w:ascii="Arial" w:hAnsi="Arial" w:cs="Arial"/>
          <w:sz w:val="22"/>
          <w:szCs w:val="22"/>
        </w:rPr>
      </w:pPr>
      <w:r w:rsidRPr="00720D91">
        <w:rPr>
          <w:rFonts w:ascii="Arial" w:hAnsi="Arial" w:cs="Arial"/>
          <w:sz w:val="22"/>
          <w:szCs w:val="22"/>
        </w:rPr>
        <w:t>125. Certains auteurs ont fait valoir que si la faisabilité des règlements amiables en tant que solution aux affaires interétatiques dépend de la nature de la requête et que la Cour n'est peut-être pas en mesure d'assumer un rôle de premier plan dans les négociations de règlements amiables, elle peut néanmoins apporter son aide en donnant l'impulsion initiale et en créant un cadre approprié pour les négociations.</w:t>
      </w:r>
      <w:r w:rsidRPr="00720D91">
        <w:rPr>
          <w:rStyle w:val="Appelnotedebasdep"/>
          <w:rFonts w:ascii="Arial" w:hAnsi="Arial" w:cs="Arial"/>
          <w:bCs/>
          <w:iCs/>
          <w:sz w:val="22"/>
          <w:szCs w:val="22"/>
        </w:rPr>
        <w:footnoteReference w:id="246"/>
      </w:r>
      <w:r w:rsidRPr="00720D91">
        <w:rPr>
          <w:rFonts w:ascii="Arial" w:hAnsi="Arial" w:cs="Arial"/>
          <w:bCs/>
          <w:iCs/>
          <w:sz w:val="22"/>
          <w:szCs w:val="22"/>
        </w:rPr>
        <w:t xml:space="preserve"> </w:t>
      </w:r>
      <w:r w:rsidRPr="00720D91">
        <w:rPr>
          <w:rFonts w:ascii="Arial" w:hAnsi="Arial" w:cs="Arial"/>
          <w:sz w:val="22"/>
          <w:szCs w:val="22"/>
        </w:rPr>
        <w:t>Les caractéristiques les plus essentielles de l'assistance de la Cour seraient de fournir aux parties une stabilité procédurale et un cadre équilibré comme point de départ de leurs négociations. Pour ce faire, il faudrait établir une feuille de route définissant les éléments nécessaires et un calendrier clair pour les négociations. Cette feuille de route devrait être standardisée afin de pouvoir être adaptée aux différentes situations et d'alléger autant que possible la charge de travail de la Cour. La conduite des négociations incomberait aux États parties eux-mêmes.</w:t>
      </w:r>
      <w:r w:rsidRPr="00720D91">
        <w:rPr>
          <w:rFonts w:ascii="Arial" w:hAnsi="Arial" w:cs="Arial"/>
          <w:bCs/>
          <w:iCs/>
          <w:sz w:val="22"/>
          <w:szCs w:val="22"/>
        </w:rPr>
        <w:t xml:space="preserve"> </w:t>
      </w:r>
      <w:r w:rsidRPr="00720D91">
        <w:rPr>
          <w:rStyle w:val="Appelnotedebasdep"/>
          <w:rFonts w:ascii="Arial" w:hAnsi="Arial" w:cs="Arial"/>
          <w:bCs/>
          <w:iCs/>
          <w:sz w:val="22"/>
          <w:szCs w:val="22"/>
        </w:rPr>
        <w:footnoteReference w:id="247"/>
      </w:r>
      <w:r w:rsidRPr="00720D91">
        <w:rPr>
          <w:rFonts w:ascii="Arial" w:hAnsi="Arial" w:cs="Arial"/>
          <w:sz w:val="22"/>
          <w:szCs w:val="22"/>
        </w:rPr>
        <w:t xml:space="preserve"> Dans cette optique, la feuille de route de la Cour pourrait également inclure des modèles de règlement amiable dans le cadre de requêtes individuelles relatives à des requêtes interétatiques, selon lesquels les requérants seraient incités à accepter un règlement amiable en se voyant proposer une somme d'argent légèrement supérieure à celle qu'offrirait un jugement de violation. Afin de rendre ce mécanisme aussi efficace que possible, il faudrait inclure dans le règlement amiable interétatique une clause selon laquelle les États parties devraient fortement encourager les personnes concernées à accepter le modèle de règlement amiable. </w:t>
      </w:r>
      <w:r w:rsidRPr="00720D91">
        <w:rPr>
          <w:rStyle w:val="Appelnotedebasdep"/>
          <w:rFonts w:ascii="Arial" w:hAnsi="Arial" w:cs="Arial"/>
          <w:bCs/>
          <w:iCs/>
          <w:sz w:val="22"/>
          <w:szCs w:val="22"/>
        </w:rPr>
        <w:footnoteReference w:id="248"/>
      </w:r>
      <w:r w:rsidRPr="00720D91">
        <w:rPr>
          <w:rFonts w:ascii="Arial" w:hAnsi="Arial" w:cs="Arial"/>
          <w:bCs/>
          <w:iCs/>
          <w:sz w:val="22"/>
          <w:szCs w:val="22"/>
        </w:rPr>
        <w:t xml:space="preserve"> </w:t>
      </w:r>
      <w:r w:rsidRPr="00720D91">
        <w:rPr>
          <w:rFonts w:ascii="Arial" w:hAnsi="Arial" w:cs="Arial"/>
          <w:sz w:val="22"/>
          <w:szCs w:val="22"/>
        </w:rPr>
        <w:t xml:space="preserve">   </w:t>
      </w:r>
    </w:p>
    <w:p w14:paraId="3CC3199D" w14:textId="77777777" w:rsidR="00720D91" w:rsidRPr="00E46CFB" w:rsidRDefault="00720D91" w:rsidP="00720D91">
      <w:pPr>
        <w:pStyle w:val="Titre2"/>
        <w:ind w:firstLine="284"/>
        <w:rPr>
          <w:rFonts w:cs="Arial"/>
          <w:sz w:val="22"/>
          <w:szCs w:val="22"/>
          <w:lang w:val="fr-FR"/>
        </w:rPr>
      </w:pPr>
      <w:bookmarkStart w:id="80" w:name="_Toc73539135"/>
      <w:bookmarkStart w:id="81" w:name="_Toc83293821"/>
      <w:r w:rsidRPr="00E46CFB">
        <w:rPr>
          <w:rFonts w:cs="Arial"/>
          <w:sz w:val="22"/>
          <w:szCs w:val="22"/>
          <w:lang w:val="fr-FR"/>
        </w:rPr>
        <w:t>2.  Autres aspects</w:t>
      </w:r>
      <w:bookmarkEnd w:id="80"/>
      <w:bookmarkEnd w:id="81"/>
      <w:r w:rsidRPr="00E46CFB">
        <w:rPr>
          <w:rFonts w:cs="Arial"/>
          <w:sz w:val="22"/>
          <w:szCs w:val="22"/>
          <w:lang w:val="fr-FR"/>
        </w:rPr>
        <w:t xml:space="preserve"> </w:t>
      </w:r>
    </w:p>
    <w:p w14:paraId="23BA640B" w14:textId="77777777" w:rsidR="00720D91" w:rsidRPr="00720D91" w:rsidRDefault="00720D91" w:rsidP="00720D91">
      <w:pPr>
        <w:pStyle w:val="Sansinterligne"/>
        <w:jc w:val="both"/>
        <w:rPr>
          <w:rFonts w:ascii="Arial" w:hAnsi="Arial" w:cs="Arial"/>
          <w:bCs/>
          <w:iCs/>
          <w:sz w:val="22"/>
          <w:szCs w:val="22"/>
        </w:rPr>
      </w:pPr>
    </w:p>
    <w:p w14:paraId="409CC2D4" w14:textId="77777777" w:rsidR="00720D91" w:rsidRPr="00720D91" w:rsidRDefault="00720D91" w:rsidP="00720D91">
      <w:pPr>
        <w:pStyle w:val="Sansinterligne"/>
        <w:ind w:firstLine="284"/>
        <w:jc w:val="both"/>
        <w:rPr>
          <w:rFonts w:ascii="Arial" w:hAnsi="Arial" w:cs="Arial"/>
          <w:i/>
          <w:sz w:val="22"/>
          <w:szCs w:val="22"/>
        </w:rPr>
      </w:pPr>
      <w:r w:rsidRPr="00720D91">
        <w:rPr>
          <w:rFonts w:ascii="Arial" w:hAnsi="Arial" w:cs="Arial"/>
          <w:bCs/>
          <w:iCs/>
          <w:sz w:val="22"/>
          <w:szCs w:val="22"/>
        </w:rPr>
        <w:t xml:space="preserve">126. Lorsqu'un requérant a refusé les termes d'une proposition de règlement amiable conformément à l'article 52 du règlement de la Cour, la Partie concernée peut déposer auprès de la Cour une demande de radiation de la requête conformément à l'article 37 § 1 de la Convention. Cette demande doit être accompagnée d'une </w:t>
      </w:r>
      <w:r w:rsidRPr="00720D91">
        <w:rPr>
          <w:rFonts w:ascii="Arial" w:hAnsi="Arial" w:cs="Arial"/>
          <w:b/>
          <w:i/>
          <w:sz w:val="22"/>
          <w:szCs w:val="22"/>
        </w:rPr>
        <w:t>déclaration unilatérale</w:t>
      </w:r>
      <w:r w:rsidRPr="00720D91">
        <w:rPr>
          <w:rFonts w:ascii="Arial" w:hAnsi="Arial" w:cs="Arial"/>
          <w:bCs/>
          <w:iCs/>
          <w:sz w:val="22"/>
          <w:szCs w:val="22"/>
        </w:rPr>
        <w:t xml:space="preserve"> au titre de l'article 62 A du règlement de la Cour, reconnaissant qu'il y a eu violation de la Convention dans le cas du requérant, ainsi que d'un engagement à fournir une réparation adéquate et, le cas échéant, à prendre les mesures correctives nécessaires. La présentation d'une déclaration unilatérale est publique et la </w:t>
      </w:r>
      <w:r w:rsidRPr="00720D91">
        <w:rPr>
          <w:rFonts w:ascii="Arial" w:hAnsi="Arial" w:cs="Arial"/>
          <w:sz w:val="22"/>
          <w:szCs w:val="22"/>
        </w:rPr>
        <w:t>procédure contradictoire est menée séparément de toute procédure de règlement amiable et dans le respect de la confidentialité de celle-ci</w:t>
      </w:r>
      <w:r w:rsidRPr="00720D91">
        <w:rPr>
          <w:rFonts w:ascii="Arial" w:hAnsi="Arial" w:cs="Arial"/>
          <w:bCs/>
          <w:iCs/>
          <w:sz w:val="22"/>
          <w:szCs w:val="22"/>
        </w:rPr>
        <w:t xml:space="preserve">. Exceptionnellement, une requête et la déclaration qui l'accompagne peuvent être déposées auprès de la Cour même en l'absence de tentative préalable de règlement amiable. La Cour </w:t>
      </w:r>
      <w:r w:rsidRPr="00720D91">
        <w:rPr>
          <w:rFonts w:ascii="Arial" w:hAnsi="Arial" w:cs="Arial"/>
          <w:sz w:val="22"/>
          <w:szCs w:val="22"/>
        </w:rPr>
        <w:lastRenderedPageBreak/>
        <w:t xml:space="preserve">peut rayer une requête de son rôle </w:t>
      </w:r>
      <w:r w:rsidRPr="00720D91">
        <w:rPr>
          <w:rFonts w:ascii="Arial" w:hAnsi="Arial" w:cs="Arial"/>
          <w:bCs/>
          <w:iCs/>
          <w:sz w:val="22"/>
          <w:szCs w:val="22"/>
        </w:rPr>
        <w:t xml:space="preserve">si elle </w:t>
      </w:r>
      <w:r w:rsidRPr="00720D91">
        <w:rPr>
          <w:rFonts w:ascii="Arial" w:hAnsi="Arial" w:cs="Arial"/>
          <w:sz w:val="22"/>
          <w:szCs w:val="22"/>
        </w:rPr>
        <w:t xml:space="preserve">estime que la déclaration offre une base suffisante pour considérer que le respect des droits de l'homme tels que définis dans la Convention et ses Protocoles n'exige pas qu'elle poursuive l'examen de la requête. </w:t>
      </w:r>
    </w:p>
    <w:p w14:paraId="58EB07C5" w14:textId="77777777" w:rsidR="00720D91" w:rsidRPr="00720D91" w:rsidRDefault="00720D91" w:rsidP="00720D91">
      <w:pPr>
        <w:pStyle w:val="Sansinterligne"/>
        <w:jc w:val="both"/>
        <w:rPr>
          <w:rFonts w:ascii="Arial" w:hAnsi="Arial" w:cs="Arial"/>
          <w:i/>
          <w:sz w:val="22"/>
          <w:szCs w:val="22"/>
        </w:rPr>
      </w:pPr>
    </w:p>
    <w:p w14:paraId="4B95F8B7" w14:textId="77777777" w:rsidR="00720D91" w:rsidRPr="00720D91" w:rsidRDefault="00720D91" w:rsidP="00720D91">
      <w:pPr>
        <w:pStyle w:val="Sansinterligne"/>
        <w:ind w:firstLine="284"/>
        <w:jc w:val="both"/>
        <w:rPr>
          <w:rStyle w:val="sb8d990e2"/>
          <w:rFonts w:ascii="Arial" w:eastAsiaTheme="majorEastAsia" w:hAnsi="Arial" w:cs="Arial"/>
          <w:color w:val="000000"/>
          <w:sz w:val="22"/>
          <w:szCs w:val="22"/>
        </w:rPr>
      </w:pPr>
      <w:r w:rsidRPr="00720D91">
        <w:rPr>
          <w:rFonts w:ascii="Arial" w:hAnsi="Arial" w:cs="Arial"/>
          <w:sz w:val="22"/>
          <w:szCs w:val="22"/>
        </w:rPr>
        <w:t xml:space="preserve">127. </w:t>
      </w:r>
      <w:r w:rsidRPr="00720D91">
        <w:rPr>
          <w:rStyle w:val="sb8d990e2"/>
          <w:rFonts w:ascii="Arial" w:eastAsiaTheme="majorEastAsia" w:hAnsi="Arial" w:cs="Arial"/>
          <w:color w:val="000000"/>
          <w:sz w:val="22"/>
          <w:szCs w:val="22"/>
        </w:rPr>
        <w:t>Dans le cadre de requêtes individuelles, la Cour a considéré que, dans certaines circonstances, il peut être approprié de rejeter une requête au titre de l'article 37 § 1 c) de la Convention sur la base d'une déclaration unilatérale du gouvernement défendeur. À cet égard, pour déterminer si la déclaration unilatérale offre une base suffisante pour conclure au respect des droits de l'homme tels que définis dans la Convention, la Cour examinera un certain nombre de facteurs tels que le fait que les faits soient contestés entre les parties, l'existence d'une reconnaissance de responsabilité pour toute violation de la Convention alléguée par le requérant, la prise en compte adéquate des griefs du requérant au titre de la Convention.</w:t>
      </w:r>
      <w:r w:rsidRPr="00720D91">
        <w:rPr>
          <w:rStyle w:val="Appelnotedebasdep"/>
          <w:rFonts w:ascii="Arial" w:hAnsi="Arial" w:cs="Arial"/>
          <w:color w:val="000000"/>
          <w:sz w:val="22"/>
          <w:szCs w:val="22"/>
          <w:lang w:val="en-US"/>
        </w:rPr>
        <w:footnoteReference w:id="249"/>
      </w:r>
      <w:r w:rsidRPr="00720D91">
        <w:rPr>
          <w:rStyle w:val="sb8d990e2"/>
          <w:rFonts w:ascii="Arial" w:eastAsiaTheme="majorEastAsia" w:hAnsi="Arial" w:cs="Arial"/>
          <w:color w:val="000000"/>
          <w:sz w:val="22"/>
          <w:szCs w:val="22"/>
        </w:rPr>
        <w:t xml:space="preserve"> En outre, la Cour rejette les demandes de radiation du rôle sur la base de déclarations unilatérales lorsqu'elle considère la nature sérieuse des allégations de violations des droits de l'homme </w:t>
      </w:r>
      <w:r w:rsidRPr="00720D91">
        <w:rPr>
          <w:rStyle w:val="Appelnotedebasdep"/>
          <w:rFonts w:ascii="Arial" w:hAnsi="Arial" w:cs="Arial"/>
          <w:color w:val="000000"/>
          <w:sz w:val="22"/>
          <w:szCs w:val="22"/>
          <w:lang w:val="en-US"/>
        </w:rPr>
        <w:footnoteReference w:id="250"/>
      </w:r>
      <w:r w:rsidRPr="00720D91">
        <w:rPr>
          <w:rStyle w:val="sb8d990e2"/>
          <w:rFonts w:ascii="Arial" w:eastAsiaTheme="majorEastAsia" w:hAnsi="Arial" w:cs="Arial"/>
          <w:color w:val="000000"/>
          <w:sz w:val="22"/>
          <w:szCs w:val="22"/>
        </w:rPr>
        <w:t xml:space="preserve"> ou que l'acceptation de la demande contribuerait à maintenir la situation inchangée sans garantie qu'une solution soit trouvée dans un avenir proche, ce qui n'aiderait pas la Cour à remplir son rôle au titre de l'article 19 de la Convention, à savoir veiller au respect des engagements pris par les Hautes Parties contractantes dans la Convention et ses Protocoles. </w:t>
      </w:r>
      <w:r w:rsidRPr="00720D91">
        <w:rPr>
          <w:rStyle w:val="Appelnotedebasdep"/>
          <w:rFonts w:ascii="Arial" w:hAnsi="Arial" w:cs="Arial"/>
          <w:color w:val="000000"/>
          <w:sz w:val="22"/>
          <w:szCs w:val="22"/>
          <w:lang w:val="en-US"/>
        </w:rPr>
        <w:footnoteReference w:id="251"/>
      </w:r>
    </w:p>
    <w:p w14:paraId="537370C0" w14:textId="77777777" w:rsidR="00720D91" w:rsidRPr="00720D91" w:rsidRDefault="00720D91" w:rsidP="00720D91">
      <w:pPr>
        <w:pStyle w:val="Sansinterligne"/>
        <w:jc w:val="both"/>
        <w:rPr>
          <w:rStyle w:val="sb8d990e2"/>
          <w:rFonts w:ascii="Arial" w:eastAsiaTheme="majorEastAsia" w:hAnsi="Arial" w:cs="Arial"/>
          <w:color w:val="000000"/>
          <w:sz w:val="22"/>
          <w:szCs w:val="22"/>
        </w:rPr>
      </w:pPr>
    </w:p>
    <w:p w14:paraId="0EB961A6" w14:textId="77777777" w:rsidR="00720D91" w:rsidRPr="00720D91" w:rsidRDefault="00720D91" w:rsidP="00720D91">
      <w:pPr>
        <w:pStyle w:val="Sansinterligne"/>
        <w:ind w:firstLine="284"/>
        <w:jc w:val="both"/>
        <w:rPr>
          <w:rFonts w:ascii="Arial" w:hAnsi="Arial" w:cs="Arial"/>
          <w:sz w:val="22"/>
          <w:szCs w:val="22"/>
        </w:rPr>
      </w:pPr>
      <w:r w:rsidRPr="00720D91">
        <w:rPr>
          <w:rFonts w:ascii="Arial" w:hAnsi="Arial" w:cs="Arial"/>
          <w:sz w:val="22"/>
          <w:szCs w:val="22"/>
        </w:rPr>
        <w:t xml:space="preserve">128. Le nombre de déclarations unilatérales en 2020 était de 402, soit une diminution de 73% par rapport à 2019, avec 1 511 déclarations. </w:t>
      </w:r>
      <w:r w:rsidRPr="00720D91">
        <w:rPr>
          <w:rStyle w:val="Appelnotedebasdep"/>
          <w:rFonts w:ascii="Arial" w:hAnsi="Arial" w:cs="Arial"/>
          <w:sz w:val="22"/>
          <w:szCs w:val="22"/>
        </w:rPr>
        <w:footnoteReference w:id="252"/>
      </w:r>
    </w:p>
    <w:p w14:paraId="78E3E65B" w14:textId="77777777" w:rsidR="00720D91" w:rsidRPr="00720D91" w:rsidRDefault="00720D91" w:rsidP="00720D91">
      <w:pPr>
        <w:pStyle w:val="Sansinterligne"/>
        <w:jc w:val="both"/>
        <w:rPr>
          <w:rFonts w:ascii="Arial" w:hAnsi="Arial" w:cs="Arial"/>
          <w:sz w:val="22"/>
          <w:szCs w:val="22"/>
        </w:rPr>
      </w:pPr>
    </w:p>
    <w:p w14:paraId="5A093515" w14:textId="77777777" w:rsidR="00720D91" w:rsidRPr="00720D91" w:rsidRDefault="00720D91" w:rsidP="00720D91">
      <w:pPr>
        <w:pStyle w:val="Sansinterligne"/>
        <w:ind w:firstLine="284"/>
        <w:jc w:val="both"/>
        <w:rPr>
          <w:rFonts w:ascii="Arial" w:hAnsi="Arial" w:cs="Arial"/>
          <w:sz w:val="22"/>
          <w:szCs w:val="22"/>
        </w:rPr>
      </w:pPr>
      <w:r w:rsidRPr="00720D91">
        <w:rPr>
          <w:rFonts w:ascii="Arial" w:hAnsi="Arial" w:cs="Arial"/>
          <w:sz w:val="22"/>
          <w:szCs w:val="22"/>
        </w:rPr>
        <w:t xml:space="preserve">129. En ce qui concerne les requêtes individuelles relatives à des conflits interétatiques, on peut mentionner </w:t>
      </w:r>
      <w:r w:rsidRPr="00720D91">
        <w:rPr>
          <w:rFonts w:ascii="Arial" w:hAnsi="Arial" w:cs="Arial"/>
          <w:b/>
          <w:bCs/>
          <w:i/>
          <w:iCs/>
          <w:sz w:val="22"/>
          <w:szCs w:val="22"/>
        </w:rPr>
        <w:t>l'arrêt pilote</w:t>
      </w:r>
      <w:r w:rsidRPr="00720D91">
        <w:rPr>
          <w:rFonts w:ascii="Arial" w:hAnsi="Arial" w:cs="Arial"/>
          <w:sz w:val="22"/>
          <w:szCs w:val="22"/>
        </w:rPr>
        <w:t xml:space="preserve"> dans l'affaire </w:t>
      </w:r>
      <w:r w:rsidRPr="00720D91">
        <w:rPr>
          <w:rFonts w:ascii="Arial" w:hAnsi="Arial" w:cs="Arial"/>
          <w:i/>
          <w:iCs/>
          <w:sz w:val="22"/>
          <w:szCs w:val="22"/>
        </w:rPr>
        <w:t>Xenides-Arestis c. Turquie</w:t>
      </w:r>
      <w:r w:rsidRPr="00720D91">
        <w:rPr>
          <w:rFonts w:ascii="Arial" w:hAnsi="Arial" w:cs="Arial"/>
          <w:sz w:val="22"/>
          <w:szCs w:val="22"/>
        </w:rPr>
        <w:t>.</w:t>
      </w:r>
      <w:r w:rsidRPr="00720D91">
        <w:rPr>
          <w:rStyle w:val="Appelnotedebasdep"/>
          <w:rFonts w:ascii="Arial" w:hAnsi="Arial" w:cs="Arial"/>
          <w:sz w:val="22"/>
          <w:szCs w:val="22"/>
          <w:lang w:val="en-US"/>
        </w:rPr>
        <w:footnoteReference w:id="253"/>
      </w:r>
      <w:r w:rsidRPr="00720D91">
        <w:rPr>
          <w:rFonts w:ascii="Arial" w:hAnsi="Arial" w:cs="Arial"/>
          <w:color w:val="000000"/>
          <w:sz w:val="22"/>
          <w:szCs w:val="22"/>
          <w:shd w:val="clear" w:color="auto" w:fill="FFFFFF"/>
        </w:rPr>
        <w:t xml:space="preserve"> La </w:t>
      </w:r>
      <w:r w:rsidRPr="00720D91">
        <w:rPr>
          <w:rFonts w:ascii="Arial" w:hAnsi="Arial" w:cs="Arial"/>
          <w:sz w:val="22"/>
          <w:szCs w:val="22"/>
        </w:rPr>
        <w:t xml:space="preserve">Cour a estimé que la </w:t>
      </w:r>
      <w:r w:rsidRPr="00720D91">
        <w:rPr>
          <w:rFonts w:ascii="Arial" w:hAnsi="Arial" w:cs="Arial"/>
          <w:color w:val="000000"/>
          <w:sz w:val="22"/>
          <w:szCs w:val="22"/>
          <w:shd w:val="clear" w:color="auto" w:fill="FFFFFF"/>
        </w:rPr>
        <w:t xml:space="preserve">violation des droits de la requérante au titre de l'article 8 de la Convention et de l'article 1 du Protocole n° 1 trouvait son origine dans un problème généralisé touchant un grand nombre de personnes, à savoir l'entrave injustifiée au « respect de son domicile » et à la « jouissance paisible de ses biens » dans le cadre de la politique de la « République turque de Chypre du Nord » («  RTCN »). </w:t>
      </w:r>
      <w:r w:rsidRPr="00720D91">
        <w:rPr>
          <w:rStyle w:val="Appelnotedebasdep"/>
          <w:rFonts w:ascii="Arial" w:hAnsi="Arial" w:cs="Arial"/>
          <w:sz w:val="22"/>
          <w:szCs w:val="22"/>
          <w:lang w:val="en-US"/>
        </w:rPr>
        <w:footnoteReference w:id="254"/>
      </w:r>
      <w:r w:rsidRPr="00720D91">
        <w:rPr>
          <w:rFonts w:ascii="Arial" w:hAnsi="Arial" w:cs="Arial"/>
          <w:color w:val="000000"/>
          <w:sz w:val="22"/>
          <w:szCs w:val="22"/>
          <w:shd w:val="clear" w:color="auto" w:fill="FFFFFF"/>
        </w:rPr>
        <w:t xml:space="preserve"> À cet égard, elle a noté qu'environ 1 400 affaires sur les droits de propriété étaient pendantes devant elle, intentées principalement par des Chypriotes grecs contre la Turquie.</w:t>
      </w:r>
      <w:r w:rsidRPr="00720D91">
        <w:rPr>
          <w:rStyle w:val="Appelnotedebasdep"/>
          <w:rFonts w:ascii="Arial" w:hAnsi="Arial" w:cs="Arial"/>
          <w:sz w:val="22"/>
          <w:szCs w:val="22"/>
          <w:lang w:val="en-US"/>
        </w:rPr>
        <w:footnoteReference w:id="255"/>
      </w:r>
      <w:r w:rsidRPr="00720D91">
        <w:rPr>
          <w:rFonts w:ascii="Arial" w:hAnsi="Arial" w:cs="Arial"/>
          <w:color w:val="000000"/>
          <w:sz w:val="22"/>
          <w:szCs w:val="22"/>
          <w:shd w:val="clear" w:color="auto" w:fill="FFFFFF"/>
        </w:rPr>
        <w:t xml:space="preserve">  La Cour estime que l'État défendeur doit mettre en place un recours qui assure une réparation réellement effective des violations de la Convention identifiées dans l'arrêt à l'égard du requérant actuel ainsi que de toutes les requêtes similaires pendantes devant lui, conformément aux principes de protection des droits énoncés à l'article 8 de la Convention et à l'article 1 du Protocole n° 1 et conformément à sa décision de recevabilité du 14 mars 2005. Ce recours devrait être ouvert dans un délai de trois mois à compter de la date du prononcé de l'arrêt et la réparation devrait être accordée trois mois plus tard. </w:t>
      </w:r>
      <w:r w:rsidRPr="00720D91">
        <w:rPr>
          <w:rStyle w:val="Appelnotedebasdep"/>
          <w:rFonts w:ascii="Arial" w:hAnsi="Arial" w:cs="Arial"/>
          <w:sz w:val="22"/>
          <w:szCs w:val="22"/>
          <w:lang w:val="en-US"/>
        </w:rPr>
        <w:footnoteReference w:id="256"/>
      </w:r>
    </w:p>
    <w:p w14:paraId="2E464291" w14:textId="77777777" w:rsidR="00720D91" w:rsidRPr="00720D91" w:rsidRDefault="00720D91" w:rsidP="00720D91">
      <w:pPr>
        <w:pStyle w:val="Sansinterligne"/>
        <w:jc w:val="both"/>
        <w:rPr>
          <w:rFonts w:ascii="Arial" w:hAnsi="Arial" w:cs="Arial"/>
          <w:sz w:val="22"/>
          <w:szCs w:val="22"/>
        </w:rPr>
      </w:pPr>
    </w:p>
    <w:p w14:paraId="587489A5" w14:textId="77777777" w:rsidR="00720D91" w:rsidRPr="00720D91" w:rsidRDefault="00720D91" w:rsidP="00720D91">
      <w:pPr>
        <w:pStyle w:val="Sansinterligne"/>
        <w:ind w:firstLine="284"/>
        <w:jc w:val="both"/>
        <w:rPr>
          <w:rStyle w:val="sb8d990e2"/>
          <w:rFonts w:ascii="Arial" w:eastAsiaTheme="majorEastAsia" w:hAnsi="Arial" w:cs="Arial"/>
          <w:b/>
          <w:bCs/>
          <w:color w:val="FF0000"/>
          <w:sz w:val="22"/>
          <w:szCs w:val="22"/>
          <w:shd w:val="clear" w:color="auto" w:fill="D9D9D9" w:themeFill="background1" w:themeFillShade="D9"/>
        </w:rPr>
      </w:pPr>
      <w:r w:rsidRPr="00720D91">
        <w:rPr>
          <w:rFonts w:ascii="Arial" w:hAnsi="Arial" w:cs="Arial"/>
          <w:sz w:val="22"/>
          <w:szCs w:val="22"/>
        </w:rPr>
        <w:t xml:space="preserve">130. </w:t>
      </w:r>
      <w:r w:rsidRPr="00720D91">
        <w:rPr>
          <w:rFonts w:ascii="Arial" w:hAnsi="Arial" w:cs="Arial"/>
          <w:color w:val="000000" w:themeColor="text1"/>
          <w:sz w:val="22"/>
          <w:szCs w:val="22"/>
        </w:rPr>
        <w:t xml:space="preserve">Suite à l'arrêt pilote dans l'affaire </w:t>
      </w:r>
      <w:r w:rsidRPr="00720D91">
        <w:rPr>
          <w:rFonts w:ascii="Arial" w:hAnsi="Arial" w:cs="Arial"/>
          <w:i/>
          <w:iCs/>
          <w:color w:val="000000" w:themeColor="text1"/>
          <w:sz w:val="22"/>
          <w:szCs w:val="22"/>
        </w:rPr>
        <w:t>Xenides Arestis</w:t>
      </w:r>
      <w:r w:rsidRPr="00720D91">
        <w:rPr>
          <w:rFonts w:ascii="Arial" w:hAnsi="Arial" w:cs="Arial"/>
          <w:color w:val="000000" w:themeColor="text1"/>
          <w:sz w:val="22"/>
          <w:szCs w:val="22"/>
          <w:shd w:val="clear" w:color="auto" w:fill="FFFFFF"/>
        </w:rPr>
        <w:t xml:space="preserve">, une Commission des biens immobiliers (IPC) a été créée dans la partie nord de Chypre en vertu de la loi n° 67/2005 sur l'indemnisation, l'échange ou la restitution des biens immobiliers. </w:t>
      </w:r>
      <w:r w:rsidRPr="00720D91">
        <w:rPr>
          <w:rStyle w:val="sc916d4d3"/>
          <w:rFonts w:ascii="Arial" w:hAnsi="Arial" w:cs="Arial"/>
          <w:color w:val="000000" w:themeColor="text1"/>
          <w:sz w:val="22"/>
          <w:szCs w:val="22"/>
          <w:shd w:val="clear" w:color="auto" w:fill="FFFFFF"/>
        </w:rPr>
        <w:t xml:space="preserve">Dans sa décision </w:t>
      </w:r>
      <w:r w:rsidRPr="00720D91">
        <w:rPr>
          <w:rStyle w:val="sc916d4d3"/>
          <w:rFonts w:ascii="Arial" w:hAnsi="Arial" w:cs="Arial"/>
          <w:color w:val="000000" w:themeColor="text1"/>
          <w:sz w:val="22"/>
          <w:szCs w:val="22"/>
          <w:shd w:val="clear" w:color="auto" w:fill="FFFFFF"/>
        </w:rPr>
        <w:lastRenderedPageBreak/>
        <w:t xml:space="preserve">d'irrecevabilité dans l'affaire </w:t>
      </w:r>
      <w:r w:rsidRPr="00720D91">
        <w:rPr>
          <w:rStyle w:val="s9e48bbcd"/>
          <w:rFonts w:ascii="Arial" w:hAnsi="Arial" w:cs="Arial"/>
          <w:i/>
          <w:iCs/>
          <w:color w:val="000000" w:themeColor="text1"/>
          <w:sz w:val="22"/>
          <w:szCs w:val="22"/>
          <w:shd w:val="clear" w:color="auto" w:fill="FFFFFF"/>
        </w:rPr>
        <w:t xml:space="preserve">Demopoulos et autres c. Turquie, la </w:t>
      </w:r>
      <w:r w:rsidRPr="00720D91">
        <w:rPr>
          <w:rStyle w:val="sc916d4d3"/>
          <w:rFonts w:ascii="Arial" w:hAnsi="Arial" w:cs="Arial"/>
          <w:color w:val="000000" w:themeColor="text1"/>
          <w:sz w:val="22"/>
          <w:szCs w:val="22"/>
          <w:shd w:val="clear" w:color="auto" w:fill="FFFFFF"/>
        </w:rPr>
        <w:t xml:space="preserve">Cour a estimé que la loi n° 67/2005 « fournit un cadre de recours accessible et efficace en ce qui concerne les plaintes pour ingérence dans les biens appartenant à des Chypriotes grecs ». </w:t>
      </w:r>
      <w:r w:rsidRPr="00720D91">
        <w:rPr>
          <w:rStyle w:val="Appelnotedebasdep"/>
          <w:rFonts w:ascii="Arial" w:hAnsi="Arial" w:cs="Arial"/>
          <w:color w:val="000000" w:themeColor="text1"/>
          <w:sz w:val="22"/>
          <w:szCs w:val="22"/>
        </w:rPr>
        <w:footnoteReference w:id="257"/>
      </w:r>
      <w:r w:rsidRPr="00720D91">
        <w:rPr>
          <w:rStyle w:val="sb8d990e2"/>
          <w:rFonts w:ascii="Arial" w:eastAsiaTheme="majorEastAsia" w:hAnsi="Arial" w:cs="Arial"/>
          <w:color w:val="000000"/>
          <w:sz w:val="22"/>
          <w:szCs w:val="22"/>
          <w:shd w:val="clear" w:color="auto" w:fill="FFFFFF"/>
        </w:rPr>
        <w:t xml:space="preserve"> </w:t>
      </w:r>
      <w:r w:rsidRPr="00720D91">
        <w:rPr>
          <w:rFonts w:ascii="Arial" w:hAnsi="Arial" w:cs="Arial"/>
          <w:sz w:val="22"/>
          <w:szCs w:val="22"/>
          <w:lang w:eastAsia="en-US"/>
        </w:rPr>
        <w:t xml:space="preserve">Dans l'affaire interétatique </w:t>
      </w:r>
      <w:r w:rsidRPr="00720D91">
        <w:rPr>
          <w:rFonts w:ascii="Arial" w:hAnsi="Arial" w:cs="Arial"/>
          <w:i/>
          <w:sz w:val="22"/>
          <w:szCs w:val="22"/>
          <w:lang w:eastAsia="en-US"/>
        </w:rPr>
        <w:t xml:space="preserve">Chypre c. Turquie </w:t>
      </w:r>
      <w:r w:rsidRPr="00720D91">
        <w:rPr>
          <w:rFonts w:ascii="Arial" w:hAnsi="Arial" w:cs="Arial"/>
          <w:sz w:val="22"/>
          <w:szCs w:val="22"/>
          <w:lang w:eastAsia="en-US"/>
        </w:rPr>
        <w:t xml:space="preserve">le 12 </w:t>
      </w:r>
      <w:r w:rsidRPr="00720D91">
        <w:rPr>
          <w:rFonts w:ascii="Arial" w:hAnsi="Arial" w:cs="Arial"/>
          <w:sz w:val="22"/>
          <w:szCs w:val="22"/>
        </w:rPr>
        <w:t xml:space="preserve">mai </w:t>
      </w:r>
      <w:r w:rsidRPr="00720D91">
        <w:rPr>
          <w:rFonts w:ascii="Arial" w:hAnsi="Arial" w:cs="Arial"/>
          <w:sz w:val="22"/>
          <w:szCs w:val="22"/>
          <w:lang w:eastAsia="en-US"/>
        </w:rPr>
        <w:t>2014, l</w:t>
      </w:r>
      <w:r w:rsidRPr="00720D91">
        <w:rPr>
          <w:rStyle w:val="sb8d990e2"/>
          <w:rFonts w:ascii="Arial" w:eastAsiaTheme="majorEastAsia" w:hAnsi="Arial" w:cs="Arial"/>
          <w:color w:val="000000"/>
          <w:sz w:val="22"/>
          <w:szCs w:val="22"/>
          <w:shd w:val="clear" w:color="auto" w:fill="FFFFFF"/>
        </w:rPr>
        <w:t xml:space="preserve">a Cour a estimé que la décision dans l'affaire </w:t>
      </w:r>
      <w:r w:rsidRPr="00720D91">
        <w:rPr>
          <w:rStyle w:val="s6b621b36"/>
          <w:rFonts w:ascii="Arial" w:eastAsiaTheme="minorEastAsia" w:hAnsi="Arial" w:cs="Arial"/>
          <w:i/>
          <w:iCs/>
          <w:color w:val="000000"/>
          <w:sz w:val="22"/>
          <w:szCs w:val="22"/>
          <w:shd w:val="clear" w:color="auto" w:fill="FFFFFF"/>
        </w:rPr>
        <w:t>Demopoulos et autres</w:t>
      </w:r>
      <w:r w:rsidRPr="00720D91">
        <w:rPr>
          <w:rStyle w:val="sb8d990e2"/>
          <w:rFonts w:ascii="Arial" w:eastAsiaTheme="majorEastAsia" w:hAnsi="Arial" w:cs="Arial"/>
          <w:color w:val="000000"/>
          <w:sz w:val="22"/>
          <w:szCs w:val="22"/>
          <w:shd w:val="clear" w:color="auto" w:fill="FFFFFF"/>
        </w:rPr>
        <w:t>, précitée, selon laquelle les affaires présentées par des particuliers concernant des plaintes pour violation de propriété devaient être rejetées pour non-épuisement des voies de recours internes, ne peut être considérée, prise isolément, comme réglant la question du respect par la Turquie de la partie III du dispositif de l'arrêt principal dans l'affaire interétatique</w:t>
      </w:r>
      <w:r w:rsidRPr="00720D91">
        <w:rPr>
          <w:rStyle w:val="sb8d990e2"/>
          <w:rFonts w:ascii="Arial" w:eastAsiaTheme="majorEastAsia" w:hAnsi="Arial" w:cs="Arial"/>
          <w:sz w:val="22"/>
          <w:szCs w:val="22"/>
          <w:shd w:val="clear" w:color="auto" w:fill="FFFFFF" w:themeFill="background1"/>
        </w:rPr>
        <w:t xml:space="preserve">.» </w:t>
      </w:r>
      <w:r w:rsidRPr="00720D91">
        <w:rPr>
          <w:rStyle w:val="Appelnotedebasdep"/>
          <w:rFonts w:ascii="Arial" w:hAnsi="Arial" w:cs="Arial"/>
          <w:sz w:val="22"/>
          <w:szCs w:val="22"/>
          <w:shd w:val="clear" w:color="auto" w:fill="FFFFFF" w:themeFill="background1"/>
        </w:rPr>
        <w:footnoteReference w:id="258"/>
      </w:r>
    </w:p>
    <w:p w14:paraId="09D15809" w14:textId="77777777" w:rsidR="00720D91" w:rsidRPr="00720D91" w:rsidRDefault="00720D91" w:rsidP="00720D91">
      <w:pPr>
        <w:pStyle w:val="Sansinterligne"/>
        <w:jc w:val="both"/>
        <w:rPr>
          <w:rStyle w:val="sb8d990e2"/>
          <w:rFonts w:ascii="Arial" w:eastAsiaTheme="majorEastAsia" w:hAnsi="Arial" w:cs="Arial"/>
          <w:b/>
          <w:bCs/>
          <w:color w:val="FF0000"/>
          <w:sz w:val="22"/>
          <w:szCs w:val="22"/>
          <w:shd w:val="clear" w:color="auto" w:fill="D9D9D9" w:themeFill="background1" w:themeFillShade="D9"/>
        </w:rPr>
      </w:pPr>
    </w:p>
    <w:p w14:paraId="3F2B039F" w14:textId="77777777" w:rsidR="00720D91" w:rsidRPr="00720D91" w:rsidRDefault="00720D91" w:rsidP="00720D91">
      <w:pPr>
        <w:pStyle w:val="Sansinterligne"/>
        <w:ind w:firstLine="284"/>
        <w:jc w:val="both"/>
        <w:rPr>
          <w:rFonts w:ascii="Arial" w:hAnsi="Arial" w:cs="Arial"/>
          <w:color w:val="000000" w:themeColor="text1"/>
          <w:sz w:val="22"/>
          <w:szCs w:val="22"/>
        </w:rPr>
      </w:pPr>
      <w:r w:rsidRPr="00720D91">
        <w:rPr>
          <w:rFonts w:ascii="Arial" w:hAnsi="Arial" w:cs="Arial"/>
          <w:color w:val="000000" w:themeColor="text1"/>
          <w:sz w:val="22"/>
          <w:szCs w:val="22"/>
        </w:rPr>
        <w:t>131. Le potentiel de la procédure d’arrêt pilote dans les affaires liées à des conflits interétatiques en tant que moyen de faciliter leur règlement amiable est une voie qui mérite d’être davantage explorée. La procédure d’arrêt pilote a été développée et est utilisée par la Cour lorsque les faits d’une requête révèlent l’existence d’un problème systémique ou structurel ou d’un autre dysfonctionnement similaire dans l’État concerné qui a donné lieu ou pourrait donner lieu à des requêtes similaires.</w:t>
      </w:r>
      <w:r w:rsidRPr="00720D91">
        <w:rPr>
          <w:rStyle w:val="Appelnotedebasdep"/>
          <w:rFonts w:ascii="Arial" w:hAnsi="Arial" w:cs="Arial"/>
          <w:color w:val="000000" w:themeColor="text1"/>
          <w:sz w:val="22"/>
          <w:szCs w:val="22"/>
        </w:rPr>
        <w:footnoteReference w:id="259"/>
      </w:r>
      <w:r w:rsidRPr="00720D91">
        <w:rPr>
          <w:rFonts w:ascii="Arial" w:hAnsi="Arial" w:cs="Arial"/>
          <w:color w:val="000000" w:themeColor="text1"/>
          <w:sz w:val="22"/>
          <w:szCs w:val="22"/>
        </w:rPr>
        <w:t xml:space="preserve"> </w:t>
      </w:r>
    </w:p>
    <w:p w14:paraId="7036C6FF" w14:textId="77777777" w:rsidR="00720D91" w:rsidRPr="00720D91" w:rsidRDefault="00720D91" w:rsidP="00720D91">
      <w:pPr>
        <w:pStyle w:val="Sansinterligne"/>
        <w:jc w:val="both"/>
        <w:rPr>
          <w:rFonts w:ascii="Arial" w:hAnsi="Arial" w:cs="Arial"/>
          <w:color w:val="000000" w:themeColor="text1"/>
          <w:sz w:val="22"/>
          <w:szCs w:val="22"/>
        </w:rPr>
      </w:pPr>
    </w:p>
    <w:p w14:paraId="007D157C" w14:textId="77777777" w:rsidR="00720D91" w:rsidRPr="00720D91" w:rsidRDefault="00720D91" w:rsidP="00720D91">
      <w:pPr>
        <w:pStyle w:val="Sansinterligne"/>
        <w:ind w:firstLine="284"/>
        <w:jc w:val="both"/>
        <w:rPr>
          <w:rFonts w:ascii="Arial" w:hAnsi="Arial" w:cs="Arial"/>
          <w:color w:val="000000" w:themeColor="text1"/>
          <w:sz w:val="22"/>
          <w:szCs w:val="22"/>
        </w:rPr>
      </w:pPr>
      <w:r w:rsidRPr="00720D91">
        <w:rPr>
          <w:rFonts w:ascii="Arial" w:hAnsi="Arial" w:cs="Arial"/>
          <w:color w:val="000000" w:themeColor="text1"/>
          <w:sz w:val="22"/>
          <w:szCs w:val="22"/>
        </w:rPr>
        <w:t>132. Certains auteurs font valoir que la méthode de l’arrêt pilote devrait être utilisée également dans le cadre de requêtes interétatiques, ce qui permettrait ainsi de remédier à des violations systémiques des droits de l’homme.</w:t>
      </w:r>
      <w:r w:rsidRPr="00720D91">
        <w:rPr>
          <w:rStyle w:val="Appelnotedebasdep"/>
          <w:rFonts w:ascii="Arial" w:hAnsi="Arial" w:cs="Arial"/>
          <w:color w:val="000000" w:themeColor="text1"/>
          <w:sz w:val="22"/>
          <w:szCs w:val="22"/>
        </w:rPr>
        <w:footnoteReference w:id="260"/>
      </w:r>
      <w:r w:rsidRPr="00720D91">
        <w:rPr>
          <w:rFonts w:ascii="Arial" w:hAnsi="Arial" w:cs="Arial"/>
          <w:color w:val="000000" w:themeColor="text1"/>
          <w:sz w:val="22"/>
          <w:szCs w:val="22"/>
        </w:rPr>
        <w:t xml:space="preserve"> L’approche de l’arrêt pilote permet de remédier à des violations des droits de l’homme de grande ampleur par le biais de méthodes de gestion privilégiant la coopération et la préservation de la souveraineté plutôt que par le biais de sanctions. Il est avancé qu’un dialogue juridique constructif est une solution valable et devrait donc être ouverte à la Cour dans les affaires interétatiques. Cette méthodologie ne devrait pas être le seul moyen à la disposition de la Cour pour résoudre le conflit. Jusqu’ici, aucun arrêt pilote n’a été adopté dans une affaire interétatique. </w:t>
      </w:r>
    </w:p>
    <w:p w14:paraId="59ADD870" w14:textId="77777777" w:rsidR="00720D91" w:rsidRPr="00E46CFB" w:rsidRDefault="00720D91" w:rsidP="00720D91">
      <w:pPr>
        <w:pStyle w:val="Titre1"/>
        <w:ind w:left="720"/>
        <w:rPr>
          <w:rFonts w:ascii="Arial" w:hAnsi="Arial" w:cs="Arial"/>
          <w:sz w:val="22"/>
          <w:szCs w:val="22"/>
          <w:lang w:val="fr-FR"/>
        </w:rPr>
      </w:pPr>
      <w:bookmarkStart w:id="83" w:name="_Toc83293822"/>
      <w:r w:rsidRPr="00E46CFB">
        <w:rPr>
          <w:rFonts w:ascii="Arial" w:hAnsi="Arial" w:cs="Arial"/>
          <w:sz w:val="22"/>
          <w:szCs w:val="22"/>
          <w:lang w:val="fr-FR"/>
        </w:rPr>
        <w:t>IX. CONCLUSIONS</w:t>
      </w:r>
      <w:bookmarkEnd w:id="83"/>
      <w:r w:rsidRPr="00E46CFB">
        <w:rPr>
          <w:rFonts w:ascii="Arial" w:hAnsi="Arial" w:cs="Arial"/>
          <w:sz w:val="22"/>
          <w:szCs w:val="22"/>
          <w:lang w:val="fr-FR"/>
        </w:rPr>
        <w:t xml:space="preserve"> </w:t>
      </w:r>
    </w:p>
    <w:p w14:paraId="7D5528D6" w14:textId="77777777" w:rsidR="00720D91" w:rsidRPr="00720D91" w:rsidRDefault="00720D91" w:rsidP="00720D91">
      <w:pPr>
        <w:autoSpaceDE w:val="0"/>
        <w:autoSpaceDN w:val="0"/>
        <w:adjustRightInd w:val="0"/>
        <w:jc w:val="both"/>
        <w:outlineLvl w:val="0"/>
        <w:rPr>
          <w:rFonts w:ascii="Arial" w:hAnsi="Arial" w:cs="Arial"/>
          <w:b/>
          <w:sz w:val="22"/>
          <w:szCs w:val="22"/>
        </w:rPr>
      </w:pPr>
    </w:p>
    <w:p w14:paraId="470C917A" w14:textId="77777777" w:rsidR="00720D91" w:rsidRPr="00720D91" w:rsidRDefault="00720D91" w:rsidP="00720D91">
      <w:pPr>
        <w:pStyle w:val="Sansinterligne"/>
        <w:ind w:firstLine="426"/>
        <w:jc w:val="both"/>
        <w:rPr>
          <w:rFonts w:ascii="Arial" w:hAnsi="Arial" w:cs="Arial"/>
          <w:sz w:val="22"/>
          <w:szCs w:val="22"/>
        </w:rPr>
      </w:pPr>
      <w:r w:rsidRPr="00720D91">
        <w:rPr>
          <w:rFonts w:ascii="Arial" w:hAnsi="Arial" w:cs="Arial"/>
          <w:sz w:val="22"/>
          <w:szCs w:val="22"/>
        </w:rPr>
        <w:t xml:space="preserve">133. Le traitement des affaires interétatiques et du nombre élevé de requêtes individuelles lorsqu'elles concernent des affaires ou conflits interétatiques pose des défis exceptionnels à la Cour et aux États parties au différend, car ces affaires sont particulièrement longues et complexes en raison de leur nature et de leur dimension. Bien que la Convention ne traite pas spécifiquement de la relation entre les affaires interétatiques et les requêtes individuelles qui y sont liées, les pratiques de la Cour visent à assurer l'efficacité du traitement de ces requêtes. Par exemple, </w:t>
      </w:r>
      <w:r w:rsidRPr="00720D91">
        <w:rPr>
          <w:rFonts w:ascii="Arial" w:hAnsi="Arial" w:cs="Arial"/>
          <w:color w:val="000000"/>
          <w:sz w:val="22"/>
          <w:szCs w:val="22"/>
          <w:lang w:eastAsia="en-US"/>
        </w:rPr>
        <w:t xml:space="preserve">lorsqu’une affaire interétatique est pendante, est que les requêtes individuelles soulevant les mêmes questions ou dérivant des mêmes circonstances ne font pas en principe, et dans la mesure où cela est possible, l’objet d’une décision avant que les questions de nature plus générale résultant des procédures interétatiques aient été déterminées dans l’affaire </w:t>
      </w:r>
      <w:r w:rsidRPr="00720D91">
        <w:rPr>
          <w:rFonts w:ascii="Arial" w:hAnsi="Arial" w:cs="Arial"/>
          <w:color w:val="000000"/>
          <w:sz w:val="22"/>
          <w:szCs w:val="22"/>
          <w:lang w:eastAsia="en-US"/>
        </w:rPr>
        <w:lastRenderedPageBreak/>
        <w:t xml:space="preserve">interétatique. </w:t>
      </w:r>
      <w:r w:rsidRPr="00720D91">
        <w:rPr>
          <w:rFonts w:ascii="Arial" w:hAnsi="Arial" w:cs="Arial"/>
          <w:sz w:val="22"/>
          <w:szCs w:val="22"/>
        </w:rPr>
        <w:t>La Cour ajuste également le traitement des affaires interétatiques en fonction de critères géographiques ou temporels ou des questions juridiques soulevées. Le DH-SYSC-IV continuera à examiner l'opportunité et la faisabilité de soutenir la formalisation de telles pratiques et s'engagera dans les questions soulevées, en particulier l'échange de positions concernant les requêtes individuelles avant d'une décision sur la recevabilité ou d'un arrêt sur le fond de l'affaire interétatique correspondante.</w:t>
      </w:r>
    </w:p>
    <w:p w14:paraId="4835D959" w14:textId="77777777" w:rsidR="00720D91" w:rsidRPr="00720D91" w:rsidRDefault="00720D91" w:rsidP="00720D91">
      <w:pPr>
        <w:pStyle w:val="Sansinterligne"/>
        <w:ind w:firstLine="284"/>
        <w:jc w:val="both"/>
        <w:rPr>
          <w:rFonts w:ascii="Arial" w:hAnsi="Arial" w:cs="Arial"/>
          <w:sz w:val="22"/>
          <w:szCs w:val="22"/>
        </w:rPr>
      </w:pPr>
    </w:p>
    <w:p w14:paraId="54E017FA" w14:textId="77777777" w:rsidR="00720D91" w:rsidRPr="00720D91" w:rsidRDefault="00720D91" w:rsidP="00720D91">
      <w:pPr>
        <w:pStyle w:val="Sansinterligne"/>
        <w:ind w:firstLine="284"/>
        <w:jc w:val="both"/>
        <w:rPr>
          <w:rFonts w:ascii="Arial" w:hAnsi="Arial" w:cs="Arial"/>
          <w:sz w:val="22"/>
          <w:szCs w:val="22"/>
        </w:rPr>
      </w:pPr>
      <w:r w:rsidRPr="00720D91">
        <w:rPr>
          <w:rFonts w:ascii="Arial" w:hAnsi="Arial" w:cs="Arial"/>
          <w:sz w:val="22"/>
          <w:szCs w:val="22"/>
        </w:rPr>
        <w:t>134. Le DH-SYSC-IV note que, selon un point de vue, il est suggéré d'introduire un nouveau critère de recevabilité pour les requêtes interétatiques, selon lequel une requête interétatique ne peut être introduite qu'à condition que l'État requérant ait raisonnablement expliqué pourquoi les personnes physiques ou morales concernées ne peuvent pas saisir la Cour de manière indépendante. Dans cette optique, une requête interétatique ou une partie de celle-ci devrait être déclarée irrecevable si au moins une requête similaire émanant d'une personne concrète est pendante devant la Cour. Notant le fait que ce point de vue impliquerait des amendements à la Convention, le DH-SYSC-IV continuera à examiner si un nouveau critère de recevabilité est nécessaire.</w:t>
      </w:r>
    </w:p>
    <w:p w14:paraId="3404BA32" w14:textId="77777777" w:rsidR="00720D91" w:rsidRPr="00720D91" w:rsidRDefault="00720D91" w:rsidP="00720D91">
      <w:pPr>
        <w:pStyle w:val="Sansinterligne"/>
        <w:ind w:firstLine="284"/>
        <w:jc w:val="both"/>
        <w:rPr>
          <w:rFonts w:ascii="Arial" w:hAnsi="Arial" w:cs="Arial"/>
          <w:sz w:val="22"/>
          <w:szCs w:val="22"/>
        </w:rPr>
      </w:pPr>
    </w:p>
    <w:p w14:paraId="3467EAFA" w14:textId="77777777" w:rsidR="00720D91" w:rsidRPr="00720D91" w:rsidRDefault="00720D91" w:rsidP="00720D91">
      <w:pPr>
        <w:pStyle w:val="Sansinterligne"/>
        <w:ind w:firstLine="284"/>
        <w:jc w:val="both"/>
        <w:rPr>
          <w:rFonts w:ascii="Arial" w:hAnsi="Arial" w:cs="Arial"/>
          <w:sz w:val="22"/>
          <w:szCs w:val="22"/>
        </w:rPr>
      </w:pPr>
      <w:r w:rsidRPr="00720D91">
        <w:rPr>
          <w:rFonts w:ascii="Arial" w:hAnsi="Arial" w:cs="Arial"/>
          <w:sz w:val="22"/>
          <w:szCs w:val="22"/>
        </w:rPr>
        <w:t xml:space="preserve">135. Dans la pratique, peu d'affaires interétatiques portant sur les mêmes événements ou le même sujet ont été portées en parallèle devant la Cour et d'autres instances internationales ou ont soulevé des questions quant à la possibilité de décisions divergentes ou contradictoires. Toutefois, de tels risques ne doivent pas être exclus à l'avenir et, lorsqu'ils se présentent, ils doivent être atténués. Des situations de jurisprudence divergente ou conflictuelle entre la Cour et d'autres organes internationaux, notamment le Conseil des droits de l'homme, dans des affaires impliquant les mêmes faits, les mêmes parties et le même objet, se sont produites dans la pratique en ce qui concerne les requêtes individuelles. Cela a suscité des inquiétudes quant à la sécurité juridique pour les États parties sur la manière de respecter leurs obligations en matière de droits de l’homme, pour les individus en ce qui concerne l'étendue de leurs droits, et sapant potentiellement la cohérence du droit des droits de l'homme et/ou la crédibilité des institutions des droits de l'homme. Par conséquent, la Cour devrait continuer à assurer, dans la mesure du possible, une interprétation harmonieuse des droits substantiels de la Convention avec les autres régimes internationaux de protection des droits de l'homme et poursuivre son dialogue judiciaire avec les autres organes internationaux. Le DH-SYSC-IV note que le rapport du CDDH sur la place de la Convention européenne des droits de l'homme dans l'ordre juridique européen et international constituera, dans son intégralité, la base de tout examen futur éventuel des questions soulevées concernant l'interprétation et l'application de la Convention par la Cour d'une manière qui soit conforme au droit international.  </w:t>
      </w:r>
    </w:p>
    <w:p w14:paraId="11AE585B" w14:textId="77777777" w:rsidR="00720D91" w:rsidRPr="00720D91" w:rsidRDefault="00720D91" w:rsidP="00720D91">
      <w:pPr>
        <w:pStyle w:val="Sansinterligne"/>
        <w:jc w:val="both"/>
        <w:rPr>
          <w:rFonts w:ascii="Arial" w:hAnsi="Arial" w:cs="Arial"/>
          <w:sz w:val="22"/>
          <w:szCs w:val="22"/>
        </w:rPr>
      </w:pPr>
    </w:p>
    <w:p w14:paraId="6880653C" w14:textId="77777777" w:rsidR="00720D91" w:rsidRPr="00720D91" w:rsidRDefault="00720D91" w:rsidP="00720D91">
      <w:pPr>
        <w:pStyle w:val="Sansinterligne"/>
        <w:ind w:firstLine="284"/>
        <w:jc w:val="both"/>
        <w:rPr>
          <w:rFonts w:ascii="Arial" w:hAnsi="Arial" w:cs="Arial"/>
          <w:sz w:val="22"/>
          <w:szCs w:val="22"/>
        </w:rPr>
      </w:pPr>
      <w:r w:rsidRPr="00720D91">
        <w:rPr>
          <w:rFonts w:ascii="Arial" w:hAnsi="Arial" w:cs="Arial"/>
          <w:sz w:val="22"/>
          <w:szCs w:val="22"/>
        </w:rPr>
        <w:t>136. L'une des difficultés liées à l'établissement des faits dans les affaires interétatiques est qu'un certain nombre de témoins cités à comparaître ne se présentent pas à l'audience. Alors que la Cour aborde cette question en évaluant si l'État défendeur a rempli ses obligations de coopération et en tirant, le cas échéant, des conclusions défavorables, les États membres devraient examiner la question des mesures qu'ils doivent prendre pour assurer la présence des témoins aux audiences de la Cour conformément à l'article 38 de la Convention. Le DH-SYSC-IV continuera d'examiner cette question du point de vue des obligations des États parties en vertu de l'article 38 et s'intéressera de plus près à la question de l'opportunité et de la faisabilité d'organiser des auditions de témoins au moyen des technologies de l'information.</w:t>
      </w:r>
    </w:p>
    <w:p w14:paraId="20B8A842" w14:textId="77777777" w:rsidR="00720D91" w:rsidRPr="00720D91" w:rsidRDefault="00720D91" w:rsidP="00720D91">
      <w:pPr>
        <w:pStyle w:val="Sansinterligne"/>
        <w:ind w:firstLine="284"/>
        <w:jc w:val="both"/>
        <w:rPr>
          <w:rFonts w:ascii="Arial" w:hAnsi="Arial" w:cs="Arial"/>
          <w:sz w:val="22"/>
          <w:szCs w:val="22"/>
        </w:rPr>
      </w:pPr>
    </w:p>
    <w:p w14:paraId="671BB04F" w14:textId="77777777" w:rsidR="00720D91" w:rsidRPr="00720D91" w:rsidRDefault="00720D91" w:rsidP="00720D91">
      <w:pPr>
        <w:pStyle w:val="Sansinterligne"/>
        <w:ind w:firstLine="284"/>
        <w:jc w:val="both"/>
        <w:rPr>
          <w:rFonts w:ascii="Arial" w:hAnsi="Arial" w:cs="Arial"/>
          <w:sz w:val="22"/>
          <w:szCs w:val="22"/>
        </w:rPr>
      </w:pPr>
      <w:r w:rsidRPr="00720D91">
        <w:rPr>
          <w:rFonts w:ascii="Arial" w:hAnsi="Arial" w:cs="Arial"/>
          <w:sz w:val="22"/>
          <w:szCs w:val="22"/>
        </w:rPr>
        <w:t xml:space="preserve">137. L'approche de la Cour aujourd'hui n'est pas de mener des enquêtes sur place en raison du fait qu'elles sont longues et coûteuses. En outre, dans certains cas, il existe des difficultés pratiques qui peuvent influencer la capacité de la Cour à garantir que ses procédures sont équitables pour toutes les parties. En ce qui concerne en particulier les enquêtes sur place, des défis surviennent en raison de la potentielle réticence des autorités nationales à soutenir et à faciliter les activités de la délégation de la Cour. Le DH-SYSV-IV continuera de se pencher sur la question de savoir s'il est possible et/ou souhaitable que des missions d'enquête soient </w:t>
      </w:r>
      <w:r w:rsidRPr="00720D91">
        <w:rPr>
          <w:rFonts w:ascii="Arial" w:hAnsi="Arial" w:cs="Arial"/>
          <w:sz w:val="22"/>
          <w:szCs w:val="22"/>
        </w:rPr>
        <w:lastRenderedPageBreak/>
        <w:t>organisées par la Cour dans les affaires interétatiques et sur l'application des obligations des États parties au titre de l'article 38 dans ce contexte.</w:t>
      </w:r>
    </w:p>
    <w:p w14:paraId="2C47B9B7" w14:textId="77777777" w:rsidR="00720D91" w:rsidRPr="00720D91" w:rsidRDefault="00720D91" w:rsidP="00720D91">
      <w:pPr>
        <w:pStyle w:val="Sansinterligne"/>
        <w:ind w:firstLine="284"/>
        <w:jc w:val="both"/>
        <w:rPr>
          <w:rFonts w:ascii="Arial" w:hAnsi="Arial" w:cs="Arial"/>
          <w:sz w:val="22"/>
          <w:szCs w:val="22"/>
        </w:rPr>
      </w:pPr>
    </w:p>
    <w:p w14:paraId="56AC745A" w14:textId="77777777" w:rsidR="00720D91" w:rsidRPr="00720D91" w:rsidRDefault="00720D91" w:rsidP="00720D91">
      <w:pPr>
        <w:pStyle w:val="Sansinterligne"/>
        <w:ind w:firstLine="284"/>
        <w:jc w:val="both"/>
        <w:rPr>
          <w:rFonts w:ascii="Arial" w:hAnsi="Arial" w:cs="Arial"/>
          <w:sz w:val="22"/>
          <w:szCs w:val="22"/>
        </w:rPr>
      </w:pPr>
      <w:r w:rsidRPr="00720D91">
        <w:rPr>
          <w:rFonts w:ascii="Arial" w:hAnsi="Arial" w:cs="Arial"/>
          <w:sz w:val="22"/>
          <w:szCs w:val="22"/>
        </w:rPr>
        <w:t>138. Lorsqu'elle applique l'article 41 de la Convention aux affaires interétatiques, la Cour se fonde sur la détermination d'un groupe suffisamment précis et objectivement identifiable de personnes dont les droits ont été violés aux fins d'accorder une satisfaction équitable pour les violations constatées. En pratique, la Cour invite le gouvernement requérant à soumettre une liste d'individus identifiables qui sont les victimes des violations lors de la phase de satisfaction équitable de la procédure. Le DH-SYSC-IV note que, selon un certain point de vue, la liste devrait être soumise dès le début de la procédure interétatique. Le Groupe de rédaction discutera plus avant de ce point en liaison avec sa discussion sur l'opportunité et la faisabilité d'une formalisation des pratiques actuelles de la Cour, notamment dans le Règlement de la Cour. Une attention particulière sera accordée à l'acquittement des obligations des États parties en vertu de l'article 38 comme moyen d'atténuer les risques d'accorder une satisfaction équitable à des individus qui ne sont pas éligibles pour une telle sentence pour diverses raisons. La soumission des observations sur la satisfaction équitable par les États parties concernés dans les délais fixés par l'arrêt sur le fond pour l'échange de ces observations par les parties, peut aider à traiter les affaires interétatiques de manière plus efficace et à éviter les retards excessifs entre l'arrêt sur le fond et l'arrêt de satisfaction équitable.</w:t>
      </w:r>
    </w:p>
    <w:p w14:paraId="30F8767D" w14:textId="77777777" w:rsidR="00720D91" w:rsidRPr="00720D91" w:rsidRDefault="00720D91" w:rsidP="00720D91">
      <w:pPr>
        <w:pStyle w:val="Sansinterligne"/>
        <w:ind w:firstLine="284"/>
        <w:jc w:val="both"/>
        <w:rPr>
          <w:b/>
          <w:sz w:val="22"/>
          <w:szCs w:val="22"/>
          <w:highlight w:val="yellow"/>
          <w:lang w:bidi="en-US"/>
        </w:rPr>
      </w:pPr>
    </w:p>
    <w:p w14:paraId="46E6726D" w14:textId="77777777" w:rsidR="00720D91" w:rsidRPr="00720D91" w:rsidRDefault="00720D91" w:rsidP="00720D91">
      <w:pPr>
        <w:autoSpaceDE w:val="0"/>
        <w:autoSpaceDN w:val="0"/>
        <w:adjustRightInd w:val="0"/>
        <w:spacing w:after="240"/>
        <w:ind w:firstLine="284"/>
        <w:jc w:val="both"/>
        <w:rPr>
          <w:sz w:val="22"/>
          <w:szCs w:val="22"/>
        </w:rPr>
      </w:pPr>
      <w:r w:rsidRPr="00720D91">
        <w:rPr>
          <w:rFonts w:ascii="Arial" w:hAnsi="Arial" w:cs="Arial"/>
          <w:sz w:val="22"/>
          <w:szCs w:val="22"/>
        </w:rPr>
        <w:t xml:space="preserve">139. L'analyse de la pratique de la Cour révèle que le mécanisme de règlement amiable prévu par l'article 39 de la Convention offre la possibilité aux États parties, dans les affaires liées à des conflits interétatiques, d'engager un dialogue et d'entreprendre des négociations en vue de parvenir à un règlement amiable de la question. Le respect des droits de l'homme est garanti par l'intervention de la Cour. La procédure de règlement amiable, qui est mise en œuvre avec le consentement des deux parties et qui doit rester totalement confidentielle, permet d'adopter diverses mesures pour remédier aux violations alléguées de la Convention. De même, l'application de la procédure de jugement pilote dans le cadre de requêtes individuelles relatives à des litiges interétatiques peut permettre de faciliter leur résolution par un règlement amiable. En plus d'offrir une réparation aux victimes, les règlements amiables peuvent prévoir des mesures qui ont un large impact sur la société en termes de changement par la protection et la promotion du respect de la Convention. Par conséquent, le DH-SYSC-IV poursuivra ses réflexions sur la manière de promouvoir le recours au mécanisme de règlement amiable de la Convention. </w:t>
      </w:r>
    </w:p>
    <w:p w14:paraId="11C09159" w14:textId="77777777" w:rsidR="00720D91" w:rsidRPr="00720D91" w:rsidRDefault="00720D91" w:rsidP="00720D91">
      <w:pPr>
        <w:rPr>
          <w:rFonts w:ascii="Arial" w:hAnsi="Arial" w:cs="Arial"/>
          <w:b/>
          <w:color w:val="FF0000"/>
          <w:sz w:val="22"/>
          <w:szCs w:val="22"/>
          <w:lang w:eastAsia="en-US"/>
        </w:rPr>
      </w:pPr>
      <w:bookmarkStart w:id="84" w:name="_Toc67061029"/>
      <w:bookmarkStart w:id="85" w:name="_Toc67061931"/>
      <w:bookmarkStart w:id="86" w:name="_Toc67062096"/>
      <w:r w:rsidRPr="00720D91">
        <w:rPr>
          <w:rFonts w:ascii="Arial" w:hAnsi="Arial" w:cs="Arial"/>
          <w:color w:val="FF0000"/>
          <w:sz w:val="22"/>
          <w:szCs w:val="22"/>
        </w:rPr>
        <w:br w:type="page"/>
      </w:r>
    </w:p>
    <w:p w14:paraId="2394BD54" w14:textId="77777777" w:rsidR="00720D91" w:rsidRPr="00720D91" w:rsidRDefault="00720D91" w:rsidP="00720D91">
      <w:pPr>
        <w:pStyle w:val="ECHRTitleCentreTOC1"/>
        <w:shd w:val="clear" w:color="auto" w:fill="FFFFFF" w:themeFill="background1"/>
        <w:rPr>
          <w:rFonts w:ascii="Arial" w:hAnsi="Arial" w:cs="Arial"/>
          <w:color w:val="auto"/>
          <w:sz w:val="22"/>
          <w:lang w:val="fr-FR"/>
        </w:rPr>
      </w:pPr>
      <w:bookmarkStart w:id="87" w:name="_Toc83293823"/>
      <w:r w:rsidRPr="00720D91">
        <w:rPr>
          <w:rFonts w:ascii="Arial" w:hAnsi="Arial" w:cs="Arial"/>
          <w:color w:val="auto"/>
          <w:sz w:val="22"/>
          <w:lang w:val="fr-FR"/>
        </w:rPr>
        <w:lastRenderedPageBreak/>
        <w:t>Annexe</w:t>
      </w:r>
      <w:bookmarkEnd w:id="84"/>
      <w:bookmarkEnd w:id="85"/>
      <w:bookmarkEnd w:id="86"/>
      <w:r w:rsidRPr="00720D91">
        <w:rPr>
          <w:rFonts w:ascii="Arial" w:hAnsi="Arial" w:cs="Arial"/>
          <w:color w:val="auto"/>
          <w:sz w:val="22"/>
          <w:lang w:val="fr-FR"/>
        </w:rPr>
        <w:t xml:space="preserve"> : </w:t>
      </w:r>
      <w:r w:rsidRPr="00720D91">
        <w:rPr>
          <w:rFonts w:ascii="Arial" w:hAnsi="Arial" w:cs="Arial"/>
          <w:bCs/>
          <w:color w:val="auto"/>
          <w:sz w:val="22"/>
          <w:lang w:val="fr-FR"/>
        </w:rPr>
        <w:t>Rapport statistique sur les requêtes liées aux conflits</w:t>
      </w:r>
      <w:r w:rsidRPr="00720D91">
        <w:rPr>
          <w:rFonts w:ascii="Arial" w:hAnsi="Arial" w:cs="Arial"/>
          <w:color w:val="auto"/>
          <w:sz w:val="22"/>
          <w:lang w:val="fr-FR"/>
        </w:rPr>
        <w:t xml:space="preserve"> interétatiques</w:t>
      </w:r>
      <w:bookmarkEnd w:id="87"/>
      <w:r w:rsidRPr="00720D91">
        <w:rPr>
          <w:rFonts w:ascii="Arial" w:hAnsi="Arial" w:cs="Arial"/>
          <w:color w:val="auto"/>
          <w:sz w:val="22"/>
          <w:lang w:val="fr-FR"/>
        </w:rPr>
        <w:t xml:space="preserve"> </w:t>
      </w:r>
    </w:p>
    <w:p w14:paraId="1C30099F" w14:textId="77777777" w:rsidR="00720D91" w:rsidRPr="00720D91" w:rsidRDefault="00720D91" w:rsidP="00720D91">
      <w:pPr>
        <w:pStyle w:val="ECHRTitleCentreTOC1"/>
        <w:shd w:val="clear" w:color="auto" w:fill="FFFFFF" w:themeFill="background1"/>
        <w:rPr>
          <w:rFonts w:ascii="Arial" w:hAnsi="Arial" w:cs="Arial"/>
          <w:color w:val="auto"/>
          <w:sz w:val="22"/>
          <w:lang w:val="fr-FR"/>
        </w:rPr>
      </w:pPr>
      <w:bookmarkStart w:id="88" w:name="_Toc76141585"/>
      <w:bookmarkStart w:id="89" w:name="_Toc83293824"/>
      <w:r w:rsidRPr="00720D91">
        <w:rPr>
          <w:rFonts w:ascii="Arial" w:hAnsi="Arial" w:cs="Arial"/>
          <w:color w:val="auto"/>
          <w:sz w:val="22"/>
          <w:lang w:val="fr-FR"/>
        </w:rPr>
        <w:t>1 janvier 2021</w:t>
      </w:r>
      <w:bookmarkEnd w:id="88"/>
      <w:bookmarkEnd w:id="89"/>
    </w:p>
    <w:p w14:paraId="79EDE4E3" w14:textId="77777777" w:rsidR="00720D91" w:rsidRPr="00720D91" w:rsidRDefault="00720D91" w:rsidP="00720D91">
      <w:pPr>
        <w:pStyle w:val="ECHRHeading1"/>
        <w:shd w:val="clear" w:color="auto" w:fill="FFFFFF" w:themeFill="background1"/>
        <w:spacing w:before="0"/>
        <w:rPr>
          <w:rFonts w:ascii="Arial" w:hAnsi="Arial" w:cs="Arial"/>
          <w:b w:val="0"/>
          <w:bCs/>
          <w:i/>
          <w:iCs/>
          <w:color w:val="auto"/>
          <w:sz w:val="22"/>
          <w:szCs w:val="22"/>
          <w:lang w:val="fr-FR"/>
        </w:rPr>
      </w:pPr>
      <w:bookmarkStart w:id="90" w:name="_Toc67061031"/>
      <w:bookmarkStart w:id="91" w:name="_Toc67061933"/>
      <w:bookmarkStart w:id="92" w:name="_Toc67062098"/>
    </w:p>
    <w:p w14:paraId="3672C749" w14:textId="77777777" w:rsidR="00720D91" w:rsidRPr="00720D91" w:rsidRDefault="00720D91" w:rsidP="00720D91">
      <w:pPr>
        <w:rPr>
          <w:rFonts w:ascii="Arial" w:hAnsi="Arial" w:cs="Arial"/>
          <w:sz w:val="22"/>
          <w:szCs w:val="22"/>
        </w:rPr>
      </w:pPr>
      <w:bookmarkStart w:id="93" w:name="_Toc76141586"/>
      <w:r w:rsidRPr="00720D91">
        <w:rPr>
          <w:rFonts w:ascii="Arial" w:hAnsi="Arial" w:cs="Arial"/>
          <w:sz w:val="22"/>
          <w:szCs w:val="22"/>
        </w:rPr>
        <w:t>Ce document est fourni par le Greffe de la Cour. Il n'engage pas la responsabilité de DH-SYSC-IV et ne doit pas être considéré comme donnant aux informations qu'il contient une interprétation officielle par les membres de DH-SYSC-IV susceptible de les engager.</w:t>
      </w:r>
      <w:bookmarkEnd w:id="93"/>
    </w:p>
    <w:p w14:paraId="6C5407DE" w14:textId="77777777" w:rsidR="00720D91" w:rsidRPr="00720D91" w:rsidRDefault="00720D91" w:rsidP="00720D91">
      <w:pPr>
        <w:pStyle w:val="ECHRHeading1"/>
        <w:shd w:val="clear" w:color="auto" w:fill="FFFFFF" w:themeFill="background1"/>
        <w:spacing w:before="0"/>
        <w:rPr>
          <w:rFonts w:ascii="Arial" w:hAnsi="Arial" w:cs="Arial"/>
          <w:color w:val="auto"/>
          <w:sz w:val="22"/>
          <w:szCs w:val="22"/>
          <w:lang w:val="fr-FR"/>
        </w:rPr>
      </w:pPr>
    </w:p>
    <w:p w14:paraId="6EBED35F" w14:textId="77777777" w:rsidR="00720D91" w:rsidRPr="00720D91" w:rsidRDefault="00720D91" w:rsidP="00720D91">
      <w:pPr>
        <w:rPr>
          <w:rFonts w:ascii="Arial" w:hAnsi="Arial" w:cs="Arial"/>
          <w:b/>
          <w:bCs/>
          <w:sz w:val="22"/>
          <w:szCs w:val="22"/>
          <w:u w:val="single"/>
        </w:rPr>
      </w:pPr>
      <w:bookmarkStart w:id="94" w:name="_Toc76141587"/>
      <w:r w:rsidRPr="00720D91">
        <w:rPr>
          <w:rFonts w:ascii="Arial" w:hAnsi="Arial" w:cs="Arial"/>
          <w:b/>
          <w:bCs/>
          <w:sz w:val="22"/>
          <w:szCs w:val="22"/>
          <w:u w:val="single"/>
        </w:rPr>
        <w:t>Explication des termes à des fins statistiques</w:t>
      </w:r>
      <w:bookmarkEnd w:id="90"/>
      <w:bookmarkEnd w:id="91"/>
      <w:bookmarkEnd w:id="92"/>
      <w:bookmarkEnd w:id="94"/>
    </w:p>
    <w:p w14:paraId="29BFC9F1" w14:textId="77777777" w:rsidR="00720D91" w:rsidRPr="00720D91" w:rsidRDefault="00720D91" w:rsidP="00720D91">
      <w:pPr>
        <w:pStyle w:val="ECHRParaSpaced"/>
        <w:shd w:val="clear" w:color="auto" w:fill="FFFFFF" w:themeFill="background1"/>
        <w:rPr>
          <w:rFonts w:ascii="Arial" w:hAnsi="Arial" w:cs="Arial"/>
          <w:lang w:val="fr-FR"/>
        </w:rPr>
      </w:pPr>
      <w:r w:rsidRPr="00720D91">
        <w:rPr>
          <w:rFonts w:ascii="Arial" w:hAnsi="Arial" w:cs="Arial"/>
          <w:lang w:val="fr-FR"/>
        </w:rPr>
        <w:t>Une affaire interétatique est une requête introduite par un État contre un autre État conformément à l'article 33 de la Convention.</w:t>
      </w:r>
    </w:p>
    <w:p w14:paraId="3DB2E1B7" w14:textId="77777777" w:rsidR="00720D91" w:rsidRPr="00720D91" w:rsidRDefault="00720D91" w:rsidP="00720D91">
      <w:pPr>
        <w:jc w:val="both"/>
        <w:rPr>
          <w:rFonts w:ascii="Arial" w:hAnsi="Arial" w:cs="Arial"/>
          <w:sz w:val="22"/>
          <w:szCs w:val="22"/>
          <w:lang w:eastAsia="en-US"/>
        </w:rPr>
      </w:pPr>
      <w:r w:rsidRPr="00720D91">
        <w:rPr>
          <w:rFonts w:ascii="Arial" w:hAnsi="Arial" w:cs="Arial"/>
          <w:sz w:val="22"/>
          <w:szCs w:val="22"/>
          <w:lang w:eastAsia="en-US"/>
        </w:rPr>
        <w:t xml:space="preserve">Les requêtes présentées par des personnes physiques ou morales concernant la question identifiée dans l'affaire interétatique, qu'elles soient dirigées contre l'État requérant ou l'État défendeur ou les deux, sont considérées comme étant liées à ce « conflit » ou « litige ». Ils peuvent notamment concerner le contrôle d'un territoire. Le degré de </w:t>
      </w:r>
      <w:r w:rsidRPr="00720D91">
        <w:rPr>
          <w:rFonts w:ascii="Arial" w:hAnsi="Arial" w:cs="Arial"/>
          <w:sz w:val="22"/>
          <w:szCs w:val="22"/>
        </w:rPr>
        <w:t>rattachement</w:t>
      </w:r>
      <w:r w:rsidRPr="00720D91">
        <w:rPr>
          <w:rFonts w:ascii="Arial" w:hAnsi="Arial" w:cs="Arial"/>
          <w:sz w:val="22"/>
          <w:szCs w:val="22"/>
          <w:lang w:eastAsia="en-US"/>
        </w:rPr>
        <w:t xml:space="preserve"> requis entre l'affaire interétatique et les requêtes individuelles dépend toujours des circonstances particulières entourant le « conflit » ou le « différend » en question ainsi que du contexte général pertinent, et la Cour est libre d'évaluer cette question. Les requêtes individuelles qui sont considérées comme étant liées à l'affaire interétatique peuvent être introduites auprès de la Cour à la fois avant et après l'introduction de l'affaire interétatique concernée.</w:t>
      </w:r>
    </w:p>
    <w:p w14:paraId="128A080B" w14:textId="77777777" w:rsidR="00720D91" w:rsidRPr="00720D91" w:rsidRDefault="00720D91" w:rsidP="00720D91">
      <w:pPr>
        <w:jc w:val="both"/>
        <w:rPr>
          <w:rFonts w:ascii="Arial" w:hAnsi="Arial" w:cs="Arial"/>
          <w:sz w:val="22"/>
          <w:szCs w:val="22"/>
          <w:lang w:eastAsia="en-US"/>
        </w:rPr>
      </w:pPr>
    </w:p>
    <w:p w14:paraId="54634A50" w14:textId="77777777" w:rsidR="00720D91" w:rsidRPr="00720D91" w:rsidRDefault="00720D91" w:rsidP="00720D91">
      <w:pPr>
        <w:jc w:val="both"/>
        <w:rPr>
          <w:rFonts w:ascii="Arial" w:hAnsi="Arial" w:cs="Arial"/>
          <w:sz w:val="22"/>
          <w:szCs w:val="22"/>
          <w:lang w:eastAsia="en-US"/>
        </w:rPr>
      </w:pPr>
      <w:r w:rsidRPr="00720D91">
        <w:rPr>
          <w:rFonts w:ascii="Arial" w:hAnsi="Arial" w:cs="Arial"/>
          <w:sz w:val="22"/>
          <w:szCs w:val="22"/>
          <w:lang w:eastAsia="en-US"/>
        </w:rPr>
        <w:t xml:space="preserve">De telles situations de « conflit » peuvent exister même s'il n'y a pas de requêtes interétatiques en tant que telles lorsque deux États ont été/seront appelés à répondre devant la Cour d'une situation concernant </w:t>
      </w:r>
      <w:r w:rsidRPr="00720D91">
        <w:rPr>
          <w:rFonts w:ascii="Arial" w:hAnsi="Arial" w:cs="Arial"/>
          <w:sz w:val="22"/>
          <w:szCs w:val="22"/>
        </w:rPr>
        <w:t>leur</w:t>
      </w:r>
      <w:r w:rsidRPr="00720D91">
        <w:rPr>
          <w:rFonts w:ascii="Arial" w:hAnsi="Arial" w:cs="Arial"/>
          <w:sz w:val="22"/>
          <w:szCs w:val="22"/>
          <w:lang w:eastAsia="en-US"/>
        </w:rPr>
        <w:t xml:space="preserve"> juridiction. Dans de tels cas, des affaires phares sont identifiées pour traiter de ces situations.</w:t>
      </w:r>
    </w:p>
    <w:p w14:paraId="0026C15F" w14:textId="77777777" w:rsidR="00720D91" w:rsidRPr="00720D91" w:rsidRDefault="00720D91" w:rsidP="00720D91">
      <w:pPr>
        <w:jc w:val="both"/>
        <w:rPr>
          <w:rFonts w:ascii="Arial" w:hAnsi="Arial" w:cs="Arial"/>
          <w:sz w:val="22"/>
          <w:szCs w:val="22"/>
          <w:lang w:eastAsia="en-US"/>
        </w:rPr>
      </w:pPr>
    </w:p>
    <w:p w14:paraId="69D518F9" w14:textId="77777777" w:rsidR="00720D91" w:rsidRPr="00720D91" w:rsidRDefault="00720D91" w:rsidP="00720D91">
      <w:pPr>
        <w:shd w:val="clear" w:color="auto" w:fill="FFFFFF" w:themeFill="background1"/>
        <w:spacing w:after="240"/>
        <w:jc w:val="both"/>
        <w:rPr>
          <w:rFonts w:ascii="Arial" w:hAnsi="Arial" w:cs="Arial"/>
          <w:sz w:val="22"/>
          <w:szCs w:val="22"/>
          <w:lang w:eastAsia="en-US"/>
        </w:rPr>
      </w:pPr>
      <w:r w:rsidRPr="00720D91">
        <w:rPr>
          <w:rFonts w:ascii="Arial" w:hAnsi="Arial" w:cs="Arial"/>
          <w:sz w:val="22"/>
          <w:szCs w:val="22"/>
          <w:lang w:eastAsia="en-US"/>
        </w:rPr>
        <w:t>C'est la nécessité de résoudre une ou plusieurs questions primordiales qui devrait déterminer si les affaires sont considérées comme liées à un différend interétatique (une analogie peut être faite avec les procédures d'arrêt pilote à cet égard).</w:t>
      </w:r>
    </w:p>
    <w:p w14:paraId="2F2C02E5" w14:textId="77777777" w:rsidR="00720D91" w:rsidRPr="00720D91" w:rsidRDefault="00720D91" w:rsidP="00720D91">
      <w:pPr>
        <w:jc w:val="both"/>
        <w:rPr>
          <w:rFonts w:ascii="Arial" w:hAnsi="Arial" w:cs="Arial"/>
          <w:b/>
          <w:bCs/>
          <w:sz w:val="22"/>
          <w:szCs w:val="22"/>
        </w:rPr>
      </w:pPr>
      <w:bookmarkStart w:id="95" w:name="_Toc67061032"/>
      <w:bookmarkStart w:id="96" w:name="_Toc67061934"/>
      <w:bookmarkStart w:id="97" w:name="_Toc67062099"/>
      <w:bookmarkStart w:id="98" w:name="_Toc76141588"/>
      <w:r w:rsidRPr="00720D91">
        <w:rPr>
          <w:rFonts w:ascii="Arial" w:hAnsi="Arial" w:cs="Arial"/>
          <w:b/>
          <w:bCs/>
          <w:sz w:val="22"/>
          <w:szCs w:val="22"/>
        </w:rPr>
        <w:t>I.  Requêtes individuelles liées au conflit en « Ossétie du Sud » et « Abkhazie »</w:t>
      </w:r>
      <w:r w:rsidRPr="00720D91">
        <w:rPr>
          <w:rFonts w:ascii="Arial" w:hAnsi="Arial" w:cs="Arial"/>
          <w:b/>
          <w:bCs/>
          <w:sz w:val="22"/>
          <w:szCs w:val="22"/>
        </w:rPr>
        <w:footnoteReference w:id="261"/>
      </w:r>
      <w:bookmarkEnd w:id="95"/>
      <w:bookmarkEnd w:id="96"/>
      <w:bookmarkEnd w:id="97"/>
      <w:bookmarkEnd w:id="98"/>
    </w:p>
    <w:p w14:paraId="4677C569" w14:textId="77777777" w:rsidR="00720D91" w:rsidRPr="00720D91" w:rsidRDefault="00720D91" w:rsidP="00720D91">
      <w:pPr>
        <w:jc w:val="both"/>
        <w:rPr>
          <w:rFonts w:ascii="Arial" w:hAnsi="Arial" w:cs="Arial"/>
          <w:sz w:val="22"/>
          <w:szCs w:val="22"/>
        </w:rPr>
      </w:pPr>
      <w:bookmarkStart w:id="99" w:name="_Toc67061033"/>
      <w:bookmarkStart w:id="100" w:name="_Toc67061935"/>
      <w:bookmarkStart w:id="101" w:name="_Toc67062100"/>
      <w:bookmarkStart w:id="102" w:name="_Toc76141589"/>
    </w:p>
    <w:p w14:paraId="7BDD2C26" w14:textId="77777777" w:rsidR="00720D91" w:rsidRPr="00720D91" w:rsidRDefault="00720D91" w:rsidP="00720D91">
      <w:pPr>
        <w:jc w:val="both"/>
        <w:rPr>
          <w:rFonts w:ascii="Arial" w:hAnsi="Arial" w:cs="Arial"/>
          <w:b/>
          <w:bCs/>
          <w:sz w:val="22"/>
          <w:szCs w:val="22"/>
        </w:rPr>
      </w:pPr>
      <w:r w:rsidRPr="00720D91">
        <w:rPr>
          <w:rFonts w:ascii="Arial" w:hAnsi="Arial" w:cs="Arial"/>
          <w:b/>
          <w:bCs/>
          <w:sz w:val="22"/>
          <w:szCs w:val="22"/>
        </w:rPr>
        <w:t>A.  Requêtes pendantes</w:t>
      </w:r>
      <w:bookmarkEnd w:id="99"/>
      <w:bookmarkEnd w:id="100"/>
      <w:bookmarkEnd w:id="101"/>
      <w:bookmarkEnd w:id="102"/>
    </w:p>
    <w:p w14:paraId="6EF3BA4B" w14:textId="77777777" w:rsidR="00720D91" w:rsidRPr="00720D91" w:rsidRDefault="00720D91" w:rsidP="00720D91">
      <w:pPr>
        <w:jc w:val="both"/>
        <w:rPr>
          <w:rFonts w:ascii="Arial" w:hAnsi="Arial" w:cs="Arial"/>
          <w:sz w:val="22"/>
          <w:szCs w:val="22"/>
        </w:rPr>
      </w:pPr>
    </w:p>
    <w:p w14:paraId="173EBF44" w14:textId="77777777" w:rsidR="00720D91" w:rsidRPr="00720D91" w:rsidRDefault="00720D91" w:rsidP="00720D91">
      <w:pPr>
        <w:jc w:val="both"/>
        <w:rPr>
          <w:rFonts w:ascii="Arial" w:hAnsi="Arial" w:cs="Arial"/>
          <w:sz w:val="22"/>
          <w:szCs w:val="22"/>
        </w:rPr>
      </w:pPr>
      <w:r w:rsidRPr="00720D91">
        <w:rPr>
          <w:rFonts w:ascii="Arial" w:hAnsi="Arial" w:cs="Arial"/>
          <w:sz w:val="22"/>
          <w:szCs w:val="22"/>
        </w:rPr>
        <w:t>Au total, 3 416 requêtes ont été introduites devant la Cour en rapport avec l'« Ossétie du Sud » (3 216 contre la Géorgie, 178 contre la Russie et 22 contre les deux États). 19 requêtes ont été introduites en relation avec l' «Abkhazie ».</w:t>
      </w:r>
    </w:p>
    <w:p w14:paraId="5D3C5C75" w14:textId="77777777" w:rsidR="00720D91" w:rsidRPr="00720D91" w:rsidRDefault="00720D91" w:rsidP="00720D91">
      <w:pPr>
        <w:jc w:val="both"/>
        <w:rPr>
          <w:rFonts w:ascii="Arial" w:hAnsi="Arial" w:cs="Arial"/>
          <w:sz w:val="22"/>
          <w:szCs w:val="22"/>
        </w:rPr>
      </w:pPr>
    </w:p>
    <w:p w14:paraId="6FB3DCA7" w14:textId="77777777" w:rsidR="00720D91" w:rsidRPr="00720D91" w:rsidRDefault="00720D91" w:rsidP="00720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02124"/>
          <w:sz w:val="22"/>
          <w:szCs w:val="22"/>
        </w:rPr>
      </w:pPr>
      <w:r w:rsidRPr="00720D91">
        <w:rPr>
          <w:rFonts w:ascii="Arial" w:hAnsi="Arial" w:cs="Arial"/>
          <w:b/>
          <w:bCs/>
          <w:sz w:val="22"/>
          <w:szCs w:val="22"/>
        </w:rPr>
        <w:t>1.  Concernant les requêtes liées aux hostilités entre la Géorgie et la Russie en « Ossétie du Sud » au début du mois d'août 2008</w:t>
      </w:r>
      <w:r w:rsidRPr="00720D91">
        <w:rPr>
          <w:rFonts w:ascii="Arial" w:hAnsi="Arial" w:cs="Arial"/>
          <w:sz w:val="22"/>
          <w:szCs w:val="22"/>
        </w:rPr>
        <w:t xml:space="preserve"> : il y a actuellement une affaire interétatique pendante Géorgie contre Russie (II) (n° 38263/08) ; </w:t>
      </w:r>
      <w:r w:rsidRPr="00720D91">
        <w:rPr>
          <w:rFonts w:ascii="Arial" w:hAnsi="Arial" w:cs="Arial"/>
          <w:color w:val="202124"/>
          <w:sz w:val="22"/>
          <w:szCs w:val="22"/>
        </w:rPr>
        <w:t>un arrêt au fond a été rendu le 21 janvier 2021 et la question de l'application de l'article 41 de la Convention a été réservée</w:t>
      </w:r>
      <w:r w:rsidRPr="00720D91">
        <w:rPr>
          <w:rFonts w:ascii="Arial" w:hAnsi="Arial" w:cs="Arial"/>
          <w:sz w:val="22"/>
          <w:szCs w:val="22"/>
        </w:rPr>
        <w:t>. Sur les 579 requêtes pendantes</w:t>
      </w:r>
      <w:r w:rsidRPr="00720D91">
        <w:rPr>
          <w:rFonts w:ascii="Arial" w:hAnsi="Arial" w:cs="Arial"/>
          <w:sz w:val="22"/>
          <w:szCs w:val="22"/>
          <w:vertAlign w:val="superscript"/>
        </w:rPr>
        <w:footnoteReference w:id="262"/>
      </w:r>
      <w:r w:rsidRPr="00720D91">
        <w:rPr>
          <w:rFonts w:ascii="Arial" w:hAnsi="Arial" w:cs="Arial"/>
          <w:sz w:val="22"/>
          <w:szCs w:val="22"/>
        </w:rPr>
        <w:t>, 383 sont pendantes contre la Géorgie, 174 contre la Russie et 22 contre les deux États. Sur ces requêtes pendantes, 180 ont été communiquées aux gouvernements défendeurs.</w:t>
      </w:r>
    </w:p>
    <w:p w14:paraId="6224DEF0" w14:textId="77777777" w:rsidR="00720D91" w:rsidRPr="00720D91" w:rsidRDefault="00720D91" w:rsidP="00720D91">
      <w:pPr>
        <w:jc w:val="both"/>
        <w:rPr>
          <w:rFonts w:ascii="Arial" w:hAnsi="Arial" w:cs="Arial"/>
          <w:sz w:val="22"/>
          <w:szCs w:val="22"/>
        </w:rPr>
      </w:pPr>
    </w:p>
    <w:p w14:paraId="3B898929" w14:textId="77777777" w:rsidR="00720D91" w:rsidRPr="00720D91" w:rsidRDefault="00720D91" w:rsidP="00720D91">
      <w:pPr>
        <w:jc w:val="both"/>
        <w:rPr>
          <w:rFonts w:ascii="Arial" w:hAnsi="Arial" w:cs="Arial"/>
          <w:sz w:val="22"/>
          <w:szCs w:val="22"/>
        </w:rPr>
      </w:pPr>
      <w:r w:rsidRPr="00720D91">
        <w:rPr>
          <w:rFonts w:ascii="Arial" w:hAnsi="Arial" w:cs="Arial"/>
          <w:b/>
          <w:bCs/>
          <w:sz w:val="22"/>
          <w:szCs w:val="22"/>
        </w:rPr>
        <w:t>2.  En ce qui concerne les requêtes introduites concernant diverses questions dans la région de l' « Abkhazie »</w:t>
      </w:r>
      <w:r w:rsidRPr="00720D91">
        <w:rPr>
          <w:rFonts w:ascii="Arial" w:hAnsi="Arial" w:cs="Arial"/>
          <w:sz w:val="22"/>
          <w:szCs w:val="22"/>
        </w:rPr>
        <w:t>, 16 requêtes individuelles sont pendantes : 3 contre la Russie, 1 contre la Géorgie et 12 contre les deux États. 11 d'entre elles ont été communiquées aux gouvernements défendeurs.</w:t>
      </w:r>
    </w:p>
    <w:p w14:paraId="265FB9EB" w14:textId="77777777" w:rsidR="00720D91" w:rsidRPr="00720D91" w:rsidRDefault="00720D91" w:rsidP="00720D91">
      <w:pPr>
        <w:jc w:val="both"/>
        <w:rPr>
          <w:rFonts w:ascii="Arial" w:hAnsi="Arial" w:cs="Arial"/>
          <w:sz w:val="22"/>
          <w:szCs w:val="22"/>
        </w:rPr>
      </w:pPr>
    </w:p>
    <w:p w14:paraId="416C45E9" w14:textId="77777777" w:rsidR="00720D91" w:rsidRPr="00720D91" w:rsidRDefault="00720D91" w:rsidP="00720D91">
      <w:pPr>
        <w:jc w:val="both"/>
        <w:rPr>
          <w:rFonts w:ascii="Arial" w:hAnsi="Arial" w:cs="Arial"/>
          <w:sz w:val="22"/>
          <w:szCs w:val="22"/>
        </w:rPr>
      </w:pPr>
      <w:r w:rsidRPr="00720D91">
        <w:rPr>
          <w:rFonts w:ascii="Arial" w:hAnsi="Arial" w:cs="Arial"/>
          <w:sz w:val="22"/>
          <w:szCs w:val="22"/>
        </w:rPr>
        <w:t>En outre, une affaire interétatique pendante Géorgie c. Russie (IV) (n° 39611/18) concerne la détérioration récente alléguée de la situation des droits de l'homme le long des lignes de démarcation administratives entre le territoire contrôlé par la Géorgie et l' « Abkhazie » et l' « Ossétie du Sud ». L'affaire a été communiquée au gouvernement défendeur, puis ajournée en attendant le prononcé de l'arrêt dans l'affaire Géorgie c. Russie (II).</w:t>
      </w:r>
    </w:p>
    <w:p w14:paraId="71C2D7CE" w14:textId="77777777" w:rsidR="00720D91" w:rsidRPr="00720D91" w:rsidRDefault="00720D91" w:rsidP="00720D91">
      <w:pPr>
        <w:jc w:val="both"/>
        <w:rPr>
          <w:rFonts w:ascii="Arial" w:hAnsi="Arial" w:cs="Arial"/>
          <w:sz w:val="22"/>
          <w:szCs w:val="22"/>
        </w:rPr>
      </w:pPr>
      <w:bookmarkStart w:id="103" w:name="_Toc67061034"/>
      <w:bookmarkStart w:id="104" w:name="_Toc67061936"/>
      <w:bookmarkStart w:id="105" w:name="_Toc67062101"/>
      <w:bookmarkStart w:id="106" w:name="_Toc76141590"/>
    </w:p>
    <w:p w14:paraId="5ADDE3B5" w14:textId="77777777" w:rsidR="00720D91" w:rsidRPr="00720D91" w:rsidRDefault="00720D91" w:rsidP="00720D91">
      <w:pPr>
        <w:jc w:val="both"/>
        <w:rPr>
          <w:rFonts w:ascii="Arial" w:hAnsi="Arial" w:cs="Arial"/>
          <w:b/>
          <w:bCs/>
          <w:sz w:val="22"/>
          <w:szCs w:val="22"/>
        </w:rPr>
      </w:pPr>
      <w:r w:rsidRPr="00720D91">
        <w:rPr>
          <w:rFonts w:ascii="Arial" w:hAnsi="Arial" w:cs="Arial"/>
          <w:b/>
          <w:bCs/>
          <w:sz w:val="22"/>
          <w:szCs w:val="22"/>
        </w:rPr>
        <w:t>B.  Requêtes terminées</w:t>
      </w:r>
      <w:bookmarkEnd w:id="103"/>
      <w:bookmarkEnd w:id="104"/>
      <w:bookmarkEnd w:id="105"/>
      <w:bookmarkEnd w:id="106"/>
    </w:p>
    <w:p w14:paraId="0D7589EC" w14:textId="77777777" w:rsidR="00720D91" w:rsidRPr="00720D91" w:rsidRDefault="00720D91" w:rsidP="00720D91">
      <w:pPr>
        <w:jc w:val="both"/>
        <w:rPr>
          <w:rFonts w:ascii="Arial" w:hAnsi="Arial" w:cs="Arial"/>
          <w:sz w:val="22"/>
          <w:szCs w:val="22"/>
        </w:rPr>
      </w:pPr>
    </w:p>
    <w:p w14:paraId="7138DD2D" w14:textId="77777777" w:rsidR="00720D91" w:rsidRPr="00720D91" w:rsidRDefault="00720D91" w:rsidP="00720D91">
      <w:pPr>
        <w:jc w:val="both"/>
        <w:rPr>
          <w:rFonts w:ascii="Arial" w:hAnsi="Arial" w:cs="Arial"/>
          <w:sz w:val="22"/>
          <w:szCs w:val="22"/>
        </w:rPr>
      </w:pPr>
      <w:r w:rsidRPr="00720D91">
        <w:rPr>
          <w:rFonts w:ascii="Arial" w:hAnsi="Arial" w:cs="Arial"/>
          <w:b/>
          <w:bCs/>
          <w:sz w:val="22"/>
          <w:szCs w:val="22"/>
        </w:rPr>
        <w:t>1.  Concernant les requêtes liées aux hostilités entre la Géorgie et la Russie en « Ossétie du Sud » au début du mois d'août 2008</w:t>
      </w:r>
      <w:r w:rsidRPr="00720D91">
        <w:rPr>
          <w:rFonts w:ascii="Arial" w:hAnsi="Arial" w:cs="Arial"/>
          <w:sz w:val="22"/>
          <w:szCs w:val="22"/>
        </w:rPr>
        <w:t xml:space="preserve"> : 1 554 requêtes</w:t>
      </w:r>
      <w:r w:rsidRPr="00720D91">
        <w:rPr>
          <w:rFonts w:ascii="Arial" w:hAnsi="Arial" w:cs="Arial"/>
          <w:sz w:val="22"/>
          <w:szCs w:val="22"/>
          <w:vertAlign w:val="superscript"/>
        </w:rPr>
        <w:footnoteReference w:id="263"/>
      </w:r>
      <w:r w:rsidRPr="00720D91">
        <w:rPr>
          <w:rFonts w:ascii="Arial" w:hAnsi="Arial" w:cs="Arial"/>
          <w:sz w:val="22"/>
          <w:szCs w:val="22"/>
        </w:rPr>
        <w:t xml:space="preserve"> ont été rayées du rôle de la Cour en 2010. En outre, trois affaires phares</w:t>
      </w:r>
      <w:r w:rsidRPr="00720D91">
        <w:rPr>
          <w:rFonts w:ascii="Arial" w:hAnsi="Arial" w:cs="Arial"/>
          <w:sz w:val="22"/>
          <w:szCs w:val="22"/>
          <w:vertAlign w:val="superscript"/>
        </w:rPr>
        <w:footnoteReference w:id="264"/>
      </w:r>
      <w:r w:rsidRPr="00720D91">
        <w:rPr>
          <w:rFonts w:ascii="Arial" w:hAnsi="Arial" w:cs="Arial"/>
          <w:sz w:val="22"/>
          <w:szCs w:val="22"/>
        </w:rPr>
        <w:t xml:space="preserve"> ont été tranchées par une chambre en novembre 2018, ce qui a permis de déclarer six requêtes irrecevables et de communiquer une requête au gouvernement. Ces décisions de principe ont servi de base aux décisions d'irrecevabilité ultérieures. Au total, la Cour a déclaré 1 282 requêtes irrecevables et a radié 1 555 requêtes sur les 3 416 introduites.</w:t>
      </w:r>
    </w:p>
    <w:p w14:paraId="2D89FB43" w14:textId="77777777" w:rsidR="00720D91" w:rsidRPr="00720D91" w:rsidRDefault="00720D91" w:rsidP="00720D91">
      <w:pPr>
        <w:jc w:val="both"/>
        <w:rPr>
          <w:rFonts w:ascii="Arial" w:hAnsi="Arial" w:cs="Arial"/>
          <w:sz w:val="22"/>
          <w:szCs w:val="22"/>
        </w:rPr>
      </w:pPr>
    </w:p>
    <w:p w14:paraId="2179132E" w14:textId="77777777" w:rsidR="00720D91" w:rsidRPr="00720D91" w:rsidRDefault="00720D91" w:rsidP="00720D91">
      <w:pPr>
        <w:jc w:val="both"/>
        <w:rPr>
          <w:rFonts w:ascii="Arial" w:hAnsi="Arial" w:cs="Arial"/>
          <w:sz w:val="22"/>
          <w:szCs w:val="22"/>
        </w:rPr>
      </w:pPr>
      <w:r w:rsidRPr="00720D91">
        <w:rPr>
          <w:rFonts w:ascii="Arial" w:hAnsi="Arial" w:cs="Arial"/>
          <w:b/>
          <w:bCs/>
          <w:sz w:val="22"/>
          <w:szCs w:val="22"/>
        </w:rPr>
        <w:t>2. Quant aux requêtes introduites concernant diverses questions dans la région de l' « Abkhazie »</w:t>
      </w:r>
      <w:r w:rsidRPr="00720D91">
        <w:rPr>
          <w:rFonts w:ascii="Arial" w:hAnsi="Arial" w:cs="Arial"/>
          <w:sz w:val="22"/>
          <w:szCs w:val="22"/>
        </w:rPr>
        <w:t>, trois requêtes ont été déclarées irrecevables.</w:t>
      </w:r>
    </w:p>
    <w:p w14:paraId="3CE19D62" w14:textId="77777777" w:rsidR="00720D91" w:rsidRPr="00720D91" w:rsidRDefault="00720D91" w:rsidP="00720D91">
      <w:pPr>
        <w:jc w:val="both"/>
        <w:rPr>
          <w:rFonts w:ascii="Arial" w:hAnsi="Arial" w:cs="Arial"/>
          <w:sz w:val="22"/>
          <w:szCs w:val="22"/>
        </w:rPr>
      </w:pPr>
    </w:p>
    <w:p w14:paraId="365F91FE" w14:textId="77777777" w:rsidR="00720D91" w:rsidRPr="00720D91" w:rsidRDefault="00720D91" w:rsidP="00720D91">
      <w:pPr>
        <w:jc w:val="both"/>
        <w:rPr>
          <w:rFonts w:ascii="Arial" w:hAnsi="Arial" w:cs="Arial"/>
          <w:sz w:val="22"/>
          <w:szCs w:val="22"/>
        </w:rPr>
      </w:pPr>
      <w:r w:rsidRPr="00720D91">
        <w:rPr>
          <w:rFonts w:ascii="Arial" w:hAnsi="Arial" w:cs="Arial"/>
          <w:sz w:val="22"/>
          <w:szCs w:val="22"/>
        </w:rPr>
        <w:t xml:space="preserve">3.  Par ailleurs, 10 requêtes ont été introduites concernant essentiellement l'existence alléguée d'une pratique administrative </w:t>
      </w:r>
      <w:r w:rsidRPr="00720D91">
        <w:rPr>
          <w:rFonts w:ascii="Arial" w:hAnsi="Arial" w:cs="Arial"/>
          <w:b/>
          <w:bCs/>
          <w:sz w:val="22"/>
          <w:szCs w:val="22"/>
        </w:rPr>
        <w:t xml:space="preserve">d'arrestation, de détention et d'expulsion collective de ressortissants géorgiens de Russie </w:t>
      </w:r>
      <w:r w:rsidRPr="00720D91">
        <w:rPr>
          <w:rFonts w:ascii="Arial" w:hAnsi="Arial" w:cs="Arial"/>
          <w:sz w:val="22"/>
          <w:szCs w:val="22"/>
        </w:rPr>
        <w:t>à l'automne 2006. Il s'agissait dans tous les cas d'affaires faisant suite à l'affaire Géorgie c. Russie (I) [GC] (n° 13255/07)</w:t>
      </w:r>
      <w:r w:rsidRPr="00720D91">
        <w:rPr>
          <w:rFonts w:ascii="Arial" w:hAnsi="Arial" w:cs="Arial"/>
          <w:sz w:val="22"/>
          <w:szCs w:val="22"/>
          <w:vertAlign w:val="superscript"/>
        </w:rPr>
        <w:footnoteReference w:id="265"/>
      </w:r>
      <w:r w:rsidRPr="00720D91">
        <w:rPr>
          <w:rFonts w:ascii="Arial" w:hAnsi="Arial" w:cs="Arial"/>
          <w:sz w:val="22"/>
          <w:szCs w:val="22"/>
        </w:rPr>
        <w:t>. Les 10 requêtes ont toutes été tranchées : 9 ont donné lieu à des arrêts et une a été radiée pour règlement amiable.</w:t>
      </w:r>
    </w:p>
    <w:p w14:paraId="0B708B81" w14:textId="77777777" w:rsidR="00720D91" w:rsidRPr="00720D91" w:rsidRDefault="00720D91" w:rsidP="00720D91">
      <w:pPr>
        <w:jc w:val="both"/>
        <w:rPr>
          <w:rFonts w:ascii="Arial" w:hAnsi="Arial" w:cs="Arial"/>
          <w:sz w:val="22"/>
          <w:szCs w:val="22"/>
        </w:rPr>
      </w:pPr>
      <w:bookmarkStart w:id="107" w:name="_Toc67061035"/>
      <w:bookmarkStart w:id="108" w:name="_Toc67061937"/>
      <w:bookmarkStart w:id="109" w:name="_Toc67062102"/>
      <w:bookmarkStart w:id="110" w:name="_Toc76141591"/>
    </w:p>
    <w:p w14:paraId="77A47940" w14:textId="77777777" w:rsidR="00720D91" w:rsidRPr="00720D91" w:rsidRDefault="00720D91" w:rsidP="00720D91">
      <w:pPr>
        <w:jc w:val="both"/>
        <w:rPr>
          <w:rFonts w:ascii="Arial" w:hAnsi="Arial" w:cs="Arial"/>
          <w:b/>
          <w:bCs/>
          <w:sz w:val="22"/>
          <w:szCs w:val="22"/>
        </w:rPr>
      </w:pPr>
      <w:r w:rsidRPr="00720D91">
        <w:rPr>
          <w:rFonts w:ascii="Arial" w:hAnsi="Arial" w:cs="Arial"/>
          <w:b/>
          <w:bCs/>
          <w:sz w:val="22"/>
          <w:szCs w:val="22"/>
        </w:rPr>
        <w:t>II.  Requêtes individuelles liées au conflit en Ukraine de l’Est et en Crimée</w:t>
      </w:r>
      <w:bookmarkEnd w:id="107"/>
      <w:bookmarkEnd w:id="108"/>
      <w:bookmarkEnd w:id="109"/>
      <w:bookmarkEnd w:id="110"/>
      <w:r w:rsidRPr="00720D91">
        <w:rPr>
          <w:rFonts w:ascii="Arial" w:hAnsi="Arial" w:cs="Arial"/>
          <w:b/>
          <w:bCs/>
          <w:sz w:val="22"/>
          <w:szCs w:val="22"/>
        </w:rPr>
        <w:t xml:space="preserve"> </w:t>
      </w:r>
    </w:p>
    <w:p w14:paraId="7BCC7E96" w14:textId="77777777" w:rsidR="00720D91" w:rsidRPr="00720D91" w:rsidRDefault="00720D91" w:rsidP="00720D91">
      <w:pPr>
        <w:jc w:val="both"/>
        <w:rPr>
          <w:rFonts w:ascii="Arial" w:hAnsi="Arial" w:cs="Arial"/>
          <w:b/>
          <w:bCs/>
          <w:sz w:val="22"/>
          <w:szCs w:val="22"/>
        </w:rPr>
      </w:pPr>
      <w:bookmarkStart w:id="111" w:name="_Toc67061036"/>
      <w:bookmarkStart w:id="112" w:name="_Toc67061938"/>
      <w:bookmarkStart w:id="113" w:name="_Toc67062103"/>
      <w:bookmarkStart w:id="114" w:name="_Toc76141592"/>
    </w:p>
    <w:p w14:paraId="6F2147E3" w14:textId="77777777" w:rsidR="00720D91" w:rsidRPr="00720D91" w:rsidRDefault="00720D91" w:rsidP="00720D91">
      <w:pPr>
        <w:jc w:val="both"/>
        <w:rPr>
          <w:rFonts w:ascii="Arial" w:hAnsi="Arial" w:cs="Arial"/>
          <w:b/>
          <w:bCs/>
          <w:sz w:val="22"/>
          <w:szCs w:val="22"/>
        </w:rPr>
      </w:pPr>
      <w:r w:rsidRPr="00720D91">
        <w:rPr>
          <w:rFonts w:ascii="Arial" w:hAnsi="Arial" w:cs="Arial"/>
          <w:b/>
          <w:bCs/>
          <w:sz w:val="22"/>
          <w:szCs w:val="22"/>
        </w:rPr>
        <w:t>A.  Requêtes pendantes</w:t>
      </w:r>
      <w:bookmarkEnd w:id="111"/>
      <w:bookmarkEnd w:id="112"/>
      <w:bookmarkEnd w:id="113"/>
      <w:bookmarkEnd w:id="114"/>
    </w:p>
    <w:p w14:paraId="6ACFB1FE" w14:textId="77777777" w:rsidR="00720D91" w:rsidRPr="00720D91" w:rsidRDefault="00720D91" w:rsidP="00720D91">
      <w:pPr>
        <w:jc w:val="both"/>
        <w:rPr>
          <w:rFonts w:ascii="Arial" w:hAnsi="Arial" w:cs="Arial"/>
          <w:sz w:val="22"/>
          <w:szCs w:val="22"/>
        </w:rPr>
      </w:pPr>
    </w:p>
    <w:p w14:paraId="3CEC5815" w14:textId="77777777" w:rsidR="00720D91" w:rsidRPr="00720D91" w:rsidRDefault="00720D91" w:rsidP="00720D91">
      <w:pPr>
        <w:jc w:val="both"/>
        <w:rPr>
          <w:rFonts w:ascii="Arial" w:hAnsi="Arial" w:cs="Arial"/>
          <w:sz w:val="22"/>
          <w:szCs w:val="22"/>
        </w:rPr>
      </w:pPr>
      <w:r w:rsidRPr="00720D91">
        <w:rPr>
          <w:rFonts w:ascii="Arial" w:hAnsi="Arial" w:cs="Arial"/>
          <w:b/>
          <w:bCs/>
          <w:sz w:val="22"/>
          <w:szCs w:val="22"/>
        </w:rPr>
        <w:t>À l'heure actuelle, 10 262 requêtes ont été introduites auprès de la Cour concernant les événements en Ukraine de l’Est et en Crimée</w:t>
      </w:r>
      <w:r w:rsidRPr="00720D91">
        <w:rPr>
          <w:rFonts w:ascii="Arial" w:hAnsi="Arial" w:cs="Arial"/>
          <w:sz w:val="22"/>
          <w:szCs w:val="22"/>
        </w:rPr>
        <w:t>, dont 7 898 sont encore en instance. 216 des requêtes pendantes ont été communiquées. Ces affaires sont liées aux affaires interétatiques pendantes Ukraine c. Russie (concernant la Crimée), n° 20958/14 et 38334/18</w:t>
      </w:r>
      <w:r w:rsidRPr="00720D91">
        <w:rPr>
          <w:rFonts w:ascii="Arial" w:hAnsi="Arial" w:cs="Arial"/>
          <w:sz w:val="22"/>
          <w:szCs w:val="22"/>
          <w:vertAlign w:val="superscript"/>
        </w:rPr>
        <w:footnoteReference w:id="266"/>
      </w:r>
      <w:r w:rsidRPr="00720D91">
        <w:rPr>
          <w:rFonts w:ascii="Arial" w:hAnsi="Arial" w:cs="Arial"/>
          <w:sz w:val="22"/>
          <w:szCs w:val="22"/>
        </w:rPr>
        <w:t>), et Ukraine et les Pays-Bas c. Russie (concernant l'Ukraine de l’Est), n° 8019/16, 43800/14 et 28525/20)</w:t>
      </w:r>
      <w:r w:rsidRPr="00720D91">
        <w:rPr>
          <w:rFonts w:ascii="Arial" w:hAnsi="Arial" w:cs="Arial"/>
          <w:sz w:val="22"/>
          <w:szCs w:val="22"/>
          <w:vertAlign w:val="superscript"/>
        </w:rPr>
        <w:footnoteReference w:id="267"/>
      </w:r>
      <w:r w:rsidRPr="00720D91">
        <w:rPr>
          <w:rFonts w:ascii="Arial" w:hAnsi="Arial" w:cs="Arial"/>
          <w:sz w:val="22"/>
          <w:szCs w:val="22"/>
        </w:rPr>
        <w:t>. Il existe également une requête interétatique introduite par l’Ukraine contre la Russie (Ukraine c. Russie (VIII) n°55855/18). Pour plus de détails, voir la fiche thématique de la Cour sur les conflits armés (p. 15-18) et le document Questions-Réponses sur les affaires interétatiques.</w:t>
      </w:r>
    </w:p>
    <w:p w14:paraId="51FBEC61" w14:textId="77777777" w:rsidR="00720D91" w:rsidRPr="00720D91" w:rsidRDefault="00720D91" w:rsidP="00720D91">
      <w:pPr>
        <w:jc w:val="both"/>
        <w:rPr>
          <w:rFonts w:ascii="Arial" w:hAnsi="Arial" w:cs="Arial"/>
          <w:sz w:val="22"/>
          <w:szCs w:val="22"/>
        </w:rPr>
      </w:pPr>
    </w:p>
    <w:p w14:paraId="48A81B68" w14:textId="77777777" w:rsidR="00720D91" w:rsidRPr="00720D91" w:rsidRDefault="00720D91" w:rsidP="00720D91">
      <w:pPr>
        <w:jc w:val="both"/>
        <w:rPr>
          <w:rFonts w:ascii="Arial" w:hAnsi="Arial" w:cs="Arial"/>
          <w:sz w:val="22"/>
          <w:szCs w:val="22"/>
        </w:rPr>
      </w:pPr>
      <w:r w:rsidRPr="00720D91">
        <w:rPr>
          <w:rFonts w:ascii="Arial" w:hAnsi="Arial" w:cs="Arial"/>
          <w:b/>
          <w:sz w:val="22"/>
          <w:szCs w:val="22"/>
        </w:rPr>
        <w:t>6,879 requêtes pendantes concernent l'Ukraine de l’Est</w:t>
      </w:r>
      <w:r w:rsidRPr="00720D91">
        <w:rPr>
          <w:rFonts w:ascii="Arial" w:hAnsi="Arial" w:cs="Arial"/>
          <w:sz w:val="22"/>
          <w:szCs w:val="22"/>
        </w:rPr>
        <w:t xml:space="preserve">. 6 033 d'entre elles ont été déposées contre l'Ukraine, 48 contre la Russie et 791 contre les deux États, sept requêtes ont été déposées contre la Russie, l'Ukraine et le Royaume Uni. Dans ce groupe, huit requêtes concernent la destruction du vol commercial MH17 de Malaysia Airlines au-dessus du territoire </w:t>
      </w:r>
      <w:r w:rsidRPr="00720D91">
        <w:rPr>
          <w:rFonts w:ascii="Arial" w:hAnsi="Arial" w:cs="Arial"/>
          <w:sz w:val="22"/>
          <w:szCs w:val="22"/>
        </w:rPr>
        <w:lastRenderedPageBreak/>
        <w:t>de l'Ukraine de l’Est le 17 juillet 2014 (6 requêtes, sur les 8 pendantes, déposées par 384 demandeurs ont été communiquées</w:t>
      </w:r>
      <w:r w:rsidRPr="00720D91">
        <w:rPr>
          <w:rFonts w:ascii="Arial" w:hAnsi="Arial" w:cs="Arial"/>
          <w:sz w:val="22"/>
          <w:szCs w:val="22"/>
          <w:vertAlign w:val="superscript"/>
        </w:rPr>
        <w:footnoteReference w:id="268"/>
      </w:r>
      <w:r w:rsidRPr="00720D91">
        <w:rPr>
          <w:rFonts w:ascii="Arial" w:hAnsi="Arial" w:cs="Arial"/>
          <w:sz w:val="22"/>
          <w:szCs w:val="22"/>
        </w:rPr>
        <w:t xml:space="preserve">). </w:t>
      </w:r>
    </w:p>
    <w:p w14:paraId="74303A46" w14:textId="77777777" w:rsidR="00720D91" w:rsidRPr="00720D91" w:rsidRDefault="00720D91" w:rsidP="00720D91">
      <w:pPr>
        <w:jc w:val="both"/>
        <w:rPr>
          <w:rFonts w:ascii="Arial" w:hAnsi="Arial" w:cs="Arial"/>
          <w:sz w:val="22"/>
          <w:szCs w:val="22"/>
        </w:rPr>
      </w:pPr>
    </w:p>
    <w:p w14:paraId="793872EE" w14:textId="77777777" w:rsidR="00720D91" w:rsidRPr="00720D91" w:rsidRDefault="00720D91" w:rsidP="00720D91">
      <w:pPr>
        <w:jc w:val="both"/>
        <w:rPr>
          <w:rFonts w:ascii="Arial" w:hAnsi="Arial" w:cs="Arial"/>
          <w:sz w:val="22"/>
          <w:szCs w:val="22"/>
        </w:rPr>
      </w:pPr>
      <w:r w:rsidRPr="00720D91">
        <w:rPr>
          <w:rFonts w:ascii="Arial" w:hAnsi="Arial" w:cs="Arial"/>
          <w:sz w:val="22"/>
          <w:szCs w:val="22"/>
        </w:rPr>
        <w:t xml:space="preserve">Les </w:t>
      </w:r>
      <w:r w:rsidRPr="00720D91">
        <w:rPr>
          <w:rFonts w:ascii="Arial" w:hAnsi="Arial" w:cs="Arial"/>
          <w:b/>
          <w:bCs/>
          <w:sz w:val="22"/>
          <w:szCs w:val="22"/>
        </w:rPr>
        <w:t>1 019 requêtes pendantes concernent la Crimée</w:t>
      </w:r>
      <w:r w:rsidRPr="00720D91">
        <w:rPr>
          <w:rFonts w:ascii="Arial" w:hAnsi="Arial" w:cs="Arial"/>
          <w:sz w:val="22"/>
          <w:szCs w:val="22"/>
        </w:rPr>
        <w:t xml:space="preserve">. 896 d'entre elles ont été déposées contre la Russie, 10 contre l'Ukraine et 110 contre les deux États, une requête a été déposé contre la Russie et la Serbie, une requête a été déposé contre l’Autriche et 16 autres pays membres, une requête a été déposé contre l’Ukraine et 31 autres pays membres. </w:t>
      </w:r>
    </w:p>
    <w:p w14:paraId="059E1D0F" w14:textId="77777777" w:rsidR="00720D91" w:rsidRPr="00720D91" w:rsidRDefault="00720D91" w:rsidP="00720D91">
      <w:pPr>
        <w:jc w:val="both"/>
        <w:rPr>
          <w:rFonts w:ascii="Arial" w:hAnsi="Arial" w:cs="Arial"/>
          <w:sz w:val="22"/>
          <w:szCs w:val="22"/>
        </w:rPr>
      </w:pPr>
    </w:p>
    <w:p w14:paraId="1DCD8106" w14:textId="77777777" w:rsidR="00720D91" w:rsidRPr="00720D91" w:rsidRDefault="00720D91" w:rsidP="00720D91">
      <w:pPr>
        <w:jc w:val="both"/>
        <w:rPr>
          <w:rFonts w:ascii="Arial" w:hAnsi="Arial" w:cs="Arial"/>
          <w:b/>
          <w:bCs/>
          <w:sz w:val="22"/>
          <w:szCs w:val="22"/>
        </w:rPr>
      </w:pPr>
      <w:bookmarkStart w:id="115" w:name="_Toc67061037"/>
      <w:bookmarkStart w:id="116" w:name="_Toc67061939"/>
      <w:bookmarkStart w:id="117" w:name="_Toc67062104"/>
      <w:bookmarkStart w:id="118" w:name="_Toc76141593"/>
      <w:r w:rsidRPr="00720D91">
        <w:rPr>
          <w:rFonts w:ascii="Arial" w:hAnsi="Arial" w:cs="Arial"/>
          <w:b/>
          <w:bCs/>
          <w:sz w:val="22"/>
          <w:szCs w:val="22"/>
        </w:rPr>
        <w:t>B.  Requêtes terminées</w:t>
      </w:r>
      <w:bookmarkEnd w:id="115"/>
      <w:bookmarkEnd w:id="116"/>
      <w:bookmarkEnd w:id="117"/>
      <w:bookmarkEnd w:id="118"/>
    </w:p>
    <w:p w14:paraId="6FDB7BF9" w14:textId="77777777" w:rsidR="00720D91" w:rsidRPr="00720D91" w:rsidRDefault="00720D91" w:rsidP="00720D91">
      <w:pPr>
        <w:jc w:val="both"/>
        <w:rPr>
          <w:rFonts w:ascii="Arial" w:hAnsi="Arial" w:cs="Arial"/>
          <w:sz w:val="22"/>
          <w:szCs w:val="22"/>
        </w:rPr>
      </w:pPr>
    </w:p>
    <w:p w14:paraId="522FF385" w14:textId="77777777" w:rsidR="00720D91" w:rsidRPr="00720D91" w:rsidRDefault="00720D91" w:rsidP="00720D91">
      <w:pPr>
        <w:jc w:val="both"/>
        <w:rPr>
          <w:rFonts w:ascii="Arial" w:hAnsi="Arial" w:cs="Arial"/>
          <w:sz w:val="22"/>
          <w:szCs w:val="22"/>
        </w:rPr>
      </w:pPr>
      <w:r w:rsidRPr="00720D91">
        <w:rPr>
          <w:rFonts w:ascii="Arial" w:hAnsi="Arial" w:cs="Arial"/>
          <w:sz w:val="22"/>
          <w:szCs w:val="22"/>
        </w:rPr>
        <w:t>Une décision d'irrecevabilité a été adoptée dans l'affaire principale Lisnyy c. Ukraine et Russie</w:t>
      </w:r>
      <w:r w:rsidRPr="00720D91">
        <w:rPr>
          <w:rFonts w:ascii="Arial" w:hAnsi="Arial" w:cs="Arial"/>
          <w:sz w:val="22"/>
          <w:szCs w:val="22"/>
          <w:vertAlign w:val="superscript"/>
        </w:rPr>
        <w:footnoteReference w:id="269"/>
      </w:r>
      <w:r w:rsidRPr="00720D91">
        <w:rPr>
          <w:rFonts w:ascii="Arial" w:hAnsi="Arial" w:cs="Arial"/>
          <w:sz w:val="22"/>
          <w:szCs w:val="22"/>
        </w:rPr>
        <w:t xml:space="preserve">, dans laquelle la Cour a déclaré irrecevables, par manque total de preuves, les différents griefs des requérants concernant, entre autres, le bombardement de leurs maisons pendant les hostilités en Ukraine de l’Est à partir du début du mois d'avril 2014. </w:t>
      </w:r>
    </w:p>
    <w:p w14:paraId="149E1D18" w14:textId="77777777" w:rsidR="00720D91" w:rsidRPr="00720D91" w:rsidRDefault="00720D91" w:rsidP="00720D91">
      <w:pPr>
        <w:jc w:val="both"/>
        <w:rPr>
          <w:rFonts w:ascii="Arial" w:hAnsi="Arial" w:cs="Arial"/>
          <w:sz w:val="22"/>
          <w:szCs w:val="22"/>
        </w:rPr>
      </w:pPr>
    </w:p>
    <w:p w14:paraId="10CEEB27" w14:textId="77777777" w:rsidR="00720D91" w:rsidRPr="00720D91" w:rsidRDefault="00720D91" w:rsidP="00720D91">
      <w:pPr>
        <w:jc w:val="both"/>
        <w:rPr>
          <w:rFonts w:ascii="Arial" w:hAnsi="Arial" w:cs="Arial"/>
          <w:sz w:val="22"/>
          <w:szCs w:val="22"/>
        </w:rPr>
      </w:pPr>
      <w:r w:rsidRPr="00720D91">
        <w:rPr>
          <w:rFonts w:ascii="Arial" w:hAnsi="Arial" w:cs="Arial"/>
          <w:b/>
          <w:bCs/>
          <w:sz w:val="22"/>
          <w:szCs w:val="22"/>
        </w:rPr>
        <w:t>En ce qui concerne les questions relatives à l'Ukraine de l’Est</w:t>
      </w:r>
      <w:r w:rsidRPr="00720D91">
        <w:rPr>
          <w:rFonts w:ascii="Arial" w:hAnsi="Arial" w:cs="Arial"/>
          <w:sz w:val="22"/>
          <w:szCs w:val="22"/>
        </w:rPr>
        <w:t>, 1 677 requêtes ont été déclarées irrecevables</w:t>
      </w:r>
      <w:r w:rsidRPr="00720D91">
        <w:rPr>
          <w:rFonts w:ascii="Arial" w:hAnsi="Arial" w:cs="Arial"/>
          <w:sz w:val="22"/>
          <w:szCs w:val="22"/>
          <w:vertAlign w:val="superscript"/>
        </w:rPr>
        <w:footnoteReference w:id="270"/>
      </w:r>
      <w:r w:rsidRPr="00720D91">
        <w:rPr>
          <w:rFonts w:ascii="Arial" w:hAnsi="Arial" w:cs="Arial"/>
          <w:sz w:val="22"/>
          <w:szCs w:val="22"/>
        </w:rPr>
        <w:t xml:space="preserve"> et 348 ont été rayées du rôle.</w:t>
      </w:r>
    </w:p>
    <w:p w14:paraId="6D1FEAF1" w14:textId="77777777" w:rsidR="00720D91" w:rsidRPr="00720D91" w:rsidRDefault="00720D91" w:rsidP="00720D91">
      <w:pPr>
        <w:jc w:val="both"/>
        <w:rPr>
          <w:rFonts w:ascii="Arial" w:hAnsi="Arial" w:cs="Arial"/>
          <w:sz w:val="22"/>
          <w:szCs w:val="22"/>
        </w:rPr>
      </w:pPr>
    </w:p>
    <w:p w14:paraId="7C850D18" w14:textId="77777777" w:rsidR="00720D91" w:rsidRPr="00720D91" w:rsidRDefault="00720D91" w:rsidP="00720D91">
      <w:pPr>
        <w:jc w:val="both"/>
        <w:rPr>
          <w:rFonts w:ascii="Arial" w:hAnsi="Arial" w:cs="Arial"/>
          <w:sz w:val="22"/>
          <w:szCs w:val="22"/>
        </w:rPr>
      </w:pPr>
      <w:r w:rsidRPr="00720D91">
        <w:rPr>
          <w:rFonts w:ascii="Arial" w:hAnsi="Arial" w:cs="Arial"/>
          <w:b/>
          <w:bCs/>
          <w:sz w:val="22"/>
          <w:szCs w:val="22"/>
        </w:rPr>
        <w:t>En ce qui concerne les questions relatives à la Crimée</w:t>
      </w:r>
      <w:r w:rsidRPr="00720D91">
        <w:rPr>
          <w:rFonts w:ascii="Arial" w:hAnsi="Arial" w:cs="Arial"/>
          <w:sz w:val="22"/>
          <w:szCs w:val="22"/>
        </w:rPr>
        <w:t>, 320 requêtes ont été déclarées irrecevables et 26 ont été rayées du rôle.</w:t>
      </w:r>
    </w:p>
    <w:p w14:paraId="17544124" w14:textId="77777777" w:rsidR="00720D91" w:rsidRPr="00720D91" w:rsidRDefault="00720D91" w:rsidP="00720D91">
      <w:pPr>
        <w:jc w:val="both"/>
        <w:rPr>
          <w:rFonts w:ascii="Arial" w:hAnsi="Arial" w:cs="Arial"/>
          <w:sz w:val="22"/>
          <w:szCs w:val="22"/>
        </w:rPr>
      </w:pPr>
    </w:p>
    <w:p w14:paraId="1653B974" w14:textId="77777777" w:rsidR="00720D91" w:rsidRPr="00720D91" w:rsidRDefault="00720D91" w:rsidP="00720D91">
      <w:pPr>
        <w:jc w:val="both"/>
        <w:rPr>
          <w:rFonts w:ascii="Arial" w:hAnsi="Arial" w:cs="Arial"/>
          <w:sz w:val="22"/>
          <w:szCs w:val="22"/>
        </w:rPr>
      </w:pPr>
      <w:r w:rsidRPr="00720D91">
        <w:rPr>
          <w:rFonts w:ascii="Arial" w:hAnsi="Arial" w:cs="Arial"/>
          <w:sz w:val="22"/>
          <w:szCs w:val="22"/>
        </w:rPr>
        <w:t>Au total, la Cour a statué sur 2 371 requêtes</w:t>
      </w:r>
      <w:r w:rsidRPr="00720D91">
        <w:rPr>
          <w:rFonts w:ascii="Arial" w:hAnsi="Arial" w:cs="Arial"/>
          <w:sz w:val="22"/>
          <w:szCs w:val="22"/>
          <w:vertAlign w:val="superscript"/>
        </w:rPr>
        <w:footnoteReference w:id="271"/>
      </w:r>
      <w:r w:rsidRPr="00720D91">
        <w:rPr>
          <w:rFonts w:ascii="Arial" w:hAnsi="Arial" w:cs="Arial"/>
          <w:sz w:val="22"/>
          <w:szCs w:val="22"/>
        </w:rPr>
        <w:t xml:space="preserve"> sur 10,262 requêtes introduites.</w:t>
      </w:r>
    </w:p>
    <w:p w14:paraId="24FE5389" w14:textId="77777777" w:rsidR="00720D91" w:rsidRPr="00720D91" w:rsidRDefault="00720D91" w:rsidP="00720D91">
      <w:pPr>
        <w:jc w:val="both"/>
        <w:rPr>
          <w:rFonts w:ascii="Arial" w:hAnsi="Arial" w:cs="Arial"/>
          <w:sz w:val="22"/>
          <w:szCs w:val="22"/>
        </w:rPr>
      </w:pPr>
      <w:bookmarkStart w:id="119" w:name="_Toc67061038"/>
      <w:bookmarkStart w:id="120" w:name="_Toc67061940"/>
      <w:bookmarkStart w:id="121" w:name="_Toc67062105"/>
      <w:bookmarkStart w:id="122" w:name="_Toc76141594"/>
    </w:p>
    <w:p w14:paraId="4BD771AE" w14:textId="77777777" w:rsidR="00720D91" w:rsidRPr="00720D91" w:rsidRDefault="00720D91" w:rsidP="00720D91">
      <w:pPr>
        <w:jc w:val="both"/>
        <w:rPr>
          <w:rFonts w:ascii="Arial" w:hAnsi="Arial" w:cs="Arial"/>
          <w:b/>
          <w:bCs/>
          <w:sz w:val="22"/>
          <w:szCs w:val="22"/>
        </w:rPr>
      </w:pPr>
      <w:r w:rsidRPr="00720D91">
        <w:rPr>
          <w:rFonts w:ascii="Arial" w:hAnsi="Arial" w:cs="Arial"/>
          <w:b/>
          <w:bCs/>
          <w:sz w:val="22"/>
          <w:szCs w:val="22"/>
        </w:rPr>
        <w:t>III.  Requêtes individuelles liées au conflit du Haut-Karabagh</w:t>
      </w:r>
      <w:bookmarkEnd w:id="119"/>
      <w:bookmarkEnd w:id="120"/>
      <w:bookmarkEnd w:id="121"/>
      <w:bookmarkEnd w:id="122"/>
    </w:p>
    <w:p w14:paraId="233101EB" w14:textId="77777777" w:rsidR="00720D91" w:rsidRPr="00720D91" w:rsidRDefault="00720D91" w:rsidP="00720D91">
      <w:pPr>
        <w:jc w:val="both"/>
        <w:rPr>
          <w:rFonts w:ascii="Arial" w:hAnsi="Arial" w:cs="Arial"/>
          <w:b/>
          <w:bCs/>
          <w:sz w:val="22"/>
          <w:szCs w:val="22"/>
        </w:rPr>
      </w:pPr>
      <w:bookmarkStart w:id="123" w:name="_Toc67061039"/>
      <w:bookmarkStart w:id="124" w:name="_Toc67061941"/>
      <w:bookmarkStart w:id="125" w:name="_Toc67062106"/>
      <w:bookmarkStart w:id="126" w:name="_Toc76141595"/>
    </w:p>
    <w:p w14:paraId="2A2368D1" w14:textId="77777777" w:rsidR="00720D91" w:rsidRPr="00720D91" w:rsidRDefault="00720D91" w:rsidP="00720D91">
      <w:pPr>
        <w:jc w:val="both"/>
        <w:rPr>
          <w:rFonts w:ascii="Arial" w:hAnsi="Arial" w:cs="Arial"/>
          <w:b/>
          <w:bCs/>
          <w:sz w:val="22"/>
          <w:szCs w:val="22"/>
        </w:rPr>
      </w:pPr>
      <w:r w:rsidRPr="00720D91">
        <w:rPr>
          <w:rFonts w:ascii="Arial" w:hAnsi="Arial" w:cs="Arial"/>
          <w:b/>
          <w:bCs/>
          <w:sz w:val="22"/>
          <w:szCs w:val="22"/>
        </w:rPr>
        <w:t>A.  Requêtes pendantes</w:t>
      </w:r>
      <w:bookmarkEnd w:id="123"/>
      <w:bookmarkEnd w:id="124"/>
      <w:bookmarkEnd w:id="125"/>
      <w:bookmarkEnd w:id="126"/>
      <w:r w:rsidRPr="00720D91">
        <w:rPr>
          <w:rFonts w:ascii="Arial" w:hAnsi="Arial" w:cs="Arial"/>
          <w:b/>
          <w:bCs/>
          <w:sz w:val="22"/>
          <w:szCs w:val="22"/>
        </w:rPr>
        <w:t xml:space="preserve"> </w:t>
      </w:r>
    </w:p>
    <w:p w14:paraId="2B78E89A" w14:textId="77777777" w:rsidR="00720D91" w:rsidRPr="00720D91" w:rsidRDefault="00720D91" w:rsidP="00720D91">
      <w:pPr>
        <w:jc w:val="both"/>
        <w:rPr>
          <w:rFonts w:ascii="Arial" w:hAnsi="Arial" w:cs="Arial"/>
          <w:sz w:val="22"/>
          <w:szCs w:val="22"/>
        </w:rPr>
      </w:pPr>
    </w:p>
    <w:p w14:paraId="58802B25" w14:textId="77777777" w:rsidR="00720D91" w:rsidRPr="00720D91" w:rsidRDefault="00720D91" w:rsidP="00720D91">
      <w:pPr>
        <w:jc w:val="both"/>
        <w:rPr>
          <w:rFonts w:ascii="Arial" w:hAnsi="Arial" w:cs="Arial"/>
          <w:sz w:val="22"/>
          <w:szCs w:val="22"/>
        </w:rPr>
      </w:pPr>
      <w:r w:rsidRPr="00720D91">
        <w:rPr>
          <w:rFonts w:ascii="Arial" w:hAnsi="Arial" w:cs="Arial"/>
          <w:sz w:val="22"/>
          <w:szCs w:val="22"/>
        </w:rPr>
        <w:t>Sur les 2 342 requêtes déposées, 1 470 sont pendantes devant la Cour, qui concernent le conflit du Haut-Karabagh : 847 contre l'Arménie et 596 contre l'Azerbaïdjan.</w:t>
      </w:r>
    </w:p>
    <w:p w14:paraId="4804040E" w14:textId="77777777" w:rsidR="00720D91" w:rsidRPr="00720D91" w:rsidRDefault="00720D91" w:rsidP="00720D91">
      <w:pPr>
        <w:jc w:val="both"/>
        <w:rPr>
          <w:rFonts w:ascii="Arial" w:hAnsi="Arial" w:cs="Arial"/>
          <w:sz w:val="22"/>
          <w:szCs w:val="22"/>
        </w:rPr>
      </w:pPr>
    </w:p>
    <w:p w14:paraId="5D1C7037" w14:textId="77777777" w:rsidR="00720D91" w:rsidRPr="00720D91" w:rsidRDefault="00720D91" w:rsidP="00720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r w:rsidRPr="00720D91">
        <w:rPr>
          <w:rFonts w:ascii="Arial" w:hAnsi="Arial" w:cs="Arial"/>
          <w:color w:val="202124"/>
          <w:sz w:val="22"/>
          <w:szCs w:val="22"/>
        </w:rPr>
        <w:t xml:space="preserve">En outre, au vu des événements récents dans la région, trois requêtes interétatiques ont été introduites devant la Cour : Arménie c. Azerbaïdjan (n° 42521/20), Arménie c. Turquie (n° 43517/20) et Azerbaïdjan c. Arménie (n° 47319/20). Pour plus de détails, veuillez consulter les questions-réponses sur les affaires interétatiques </w:t>
      </w:r>
      <w:hyperlink r:id="rId28" w:history="1">
        <w:r w:rsidRPr="00720D91">
          <w:rPr>
            <w:rStyle w:val="Lienhypertexte"/>
            <w:rFonts w:ascii="Arial" w:eastAsiaTheme="majorEastAsia" w:hAnsi="Arial" w:cs="Arial"/>
            <w:sz w:val="22"/>
            <w:szCs w:val="22"/>
          </w:rPr>
          <w:t>Q &amp; A on Inter-State Cases</w:t>
        </w:r>
      </w:hyperlink>
      <w:r w:rsidRPr="00720D91">
        <w:rPr>
          <w:rFonts w:ascii="Arial" w:hAnsi="Arial" w:cs="Arial"/>
          <w:color w:val="202124"/>
          <w:sz w:val="22"/>
          <w:szCs w:val="22"/>
        </w:rPr>
        <w:t>.</w:t>
      </w:r>
    </w:p>
    <w:p w14:paraId="2709D3BC" w14:textId="77777777" w:rsidR="00720D91" w:rsidRPr="00720D91" w:rsidRDefault="00720D91" w:rsidP="00720D91">
      <w:pPr>
        <w:jc w:val="both"/>
        <w:rPr>
          <w:rFonts w:ascii="Arial" w:hAnsi="Arial" w:cs="Arial"/>
          <w:sz w:val="22"/>
          <w:szCs w:val="22"/>
        </w:rPr>
      </w:pPr>
    </w:p>
    <w:p w14:paraId="3F0CA066" w14:textId="77777777" w:rsidR="00720D91" w:rsidRPr="00720D91" w:rsidRDefault="00720D91" w:rsidP="00720D91">
      <w:pPr>
        <w:jc w:val="both"/>
        <w:rPr>
          <w:rFonts w:ascii="Arial" w:hAnsi="Arial" w:cs="Arial"/>
          <w:sz w:val="22"/>
          <w:szCs w:val="22"/>
        </w:rPr>
      </w:pPr>
      <w:r w:rsidRPr="00720D91">
        <w:rPr>
          <w:rFonts w:ascii="Arial" w:hAnsi="Arial" w:cs="Arial"/>
          <w:b/>
          <w:bCs/>
          <w:sz w:val="22"/>
          <w:szCs w:val="22"/>
        </w:rPr>
        <w:t>1.  Incapacité persistante des personnes déplacées à retourner dans leurs foyers et leurs biens qu'elles ont fuis au cours des années 1988-1993</w:t>
      </w:r>
      <w:r w:rsidRPr="00720D91">
        <w:rPr>
          <w:rFonts w:ascii="Arial" w:hAnsi="Arial" w:cs="Arial"/>
          <w:sz w:val="22"/>
          <w:szCs w:val="22"/>
        </w:rPr>
        <w:t xml:space="preserve"> : 811 requêtes de type Chiragov et Sargsyan</w:t>
      </w:r>
      <w:r w:rsidRPr="00720D91">
        <w:rPr>
          <w:rFonts w:ascii="Arial" w:hAnsi="Arial" w:cs="Arial"/>
          <w:sz w:val="22"/>
          <w:szCs w:val="22"/>
          <w:vertAlign w:val="superscript"/>
        </w:rPr>
        <w:footnoteReference w:id="272"/>
      </w:r>
      <w:r w:rsidRPr="00720D91">
        <w:rPr>
          <w:rFonts w:ascii="Arial" w:hAnsi="Arial" w:cs="Arial"/>
          <w:sz w:val="22"/>
          <w:szCs w:val="22"/>
        </w:rPr>
        <w:t xml:space="preserve"> sont en attente de suivi, avec des plaintes similaires - 414 contre l'Arménie et 397 contre l'Azerbaïdjan.  </w:t>
      </w:r>
    </w:p>
    <w:p w14:paraId="62723F5F" w14:textId="77777777" w:rsidR="00720D91" w:rsidRPr="00720D91" w:rsidRDefault="00720D91" w:rsidP="00720D91">
      <w:pPr>
        <w:jc w:val="both"/>
        <w:rPr>
          <w:rFonts w:ascii="Arial" w:hAnsi="Arial" w:cs="Arial"/>
          <w:sz w:val="22"/>
          <w:szCs w:val="22"/>
        </w:rPr>
      </w:pPr>
    </w:p>
    <w:p w14:paraId="53F602F1" w14:textId="77777777" w:rsidR="00720D91" w:rsidRPr="00720D91" w:rsidRDefault="00720D91" w:rsidP="00720D91">
      <w:pPr>
        <w:jc w:val="both"/>
        <w:rPr>
          <w:rFonts w:ascii="Arial" w:hAnsi="Arial" w:cs="Arial"/>
          <w:sz w:val="22"/>
          <w:szCs w:val="22"/>
        </w:rPr>
      </w:pPr>
      <w:r w:rsidRPr="00720D91">
        <w:rPr>
          <w:rFonts w:ascii="Arial" w:hAnsi="Arial" w:cs="Arial"/>
          <w:b/>
          <w:bCs/>
          <w:sz w:val="22"/>
          <w:szCs w:val="22"/>
        </w:rPr>
        <w:t>2.  "Guerre des quatre jours" en avril 2016</w:t>
      </w:r>
      <w:r w:rsidRPr="00720D91">
        <w:rPr>
          <w:rFonts w:ascii="Arial" w:hAnsi="Arial" w:cs="Arial"/>
          <w:sz w:val="22"/>
          <w:szCs w:val="22"/>
        </w:rPr>
        <w:t xml:space="preserve"> : a donné lieu à 1 085 requêtes déposées, dont 590 sont encore pendantes, réparties en deux groupes :</w:t>
      </w:r>
    </w:p>
    <w:p w14:paraId="1FDBB2D1" w14:textId="77777777" w:rsidR="00720D91" w:rsidRPr="00720D91" w:rsidRDefault="00720D91" w:rsidP="00720D91">
      <w:pPr>
        <w:jc w:val="both"/>
        <w:rPr>
          <w:rFonts w:ascii="Arial" w:hAnsi="Arial" w:cs="Arial"/>
          <w:sz w:val="22"/>
          <w:szCs w:val="22"/>
        </w:rPr>
      </w:pPr>
    </w:p>
    <w:p w14:paraId="4A67B88B" w14:textId="77777777" w:rsidR="00720D91" w:rsidRPr="00720D91" w:rsidRDefault="00720D91" w:rsidP="00720D91">
      <w:pPr>
        <w:pStyle w:val="Paragraphedeliste"/>
        <w:numPr>
          <w:ilvl w:val="0"/>
          <w:numId w:val="31"/>
        </w:numPr>
        <w:spacing w:after="0" w:line="240" w:lineRule="auto"/>
        <w:jc w:val="both"/>
        <w:rPr>
          <w:rFonts w:ascii="Arial" w:hAnsi="Arial" w:cs="Arial"/>
          <w:lang w:val="fr-FR"/>
        </w:rPr>
      </w:pPr>
      <w:r w:rsidRPr="00720D91">
        <w:rPr>
          <w:rFonts w:ascii="Arial" w:hAnsi="Arial" w:cs="Arial"/>
          <w:lang w:val="fr-FR"/>
        </w:rPr>
        <w:t xml:space="preserve">562 requêtes dans ce groupe sont toujours pendantes (439 contre l'Arménie et 123 contre l'Azerbaïdjan) avec des plaintes de civils des deux côtés, principalement concernant des dommages et des destructions de biens mais quelques cas impliquent également le meurtre de civils. Parmi celles-ci, 5 requêtes ont été communiquées aux gouvernements défendeurs. </w:t>
      </w:r>
    </w:p>
    <w:p w14:paraId="081F8451" w14:textId="77777777" w:rsidR="00720D91" w:rsidRPr="00720D91" w:rsidRDefault="00720D91" w:rsidP="00720D91">
      <w:pPr>
        <w:pStyle w:val="Paragraphedeliste"/>
        <w:numPr>
          <w:ilvl w:val="0"/>
          <w:numId w:val="31"/>
        </w:numPr>
        <w:spacing w:after="0" w:line="240" w:lineRule="auto"/>
        <w:jc w:val="both"/>
        <w:rPr>
          <w:rFonts w:ascii="Arial" w:hAnsi="Arial" w:cs="Arial"/>
        </w:rPr>
      </w:pPr>
      <w:r w:rsidRPr="00720D91">
        <w:rPr>
          <w:rFonts w:ascii="Arial" w:hAnsi="Arial" w:cs="Arial"/>
          <w:lang w:val="fr-FR"/>
        </w:rPr>
        <w:lastRenderedPageBreak/>
        <w:t xml:space="preserve">28 autres requêtes pendantes (5 contre l'Arménie et 23 contre l'Azerbaïdjan) concernent des mutilations de corps de soldats (pour la plupart) morts. </w:t>
      </w:r>
      <w:r w:rsidRPr="00720D91">
        <w:rPr>
          <w:rFonts w:ascii="Arial" w:hAnsi="Arial" w:cs="Arial"/>
        </w:rPr>
        <w:t xml:space="preserve">Toutes les requêtes ont été communiquées aux gouvernements défendeurs. </w:t>
      </w:r>
    </w:p>
    <w:p w14:paraId="3C23C668" w14:textId="77777777" w:rsidR="00720D91" w:rsidRPr="00720D91" w:rsidRDefault="00720D91" w:rsidP="00720D91">
      <w:pPr>
        <w:jc w:val="both"/>
        <w:rPr>
          <w:rFonts w:ascii="Arial" w:hAnsi="Arial" w:cs="Arial"/>
          <w:sz w:val="22"/>
          <w:szCs w:val="22"/>
        </w:rPr>
      </w:pPr>
    </w:p>
    <w:p w14:paraId="437F5959" w14:textId="77777777" w:rsidR="00720D91" w:rsidRPr="00720D91" w:rsidRDefault="00720D91" w:rsidP="00720D91">
      <w:pPr>
        <w:jc w:val="both"/>
        <w:rPr>
          <w:rFonts w:ascii="Arial" w:hAnsi="Arial" w:cs="Arial"/>
          <w:sz w:val="22"/>
          <w:szCs w:val="22"/>
        </w:rPr>
      </w:pPr>
      <w:r w:rsidRPr="00720D91">
        <w:rPr>
          <w:rFonts w:ascii="Arial" w:hAnsi="Arial" w:cs="Arial"/>
          <w:sz w:val="22"/>
          <w:szCs w:val="22"/>
        </w:rPr>
        <w:t>3.  6 requêtes pendantes contre l'Azerbaïdjan concernant la détention et la torture/le meurtre présumés de citoyens arméniens en Azerbaïdjan, ont toutes été communiquées au gouvernement défendeur.</w:t>
      </w:r>
    </w:p>
    <w:p w14:paraId="079395CF" w14:textId="77777777" w:rsidR="00720D91" w:rsidRPr="00720D91" w:rsidRDefault="00720D91" w:rsidP="00720D91">
      <w:pPr>
        <w:jc w:val="both"/>
        <w:rPr>
          <w:rFonts w:ascii="Arial" w:hAnsi="Arial" w:cs="Arial"/>
          <w:sz w:val="22"/>
          <w:szCs w:val="22"/>
        </w:rPr>
      </w:pPr>
    </w:p>
    <w:p w14:paraId="43E6DDF2" w14:textId="77777777" w:rsidR="00720D91" w:rsidRPr="00720D91" w:rsidRDefault="00720D91" w:rsidP="00720D91">
      <w:pPr>
        <w:pStyle w:val="PrformatHTML"/>
        <w:jc w:val="both"/>
        <w:rPr>
          <w:rStyle w:val="y2iqfc"/>
          <w:rFonts w:ascii="Arial" w:eastAsiaTheme="majorEastAsia" w:hAnsi="Arial" w:cs="Arial"/>
          <w:color w:val="202124"/>
          <w:sz w:val="22"/>
          <w:szCs w:val="22"/>
        </w:rPr>
      </w:pPr>
      <w:r w:rsidRPr="00720D91">
        <w:rPr>
          <w:rStyle w:val="y2iqfc"/>
          <w:rFonts w:ascii="Arial" w:eastAsiaTheme="majorEastAsia" w:hAnsi="Arial" w:cs="Arial"/>
          <w:color w:val="202124"/>
          <w:sz w:val="22"/>
          <w:szCs w:val="22"/>
        </w:rPr>
        <w:t>4. Au 1er janvier 2021, il y avait 44 requêtes individuelles concernant des individus prétendument capturés par l'Azerbaïdjan depuis le début du récent conflit fin septembre 2020. Les deux requêtes interétatiques Arménie c. Azerbaïdjan (n° 42521/20) et Azerbaïdjan c. Arménie (n° 47319/20) concernent également des captifs présumés. Les demandes mentionnées concernent 203 individus prétendument capturés par l'Azerbaïdjan et 13 individus prétendument capturés par l'Arménie. L’article 39 a été appliquée dans presque toutes ces demandes.</w:t>
      </w:r>
    </w:p>
    <w:p w14:paraId="0ADD6C27" w14:textId="77777777" w:rsidR="00720D91" w:rsidRPr="00720D91" w:rsidRDefault="00720D91" w:rsidP="00720D91">
      <w:pPr>
        <w:pStyle w:val="PrformatHTML"/>
        <w:jc w:val="both"/>
        <w:rPr>
          <w:rStyle w:val="y2iqfc"/>
          <w:rFonts w:ascii="Arial" w:eastAsiaTheme="majorEastAsia" w:hAnsi="Arial" w:cs="Arial"/>
          <w:color w:val="202124"/>
          <w:sz w:val="22"/>
          <w:szCs w:val="22"/>
        </w:rPr>
      </w:pPr>
    </w:p>
    <w:p w14:paraId="6B8AC279" w14:textId="77777777" w:rsidR="00720D91" w:rsidRPr="00720D91" w:rsidRDefault="00720D91" w:rsidP="00720D91">
      <w:pPr>
        <w:pStyle w:val="PrformatHTML"/>
        <w:jc w:val="both"/>
        <w:rPr>
          <w:rFonts w:ascii="Arial" w:hAnsi="Arial" w:cs="Arial"/>
          <w:color w:val="202124"/>
          <w:sz w:val="22"/>
          <w:szCs w:val="22"/>
        </w:rPr>
      </w:pPr>
      <w:r w:rsidRPr="00720D91">
        <w:rPr>
          <w:rStyle w:val="y2iqfc"/>
          <w:rFonts w:ascii="Arial" w:eastAsiaTheme="majorEastAsia" w:hAnsi="Arial" w:cs="Arial"/>
          <w:color w:val="202124"/>
          <w:sz w:val="22"/>
          <w:szCs w:val="22"/>
        </w:rPr>
        <w:t>5. 19 autres requêtes pendantes concernent diverses questions, telles que le meurtre de soldats en décembre 2016 ou l'arrestation, la condamnation et la détention dans le Haut-Karabakh de ressortissants azerbaïdjanais en 2015.</w:t>
      </w:r>
    </w:p>
    <w:p w14:paraId="45537F89" w14:textId="77777777" w:rsidR="00720D91" w:rsidRPr="00720D91" w:rsidRDefault="00720D91" w:rsidP="00720D91">
      <w:pPr>
        <w:jc w:val="both"/>
        <w:rPr>
          <w:rFonts w:ascii="Arial" w:hAnsi="Arial" w:cs="Arial"/>
          <w:sz w:val="22"/>
          <w:szCs w:val="22"/>
        </w:rPr>
      </w:pPr>
    </w:p>
    <w:p w14:paraId="2F50940C" w14:textId="77777777" w:rsidR="00720D91" w:rsidRPr="00720D91" w:rsidRDefault="00720D91" w:rsidP="00720D91">
      <w:pPr>
        <w:jc w:val="both"/>
        <w:rPr>
          <w:rFonts w:ascii="Arial" w:hAnsi="Arial" w:cs="Arial"/>
          <w:sz w:val="22"/>
          <w:szCs w:val="22"/>
        </w:rPr>
      </w:pPr>
      <w:bookmarkStart w:id="127" w:name="_Toc67061040"/>
      <w:bookmarkStart w:id="128" w:name="_Toc67061942"/>
      <w:bookmarkStart w:id="129" w:name="_Toc67062107"/>
      <w:bookmarkStart w:id="130" w:name="_Toc76141596"/>
    </w:p>
    <w:p w14:paraId="414C4BB4" w14:textId="77777777" w:rsidR="00720D91" w:rsidRPr="00720D91" w:rsidRDefault="00720D91" w:rsidP="00720D91">
      <w:pPr>
        <w:jc w:val="both"/>
        <w:rPr>
          <w:rFonts w:ascii="Arial" w:hAnsi="Arial" w:cs="Arial"/>
          <w:b/>
          <w:bCs/>
          <w:sz w:val="22"/>
          <w:szCs w:val="22"/>
        </w:rPr>
      </w:pPr>
      <w:r w:rsidRPr="00720D91">
        <w:rPr>
          <w:rFonts w:ascii="Arial" w:hAnsi="Arial" w:cs="Arial"/>
          <w:b/>
          <w:bCs/>
          <w:sz w:val="22"/>
          <w:szCs w:val="22"/>
        </w:rPr>
        <w:t>B.  Requêtes terminées</w:t>
      </w:r>
      <w:bookmarkEnd w:id="127"/>
      <w:bookmarkEnd w:id="128"/>
      <w:bookmarkEnd w:id="129"/>
      <w:bookmarkEnd w:id="130"/>
    </w:p>
    <w:p w14:paraId="27010CD6" w14:textId="77777777" w:rsidR="00720D91" w:rsidRPr="00720D91" w:rsidRDefault="00720D91" w:rsidP="00720D91">
      <w:pPr>
        <w:jc w:val="both"/>
        <w:rPr>
          <w:rFonts w:ascii="Arial" w:hAnsi="Arial" w:cs="Arial"/>
          <w:sz w:val="22"/>
          <w:szCs w:val="22"/>
        </w:rPr>
      </w:pPr>
    </w:p>
    <w:p w14:paraId="6E563C6A" w14:textId="77777777" w:rsidR="00720D91" w:rsidRPr="00720D91" w:rsidRDefault="00720D91" w:rsidP="00720D91">
      <w:pPr>
        <w:jc w:val="both"/>
        <w:rPr>
          <w:rFonts w:ascii="Arial" w:hAnsi="Arial" w:cs="Arial"/>
          <w:sz w:val="22"/>
          <w:szCs w:val="22"/>
        </w:rPr>
      </w:pPr>
      <w:r w:rsidRPr="00720D91">
        <w:rPr>
          <w:rFonts w:ascii="Arial" w:hAnsi="Arial" w:cs="Arial"/>
          <w:b/>
          <w:bCs/>
          <w:sz w:val="22"/>
          <w:szCs w:val="22"/>
        </w:rPr>
        <w:t>1.  L'incapacité persistante des personnes déplacées à retourner dans leurs foyers et leurs propriétés qu'elles ont fuis dans les années 1988-93</w:t>
      </w:r>
      <w:r w:rsidRPr="00720D91">
        <w:rPr>
          <w:rFonts w:ascii="Arial" w:hAnsi="Arial" w:cs="Arial"/>
          <w:sz w:val="22"/>
          <w:szCs w:val="22"/>
        </w:rPr>
        <w:t xml:space="preserve"> : deux affaires phares ont été examinées et tranchées par une Grande Chambre (voir Chiragov et autres c. Arménie et Sargsyan c. Azerbaïdjan, précité). Pour plus de détails, voir le Guide sur l'article 1 de la Convention européenne des droits de l'homme (p. 23) et la fiche thématique de la Cour sur les conflits armés (p. 6-7).</w:t>
      </w:r>
    </w:p>
    <w:p w14:paraId="7D58A411" w14:textId="77777777" w:rsidR="00720D91" w:rsidRPr="00720D91" w:rsidRDefault="00720D91" w:rsidP="00720D91">
      <w:pPr>
        <w:jc w:val="both"/>
        <w:rPr>
          <w:rFonts w:ascii="Arial" w:hAnsi="Arial" w:cs="Arial"/>
          <w:sz w:val="22"/>
          <w:szCs w:val="22"/>
        </w:rPr>
      </w:pPr>
    </w:p>
    <w:p w14:paraId="4C9B203A" w14:textId="77777777" w:rsidR="00720D91" w:rsidRPr="00720D91" w:rsidRDefault="00720D91" w:rsidP="00720D91">
      <w:pPr>
        <w:jc w:val="both"/>
        <w:rPr>
          <w:rFonts w:ascii="Arial" w:hAnsi="Arial" w:cs="Arial"/>
          <w:b/>
          <w:bCs/>
          <w:sz w:val="22"/>
          <w:szCs w:val="22"/>
        </w:rPr>
      </w:pPr>
      <w:r w:rsidRPr="00720D91">
        <w:rPr>
          <w:rFonts w:ascii="Arial" w:hAnsi="Arial" w:cs="Arial"/>
          <w:b/>
          <w:bCs/>
          <w:sz w:val="22"/>
          <w:szCs w:val="22"/>
        </w:rPr>
        <w:t>2.  "Guerre des quatre jours" en avril 2016 :</w:t>
      </w:r>
    </w:p>
    <w:p w14:paraId="76303B3E" w14:textId="77777777" w:rsidR="00720D91" w:rsidRPr="00720D91" w:rsidRDefault="00720D91" w:rsidP="00720D91">
      <w:pPr>
        <w:jc w:val="both"/>
        <w:rPr>
          <w:rFonts w:ascii="Arial" w:hAnsi="Arial" w:cs="Arial"/>
          <w:sz w:val="22"/>
          <w:szCs w:val="22"/>
        </w:rPr>
      </w:pPr>
    </w:p>
    <w:p w14:paraId="335DA220" w14:textId="77777777" w:rsidR="00720D91" w:rsidRPr="00720D91" w:rsidRDefault="00720D91" w:rsidP="00720D91">
      <w:pPr>
        <w:jc w:val="both"/>
        <w:rPr>
          <w:rFonts w:ascii="Arial" w:hAnsi="Arial" w:cs="Arial"/>
          <w:sz w:val="22"/>
          <w:szCs w:val="22"/>
        </w:rPr>
      </w:pPr>
      <w:r w:rsidRPr="00720D91">
        <w:rPr>
          <w:rFonts w:ascii="Arial" w:hAnsi="Arial" w:cs="Arial"/>
          <w:sz w:val="22"/>
          <w:szCs w:val="22"/>
        </w:rPr>
        <w:t>Deux requêtes principales, l'une contre l'Arménie et l'autre contre l'Azerbaïdjan, ont été rejetées comme étant non fondées</w:t>
      </w:r>
      <w:r w:rsidRPr="00720D91">
        <w:rPr>
          <w:rFonts w:ascii="Arial" w:hAnsi="Arial" w:cs="Arial"/>
          <w:sz w:val="22"/>
          <w:szCs w:val="22"/>
          <w:vertAlign w:val="superscript"/>
        </w:rPr>
        <w:footnoteReference w:id="273"/>
      </w:r>
      <w:r w:rsidRPr="00720D91">
        <w:rPr>
          <w:rFonts w:ascii="Arial" w:hAnsi="Arial" w:cs="Arial"/>
          <w:sz w:val="22"/>
          <w:szCs w:val="22"/>
        </w:rPr>
        <w:t>. En outre, 493 requêtes (255 contre l'Arménie et 238 contre l'Azerbaïdjan) ont été déclarées irrecevables par la suite.</w:t>
      </w:r>
    </w:p>
    <w:p w14:paraId="2A216EFB" w14:textId="77777777" w:rsidR="00720D91" w:rsidRPr="00720D91" w:rsidRDefault="00720D91" w:rsidP="00720D91">
      <w:pPr>
        <w:jc w:val="both"/>
        <w:rPr>
          <w:rFonts w:ascii="Arial" w:hAnsi="Arial" w:cs="Arial"/>
          <w:sz w:val="22"/>
          <w:szCs w:val="22"/>
        </w:rPr>
      </w:pPr>
    </w:p>
    <w:p w14:paraId="5FAB665A" w14:textId="77777777" w:rsidR="00720D91" w:rsidRPr="00720D91" w:rsidRDefault="00720D91" w:rsidP="00720D91">
      <w:pPr>
        <w:jc w:val="both"/>
        <w:rPr>
          <w:rFonts w:ascii="Arial" w:hAnsi="Arial" w:cs="Arial"/>
          <w:sz w:val="22"/>
          <w:szCs w:val="22"/>
        </w:rPr>
      </w:pPr>
      <w:r w:rsidRPr="00720D91">
        <w:rPr>
          <w:rFonts w:ascii="Arial" w:hAnsi="Arial" w:cs="Arial"/>
          <w:sz w:val="22"/>
          <w:szCs w:val="22"/>
        </w:rPr>
        <w:t>Au total, la Cour a déclaré irrecevables 495 requêtes sur les 1 085 introduites sous ce titre.</w:t>
      </w:r>
    </w:p>
    <w:p w14:paraId="4D827C5C" w14:textId="77777777" w:rsidR="00720D91" w:rsidRPr="00720D91" w:rsidRDefault="00720D91" w:rsidP="00720D91">
      <w:pPr>
        <w:jc w:val="both"/>
        <w:rPr>
          <w:rFonts w:ascii="Arial" w:hAnsi="Arial" w:cs="Arial"/>
          <w:sz w:val="22"/>
          <w:szCs w:val="22"/>
        </w:rPr>
      </w:pPr>
    </w:p>
    <w:p w14:paraId="21E9C451" w14:textId="77777777" w:rsidR="00720D91" w:rsidRPr="00720D91" w:rsidRDefault="00720D91" w:rsidP="00720D91">
      <w:pPr>
        <w:pStyle w:val="PrformatHTML"/>
        <w:rPr>
          <w:rStyle w:val="y2iqfc"/>
          <w:rFonts w:ascii="Arial" w:eastAsiaTheme="majorEastAsia" w:hAnsi="Arial" w:cs="Arial"/>
          <w:b/>
          <w:bCs/>
          <w:color w:val="202124"/>
          <w:sz w:val="22"/>
          <w:szCs w:val="22"/>
        </w:rPr>
      </w:pPr>
      <w:r w:rsidRPr="00720D91">
        <w:rPr>
          <w:rStyle w:val="y2iqfc"/>
          <w:rFonts w:ascii="Arial" w:eastAsiaTheme="majorEastAsia" w:hAnsi="Arial" w:cs="Arial"/>
          <w:b/>
          <w:bCs/>
          <w:color w:val="202124"/>
          <w:sz w:val="22"/>
          <w:szCs w:val="22"/>
        </w:rPr>
        <w:t>3. Détention et torture/meurtre présumés de citoyens arméniens en Azerbaïdjan :</w:t>
      </w:r>
    </w:p>
    <w:p w14:paraId="201D2AAC" w14:textId="77777777" w:rsidR="00720D91" w:rsidRPr="00720D91" w:rsidRDefault="00720D91" w:rsidP="00720D91">
      <w:pPr>
        <w:pStyle w:val="PrformatHTML"/>
        <w:rPr>
          <w:rStyle w:val="y2iqfc"/>
          <w:rFonts w:ascii="Arial" w:eastAsiaTheme="majorEastAsia" w:hAnsi="Arial" w:cs="Arial"/>
          <w:color w:val="202124"/>
          <w:sz w:val="22"/>
          <w:szCs w:val="22"/>
        </w:rPr>
      </w:pPr>
    </w:p>
    <w:p w14:paraId="19FADAC2" w14:textId="77777777" w:rsidR="00720D91" w:rsidRPr="00720D91" w:rsidRDefault="00720D91" w:rsidP="00720D91">
      <w:pPr>
        <w:pStyle w:val="PrformatHTML"/>
        <w:rPr>
          <w:rFonts w:ascii="Arial" w:hAnsi="Arial" w:cs="Arial"/>
          <w:sz w:val="22"/>
          <w:szCs w:val="22"/>
        </w:rPr>
      </w:pPr>
      <w:r w:rsidRPr="00720D91">
        <w:rPr>
          <w:rStyle w:val="y2iqfc"/>
          <w:rFonts w:ascii="Arial" w:eastAsiaTheme="majorEastAsia" w:hAnsi="Arial" w:cs="Arial"/>
          <w:color w:val="202124"/>
          <w:sz w:val="22"/>
          <w:szCs w:val="22"/>
        </w:rPr>
        <w:t>Une affaire de ce groupe a donné lieu à un arrêt (voir Saribekyan et Balyan c. Azerbaïdjan, n° 35746/11, 30 janvier 2020).</w:t>
      </w:r>
    </w:p>
    <w:p w14:paraId="47A708E3" w14:textId="77777777" w:rsidR="00720D91" w:rsidRPr="00720D91" w:rsidRDefault="00720D91" w:rsidP="00720D91">
      <w:pPr>
        <w:jc w:val="both"/>
        <w:rPr>
          <w:rFonts w:ascii="Arial" w:hAnsi="Arial" w:cs="Arial"/>
          <w:sz w:val="22"/>
          <w:szCs w:val="22"/>
        </w:rPr>
      </w:pPr>
      <w:bookmarkStart w:id="131" w:name="_Toc67061041"/>
      <w:bookmarkStart w:id="132" w:name="_Toc67061943"/>
      <w:bookmarkStart w:id="133" w:name="_Toc67062108"/>
      <w:bookmarkStart w:id="134" w:name="_Toc76141597"/>
    </w:p>
    <w:p w14:paraId="6E0CC015" w14:textId="77777777" w:rsidR="00720D91" w:rsidRPr="00720D91" w:rsidRDefault="00720D91" w:rsidP="00720D91">
      <w:pPr>
        <w:jc w:val="both"/>
        <w:rPr>
          <w:rFonts w:ascii="Arial" w:hAnsi="Arial" w:cs="Arial"/>
          <w:b/>
          <w:bCs/>
          <w:sz w:val="22"/>
          <w:szCs w:val="22"/>
        </w:rPr>
      </w:pPr>
      <w:r w:rsidRPr="00720D91">
        <w:rPr>
          <w:rFonts w:ascii="Arial" w:hAnsi="Arial" w:cs="Arial"/>
          <w:b/>
          <w:bCs/>
          <w:sz w:val="22"/>
          <w:szCs w:val="22"/>
        </w:rPr>
        <w:t>IV.  Requêtes individuelles relatives à la Transnistrie</w:t>
      </w:r>
      <w:bookmarkEnd w:id="131"/>
      <w:bookmarkEnd w:id="132"/>
      <w:bookmarkEnd w:id="133"/>
      <w:bookmarkEnd w:id="134"/>
      <w:r w:rsidRPr="00720D91">
        <w:rPr>
          <w:rFonts w:ascii="Arial" w:hAnsi="Arial" w:cs="Arial"/>
          <w:b/>
          <w:bCs/>
          <w:sz w:val="22"/>
          <w:szCs w:val="22"/>
        </w:rPr>
        <w:t xml:space="preserve"> </w:t>
      </w:r>
    </w:p>
    <w:p w14:paraId="7A31DABD" w14:textId="77777777" w:rsidR="00720D91" w:rsidRPr="00720D91" w:rsidRDefault="00720D91" w:rsidP="00720D91">
      <w:pPr>
        <w:jc w:val="both"/>
        <w:rPr>
          <w:rFonts w:ascii="Arial" w:hAnsi="Arial" w:cs="Arial"/>
          <w:sz w:val="22"/>
          <w:szCs w:val="22"/>
        </w:rPr>
      </w:pPr>
      <w:bookmarkStart w:id="135" w:name="_Toc67061042"/>
      <w:bookmarkStart w:id="136" w:name="_Toc67061944"/>
      <w:bookmarkStart w:id="137" w:name="_Toc67062109"/>
      <w:bookmarkStart w:id="138" w:name="_Toc76141598"/>
    </w:p>
    <w:p w14:paraId="65A18144" w14:textId="77777777" w:rsidR="00720D91" w:rsidRPr="00720D91" w:rsidRDefault="00720D91" w:rsidP="00720D91">
      <w:pPr>
        <w:jc w:val="both"/>
        <w:rPr>
          <w:rFonts w:ascii="Arial" w:hAnsi="Arial" w:cs="Arial"/>
          <w:b/>
          <w:bCs/>
          <w:sz w:val="22"/>
          <w:szCs w:val="22"/>
        </w:rPr>
      </w:pPr>
      <w:r w:rsidRPr="00720D91">
        <w:rPr>
          <w:rFonts w:ascii="Arial" w:hAnsi="Arial" w:cs="Arial"/>
          <w:b/>
          <w:bCs/>
          <w:sz w:val="22"/>
          <w:szCs w:val="22"/>
        </w:rPr>
        <w:t>A.  Requêtes pendantes</w:t>
      </w:r>
      <w:bookmarkEnd w:id="135"/>
      <w:bookmarkEnd w:id="136"/>
      <w:bookmarkEnd w:id="137"/>
      <w:bookmarkEnd w:id="138"/>
    </w:p>
    <w:p w14:paraId="7FE8EA3C" w14:textId="77777777" w:rsidR="00720D91" w:rsidRPr="00720D91" w:rsidRDefault="00720D91" w:rsidP="00720D91">
      <w:pPr>
        <w:jc w:val="both"/>
        <w:rPr>
          <w:rFonts w:ascii="Arial" w:hAnsi="Arial" w:cs="Arial"/>
          <w:sz w:val="22"/>
          <w:szCs w:val="22"/>
        </w:rPr>
      </w:pPr>
    </w:p>
    <w:p w14:paraId="256F0C84" w14:textId="77777777" w:rsidR="00720D91" w:rsidRPr="00720D91" w:rsidRDefault="00720D91" w:rsidP="00720D91">
      <w:pPr>
        <w:jc w:val="both"/>
        <w:rPr>
          <w:rFonts w:ascii="Arial" w:hAnsi="Arial" w:cs="Arial"/>
          <w:sz w:val="22"/>
          <w:szCs w:val="22"/>
        </w:rPr>
      </w:pPr>
      <w:r w:rsidRPr="00720D91">
        <w:rPr>
          <w:rFonts w:ascii="Arial" w:hAnsi="Arial" w:cs="Arial"/>
          <w:sz w:val="22"/>
          <w:szCs w:val="22"/>
        </w:rPr>
        <w:t>Sur les 153 requêtes déposées concernant des actes commis dans la "République moldave de Transnistrie" ("MRT"), 44 requêtes sont toujours pendantes : 5 contre la Russie, 1 contre la République de Moldavie, 35 contre la République de Moldavie et la Russie et 3 contre la République de Moldavie, la Russie et l'Ukraine.</w:t>
      </w:r>
    </w:p>
    <w:p w14:paraId="303FDC3A" w14:textId="77777777" w:rsidR="00720D91" w:rsidRPr="00720D91" w:rsidRDefault="00720D91" w:rsidP="00720D91">
      <w:pPr>
        <w:jc w:val="both"/>
        <w:rPr>
          <w:rFonts w:ascii="Arial" w:hAnsi="Arial" w:cs="Arial"/>
          <w:sz w:val="22"/>
          <w:szCs w:val="22"/>
        </w:rPr>
      </w:pPr>
    </w:p>
    <w:p w14:paraId="1CF0605C" w14:textId="77777777" w:rsidR="00720D91" w:rsidRPr="00720D91" w:rsidRDefault="00720D91" w:rsidP="00720D91">
      <w:pPr>
        <w:jc w:val="both"/>
        <w:rPr>
          <w:rFonts w:ascii="Arial" w:hAnsi="Arial" w:cs="Arial"/>
          <w:sz w:val="22"/>
          <w:szCs w:val="22"/>
        </w:rPr>
      </w:pPr>
      <w:r w:rsidRPr="00720D91">
        <w:rPr>
          <w:rFonts w:ascii="Arial" w:hAnsi="Arial" w:cs="Arial"/>
          <w:sz w:val="22"/>
          <w:szCs w:val="22"/>
        </w:rPr>
        <w:lastRenderedPageBreak/>
        <w:t>21 des 44 requêtes ont été communiquées aux gouvernements défendeurs et une autre a donné lieu à un arrêt sur le fond</w:t>
      </w:r>
      <w:r w:rsidRPr="00720D91">
        <w:rPr>
          <w:rFonts w:ascii="Arial" w:hAnsi="Arial" w:cs="Arial"/>
          <w:sz w:val="22"/>
          <w:szCs w:val="22"/>
          <w:vertAlign w:val="superscript"/>
        </w:rPr>
        <w:footnoteReference w:id="274"/>
      </w:r>
      <w:r w:rsidRPr="00720D91">
        <w:rPr>
          <w:rFonts w:ascii="Arial" w:hAnsi="Arial" w:cs="Arial"/>
          <w:sz w:val="22"/>
          <w:szCs w:val="22"/>
        </w:rPr>
        <w:t>.</w:t>
      </w:r>
    </w:p>
    <w:p w14:paraId="4CAD613E" w14:textId="77777777" w:rsidR="00720D91" w:rsidRPr="00720D91" w:rsidRDefault="00720D91" w:rsidP="00720D91">
      <w:pPr>
        <w:jc w:val="both"/>
        <w:rPr>
          <w:rFonts w:ascii="Arial" w:hAnsi="Arial" w:cs="Arial"/>
          <w:sz w:val="22"/>
          <w:szCs w:val="22"/>
        </w:rPr>
      </w:pPr>
      <w:bookmarkStart w:id="139" w:name="_Toc67061043"/>
      <w:bookmarkStart w:id="140" w:name="_Toc67061945"/>
      <w:bookmarkStart w:id="141" w:name="_Toc67062110"/>
      <w:bookmarkStart w:id="142" w:name="_Toc76141599"/>
    </w:p>
    <w:p w14:paraId="32786DBA" w14:textId="77777777" w:rsidR="00720D91" w:rsidRPr="00720D91" w:rsidRDefault="00720D91" w:rsidP="00720D91">
      <w:pPr>
        <w:jc w:val="both"/>
        <w:rPr>
          <w:rFonts w:ascii="Arial" w:hAnsi="Arial" w:cs="Arial"/>
          <w:b/>
          <w:bCs/>
          <w:sz w:val="22"/>
          <w:szCs w:val="22"/>
        </w:rPr>
      </w:pPr>
      <w:r w:rsidRPr="00720D91">
        <w:rPr>
          <w:rFonts w:ascii="Arial" w:hAnsi="Arial" w:cs="Arial"/>
          <w:b/>
          <w:bCs/>
          <w:sz w:val="22"/>
          <w:szCs w:val="22"/>
        </w:rPr>
        <w:t>B.  Requêtes terminées</w:t>
      </w:r>
      <w:bookmarkEnd w:id="139"/>
      <w:bookmarkEnd w:id="140"/>
      <w:bookmarkEnd w:id="141"/>
      <w:bookmarkEnd w:id="142"/>
    </w:p>
    <w:p w14:paraId="5116491E" w14:textId="77777777" w:rsidR="00720D91" w:rsidRPr="00720D91" w:rsidRDefault="00720D91" w:rsidP="00720D91">
      <w:pPr>
        <w:jc w:val="both"/>
        <w:rPr>
          <w:rFonts w:ascii="Arial" w:hAnsi="Arial" w:cs="Arial"/>
          <w:sz w:val="22"/>
          <w:szCs w:val="22"/>
        </w:rPr>
      </w:pPr>
    </w:p>
    <w:p w14:paraId="5EFFE7DA" w14:textId="77777777" w:rsidR="00720D91" w:rsidRPr="00720D91" w:rsidRDefault="00720D91" w:rsidP="00720D91">
      <w:pPr>
        <w:jc w:val="both"/>
        <w:rPr>
          <w:rFonts w:ascii="Arial" w:hAnsi="Arial" w:cs="Arial"/>
          <w:sz w:val="22"/>
          <w:szCs w:val="22"/>
        </w:rPr>
      </w:pPr>
      <w:r w:rsidRPr="00720D91">
        <w:rPr>
          <w:rFonts w:ascii="Arial" w:hAnsi="Arial" w:cs="Arial"/>
          <w:sz w:val="22"/>
          <w:szCs w:val="22"/>
        </w:rPr>
        <w:t>Deux affaires phares, concernant 4 requêtes, ont été examinées et tranchées par une grande Chambre</w:t>
      </w:r>
      <w:r w:rsidRPr="00720D91">
        <w:rPr>
          <w:rFonts w:ascii="Arial" w:hAnsi="Arial" w:cs="Arial"/>
          <w:sz w:val="22"/>
          <w:szCs w:val="22"/>
          <w:vertAlign w:val="superscript"/>
        </w:rPr>
        <w:footnoteReference w:id="275"/>
      </w:r>
      <w:r w:rsidRPr="00720D91">
        <w:rPr>
          <w:rFonts w:ascii="Arial" w:hAnsi="Arial" w:cs="Arial"/>
          <w:sz w:val="22"/>
          <w:szCs w:val="22"/>
        </w:rPr>
        <w:t>. La première affaire concernait la plainte d'enfants et de parents de la communauté moldave de Transnistrie concernant les effets d'une politique linguistique adoptée en 1992 et 1994 par le régime séparatiste interdisant l'utilisation de l'alphabet latin dans les écoles et les mesures prises par la suite pour appliquer cette politique. La deuxième affaire concernait les conditions de détention d'un homme soupçonné de fraude, telles qu'ordonnées par les tribunaux de la "République moldave de Transnistrie" autoproclamée (la "MRT"). Pour plus d'informations, voir le Guide sur l'article 1 de la Convention européenne des droits de l'homme (p. 22-23).</w:t>
      </w:r>
    </w:p>
    <w:p w14:paraId="1A6E7BE0" w14:textId="77777777" w:rsidR="00720D91" w:rsidRPr="00720D91" w:rsidRDefault="00720D91" w:rsidP="00720D91">
      <w:pPr>
        <w:jc w:val="both"/>
        <w:rPr>
          <w:rFonts w:ascii="Arial" w:hAnsi="Arial" w:cs="Arial"/>
          <w:sz w:val="22"/>
          <w:szCs w:val="22"/>
        </w:rPr>
      </w:pPr>
    </w:p>
    <w:p w14:paraId="1B930683" w14:textId="77777777" w:rsidR="00720D91" w:rsidRPr="00720D91" w:rsidRDefault="00720D91" w:rsidP="00720D91">
      <w:pPr>
        <w:jc w:val="both"/>
        <w:rPr>
          <w:rFonts w:ascii="Arial" w:hAnsi="Arial" w:cs="Arial"/>
          <w:sz w:val="22"/>
          <w:szCs w:val="22"/>
        </w:rPr>
      </w:pPr>
      <w:r w:rsidRPr="00720D91">
        <w:rPr>
          <w:rFonts w:ascii="Arial" w:hAnsi="Arial" w:cs="Arial"/>
          <w:sz w:val="22"/>
          <w:szCs w:val="22"/>
        </w:rPr>
        <w:t>Au total, la Cour a statué sur 109 requêtes sur 153 requêtes introduites : 62 requêtes ont donné lieu à des arrêts, 43 requêtes ont été déclarées irrecevables et 4 ont été rayées du rôle.</w:t>
      </w:r>
    </w:p>
    <w:p w14:paraId="726D83AA" w14:textId="77777777" w:rsidR="00720D91" w:rsidRPr="00720D91" w:rsidRDefault="00720D91" w:rsidP="00720D91">
      <w:pPr>
        <w:jc w:val="both"/>
        <w:rPr>
          <w:rFonts w:ascii="Arial" w:hAnsi="Arial" w:cs="Arial"/>
          <w:sz w:val="22"/>
          <w:szCs w:val="22"/>
        </w:rPr>
      </w:pPr>
      <w:bookmarkStart w:id="143" w:name="_Toc67061044"/>
      <w:bookmarkStart w:id="144" w:name="_Toc67061946"/>
      <w:bookmarkStart w:id="145" w:name="_Toc67062111"/>
      <w:bookmarkStart w:id="146" w:name="_Toc76141600"/>
    </w:p>
    <w:p w14:paraId="6E60F3CF" w14:textId="77777777" w:rsidR="00720D91" w:rsidRPr="00720D91" w:rsidRDefault="00720D91" w:rsidP="00720D91">
      <w:pPr>
        <w:jc w:val="both"/>
        <w:rPr>
          <w:rFonts w:ascii="Arial" w:hAnsi="Arial" w:cs="Arial"/>
          <w:b/>
          <w:bCs/>
          <w:sz w:val="22"/>
          <w:szCs w:val="22"/>
        </w:rPr>
      </w:pPr>
      <w:r w:rsidRPr="00720D91">
        <w:rPr>
          <w:rFonts w:ascii="Arial" w:hAnsi="Arial" w:cs="Arial"/>
          <w:b/>
          <w:bCs/>
          <w:sz w:val="22"/>
          <w:szCs w:val="22"/>
        </w:rPr>
        <w:t>V.  Requêtes individuelles relatives à Chypre du Nord</w:t>
      </w:r>
      <w:bookmarkEnd w:id="143"/>
      <w:bookmarkEnd w:id="144"/>
      <w:bookmarkEnd w:id="145"/>
      <w:bookmarkEnd w:id="146"/>
      <w:r w:rsidRPr="00720D91">
        <w:rPr>
          <w:rFonts w:ascii="Arial" w:hAnsi="Arial" w:cs="Arial"/>
          <w:b/>
          <w:bCs/>
          <w:sz w:val="22"/>
          <w:szCs w:val="22"/>
        </w:rPr>
        <w:t xml:space="preserve"> </w:t>
      </w:r>
    </w:p>
    <w:p w14:paraId="18765180" w14:textId="77777777" w:rsidR="00720D91" w:rsidRPr="00720D91" w:rsidRDefault="00720D91" w:rsidP="00720D91">
      <w:pPr>
        <w:jc w:val="both"/>
        <w:rPr>
          <w:rFonts w:ascii="Arial" w:hAnsi="Arial" w:cs="Arial"/>
          <w:b/>
          <w:bCs/>
          <w:sz w:val="22"/>
          <w:szCs w:val="22"/>
        </w:rPr>
      </w:pPr>
      <w:bookmarkStart w:id="147" w:name="_Toc67061045"/>
      <w:bookmarkStart w:id="148" w:name="_Toc67061947"/>
      <w:bookmarkStart w:id="149" w:name="_Toc67062112"/>
      <w:bookmarkStart w:id="150" w:name="_Toc76141601"/>
    </w:p>
    <w:p w14:paraId="0E215460" w14:textId="77777777" w:rsidR="00720D91" w:rsidRPr="00720D91" w:rsidRDefault="00720D91" w:rsidP="00720D91">
      <w:pPr>
        <w:jc w:val="both"/>
        <w:rPr>
          <w:rFonts w:ascii="Arial" w:hAnsi="Arial" w:cs="Arial"/>
          <w:b/>
          <w:bCs/>
          <w:sz w:val="22"/>
          <w:szCs w:val="22"/>
        </w:rPr>
      </w:pPr>
      <w:r w:rsidRPr="00720D91">
        <w:rPr>
          <w:rFonts w:ascii="Arial" w:hAnsi="Arial" w:cs="Arial"/>
          <w:b/>
          <w:bCs/>
          <w:sz w:val="22"/>
          <w:szCs w:val="22"/>
        </w:rPr>
        <w:t>A.  Requêtes pendantes</w:t>
      </w:r>
      <w:bookmarkEnd w:id="147"/>
      <w:bookmarkEnd w:id="148"/>
      <w:bookmarkEnd w:id="149"/>
      <w:bookmarkEnd w:id="150"/>
      <w:r w:rsidRPr="00720D91">
        <w:rPr>
          <w:rFonts w:ascii="Arial" w:hAnsi="Arial" w:cs="Arial"/>
          <w:b/>
          <w:bCs/>
          <w:sz w:val="22"/>
          <w:szCs w:val="22"/>
        </w:rPr>
        <w:t xml:space="preserve"> </w:t>
      </w:r>
    </w:p>
    <w:p w14:paraId="2FAE952F" w14:textId="77777777" w:rsidR="00720D91" w:rsidRPr="00720D91" w:rsidRDefault="00720D91" w:rsidP="00720D91">
      <w:pPr>
        <w:jc w:val="both"/>
        <w:rPr>
          <w:rFonts w:ascii="Arial" w:hAnsi="Arial" w:cs="Arial"/>
          <w:sz w:val="22"/>
          <w:szCs w:val="22"/>
        </w:rPr>
      </w:pPr>
    </w:p>
    <w:p w14:paraId="579DE94A" w14:textId="77777777" w:rsidR="00720D91" w:rsidRPr="00720D91" w:rsidRDefault="00720D91" w:rsidP="00720D91">
      <w:pPr>
        <w:jc w:val="both"/>
        <w:rPr>
          <w:rFonts w:ascii="Arial" w:hAnsi="Arial" w:cs="Arial"/>
          <w:sz w:val="22"/>
          <w:szCs w:val="22"/>
        </w:rPr>
      </w:pPr>
      <w:r w:rsidRPr="00720D91">
        <w:rPr>
          <w:rFonts w:ascii="Arial" w:hAnsi="Arial" w:cs="Arial"/>
          <w:sz w:val="22"/>
          <w:szCs w:val="22"/>
        </w:rPr>
        <w:t>L'affaire interétatique Chypre c. Turquie</w:t>
      </w:r>
      <w:r w:rsidRPr="00720D91">
        <w:rPr>
          <w:rFonts w:ascii="Arial" w:hAnsi="Arial" w:cs="Arial"/>
          <w:sz w:val="22"/>
          <w:szCs w:val="22"/>
          <w:vertAlign w:val="superscript"/>
        </w:rPr>
        <w:footnoteReference w:id="276"/>
      </w:r>
      <w:r w:rsidRPr="00720D91">
        <w:rPr>
          <w:rFonts w:ascii="Arial" w:hAnsi="Arial" w:cs="Arial"/>
          <w:sz w:val="22"/>
          <w:szCs w:val="22"/>
        </w:rPr>
        <w:t>, examinée par une Grande Chambre, concernait la situation qui existait dans le nord de Chypre depuis la conduite d'opérations militaires par la Turquie en juillet et août 1974 et la division continue du territoire de Chypre</w:t>
      </w:r>
      <w:r w:rsidRPr="00720D91">
        <w:rPr>
          <w:rFonts w:ascii="Arial" w:hAnsi="Arial" w:cs="Arial"/>
          <w:sz w:val="22"/>
          <w:szCs w:val="22"/>
          <w:vertAlign w:val="superscript"/>
        </w:rPr>
        <w:footnoteReference w:id="277"/>
      </w:r>
      <w:r w:rsidRPr="00720D91">
        <w:rPr>
          <w:rFonts w:ascii="Arial" w:hAnsi="Arial" w:cs="Arial"/>
          <w:sz w:val="22"/>
          <w:szCs w:val="22"/>
        </w:rPr>
        <w:t>. Pour plus d'informations, voir le Guide sur l'article 1 de la Convention européenne des droits de l'homme (p. 20-21) et la fiche thématique de la Cour sur les conflits armés (p. 1-3).</w:t>
      </w:r>
    </w:p>
    <w:p w14:paraId="600BA515" w14:textId="77777777" w:rsidR="00720D91" w:rsidRPr="00720D91" w:rsidRDefault="00720D91" w:rsidP="00720D91">
      <w:pPr>
        <w:jc w:val="both"/>
        <w:rPr>
          <w:rFonts w:ascii="Arial" w:hAnsi="Arial" w:cs="Arial"/>
          <w:sz w:val="22"/>
          <w:szCs w:val="22"/>
        </w:rPr>
      </w:pPr>
    </w:p>
    <w:p w14:paraId="39C8F15E" w14:textId="77777777" w:rsidR="00720D91" w:rsidRPr="00720D91" w:rsidRDefault="00720D91" w:rsidP="00720D91">
      <w:pPr>
        <w:jc w:val="both"/>
        <w:rPr>
          <w:rFonts w:ascii="Arial" w:hAnsi="Arial" w:cs="Arial"/>
          <w:sz w:val="22"/>
          <w:szCs w:val="22"/>
        </w:rPr>
      </w:pPr>
      <w:r w:rsidRPr="00720D91">
        <w:rPr>
          <w:rFonts w:ascii="Arial" w:hAnsi="Arial" w:cs="Arial"/>
          <w:sz w:val="22"/>
          <w:szCs w:val="22"/>
        </w:rPr>
        <w:t>Sur les 1 815 requêtes déposées concernant des questions de propriété chypriote, 99 requêtes sont toujours pendantes contre la Turquie, dont 2 ont été communiquées au gouvernement turc.</w:t>
      </w:r>
    </w:p>
    <w:p w14:paraId="6CE07BB6" w14:textId="77777777" w:rsidR="00720D91" w:rsidRPr="00720D91" w:rsidRDefault="00720D91" w:rsidP="00720D91">
      <w:pPr>
        <w:jc w:val="both"/>
        <w:rPr>
          <w:rFonts w:ascii="Arial" w:hAnsi="Arial" w:cs="Arial"/>
          <w:sz w:val="22"/>
          <w:szCs w:val="22"/>
        </w:rPr>
      </w:pPr>
    </w:p>
    <w:p w14:paraId="7AF6E9C7" w14:textId="77777777" w:rsidR="00720D91" w:rsidRPr="00720D91" w:rsidRDefault="00720D91" w:rsidP="00720D91">
      <w:pPr>
        <w:jc w:val="both"/>
        <w:rPr>
          <w:rFonts w:ascii="Arial" w:hAnsi="Arial" w:cs="Arial"/>
          <w:b/>
          <w:bCs/>
          <w:sz w:val="22"/>
          <w:szCs w:val="22"/>
        </w:rPr>
      </w:pPr>
      <w:r w:rsidRPr="00720D91">
        <w:rPr>
          <w:rFonts w:ascii="Arial" w:hAnsi="Arial" w:cs="Arial"/>
          <w:b/>
          <w:bCs/>
          <w:sz w:val="22"/>
          <w:szCs w:val="22"/>
        </w:rPr>
        <w:t>B.  Requêtes terminées</w:t>
      </w:r>
    </w:p>
    <w:p w14:paraId="6D737073" w14:textId="77777777" w:rsidR="00720D91" w:rsidRPr="00720D91" w:rsidRDefault="00720D91" w:rsidP="00720D91">
      <w:pPr>
        <w:jc w:val="both"/>
        <w:rPr>
          <w:rFonts w:ascii="Arial" w:hAnsi="Arial" w:cs="Arial"/>
          <w:sz w:val="22"/>
          <w:szCs w:val="22"/>
        </w:rPr>
      </w:pPr>
    </w:p>
    <w:p w14:paraId="00ADE10B" w14:textId="77777777" w:rsidR="00720D91" w:rsidRPr="00720D91" w:rsidRDefault="00720D91" w:rsidP="00720D91">
      <w:pPr>
        <w:jc w:val="both"/>
        <w:rPr>
          <w:rFonts w:ascii="Arial" w:hAnsi="Arial" w:cs="Arial"/>
          <w:sz w:val="22"/>
          <w:szCs w:val="22"/>
        </w:rPr>
      </w:pPr>
      <w:r w:rsidRPr="00720D91">
        <w:rPr>
          <w:rFonts w:ascii="Arial" w:hAnsi="Arial" w:cs="Arial"/>
          <w:sz w:val="22"/>
          <w:szCs w:val="22"/>
        </w:rPr>
        <w:t>La Cour a rendu trois arrêts concernant des questions de propriété chypriote. 1 699 requêtes ont été déclarées irrecevables, y compris une importante affaire post-Loizidou</w:t>
      </w:r>
      <w:r w:rsidRPr="00720D91">
        <w:rPr>
          <w:rFonts w:ascii="Arial" w:hAnsi="Arial" w:cs="Arial"/>
          <w:sz w:val="22"/>
          <w:szCs w:val="22"/>
          <w:vertAlign w:val="superscript"/>
        </w:rPr>
        <w:footnoteReference w:id="278"/>
      </w:r>
      <w:r w:rsidRPr="00720D91">
        <w:rPr>
          <w:rFonts w:ascii="Arial" w:hAnsi="Arial" w:cs="Arial"/>
          <w:sz w:val="22"/>
          <w:szCs w:val="22"/>
        </w:rPr>
        <w:t>. 14 requêtes ont été rayées du rôle des affaires, dont une pour un règlement à l'amiable.</w:t>
      </w:r>
    </w:p>
    <w:p w14:paraId="299F20D0" w14:textId="77777777" w:rsidR="00720D91" w:rsidRPr="00720D91" w:rsidRDefault="00720D91" w:rsidP="00720D91">
      <w:pPr>
        <w:jc w:val="both"/>
        <w:rPr>
          <w:rFonts w:ascii="Arial" w:hAnsi="Arial" w:cs="Arial"/>
          <w:sz w:val="22"/>
          <w:szCs w:val="22"/>
        </w:rPr>
      </w:pPr>
    </w:p>
    <w:p w14:paraId="58BA9FC8" w14:textId="77777777" w:rsidR="00720D91" w:rsidRPr="00720D91" w:rsidRDefault="00720D91" w:rsidP="00720D91">
      <w:pPr>
        <w:jc w:val="both"/>
        <w:rPr>
          <w:rFonts w:ascii="Arial" w:hAnsi="Arial" w:cs="Arial"/>
          <w:sz w:val="22"/>
          <w:szCs w:val="22"/>
        </w:rPr>
      </w:pPr>
      <w:r w:rsidRPr="00720D91">
        <w:rPr>
          <w:rFonts w:ascii="Arial" w:hAnsi="Arial" w:cs="Arial"/>
          <w:sz w:val="22"/>
          <w:szCs w:val="22"/>
        </w:rPr>
        <w:t>Au total, 1 716 requêtes ont été tranchées par la Cour sur les 1 815 déposées.</w:t>
      </w:r>
    </w:p>
    <w:p w14:paraId="0A90A74B" w14:textId="77777777" w:rsidR="00720D91" w:rsidRPr="00720D91" w:rsidRDefault="00720D91" w:rsidP="00720D91">
      <w:pPr>
        <w:jc w:val="both"/>
        <w:rPr>
          <w:rFonts w:ascii="Arial" w:hAnsi="Arial" w:cs="Arial"/>
          <w:sz w:val="22"/>
          <w:szCs w:val="22"/>
        </w:rPr>
      </w:pPr>
      <w:bookmarkStart w:id="151" w:name="_Toc67061046"/>
      <w:bookmarkStart w:id="152" w:name="_Toc67061948"/>
      <w:bookmarkStart w:id="153" w:name="_Toc67062113"/>
      <w:bookmarkStart w:id="154" w:name="_Toc76141602"/>
    </w:p>
    <w:p w14:paraId="6A6EAC21" w14:textId="77777777" w:rsidR="00720D91" w:rsidRPr="00720D91" w:rsidRDefault="00720D91" w:rsidP="00720D91">
      <w:pPr>
        <w:jc w:val="both"/>
        <w:rPr>
          <w:rFonts w:ascii="Arial" w:hAnsi="Arial" w:cs="Arial"/>
          <w:sz w:val="22"/>
          <w:szCs w:val="22"/>
        </w:rPr>
      </w:pPr>
      <w:r w:rsidRPr="00720D91">
        <w:rPr>
          <w:rFonts w:ascii="Arial" w:hAnsi="Arial" w:cs="Arial"/>
          <w:sz w:val="22"/>
          <w:szCs w:val="22"/>
        </w:rPr>
        <w:t>RÉFÉRENCES</w:t>
      </w:r>
      <w:bookmarkEnd w:id="151"/>
      <w:bookmarkEnd w:id="152"/>
      <w:bookmarkEnd w:id="153"/>
      <w:bookmarkEnd w:id="154"/>
    </w:p>
    <w:p w14:paraId="32CE5D8F" w14:textId="77777777" w:rsidR="00720D91" w:rsidRPr="00720D91" w:rsidRDefault="00720D91" w:rsidP="00720D91">
      <w:pPr>
        <w:jc w:val="both"/>
        <w:rPr>
          <w:rFonts w:ascii="Arial" w:hAnsi="Arial" w:cs="Arial"/>
          <w:sz w:val="22"/>
          <w:szCs w:val="22"/>
        </w:rPr>
      </w:pPr>
    </w:p>
    <w:p w14:paraId="31E7FC2F" w14:textId="77777777" w:rsidR="00720D91" w:rsidRPr="00720D91" w:rsidRDefault="00AF5A36" w:rsidP="00720D91">
      <w:pPr>
        <w:jc w:val="both"/>
        <w:rPr>
          <w:rFonts w:ascii="Arial" w:hAnsi="Arial" w:cs="Arial"/>
          <w:sz w:val="22"/>
          <w:szCs w:val="22"/>
        </w:rPr>
      </w:pPr>
      <w:hyperlink r:id="rId29" w:history="1">
        <w:r w:rsidR="00720D91" w:rsidRPr="00720D91">
          <w:rPr>
            <w:rStyle w:val="Lienhypertexte"/>
            <w:rFonts w:ascii="Arial" w:eastAsiaTheme="majorEastAsia" w:hAnsi="Arial" w:cs="Arial"/>
            <w:sz w:val="22"/>
            <w:szCs w:val="22"/>
          </w:rPr>
          <w:t>https://www.echr.coe.int/Documents/Stats_understanding_FRA.pdf</w:t>
        </w:r>
      </w:hyperlink>
      <w:r w:rsidR="00720D91" w:rsidRPr="00720D91">
        <w:rPr>
          <w:rFonts w:ascii="Arial" w:hAnsi="Arial" w:cs="Arial"/>
          <w:sz w:val="22"/>
          <w:szCs w:val="22"/>
        </w:rPr>
        <w:t xml:space="preserve"> </w:t>
      </w:r>
    </w:p>
    <w:p w14:paraId="2BC26A9F" w14:textId="77777777" w:rsidR="00720D91" w:rsidRPr="00720D91" w:rsidRDefault="00AF5A36" w:rsidP="00720D91">
      <w:pPr>
        <w:jc w:val="both"/>
        <w:rPr>
          <w:rFonts w:ascii="Arial" w:hAnsi="Arial" w:cs="Arial"/>
          <w:sz w:val="22"/>
          <w:szCs w:val="22"/>
        </w:rPr>
      </w:pPr>
      <w:hyperlink r:id="rId30" w:history="1">
        <w:r w:rsidR="00720D91" w:rsidRPr="00720D91">
          <w:rPr>
            <w:rStyle w:val="Lienhypertexte"/>
            <w:rFonts w:ascii="Arial" w:eastAsiaTheme="majorEastAsia" w:hAnsi="Arial" w:cs="Arial"/>
            <w:sz w:val="22"/>
            <w:szCs w:val="22"/>
          </w:rPr>
          <w:t>https://hudoc.echr.coe.int/</w:t>
        </w:r>
      </w:hyperlink>
      <w:r w:rsidR="00720D91" w:rsidRPr="00720D91">
        <w:rPr>
          <w:rFonts w:ascii="Arial" w:hAnsi="Arial" w:cs="Arial"/>
          <w:sz w:val="22"/>
          <w:szCs w:val="22"/>
        </w:rPr>
        <w:t xml:space="preserve"> </w:t>
      </w:r>
    </w:p>
    <w:p w14:paraId="5C811D8B" w14:textId="77777777" w:rsidR="00720D91" w:rsidRPr="00720D91" w:rsidRDefault="00AF5A36" w:rsidP="00720D91">
      <w:pPr>
        <w:jc w:val="both"/>
        <w:rPr>
          <w:rFonts w:ascii="Arial" w:hAnsi="Arial" w:cs="Arial"/>
          <w:sz w:val="22"/>
          <w:szCs w:val="22"/>
        </w:rPr>
      </w:pPr>
      <w:hyperlink r:id="rId31" w:history="1">
        <w:r w:rsidR="00720D91" w:rsidRPr="00720D91">
          <w:rPr>
            <w:rStyle w:val="Lienhypertexte"/>
            <w:rFonts w:ascii="Arial" w:eastAsiaTheme="majorEastAsia" w:hAnsi="Arial" w:cs="Arial"/>
            <w:sz w:val="22"/>
            <w:szCs w:val="22"/>
          </w:rPr>
          <w:t>https://www.echr.coe.int/Documents/Guide_Art_1_FRA.pdf</w:t>
        </w:r>
      </w:hyperlink>
    </w:p>
    <w:p w14:paraId="605737C8" w14:textId="77777777" w:rsidR="00720D91" w:rsidRPr="00720D91" w:rsidRDefault="00AF5A36" w:rsidP="00720D91">
      <w:pPr>
        <w:jc w:val="both"/>
        <w:rPr>
          <w:rFonts w:ascii="Arial" w:hAnsi="Arial" w:cs="Arial"/>
          <w:sz w:val="22"/>
          <w:szCs w:val="22"/>
        </w:rPr>
      </w:pPr>
      <w:hyperlink r:id="rId32" w:history="1">
        <w:r w:rsidR="00720D91" w:rsidRPr="00720D91">
          <w:rPr>
            <w:rStyle w:val="Lienhypertexte"/>
            <w:rFonts w:ascii="Arial" w:eastAsiaTheme="majorEastAsia" w:hAnsi="Arial" w:cs="Arial"/>
            <w:sz w:val="22"/>
            <w:szCs w:val="22"/>
          </w:rPr>
          <w:t>https://www.echr.coe.int/Documents/FS_Armed_conflicts_FRA.pdf</w:t>
        </w:r>
      </w:hyperlink>
      <w:r w:rsidR="00720D91" w:rsidRPr="00720D91">
        <w:rPr>
          <w:rFonts w:ascii="Arial" w:hAnsi="Arial" w:cs="Arial"/>
          <w:sz w:val="22"/>
          <w:szCs w:val="22"/>
        </w:rPr>
        <w:t xml:space="preserve"> </w:t>
      </w:r>
    </w:p>
    <w:p w14:paraId="0D03EF24" w14:textId="77777777" w:rsidR="00720D91" w:rsidRPr="00720D91" w:rsidRDefault="00AF5A36" w:rsidP="00720D91">
      <w:pPr>
        <w:jc w:val="both"/>
        <w:rPr>
          <w:rFonts w:ascii="Arial" w:hAnsi="Arial" w:cs="Arial"/>
          <w:sz w:val="22"/>
          <w:szCs w:val="22"/>
        </w:rPr>
      </w:pPr>
      <w:hyperlink r:id="rId33" w:history="1">
        <w:r w:rsidR="00720D91" w:rsidRPr="00720D91">
          <w:rPr>
            <w:rStyle w:val="Lienhypertexte"/>
            <w:rFonts w:ascii="Arial" w:eastAsiaTheme="majorEastAsia" w:hAnsi="Arial" w:cs="Arial"/>
            <w:sz w:val="22"/>
            <w:szCs w:val="22"/>
          </w:rPr>
          <w:t>https://echr.coe.int/Documents/Press_Q_A_Inter-State_cases_FRA.pdf</w:t>
        </w:r>
      </w:hyperlink>
    </w:p>
    <w:p w14:paraId="5ABE1C00" w14:textId="6003481F" w:rsidR="00720D91" w:rsidRPr="00720D91" w:rsidRDefault="00720D91" w:rsidP="009D685D">
      <w:pPr>
        <w:jc w:val="center"/>
        <w:rPr>
          <w:sz w:val="22"/>
          <w:szCs w:val="22"/>
        </w:rPr>
      </w:pPr>
      <w:r w:rsidRPr="00720D91">
        <w:rPr>
          <w:sz w:val="22"/>
          <w:szCs w:val="22"/>
        </w:rPr>
        <w:t xml:space="preserve"> </w:t>
      </w:r>
    </w:p>
    <w:sectPr w:rsidR="00720D91" w:rsidRPr="00720D91" w:rsidSect="00EA35A6">
      <w:headerReference w:type="default" r:id="rId34"/>
      <w:headerReference w:type="first" r:id="rId35"/>
      <w:pgSz w:w="11900" w:h="16840"/>
      <w:pgMar w:top="1417" w:right="1417" w:bottom="1417" w:left="1417" w:header="107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443A70" w14:textId="77777777" w:rsidR="00AF5A36" w:rsidRDefault="00AF5A36" w:rsidP="00EA35A6">
      <w:r>
        <w:separator/>
      </w:r>
    </w:p>
  </w:endnote>
  <w:endnote w:type="continuationSeparator" w:id="0">
    <w:p w14:paraId="3E6B6FAE" w14:textId="77777777" w:rsidR="00AF5A36" w:rsidRDefault="00AF5A36" w:rsidP="00EA3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Roman">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mp;quo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9BAC49" w14:textId="77777777" w:rsidR="00AF5A36" w:rsidRDefault="00AF5A36" w:rsidP="00EA35A6">
      <w:r>
        <w:separator/>
      </w:r>
    </w:p>
  </w:footnote>
  <w:footnote w:type="continuationSeparator" w:id="0">
    <w:p w14:paraId="53CCDB58" w14:textId="77777777" w:rsidR="00AF5A36" w:rsidRDefault="00AF5A36" w:rsidP="00EA35A6">
      <w:r>
        <w:continuationSeparator/>
      </w:r>
    </w:p>
  </w:footnote>
  <w:footnote w:id="1">
    <w:p w14:paraId="6AF9F8BD" w14:textId="77777777" w:rsidR="00D86968" w:rsidRPr="002D305B" w:rsidRDefault="00D86968" w:rsidP="00720D91">
      <w:pPr>
        <w:pStyle w:val="Sansinterligne"/>
        <w:jc w:val="both"/>
        <w:rPr>
          <w:rFonts w:ascii="Arial" w:hAnsi="Arial" w:cs="Arial"/>
          <w:sz w:val="18"/>
          <w:szCs w:val="18"/>
        </w:rPr>
      </w:pPr>
      <w:r w:rsidRPr="002D305B">
        <w:rPr>
          <w:rStyle w:val="Appelnotedebasdep"/>
        </w:rPr>
        <w:footnoteRef/>
      </w:r>
      <w:r w:rsidRPr="002D305B">
        <w:t xml:space="preserve"> </w:t>
      </w:r>
      <w:r w:rsidRPr="002D305B">
        <w:rPr>
          <w:rFonts w:ascii="Arial" w:hAnsi="Arial" w:cs="Arial"/>
          <w:sz w:val="18"/>
          <w:szCs w:val="18"/>
        </w:rPr>
        <w:t>Voir</w:t>
      </w:r>
      <w:r w:rsidRPr="002D305B">
        <w:rPr>
          <w:sz w:val="18"/>
          <w:szCs w:val="18"/>
        </w:rPr>
        <w:t xml:space="preserve"> </w:t>
      </w:r>
      <w:r w:rsidRPr="002D305B">
        <w:rPr>
          <w:rFonts w:ascii="Arial" w:hAnsi="Arial" w:cs="Arial"/>
          <w:sz w:val="18"/>
          <w:szCs w:val="18"/>
        </w:rPr>
        <w:t xml:space="preserve">document </w:t>
      </w:r>
      <w:hyperlink r:id="rId1" w:history="1">
        <w:r w:rsidRPr="002D305B">
          <w:rPr>
            <w:rStyle w:val="Lienhypertexte"/>
            <w:rFonts w:ascii="Arial" w:eastAsiaTheme="majorEastAsia" w:hAnsi="Arial" w:cs="Arial"/>
            <w:sz w:val="18"/>
            <w:szCs w:val="18"/>
          </w:rPr>
          <w:t>CDDH(2019)R92Addendum2</w:t>
        </w:r>
      </w:hyperlink>
      <w:r w:rsidRPr="002D305B">
        <w:rPr>
          <w:rFonts w:ascii="Arial" w:hAnsi="Arial" w:cs="Arial"/>
          <w:sz w:val="18"/>
          <w:szCs w:val="18"/>
        </w:rPr>
        <w:t>.</w:t>
      </w:r>
    </w:p>
  </w:footnote>
  <w:footnote w:id="2">
    <w:p w14:paraId="12C86180" w14:textId="77777777" w:rsidR="00D86968" w:rsidRPr="00720D91" w:rsidRDefault="00D86968" w:rsidP="00720D91">
      <w:pPr>
        <w:pStyle w:val="Notedebasdepage"/>
        <w:rPr>
          <w:lang w:val="fr-FR"/>
        </w:rPr>
      </w:pPr>
      <w:r w:rsidRPr="002D305B">
        <w:rPr>
          <w:rStyle w:val="Appelnotedebasdep"/>
        </w:rPr>
        <w:footnoteRef/>
      </w:r>
      <w:r w:rsidRPr="00720D91">
        <w:rPr>
          <w:lang w:val="fr-FR"/>
        </w:rPr>
        <w:t xml:space="preserve"> </w:t>
      </w:r>
      <w:r w:rsidRPr="00720D91">
        <w:rPr>
          <w:rFonts w:ascii="Arial" w:hAnsi="Arial" w:cs="Arial"/>
          <w:sz w:val="18"/>
          <w:szCs w:val="18"/>
          <w:lang w:val="fr-FR"/>
        </w:rPr>
        <w:t>Voir</w:t>
      </w:r>
      <w:r w:rsidRPr="00720D91">
        <w:rPr>
          <w:sz w:val="18"/>
          <w:szCs w:val="18"/>
          <w:lang w:val="fr-FR"/>
        </w:rPr>
        <w:t xml:space="preserve"> </w:t>
      </w:r>
      <w:hyperlink r:id="rId2" w:history="1">
        <w:r w:rsidRPr="00720D91">
          <w:rPr>
            <w:rStyle w:val="Lienhypertexte"/>
            <w:rFonts w:ascii="Arial" w:hAnsi="Arial" w:cs="Arial"/>
            <w:sz w:val="18"/>
            <w:szCs w:val="18"/>
            <w:lang w:val="fr-FR"/>
          </w:rPr>
          <w:t>CM/Del/Dec(2018)1317/1.5</w:t>
        </w:r>
      </w:hyperlink>
      <w:r w:rsidRPr="00720D91">
        <w:rPr>
          <w:rFonts w:ascii="Arial" w:hAnsi="Arial" w:cs="Arial"/>
          <w:sz w:val="18"/>
          <w:szCs w:val="18"/>
          <w:lang w:val="fr-FR"/>
        </w:rPr>
        <w:t xml:space="preserve">. </w:t>
      </w:r>
    </w:p>
  </w:footnote>
  <w:footnote w:id="3">
    <w:p w14:paraId="2C512246" w14:textId="77777777" w:rsidR="00D86968" w:rsidRPr="002D305B" w:rsidRDefault="00D86968" w:rsidP="00720D91">
      <w:pPr>
        <w:pStyle w:val="Sansinterligne"/>
        <w:jc w:val="both"/>
        <w:rPr>
          <w:rFonts w:ascii="Arial" w:hAnsi="Arial" w:cs="Arial"/>
          <w:sz w:val="18"/>
          <w:szCs w:val="18"/>
        </w:rPr>
      </w:pPr>
      <w:r w:rsidRPr="002D305B">
        <w:rPr>
          <w:rStyle w:val="Appelnotedebasdep"/>
          <w:rFonts w:ascii="Arial" w:hAnsi="Arial" w:cs="Arial"/>
          <w:sz w:val="18"/>
          <w:szCs w:val="18"/>
        </w:rPr>
        <w:footnoteRef/>
      </w:r>
      <w:r w:rsidRPr="002D305B">
        <w:rPr>
          <w:rFonts w:ascii="Arial" w:hAnsi="Arial" w:cs="Arial"/>
          <w:sz w:val="18"/>
          <w:szCs w:val="18"/>
        </w:rPr>
        <w:t xml:space="preserve"> Voir </w:t>
      </w:r>
      <w:hyperlink r:id="rId3" w:history="1">
        <w:r w:rsidRPr="002D305B">
          <w:rPr>
            <w:rStyle w:val="Lienhypertexte"/>
            <w:rFonts w:ascii="Arial" w:eastAsiaTheme="majorEastAsia" w:hAnsi="Arial" w:cs="Arial"/>
            <w:bCs/>
            <w:sz w:val="18"/>
            <w:szCs w:val="18"/>
          </w:rPr>
          <w:t>CDDH(2019)R91</w:t>
        </w:r>
      </w:hyperlink>
      <w:r w:rsidRPr="002D305B">
        <w:rPr>
          <w:rFonts w:ascii="Arial" w:hAnsi="Arial" w:cs="Arial"/>
          <w:sz w:val="18"/>
          <w:szCs w:val="18"/>
        </w:rPr>
        <w:t>, para. 25 à 28.</w:t>
      </w:r>
    </w:p>
  </w:footnote>
  <w:footnote w:id="4">
    <w:p w14:paraId="3F9CA8CD" w14:textId="77777777" w:rsidR="00D86968" w:rsidRPr="002D305B" w:rsidRDefault="00D86968" w:rsidP="00720D91">
      <w:pPr>
        <w:pStyle w:val="Sansinterligne"/>
        <w:jc w:val="both"/>
        <w:rPr>
          <w:rFonts w:ascii="Arial" w:hAnsi="Arial" w:cs="Arial"/>
          <w:sz w:val="18"/>
          <w:szCs w:val="18"/>
        </w:rPr>
      </w:pPr>
      <w:r w:rsidRPr="002D305B">
        <w:rPr>
          <w:rStyle w:val="Appelnotedebasdep"/>
          <w:rFonts w:ascii="Arial" w:hAnsi="Arial" w:cs="Arial"/>
          <w:sz w:val="18"/>
          <w:szCs w:val="18"/>
        </w:rPr>
        <w:footnoteRef/>
      </w:r>
      <w:r w:rsidRPr="002D305B">
        <w:rPr>
          <w:rFonts w:ascii="Arial" w:hAnsi="Arial" w:cs="Arial"/>
          <w:sz w:val="18"/>
          <w:szCs w:val="18"/>
        </w:rPr>
        <w:t xml:space="preserve"> Voir le document </w:t>
      </w:r>
      <w:hyperlink r:id="rId4" w:history="1">
        <w:r w:rsidRPr="002D305B">
          <w:rPr>
            <w:rStyle w:val="Lienhypertexte"/>
            <w:rFonts w:ascii="Arial" w:eastAsiaTheme="majorEastAsia" w:hAnsi="Arial" w:cs="Arial"/>
            <w:bCs/>
            <w:sz w:val="18"/>
            <w:szCs w:val="18"/>
          </w:rPr>
          <w:t>CDDH-BU(2019)R101 Addendum</w:t>
        </w:r>
      </w:hyperlink>
      <w:r w:rsidRPr="002D305B">
        <w:rPr>
          <w:rFonts w:ascii="Arial" w:hAnsi="Arial" w:cs="Arial"/>
          <w:sz w:val="18"/>
          <w:szCs w:val="18"/>
        </w:rPr>
        <w:t xml:space="preserve"> du 12 juin 2019, §§ 61-91 et Annexes I et II.</w:t>
      </w:r>
    </w:p>
  </w:footnote>
  <w:footnote w:id="5">
    <w:p w14:paraId="7804A459" w14:textId="77777777" w:rsidR="00D86968" w:rsidRPr="002D305B" w:rsidRDefault="00D86968" w:rsidP="00720D91">
      <w:pPr>
        <w:pStyle w:val="Sansinterligne"/>
        <w:jc w:val="both"/>
        <w:rPr>
          <w:rFonts w:ascii="Arial" w:hAnsi="Arial" w:cs="Arial"/>
          <w:sz w:val="18"/>
          <w:szCs w:val="18"/>
        </w:rPr>
      </w:pPr>
      <w:r w:rsidRPr="002D305B">
        <w:rPr>
          <w:rStyle w:val="Appelnotedebasdep"/>
          <w:rFonts w:ascii="Arial" w:hAnsi="Arial" w:cs="Arial"/>
          <w:sz w:val="18"/>
          <w:szCs w:val="18"/>
        </w:rPr>
        <w:footnoteRef/>
      </w:r>
      <w:r w:rsidRPr="002D305B">
        <w:rPr>
          <w:rFonts w:ascii="Arial" w:hAnsi="Arial" w:cs="Arial"/>
          <w:sz w:val="18"/>
          <w:szCs w:val="18"/>
        </w:rPr>
        <w:t xml:space="preserve"> Voir le document </w:t>
      </w:r>
      <w:hyperlink r:id="rId5" w:history="1">
        <w:r w:rsidRPr="002D305B">
          <w:rPr>
            <w:rStyle w:val="Lienhypertexte"/>
            <w:rFonts w:ascii="Arial" w:eastAsiaTheme="majorEastAsia" w:hAnsi="Arial" w:cs="Arial"/>
            <w:sz w:val="18"/>
            <w:szCs w:val="18"/>
          </w:rPr>
          <w:t>CDDH(2019)12</w:t>
        </w:r>
      </w:hyperlink>
      <w:r w:rsidRPr="002D305B">
        <w:rPr>
          <w:rFonts w:ascii="Arial" w:hAnsi="Arial" w:cs="Arial"/>
          <w:sz w:val="18"/>
          <w:szCs w:val="18"/>
        </w:rPr>
        <w:t>.</w:t>
      </w:r>
    </w:p>
  </w:footnote>
  <w:footnote w:id="6">
    <w:p w14:paraId="6521EF67" w14:textId="77777777" w:rsidR="00D86968" w:rsidRPr="002D305B" w:rsidRDefault="00D86968" w:rsidP="00720D91">
      <w:pPr>
        <w:pStyle w:val="Sansinterligne"/>
        <w:jc w:val="both"/>
        <w:rPr>
          <w:rFonts w:ascii="Arial" w:hAnsi="Arial" w:cs="Arial"/>
          <w:sz w:val="18"/>
          <w:szCs w:val="18"/>
        </w:rPr>
      </w:pPr>
      <w:r w:rsidRPr="002D305B">
        <w:rPr>
          <w:rStyle w:val="Appelnotedebasdep"/>
          <w:rFonts w:ascii="Arial" w:hAnsi="Arial" w:cs="Arial"/>
          <w:sz w:val="18"/>
          <w:szCs w:val="18"/>
        </w:rPr>
        <w:footnoteRef/>
      </w:r>
      <w:r w:rsidRPr="002D305B">
        <w:rPr>
          <w:rFonts w:ascii="Arial" w:hAnsi="Arial" w:cs="Arial"/>
          <w:sz w:val="18"/>
          <w:szCs w:val="18"/>
        </w:rPr>
        <w:t xml:space="preserve"> Voir pour la version complète du rapport </w:t>
      </w:r>
      <w:r w:rsidRPr="002D305B">
        <w:rPr>
          <w:rFonts w:ascii="Arial" w:hAnsi="Arial" w:cs="Arial"/>
          <w:iCs/>
          <w:sz w:val="18"/>
          <w:szCs w:val="18"/>
        </w:rPr>
        <w:t xml:space="preserve">adopté par la plénière de la Cour le 18 juin 2018, </w:t>
      </w:r>
      <w:r w:rsidRPr="002D305B">
        <w:rPr>
          <w:rFonts w:ascii="Arial" w:hAnsi="Arial" w:cs="Arial"/>
          <w:sz w:val="18"/>
          <w:szCs w:val="18"/>
        </w:rPr>
        <w:t xml:space="preserve">document </w:t>
      </w:r>
      <w:hyperlink r:id="rId6" w:history="1">
        <w:r w:rsidRPr="002D305B">
          <w:rPr>
            <w:rStyle w:val="Lienhypertexte"/>
            <w:rFonts w:ascii="Arial" w:eastAsiaTheme="majorEastAsia" w:hAnsi="Arial" w:cs="Arial"/>
            <w:sz w:val="18"/>
            <w:szCs w:val="18"/>
          </w:rPr>
          <w:t>CDDH(2019)22</w:t>
        </w:r>
      </w:hyperlink>
      <w:r w:rsidRPr="002D305B">
        <w:rPr>
          <w:rFonts w:ascii="Arial" w:hAnsi="Arial" w:cs="Arial"/>
          <w:sz w:val="18"/>
          <w:szCs w:val="18"/>
        </w:rPr>
        <w:t>.</w:t>
      </w:r>
    </w:p>
  </w:footnote>
  <w:footnote w:id="7">
    <w:p w14:paraId="61EA3309" w14:textId="77777777" w:rsidR="00D86968" w:rsidRPr="002D305B" w:rsidRDefault="00D86968" w:rsidP="00720D91">
      <w:pPr>
        <w:pStyle w:val="Sansinterligne"/>
        <w:jc w:val="both"/>
        <w:rPr>
          <w:rFonts w:ascii="Arial" w:hAnsi="Arial" w:cs="Arial"/>
          <w:sz w:val="18"/>
          <w:szCs w:val="18"/>
        </w:rPr>
      </w:pPr>
      <w:r w:rsidRPr="002D305B">
        <w:rPr>
          <w:rStyle w:val="Appelnotedebasdep"/>
          <w:rFonts w:ascii="Arial" w:hAnsi="Arial" w:cs="Arial"/>
          <w:sz w:val="18"/>
          <w:szCs w:val="18"/>
        </w:rPr>
        <w:footnoteRef/>
      </w:r>
      <w:r w:rsidRPr="002D305B">
        <w:rPr>
          <w:rFonts w:ascii="Arial" w:hAnsi="Arial" w:cs="Arial"/>
          <w:iCs/>
          <w:sz w:val="18"/>
          <w:szCs w:val="18"/>
        </w:rPr>
        <w:t xml:space="preserve"> Les paragraphes 61-91 du document </w:t>
      </w:r>
      <w:hyperlink r:id="rId7" w:history="1">
        <w:r w:rsidRPr="002D305B">
          <w:rPr>
            <w:rStyle w:val="Lienhypertexte"/>
            <w:rFonts w:ascii="Arial" w:eastAsiaTheme="majorEastAsia" w:hAnsi="Arial" w:cs="Arial"/>
            <w:bCs/>
            <w:sz w:val="18"/>
            <w:szCs w:val="18"/>
          </w:rPr>
          <w:t xml:space="preserve">CDDH-BU(2019)R101 Addendum </w:t>
        </w:r>
      </w:hyperlink>
      <w:r w:rsidRPr="002D305B">
        <w:rPr>
          <w:rFonts w:ascii="Arial" w:hAnsi="Arial" w:cs="Arial"/>
          <w:iCs/>
          <w:sz w:val="18"/>
          <w:szCs w:val="18"/>
        </w:rPr>
        <w:t xml:space="preserve">n'ont pas été adoptés provisoirement, voir document </w:t>
      </w:r>
      <w:hyperlink r:id="rId8" w:history="1">
        <w:r w:rsidRPr="002D305B">
          <w:rPr>
            <w:rStyle w:val="Lienhypertexte"/>
            <w:rFonts w:ascii="Arial" w:eastAsiaTheme="majorEastAsia" w:hAnsi="Arial" w:cs="Arial"/>
            <w:bCs/>
            <w:sz w:val="18"/>
            <w:szCs w:val="18"/>
          </w:rPr>
          <w:t>CDDH(2019)R91</w:t>
        </w:r>
      </w:hyperlink>
      <w:r w:rsidRPr="002D305B">
        <w:rPr>
          <w:rStyle w:val="Lienhypertexte"/>
          <w:rFonts w:ascii="Arial" w:eastAsiaTheme="majorEastAsia" w:hAnsi="Arial" w:cs="Arial"/>
          <w:bCs/>
          <w:sz w:val="18"/>
          <w:szCs w:val="18"/>
        </w:rPr>
        <w:t xml:space="preserve">, </w:t>
      </w:r>
      <w:r w:rsidRPr="002D305B">
        <w:rPr>
          <w:rFonts w:ascii="Arial" w:hAnsi="Arial" w:cs="Arial"/>
          <w:iCs/>
          <w:sz w:val="18"/>
          <w:szCs w:val="18"/>
        </w:rPr>
        <w:t>§§ 25-28.</w:t>
      </w:r>
    </w:p>
  </w:footnote>
  <w:footnote w:id="8">
    <w:p w14:paraId="70B4BA55" w14:textId="77777777" w:rsidR="00D86968" w:rsidRPr="002D305B" w:rsidRDefault="00D86968" w:rsidP="00720D91">
      <w:pPr>
        <w:pStyle w:val="Sansinterligne"/>
        <w:jc w:val="both"/>
        <w:rPr>
          <w:rFonts w:ascii="Arial" w:hAnsi="Arial" w:cs="Arial"/>
          <w:sz w:val="18"/>
          <w:szCs w:val="18"/>
        </w:rPr>
      </w:pPr>
      <w:r w:rsidRPr="002D305B">
        <w:rPr>
          <w:rStyle w:val="Appelnotedebasdep"/>
          <w:rFonts w:ascii="Arial" w:hAnsi="Arial" w:cs="Arial"/>
          <w:sz w:val="18"/>
          <w:szCs w:val="18"/>
        </w:rPr>
        <w:footnoteRef/>
      </w:r>
      <w:r w:rsidRPr="002D305B">
        <w:rPr>
          <w:rFonts w:ascii="Arial" w:hAnsi="Arial" w:cs="Arial"/>
          <w:sz w:val="18"/>
          <w:szCs w:val="18"/>
        </w:rPr>
        <w:t xml:space="preserve">  Ibid, document </w:t>
      </w:r>
      <w:hyperlink r:id="rId9" w:history="1">
        <w:r w:rsidRPr="002D305B">
          <w:rPr>
            <w:rStyle w:val="Lienhypertexte"/>
            <w:rFonts w:ascii="Arial" w:eastAsiaTheme="majorEastAsia" w:hAnsi="Arial" w:cs="Arial"/>
            <w:bCs/>
            <w:sz w:val="18"/>
            <w:szCs w:val="18"/>
          </w:rPr>
          <w:t>CDDH(2019)R91</w:t>
        </w:r>
      </w:hyperlink>
      <w:r w:rsidRPr="002D305B">
        <w:rPr>
          <w:rFonts w:ascii="Arial" w:hAnsi="Arial" w:cs="Arial"/>
          <w:sz w:val="18"/>
          <w:szCs w:val="18"/>
        </w:rPr>
        <w:t>, §§ 25-28.</w:t>
      </w:r>
    </w:p>
  </w:footnote>
  <w:footnote w:id="9">
    <w:p w14:paraId="605D3574" w14:textId="77777777" w:rsidR="00D86968" w:rsidRPr="002D305B" w:rsidRDefault="00D86968" w:rsidP="00720D91">
      <w:pPr>
        <w:pStyle w:val="Sansinterligne"/>
        <w:jc w:val="both"/>
        <w:rPr>
          <w:rFonts w:ascii="Arial" w:hAnsi="Arial" w:cs="Arial"/>
          <w:sz w:val="18"/>
          <w:szCs w:val="18"/>
        </w:rPr>
      </w:pPr>
      <w:r w:rsidRPr="002D305B">
        <w:rPr>
          <w:rStyle w:val="Appelnotedebasdep"/>
          <w:rFonts w:ascii="Arial" w:hAnsi="Arial" w:cs="Arial"/>
          <w:sz w:val="18"/>
          <w:szCs w:val="18"/>
        </w:rPr>
        <w:footnoteRef/>
      </w:r>
      <w:hyperlink r:id="rId10" w:history="1">
        <w:r w:rsidRPr="002D305B">
          <w:rPr>
            <w:rStyle w:val="Lienhypertexte"/>
            <w:rFonts w:ascii="Arial" w:eastAsiaTheme="majorEastAsia" w:hAnsi="Arial" w:cs="Arial"/>
            <w:iCs/>
            <w:sz w:val="18"/>
            <w:szCs w:val="18"/>
          </w:rPr>
          <w:t xml:space="preserve"> </w:t>
        </w:r>
      </w:hyperlink>
      <w:r w:rsidRPr="002D305B">
        <w:rPr>
          <w:rFonts w:ascii="Arial" w:hAnsi="Arial" w:cs="Arial"/>
          <w:sz w:val="18"/>
          <w:szCs w:val="18"/>
        </w:rPr>
        <w:t xml:space="preserve">Voir le document </w:t>
      </w:r>
      <w:hyperlink r:id="rId11" w:history="1">
        <w:r w:rsidRPr="002D305B">
          <w:rPr>
            <w:rStyle w:val="Lienhypertexte"/>
            <w:rFonts w:ascii="Arial" w:eastAsiaTheme="majorEastAsia" w:hAnsi="Arial" w:cs="Arial"/>
            <w:iCs/>
            <w:sz w:val="18"/>
            <w:szCs w:val="18"/>
          </w:rPr>
          <w:t>DH-SYSC-IV(2020)01</w:t>
        </w:r>
      </w:hyperlink>
      <w:r w:rsidRPr="002D305B">
        <w:rPr>
          <w:rFonts w:ascii="Arial" w:hAnsi="Arial" w:cs="Arial"/>
          <w:iCs/>
          <w:sz w:val="18"/>
          <w:szCs w:val="18"/>
        </w:rPr>
        <w:t xml:space="preserve">. </w:t>
      </w:r>
    </w:p>
  </w:footnote>
  <w:footnote w:id="10">
    <w:p w14:paraId="72D8969A" w14:textId="77777777" w:rsidR="00D86968" w:rsidRPr="002D305B" w:rsidRDefault="00D86968" w:rsidP="00720D91">
      <w:pPr>
        <w:pStyle w:val="Sansinterligne"/>
        <w:jc w:val="both"/>
        <w:rPr>
          <w:rFonts w:ascii="Arial" w:hAnsi="Arial" w:cs="Arial"/>
          <w:sz w:val="18"/>
          <w:szCs w:val="18"/>
        </w:rPr>
      </w:pPr>
      <w:r w:rsidRPr="002D305B">
        <w:rPr>
          <w:rStyle w:val="Appelnotedebasdep"/>
          <w:rFonts w:ascii="Arial" w:hAnsi="Arial" w:cs="Arial"/>
          <w:sz w:val="18"/>
          <w:szCs w:val="18"/>
        </w:rPr>
        <w:footnoteRef/>
      </w:r>
      <w:r w:rsidRPr="002D305B">
        <w:rPr>
          <w:rFonts w:ascii="Arial" w:hAnsi="Arial" w:cs="Arial"/>
          <w:sz w:val="18"/>
          <w:szCs w:val="18"/>
        </w:rPr>
        <w:t xml:space="preserve"> Voir le document </w:t>
      </w:r>
      <w:hyperlink r:id="rId12" w:history="1">
        <w:r w:rsidRPr="002D305B">
          <w:rPr>
            <w:rStyle w:val="Lienhypertexte"/>
            <w:rFonts w:ascii="Arial" w:eastAsiaTheme="majorEastAsia" w:hAnsi="Arial" w:cs="Arial"/>
            <w:sz w:val="18"/>
            <w:szCs w:val="18"/>
          </w:rPr>
          <w:t>CDDH(2019)R92</w:t>
        </w:r>
      </w:hyperlink>
      <w:r w:rsidRPr="002D305B">
        <w:rPr>
          <w:rFonts w:ascii="Arial" w:hAnsi="Arial" w:cs="Arial"/>
          <w:sz w:val="18"/>
          <w:szCs w:val="18"/>
        </w:rPr>
        <w:t xml:space="preserve">. </w:t>
      </w:r>
    </w:p>
  </w:footnote>
  <w:footnote w:id="11">
    <w:p w14:paraId="7A168E9F" w14:textId="77777777" w:rsidR="00D86968" w:rsidRPr="002D305B" w:rsidRDefault="00D86968" w:rsidP="00720D91">
      <w:pPr>
        <w:pStyle w:val="Sansinterligne"/>
        <w:jc w:val="both"/>
        <w:rPr>
          <w:rFonts w:ascii="Arial" w:hAnsi="Arial" w:cs="Arial"/>
          <w:sz w:val="18"/>
          <w:szCs w:val="18"/>
        </w:rPr>
      </w:pPr>
      <w:r w:rsidRPr="002D305B">
        <w:rPr>
          <w:rStyle w:val="Appelnotedebasdep"/>
          <w:rFonts w:ascii="Arial" w:hAnsi="Arial" w:cs="Arial"/>
          <w:sz w:val="18"/>
          <w:szCs w:val="18"/>
        </w:rPr>
        <w:footnoteRef/>
      </w:r>
      <w:r w:rsidRPr="002D305B">
        <w:rPr>
          <w:rFonts w:ascii="Arial" w:hAnsi="Arial" w:cs="Arial"/>
          <w:sz w:val="18"/>
          <w:szCs w:val="18"/>
        </w:rPr>
        <w:t xml:space="preserve"> Voir le document </w:t>
      </w:r>
      <w:hyperlink r:id="rId13" w:history="1">
        <w:r w:rsidRPr="002D305B">
          <w:rPr>
            <w:rStyle w:val="Lienhypertexte"/>
            <w:rFonts w:ascii="Arial" w:eastAsiaTheme="majorEastAsia" w:hAnsi="Arial" w:cs="Arial"/>
            <w:sz w:val="18"/>
            <w:szCs w:val="18"/>
          </w:rPr>
          <w:t>CDDH(2019)R92Addendum2</w:t>
        </w:r>
      </w:hyperlink>
    </w:p>
  </w:footnote>
  <w:footnote w:id="12">
    <w:p w14:paraId="4E6A738E" w14:textId="77777777" w:rsidR="00D86968" w:rsidRPr="002D305B" w:rsidRDefault="00D86968" w:rsidP="00720D91">
      <w:pPr>
        <w:pStyle w:val="Sansinterligne"/>
        <w:jc w:val="both"/>
        <w:rPr>
          <w:rFonts w:ascii="Arial" w:hAnsi="Arial" w:cs="Arial"/>
          <w:sz w:val="18"/>
          <w:szCs w:val="18"/>
        </w:rPr>
      </w:pPr>
      <w:r w:rsidRPr="002D305B">
        <w:rPr>
          <w:rStyle w:val="Appelnotedebasdep"/>
          <w:rFonts w:ascii="Arial" w:hAnsi="Arial" w:cs="Arial"/>
          <w:sz w:val="18"/>
          <w:szCs w:val="18"/>
        </w:rPr>
        <w:footnoteRef/>
      </w:r>
      <w:r w:rsidRPr="002D305B">
        <w:rPr>
          <w:rFonts w:ascii="Arial" w:hAnsi="Arial" w:cs="Arial"/>
          <w:sz w:val="18"/>
          <w:szCs w:val="18"/>
        </w:rPr>
        <w:t xml:space="preserve"> Voir le document </w:t>
      </w:r>
      <w:hyperlink r:id="rId14" w:history="1">
        <w:r w:rsidRPr="002D305B">
          <w:rPr>
            <w:rStyle w:val="Lienhypertexte"/>
            <w:rFonts w:ascii="Arial" w:eastAsiaTheme="majorEastAsia" w:hAnsi="Arial" w:cs="Arial"/>
            <w:sz w:val="18"/>
            <w:szCs w:val="18"/>
          </w:rPr>
          <w:t>CDDH(2019)R92Addendum1</w:t>
        </w:r>
      </w:hyperlink>
      <w:r w:rsidRPr="002D305B">
        <w:rPr>
          <w:rStyle w:val="Lienhypertexte"/>
          <w:rFonts w:ascii="Arial" w:eastAsiaTheme="majorEastAsia" w:hAnsi="Arial" w:cs="Arial"/>
          <w:color w:val="161616"/>
          <w:sz w:val="18"/>
          <w:szCs w:val="18"/>
        </w:rPr>
        <w:t xml:space="preserve">. </w:t>
      </w:r>
    </w:p>
  </w:footnote>
  <w:footnote w:id="13">
    <w:p w14:paraId="64DFE9EC" w14:textId="77777777" w:rsidR="00D86968" w:rsidRPr="002D305B" w:rsidRDefault="00D86968" w:rsidP="00720D91">
      <w:pPr>
        <w:pStyle w:val="Sansinterligne"/>
        <w:jc w:val="both"/>
        <w:rPr>
          <w:rFonts w:ascii="Arial" w:hAnsi="Arial" w:cs="Arial"/>
          <w:sz w:val="18"/>
          <w:szCs w:val="18"/>
        </w:rPr>
      </w:pPr>
      <w:r w:rsidRPr="002D305B">
        <w:rPr>
          <w:rStyle w:val="Appelnotedebasdep"/>
          <w:rFonts w:ascii="Arial" w:hAnsi="Arial" w:cs="Arial"/>
          <w:sz w:val="18"/>
          <w:szCs w:val="18"/>
        </w:rPr>
        <w:footnoteRef/>
      </w:r>
      <w:r w:rsidRPr="002D305B">
        <w:rPr>
          <w:rFonts w:ascii="Arial" w:hAnsi="Arial" w:cs="Arial"/>
          <w:sz w:val="18"/>
          <w:szCs w:val="18"/>
        </w:rPr>
        <w:t xml:space="preserve"> Voir la décision des Délégués des Ministres lors de la </w:t>
      </w:r>
      <w:r w:rsidRPr="002D305B">
        <w:rPr>
          <w:rStyle w:val="lev"/>
          <w:rFonts w:ascii="Arial" w:hAnsi="Arial" w:cs="Arial"/>
          <w:b w:val="0"/>
          <w:sz w:val="18"/>
          <w:szCs w:val="18"/>
        </w:rPr>
        <w:t>1363</w:t>
      </w:r>
      <w:r w:rsidRPr="002D305B">
        <w:rPr>
          <w:rStyle w:val="lev"/>
          <w:rFonts w:ascii="Arial" w:hAnsi="Arial" w:cs="Arial"/>
          <w:b w:val="0"/>
          <w:sz w:val="18"/>
          <w:szCs w:val="18"/>
          <w:vertAlign w:val="superscript"/>
        </w:rPr>
        <w:t>e</w:t>
      </w:r>
      <w:r w:rsidRPr="002D305B">
        <w:rPr>
          <w:rStyle w:val="lev"/>
          <w:rFonts w:ascii="Arial" w:hAnsi="Arial" w:cs="Arial"/>
          <w:b w:val="0"/>
          <w:sz w:val="18"/>
          <w:szCs w:val="18"/>
        </w:rPr>
        <w:t xml:space="preserve"> réunion, le 11 décembre 2019, document </w:t>
      </w:r>
      <w:hyperlink r:id="rId15" w:history="1">
        <w:r w:rsidRPr="002D305B">
          <w:rPr>
            <w:rStyle w:val="Lienhypertexte"/>
            <w:rFonts w:ascii="Arial" w:eastAsiaTheme="majorEastAsia" w:hAnsi="Arial" w:cs="Arial"/>
            <w:sz w:val="18"/>
            <w:szCs w:val="18"/>
          </w:rPr>
          <w:t>CM/Del/Dec(2019)1363/4.2b</w:t>
        </w:r>
      </w:hyperlink>
      <w:r w:rsidRPr="002D305B">
        <w:rPr>
          <w:rStyle w:val="Lienhypertexte"/>
          <w:rFonts w:ascii="Arial" w:eastAsiaTheme="majorEastAsia" w:hAnsi="Arial" w:cs="Arial"/>
          <w:sz w:val="18"/>
          <w:szCs w:val="18"/>
        </w:rPr>
        <w:t xml:space="preserve">. </w:t>
      </w:r>
    </w:p>
  </w:footnote>
  <w:footnote w:id="14">
    <w:p w14:paraId="7D1DECAE" w14:textId="77777777" w:rsidR="00D86968" w:rsidRPr="00720D91" w:rsidRDefault="00D86968" w:rsidP="00720D91">
      <w:pPr>
        <w:pStyle w:val="SingleTxtG"/>
        <w:spacing w:after="0" w:line="180" w:lineRule="exact"/>
        <w:ind w:left="0"/>
        <w:rPr>
          <w:rFonts w:ascii="Arial" w:hAnsi="Arial" w:cs="Arial"/>
          <w:sz w:val="18"/>
          <w:szCs w:val="18"/>
          <w:lang w:val="fr-FR"/>
        </w:rPr>
      </w:pPr>
      <w:r w:rsidRPr="00560F13">
        <w:rPr>
          <w:rStyle w:val="Appelnotedebasdep"/>
          <w:rFonts w:ascii="Arial" w:hAnsi="Arial" w:cs="Arial"/>
          <w:sz w:val="18"/>
          <w:szCs w:val="18"/>
        </w:rPr>
        <w:footnoteRef/>
      </w:r>
      <w:r w:rsidRPr="00720D91">
        <w:rPr>
          <w:rFonts w:ascii="Arial" w:hAnsi="Arial" w:cs="Arial"/>
          <w:sz w:val="18"/>
          <w:szCs w:val="18"/>
          <w:lang w:val="fr-FR"/>
        </w:rPr>
        <w:t xml:space="preserve"> Voir document </w:t>
      </w:r>
      <w:hyperlink r:id="rId16" w:history="1">
        <w:r w:rsidRPr="00720D91">
          <w:rPr>
            <w:rStyle w:val="Lienhypertexte"/>
            <w:rFonts w:ascii="Arial" w:eastAsiaTheme="minorHAnsi" w:hAnsi="Arial" w:cs="Arial"/>
            <w:sz w:val="18"/>
            <w:szCs w:val="18"/>
            <w:lang w:val="fr-FR" w:eastAsia="en-US"/>
          </w:rPr>
          <w:t>DD(2020)34E</w:t>
        </w:r>
      </w:hyperlink>
      <w:r w:rsidRPr="00720D91">
        <w:rPr>
          <w:rFonts w:ascii="Arial" w:hAnsi="Arial" w:cs="Arial"/>
          <w:sz w:val="18"/>
          <w:szCs w:val="18"/>
          <w:lang w:val="fr-FR"/>
        </w:rPr>
        <w:t>.</w:t>
      </w:r>
    </w:p>
  </w:footnote>
  <w:footnote w:id="15">
    <w:p w14:paraId="000DC946" w14:textId="77777777" w:rsidR="00D86968" w:rsidRPr="00720D91" w:rsidRDefault="00D86968" w:rsidP="00720D91">
      <w:pPr>
        <w:pStyle w:val="SingleTxtG"/>
        <w:spacing w:after="0" w:line="180" w:lineRule="exact"/>
        <w:ind w:left="0"/>
        <w:rPr>
          <w:rFonts w:ascii="Arial" w:hAnsi="Arial" w:cs="Arial"/>
          <w:sz w:val="18"/>
          <w:szCs w:val="18"/>
          <w:lang w:val="fr-FR"/>
        </w:rPr>
      </w:pPr>
      <w:r w:rsidRPr="00560F13">
        <w:rPr>
          <w:rStyle w:val="Appelnotedebasdep"/>
          <w:rFonts w:ascii="Arial" w:hAnsi="Arial" w:cs="Arial"/>
          <w:sz w:val="18"/>
          <w:szCs w:val="18"/>
        </w:rPr>
        <w:footnoteRef/>
      </w:r>
      <w:r w:rsidRPr="00720D91">
        <w:rPr>
          <w:rFonts w:ascii="Arial" w:hAnsi="Arial" w:cs="Arial"/>
          <w:sz w:val="18"/>
          <w:szCs w:val="18"/>
          <w:lang w:val="fr-FR"/>
        </w:rPr>
        <w:t xml:space="preserve"> Voir document </w:t>
      </w:r>
      <w:hyperlink r:id="rId17" w:history="1">
        <w:r w:rsidRPr="00720D91">
          <w:rPr>
            <w:rStyle w:val="Lienhypertexte"/>
            <w:rFonts w:ascii="Arial" w:hAnsi="Arial" w:cs="Arial"/>
            <w:sz w:val="18"/>
            <w:szCs w:val="18"/>
            <w:lang w:val="fr-FR"/>
          </w:rPr>
          <w:t>CM/Del/Dec(2020)130/4</w:t>
        </w:r>
      </w:hyperlink>
      <w:r w:rsidRPr="00720D91">
        <w:rPr>
          <w:rFonts w:ascii="Arial" w:hAnsi="Arial" w:cs="Arial"/>
          <w:sz w:val="18"/>
          <w:szCs w:val="18"/>
          <w:lang w:val="fr-FR"/>
        </w:rPr>
        <w:t>.</w:t>
      </w:r>
    </w:p>
  </w:footnote>
  <w:footnote w:id="16">
    <w:p w14:paraId="2BEF31DC" w14:textId="77777777" w:rsidR="00D86968" w:rsidRPr="00720D91" w:rsidRDefault="00D86968" w:rsidP="00720D91">
      <w:pPr>
        <w:pStyle w:val="SingleTxtG"/>
        <w:spacing w:after="0" w:line="180" w:lineRule="exact"/>
        <w:ind w:left="0"/>
        <w:rPr>
          <w:rFonts w:ascii="Arial" w:hAnsi="Arial" w:cs="Arial"/>
          <w:sz w:val="18"/>
          <w:szCs w:val="18"/>
          <w:lang w:val="fr-FR"/>
        </w:rPr>
      </w:pPr>
      <w:r w:rsidRPr="00560F13">
        <w:rPr>
          <w:rStyle w:val="Appelnotedebasdep"/>
          <w:rFonts w:ascii="Arial" w:hAnsi="Arial" w:cs="Arial"/>
          <w:sz w:val="18"/>
          <w:szCs w:val="18"/>
        </w:rPr>
        <w:footnoteRef/>
      </w:r>
      <w:r w:rsidRPr="00720D91">
        <w:rPr>
          <w:rFonts w:ascii="Arial" w:hAnsi="Arial" w:cs="Arial"/>
          <w:sz w:val="18"/>
          <w:szCs w:val="18"/>
          <w:lang w:val="fr-FR"/>
        </w:rPr>
        <w:t xml:space="preserve"> Voir document </w:t>
      </w:r>
      <w:hyperlink r:id="rId18" w:history="1">
        <w:r w:rsidRPr="00720D91">
          <w:rPr>
            <w:rStyle w:val="Lienhypertexte"/>
            <w:rFonts w:ascii="Arial" w:hAnsi="Arial" w:cs="Arial"/>
            <w:sz w:val="18"/>
            <w:szCs w:val="18"/>
            <w:lang w:val="fr-FR"/>
          </w:rPr>
          <w:t>CM/Del/Dec(2020)130/4</w:t>
        </w:r>
      </w:hyperlink>
      <w:r w:rsidRPr="00720D91">
        <w:rPr>
          <w:rFonts w:ascii="Arial" w:hAnsi="Arial" w:cs="Arial"/>
          <w:sz w:val="18"/>
          <w:szCs w:val="18"/>
          <w:lang w:val="fr-FR"/>
        </w:rPr>
        <w:t xml:space="preserve">, paragraphe 1. </w:t>
      </w:r>
    </w:p>
  </w:footnote>
  <w:footnote w:id="17">
    <w:p w14:paraId="12589DF1" w14:textId="77777777" w:rsidR="00D86968" w:rsidRPr="00F00546" w:rsidRDefault="00D86968" w:rsidP="00720D91">
      <w:pPr>
        <w:pStyle w:val="Sansinterligne"/>
        <w:jc w:val="both"/>
        <w:rPr>
          <w:rFonts w:ascii="Arial" w:hAnsi="Arial" w:cs="Arial"/>
          <w:color w:val="0563C1" w:themeColor="hyperlink"/>
          <w:sz w:val="18"/>
          <w:szCs w:val="18"/>
          <w:u w:val="single"/>
        </w:rPr>
      </w:pPr>
      <w:r w:rsidRPr="00F00546">
        <w:rPr>
          <w:rStyle w:val="Appelnotedebasdep"/>
          <w:rFonts w:ascii="Arial" w:hAnsi="Arial" w:cs="Arial"/>
          <w:sz w:val="18"/>
          <w:szCs w:val="18"/>
        </w:rPr>
        <w:footnoteRef/>
      </w:r>
      <w:r w:rsidRPr="00F00546">
        <w:rPr>
          <w:rFonts w:ascii="Arial" w:hAnsi="Arial" w:cs="Arial"/>
          <w:sz w:val="18"/>
          <w:szCs w:val="18"/>
        </w:rPr>
        <w:t xml:space="preserve">La liste complète des </w:t>
      </w:r>
      <w:r>
        <w:rPr>
          <w:rFonts w:ascii="Arial" w:hAnsi="Arial" w:cs="Arial"/>
          <w:sz w:val="18"/>
          <w:szCs w:val="18"/>
        </w:rPr>
        <w:t>requêtes</w:t>
      </w:r>
      <w:r w:rsidRPr="00F00546">
        <w:rPr>
          <w:rFonts w:ascii="Arial" w:hAnsi="Arial" w:cs="Arial"/>
          <w:sz w:val="18"/>
          <w:szCs w:val="18"/>
        </w:rPr>
        <w:t xml:space="preserve"> interétatiques est disponible sur le site </w:t>
      </w:r>
      <w:hyperlink r:id="rId19" w:history="1">
        <w:r w:rsidRPr="00D318FE">
          <w:rPr>
            <w:rStyle w:val="Lienhypertexte"/>
            <w:rFonts w:ascii="Arial" w:eastAsiaTheme="majorEastAsia" w:hAnsi="Arial" w:cs="Arial"/>
            <w:sz w:val="18"/>
            <w:szCs w:val="18"/>
          </w:rPr>
          <w:t>https://echr.coe.int/Documents/InterState_applications_ENG.pdf.</w:t>
        </w:r>
      </w:hyperlink>
      <w:r>
        <w:rPr>
          <w:rStyle w:val="Lienhypertexte"/>
          <w:rFonts w:ascii="Arial" w:eastAsiaTheme="majorEastAsia" w:hAnsi="Arial" w:cs="Arial"/>
          <w:sz w:val="18"/>
          <w:szCs w:val="18"/>
        </w:rPr>
        <w:t xml:space="preserve"> </w:t>
      </w:r>
    </w:p>
  </w:footnote>
  <w:footnote w:id="18">
    <w:p w14:paraId="6CAFDF92" w14:textId="77777777" w:rsidR="00D86968" w:rsidRPr="00014B0B" w:rsidRDefault="00D86968" w:rsidP="00720D91">
      <w:r>
        <w:rPr>
          <w:rStyle w:val="Appelnotedebasdep"/>
        </w:rPr>
        <w:footnoteRef/>
      </w:r>
      <w:r>
        <w:t xml:space="preserve"> </w:t>
      </w:r>
      <w:r w:rsidRPr="008C65B9">
        <w:rPr>
          <w:rFonts w:ascii="Arial" w:hAnsi="Arial" w:cs="Arial"/>
          <w:sz w:val="18"/>
          <w:szCs w:val="18"/>
        </w:rPr>
        <w:t>Les données sont fournies par le Greffe de la Cour, voir annexe. Ce [projet] de rapport considère que le lien entre ces demandes aux fins de leur traitement est établi par la Cour.</w:t>
      </w:r>
      <w:r>
        <w:t xml:space="preserve"> </w:t>
      </w:r>
      <w:r w:rsidRPr="00077C64">
        <w:t xml:space="preserve"> </w:t>
      </w:r>
    </w:p>
  </w:footnote>
  <w:footnote w:id="19">
    <w:p w14:paraId="3220C6A5" w14:textId="77777777" w:rsidR="00D86968" w:rsidRPr="002D305B" w:rsidRDefault="00D86968" w:rsidP="00720D91">
      <w:pPr>
        <w:pStyle w:val="Sansinterligne"/>
        <w:jc w:val="both"/>
        <w:rPr>
          <w:rFonts w:ascii="Arial" w:hAnsi="Arial" w:cs="Arial"/>
          <w:sz w:val="18"/>
          <w:szCs w:val="18"/>
        </w:rPr>
      </w:pPr>
      <w:r w:rsidRPr="002D305B">
        <w:rPr>
          <w:rStyle w:val="Appelnotedebasdep"/>
          <w:rFonts w:ascii="Arial" w:hAnsi="Arial" w:cs="Arial"/>
          <w:sz w:val="18"/>
          <w:szCs w:val="18"/>
        </w:rPr>
        <w:footnoteRef/>
      </w:r>
      <w:r w:rsidRPr="002D305B">
        <w:rPr>
          <w:rFonts w:ascii="Arial" w:hAnsi="Arial" w:cs="Arial"/>
          <w:sz w:val="18"/>
          <w:szCs w:val="18"/>
        </w:rPr>
        <w:t xml:space="preserve"> Voir le document </w:t>
      </w:r>
      <w:hyperlink r:id="rId20" w:history="1">
        <w:hyperlink r:id="rId21" w:history="1">
          <w:r w:rsidRPr="002D305B">
            <w:rPr>
              <w:rStyle w:val="Lienhypertexte"/>
              <w:rFonts w:ascii="Arial" w:eastAsiaTheme="majorEastAsia" w:hAnsi="Arial" w:cs="Arial"/>
              <w:sz w:val="18"/>
              <w:szCs w:val="18"/>
            </w:rPr>
            <w:t>CDDH(2019)22</w:t>
          </w:r>
        </w:hyperlink>
        <w:r w:rsidRPr="002D305B">
          <w:rPr>
            <w:rFonts w:ascii="Arial" w:hAnsi="Arial" w:cs="Arial"/>
            <w:sz w:val="18"/>
            <w:szCs w:val="18"/>
          </w:rPr>
          <w:t xml:space="preserve">, </w:t>
        </w:r>
      </w:hyperlink>
      <w:r w:rsidRPr="00A75200">
        <w:rPr>
          <w:rFonts w:ascii="Arial" w:hAnsi="Arial" w:cs="Arial"/>
          <w:sz w:val="18"/>
          <w:szCs w:val="18"/>
        </w:rPr>
        <w:t xml:space="preserve"> </w:t>
      </w:r>
      <w:r w:rsidRPr="002D305B">
        <w:rPr>
          <w:rFonts w:ascii="Arial" w:hAnsi="Arial" w:cs="Arial"/>
          <w:sz w:val="18"/>
          <w:szCs w:val="18"/>
        </w:rPr>
        <w:t>paragraphe 4.</w:t>
      </w:r>
      <w:r>
        <w:rPr>
          <w:rFonts w:ascii="Arial" w:hAnsi="Arial" w:cs="Arial"/>
          <w:sz w:val="18"/>
          <w:szCs w:val="18"/>
        </w:rPr>
        <w:t xml:space="preserve"> Voir document </w:t>
      </w:r>
      <w:hyperlink r:id="rId22" w:history="1">
        <w:r w:rsidRPr="00B1678A">
          <w:rPr>
            <w:rStyle w:val="Lienhypertexte"/>
            <w:rFonts w:ascii="Arial" w:eastAsiaTheme="minorHAnsi" w:hAnsi="Arial" w:cs="Arial"/>
            <w:sz w:val="18"/>
            <w:szCs w:val="18"/>
            <w:lang w:eastAsia="en-US"/>
          </w:rPr>
          <w:t>DD(2020)34E</w:t>
        </w:r>
      </w:hyperlink>
      <w:r w:rsidRPr="00B1678A">
        <w:rPr>
          <w:rStyle w:val="Lienhypertexte"/>
          <w:rFonts w:ascii="Arial" w:eastAsiaTheme="minorHAnsi" w:hAnsi="Arial" w:cs="Arial"/>
          <w:sz w:val="18"/>
          <w:szCs w:val="18"/>
          <w:lang w:eastAsia="en-US"/>
        </w:rPr>
        <w:t xml:space="preserve">, § 18. </w:t>
      </w:r>
    </w:p>
  </w:footnote>
  <w:footnote w:id="20">
    <w:p w14:paraId="2E718348" w14:textId="77777777" w:rsidR="00D86968" w:rsidRPr="002D305B" w:rsidRDefault="00D86968" w:rsidP="00720D91">
      <w:pPr>
        <w:pStyle w:val="Sansinterligne"/>
        <w:jc w:val="both"/>
        <w:rPr>
          <w:rFonts w:ascii="Arial" w:hAnsi="Arial" w:cs="Arial"/>
          <w:sz w:val="18"/>
          <w:szCs w:val="18"/>
        </w:rPr>
      </w:pPr>
      <w:r w:rsidRPr="002D305B">
        <w:rPr>
          <w:rStyle w:val="Appelnotedebasdep"/>
          <w:rFonts w:ascii="Arial" w:hAnsi="Arial" w:cs="Arial"/>
          <w:sz w:val="18"/>
          <w:szCs w:val="18"/>
        </w:rPr>
        <w:footnoteRef/>
      </w:r>
      <w:hyperlink r:id="rId23" w:history="1">
        <w:r w:rsidRPr="002D305B">
          <w:rPr>
            <w:rStyle w:val="Lienhypertexte"/>
            <w:rFonts w:ascii="Arial" w:eastAsiaTheme="majorEastAsia" w:hAnsi="Arial" w:cs="Arial"/>
            <w:sz w:val="18"/>
            <w:szCs w:val="18"/>
          </w:rPr>
          <w:t xml:space="preserve"> </w:t>
        </w:r>
      </w:hyperlink>
      <w:r w:rsidRPr="002D305B">
        <w:rPr>
          <w:rFonts w:ascii="Arial" w:hAnsi="Arial" w:cs="Arial"/>
          <w:sz w:val="18"/>
          <w:szCs w:val="18"/>
        </w:rPr>
        <w:t xml:space="preserve">Voir la </w:t>
      </w:r>
      <w:hyperlink r:id="rId24" w:history="1">
        <w:r w:rsidRPr="002D305B">
          <w:rPr>
            <w:rStyle w:val="Lienhypertexte"/>
            <w:rFonts w:ascii="Arial" w:eastAsiaTheme="majorEastAsia" w:hAnsi="Arial" w:cs="Arial"/>
            <w:sz w:val="18"/>
            <w:szCs w:val="18"/>
          </w:rPr>
          <w:t>Déclaration de Copenhague</w:t>
        </w:r>
      </w:hyperlink>
      <w:r>
        <w:rPr>
          <w:rFonts w:ascii="Arial" w:hAnsi="Arial" w:cs="Arial"/>
          <w:sz w:val="18"/>
          <w:szCs w:val="18"/>
        </w:rPr>
        <w:t xml:space="preserve">, </w:t>
      </w:r>
      <w:r w:rsidRPr="002D305B">
        <w:rPr>
          <w:rFonts w:ascii="Arial" w:hAnsi="Arial" w:cs="Arial"/>
          <w:sz w:val="18"/>
          <w:szCs w:val="18"/>
        </w:rPr>
        <w:t>paragraphe 45.</w:t>
      </w:r>
    </w:p>
  </w:footnote>
  <w:footnote w:id="21">
    <w:p w14:paraId="53C624BE" w14:textId="77777777" w:rsidR="00D86968" w:rsidRPr="002D305B" w:rsidRDefault="00D86968" w:rsidP="00720D91">
      <w:pPr>
        <w:pStyle w:val="Sansinterligne"/>
        <w:jc w:val="both"/>
        <w:rPr>
          <w:rFonts w:ascii="Arial" w:hAnsi="Arial" w:cs="Arial"/>
          <w:sz w:val="18"/>
          <w:szCs w:val="18"/>
        </w:rPr>
      </w:pPr>
      <w:r w:rsidRPr="002D305B">
        <w:rPr>
          <w:rStyle w:val="Appelnotedebasdep"/>
          <w:rFonts w:ascii="Arial" w:hAnsi="Arial" w:cs="Arial"/>
          <w:sz w:val="18"/>
          <w:szCs w:val="18"/>
        </w:rPr>
        <w:footnoteRef/>
      </w:r>
      <w:r w:rsidRPr="002D305B">
        <w:rPr>
          <w:rFonts w:ascii="Arial" w:hAnsi="Arial" w:cs="Arial"/>
          <w:sz w:val="18"/>
          <w:szCs w:val="18"/>
        </w:rPr>
        <w:t xml:space="preserve"> Voir également le document </w:t>
      </w:r>
      <w:hyperlink r:id="rId25" w:history="1">
        <w:r w:rsidRPr="002D305B">
          <w:rPr>
            <w:rStyle w:val="Lienhypertexte"/>
            <w:rFonts w:ascii="Arial" w:eastAsiaTheme="majorEastAsia" w:hAnsi="Arial" w:cs="Arial"/>
            <w:sz w:val="18"/>
            <w:szCs w:val="18"/>
          </w:rPr>
          <w:t>CDDH(2019)22</w:t>
        </w:r>
      </w:hyperlink>
      <w:r w:rsidRPr="002D305B">
        <w:rPr>
          <w:rFonts w:ascii="Arial" w:hAnsi="Arial" w:cs="Arial"/>
          <w:sz w:val="18"/>
          <w:szCs w:val="18"/>
        </w:rPr>
        <w:t>, paragraphe 20.</w:t>
      </w:r>
    </w:p>
  </w:footnote>
  <w:footnote w:id="22">
    <w:p w14:paraId="737C60B7" w14:textId="77777777" w:rsidR="00D86968" w:rsidRPr="002D305B" w:rsidRDefault="00D86968" w:rsidP="00720D91">
      <w:pPr>
        <w:pStyle w:val="Sansinterligne"/>
        <w:jc w:val="both"/>
        <w:rPr>
          <w:rFonts w:ascii="Arial" w:hAnsi="Arial" w:cs="Arial"/>
          <w:sz w:val="18"/>
          <w:szCs w:val="18"/>
        </w:rPr>
      </w:pPr>
      <w:r w:rsidRPr="002D305B">
        <w:rPr>
          <w:rStyle w:val="Appelnotedebasdep"/>
          <w:rFonts w:ascii="Arial" w:hAnsi="Arial" w:cs="Arial"/>
          <w:sz w:val="18"/>
          <w:szCs w:val="18"/>
        </w:rPr>
        <w:footnoteRef/>
      </w:r>
      <w:hyperlink r:id="rId26" w:history="1">
        <w:r w:rsidRPr="002D305B">
          <w:rPr>
            <w:rStyle w:val="Lienhypertexte"/>
            <w:rFonts w:ascii="Arial" w:eastAsiaTheme="majorEastAsia" w:hAnsi="Arial" w:cs="Arial"/>
            <w:bCs/>
            <w:sz w:val="18"/>
            <w:szCs w:val="18"/>
          </w:rPr>
          <w:t xml:space="preserve"> </w:t>
        </w:r>
      </w:hyperlink>
      <w:r w:rsidRPr="002D305B">
        <w:rPr>
          <w:rFonts w:ascii="Arial" w:hAnsi="Arial" w:cs="Arial"/>
          <w:sz w:val="18"/>
          <w:szCs w:val="18"/>
        </w:rPr>
        <w:t xml:space="preserve">Voir le document </w:t>
      </w:r>
      <w:hyperlink r:id="rId27" w:history="1">
        <w:r w:rsidRPr="002D305B">
          <w:rPr>
            <w:rStyle w:val="Lienhypertexte"/>
            <w:rFonts w:ascii="Arial" w:eastAsiaTheme="majorEastAsia" w:hAnsi="Arial" w:cs="Arial"/>
            <w:bCs/>
            <w:sz w:val="18"/>
            <w:szCs w:val="18"/>
          </w:rPr>
          <w:t>CDDH-BU(2019)R101 Addendum</w:t>
        </w:r>
      </w:hyperlink>
      <w:r w:rsidRPr="002D305B">
        <w:rPr>
          <w:rFonts w:ascii="Arial" w:hAnsi="Arial" w:cs="Arial"/>
          <w:sz w:val="18"/>
          <w:szCs w:val="18"/>
        </w:rPr>
        <w:t xml:space="preserve">, paragraphe 87. </w:t>
      </w:r>
    </w:p>
  </w:footnote>
  <w:footnote w:id="23">
    <w:p w14:paraId="05974891" w14:textId="77777777" w:rsidR="00D86968" w:rsidRPr="00720D91" w:rsidRDefault="00D86968" w:rsidP="00720D91">
      <w:pPr>
        <w:pStyle w:val="SingleTxtG"/>
        <w:spacing w:after="0" w:line="180" w:lineRule="exact"/>
        <w:ind w:left="0"/>
        <w:rPr>
          <w:rFonts w:ascii="Arial" w:hAnsi="Arial" w:cs="Arial"/>
          <w:sz w:val="18"/>
          <w:szCs w:val="18"/>
          <w:lang w:val="fr-FR"/>
        </w:rPr>
      </w:pPr>
      <w:r w:rsidRPr="00560F13">
        <w:rPr>
          <w:rStyle w:val="Appelnotedebasdep"/>
          <w:rFonts w:ascii="Arial" w:hAnsi="Arial" w:cs="Arial"/>
          <w:sz w:val="18"/>
          <w:szCs w:val="18"/>
        </w:rPr>
        <w:footnoteRef/>
      </w:r>
      <w:r w:rsidRPr="00720D91">
        <w:rPr>
          <w:rFonts w:ascii="Arial" w:hAnsi="Arial" w:cs="Arial"/>
          <w:sz w:val="18"/>
          <w:szCs w:val="18"/>
          <w:lang w:val="fr-FR"/>
        </w:rPr>
        <w:t xml:space="preserve"> Voir document </w:t>
      </w:r>
      <w:hyperlink r:id="rId28" w:history="1">
        <w:r w:rsidRPr="00720D91">
          <w:rPr>
            <w:rStyle w:val="Lienhypertexte"/>
            <w:rFonts w:ascii="Arial" w:hAnsi="Arial" w:cs="Arial"/>
            <w:sz w:val="18"/>
            <w:szCs w:val="18"/>
            <w:lang w:val="fr-FR"/>
          </w:rPr>
          <w:t>CDDH(2019)22</w:t>
        </w:r>
      </w:hyperlink>
      <w:r w:rsidRPr="00720D91">
        <w:rPr>
          <w:rFonts w:ascii="Arial" w:hAnsi="Arial" w:cs="Arial"/>
          <w:sz w:val="18"/>
          <w:szCs w:val="18"/>
          <w:lang w:val="fr-FR"/>
        </w:rPr>
        <w:t>, paragraphe 31.</w:t>
      </w:r>
    </w:p>
  </w:footnote>
  <w:footnote w:id="24">
    <w:p w14:paraId="17C78E5D" w14:textId="77777777" w:rsidR="00D86968" w:rsidRPr="00720D91" w:rsidRDefault="00D86968" w:rsidP="00720D91">
      <w:pPr>
        <w:pStyle w:val="Notedebasdepage"/>
        <w:rPr>
          <w:rFonts w:ascii="Arial" w:hAnsi="Arial" w:cs="Arial"/>
          <w:bCs/>
          <w:sz w:val="18"/>
          <w:shd w:val="clear" w:color="auto" w:fill="D9D9D9" w:themeFill="background1" w:themeFillShade="D9"/>
          <w:lang w:val="fr-FR"/>
        </w:rPr>
      </w:pPr>
      <w:r w:rsidRPr="00751CF3">
        <w:rPr>
          <w:rStyle w:val="Appelnotedebasdep"/>
          <w:rFonts w:ascii="Arial" w:hAnsi="Arial" w:cs="Arial"/>
          <w:bCs/>
          <w:sz w:val="18"/>
        </w:rPr>
        <w:footnoteRef/>
      </w:r>
      <w:r w:rsidRPr="00720D91">
        <w:rPr>
          <w:rFonts w:ascii="Arial" w:hAnsi="Arial" w:cs="Arial"/>
          <w:bCs/>
          <w:sz w:val="18"/>
          <w:lang w:val="fr-FR"/>
        </w:rPr>
        <w:t xml:space="preserve"> Voir la compilation des commentaires, document DH-SYSC-IV(2020)06REV.</w:t>
      </w:r>
    </w:p>
    <w:p w14:paraId="5DAD354A" w14:textId="77777777" w:rsidR="00D86968" w:rsidRPr="00720D91" w:rsidRDefault="00D86968" w:rsidP="00720D91">
      <w:pPr>
        <w:pStyle w:val="Notedebasdepage"/>
        <w:rPr>
          <w:rFonts w:ascii="Arial" w:hAnsi="Arial" w:cs="Arial"/>
          <w:b/>
          <w:lang w:val="fr-FR"/>
        </w:rPr>
      </w:pPr>
    </w:p>
  </w:footnote>
  <w:footnote w:id="25">
    <w:p w14:paraId="58E237DD" w14:textId="77777777" w:rsidR="00D86968" w:rsidRPr="00720D91" w:rsidRDefault="00D86968" w:rsidP="00720D91">
      <w:pPr>
        <w:pStyle w:val="Notedebasdepage"/>
        <w:rPr>
          <w:rFonts w:ascii="Arial" w:hAnsi="Arial" w:cs="Arial"/>
          <w:sz w:val="18"/>
          <w:szCs w:val="18"/>
          <w:lang w:val="fr-FR"/>
        </w:rPr>
      </w:pPr>
      <w:r w:rsidRPr="00751CF3">
        <w:rPr>
          <w:rStyle w:val="Appelnotedebasdep"/>
          <w:rFonts w:ascii="Arial" w:hAnsi="Arial" w:cs="Arial"/>
          <w:sz w:val="18"/>
          <w:szCs w:val="18"/>
        </w:rPr>
        <w:footnoteRef/>
      </w:r>
      <w:r w:rsidRPr="00720D91">
        <w:rPr>
          <w:rFonts w:ascii="Arial" w:hAnsi="Arial" w:cs="Arial"/>
          <w:sz w:val="18"/>
          <w:szCs w:val="18"/>
          <w:lang w:val="fr-FR"/>
        </w:rPr>
        <w:t xml:space="preserve"> Voir document CDDH(2020)R93.</w:t>
      </w:r>
    </w:p>
  </w:footnote>
  <w:footnote w:id="26">
    <w:p w14:paraId="79860D45" w14:textId="77777777" w:rsidR="00D86968" w:rsidRPr="002D305B" w:rsidRDefault="00D86968" w:rsidP="00720D91">
      <w:pPr>
        <w:pStyle w:val="Sansinterligne"/>
        <w:jc w:val="both"/>
        <w:rPr>
          <w:rFonts w:ascii="Arial" w:hAnsi="Arial" w:cs="Arial"/>
          <w:sz w:val="18"/>
          <w:szCs w:val="18"/>
        </w:rPr>
      </w:pPr>
      <w:r w:rsidRPr="002D305B">
        <w:rPr>
          <w:rStyle w:val="Appelnotedebasdep"/>
          <w:rFonts w:ascii="Arial" w:hAnsi="Arial" w:cs="Arial"/>
          <w:sz w:val="18"/>
          <w:szCs w:val="18"/>
        </w:rPr>
        <w:footnoteRef/>
      </w:r>
      <w:r w:rsidRPr="002D305B">
        <w:rPr>
          <w:rFonts w:ascii="Arial" w:hAnsi="Arial" w:cs="Arial"/>
          <w:sz w:val="18"/>
          <w:szCs w:val="18"/>
        </w:rPr>
        <w:t xml:space="preserve"> </w:t>
      </w:r>
      <w:hyperlink r:id="rId29" w:history="1">
        <w:r w:rsidRPr="002D305B">
          <w:rPr>
            <w:rStyle w:val="Lienhypertexte"/>
            <w:rFonts w:ascii="Arial" w:eastAsiaTheme="majorEastAsia" w:hAnsi="Arial" w:cs="Arial"/>
            <w:i/>
            <w:sz w:val="18"/>
            <w:szCs w:val="18"/>
          </w:rPr>
          <w:t>Autriche c. Italie</w:t>
        </w:r>
      </w:hyperlink>
      <w:r w:rsidRPr="002D305B">
        <w:rPr>
          <w:rFonts w:ascii="Arial" w:hAnsi="Arial" w:cs="Arial"/>
          <w:sz w:val="18"/>
          <w:szCs w:val="18"/>
        </w:rPr>
        <w:t>, n</w:t>
      </w:r>
      <w:r>
        <w:rPr>
          <w:rFonts w:ascii="Arial" w:hAnsi="Arial" w:cs="Arial"/>
          <w:sz w:val="18"/>
          <w:szCs w:val="18"/>
        </w:rPr>
        <w:t xml:space="preserve">° </w:t>
      </w:r>
      <w:r w:rsidRPr="002D305B">
        <w:rPr>
          <w:rFonts w:ascii="Arial" w:hAnsi="Arial" w:cs="Arial"/>
          <w:sz w:val="18"/>
          <w:szCs w:val="18"/>
        </w:rPr>
        <w:t>788/60, décision du 11 janvier 1961, page 20.</w:t>
      </w:r>
    </w:p>
  </w:footnote>
  <w:footnote w:id="27">
    <w:p w14:paraId="26B8172A" w14:textId="77777777" w:rsidR="00D86968" w:rsidRPr="002D305B" w:rsidRDefault="00D86968" w:rsidP="00720D91">
      <w:pPr>
        <w:pStyle w:val="Sansinterligne"/>
        <w:jc w:val="both"/>
        <w:rPr>
          <w:rFonts w:ascii="Arial" w:hAnsi="Arial" w:cs="Arial"/>
          <w:sz w:val="18"/>
          <w:szCs w:val="18"/>
        </w:rPr>
      </w:pPr>
      <w:r w:rsidRPr="002D305B">
        <w:rPr>
          <w:rStyle w:val="Appelnotedebasdep"/>
          <w:rFonts w:ascii="Arial" w:hAnsi="Arial" w:cs="Arial"/>
          <w:sz w:val="18"/>
          <w:szCs w:val="18"/>
        </w:rPr>
        <w:footnoteRef/>
      </w:r>
      <w:r w:rsidRPr="002D305B">
        <w:rPr>
          <w:rFonts w:ascii="Arial" w:hAnsi="Arial" w:cs="Arial"/>
          <w:sz w:val="18"/>
          <w:szCs w:val="18"/>
        </w:rPr>
        <w:t xml:space="preserve"> Ibid.</w:t>
      </w:r>
    </w:p>
  </w:footnote>
  <w:footnote w:id="28">
    <w:p w14:paraId="7F5D6CE9" w14:textId="77777777" w:rsidR="00D86968" w:rsidRPr="002D305B" w:rsidRDefault="00D86968" w:rsidP="00720D91">
      <w:pPr>
        <w:pStyle w:val="Sansinterligne"/>
        <w:jc w:val="both"/>
        <w:rPr>
          <w:rFonts w:ascii="Arial" w:hAnsi="Arial" w:cs="Arial"/>
          <w:sz w:val="18"/>
          <w:szCs w:val="18"/>
        </w:rPr>
      </w:pPr>
      <w:r w:rsidRPr="002D305B">
        <w:rPr>
          <w:rStyle w:val="Appelnotedebasdep"/>
          <w:rFonts w:ascii="Arial" w:hAnsi="Arial" w:cs="Arial"/>
          <w:sz w:val="18"/>
          <w:szCs w:val="18"/>
        </w:rPr>
        <w:footnoteRef/>
      </w:r>
      <w:r w:rsidRPr="002D305B">
        <w:rPr>
          <w:rFonts w:ascii="Arial" w:hAnsi="Arial" w:cs="Arial"/>
          <w:sz w:val="18"/>
          <w:szCs w:val="18"/>
        </w:rPr>
        <w:t xml:space="preserve"> Ibid. page 19.</w:t>
      </w:r>
    </w:p>
  </w:footnote>
  <w:footnote w:id="29">
    <w:p w14:paraId="3E2831DD" w14:textId="77777777" w:rsidR="00D86968" w:rsidRPr="002D305B" w:rsidRDefault="00D86968" w:rsidP="00720D91">
      <w:pPr>
        <w:pStyle w:val="Sansinterligne"/>
        <w:jc w:val="both"/>
        <w:rPr>
          <w:rFonts w:ascii="Arial" w:hAnsi="Arial" w:cs="Arial"/>
          <w:sz w:val="18"/>
          <w:szCs w:val="18"/>
        </w:rPr>
      </w:pPr>
      <w:r w:rsidRPr="002D305B">
        <w:rPr>
          <w:rStyle w:val="Appelnotedebasdep"/>
          <w:rFonts w:ascii="Arial" w:hAnsi="Arial" w:cs="Arial"/>
          <w:sz w:val="18"/>
          <w:szCs w:val="18"/>
        </w:rPr>
        <w:footnoteRef/>
      </w:r>
      <w:r w:rsidRPr="002D305B">
        <w:rPr>
          <w:rFonts w:ascii="Arial" w:hAnsi="Arial" w:cs="Arial"/>
          <w:sz w:val="18"/>
          <w:szCs w:val="18"/>
        </w:rPr>
        <w:t xml:space="preserve"> Ibid.</w:t>
      </w:r>
    </w:p>
  </w:footnote>
  <w:footnote w:id="30">
    <w:p w14:paraId="270DB1A5" w14:textId="77777777" w:rsidR="00D86968" w:rsidRPr="002D305B" w:rsidRDefault="00D86968" w:rsidP="00720D91">
      <w:pPr>
        <w:pStyle w:val="Sansinterligne"/>
        <w:jc w:val="both"/>
        <w:rPr>
          <w:rFonts w:ascii="Arial" w:hAnsi="Arial" w:cs="Arial"/>
          <w:sz w:val="18"/>
          <w:szCs w:val="18"/>
        </w:rPr>
      </w:pPr>
      <w:r w:rsidRPr="002D305B">
        <w:rPr>
          <w:rStyle w:val="Appelnotedebasdep"/>
          <w:rFonts w:ascii="Arial" w:hAnsi="Arial" w:cs="Arial"/>
          <w:sz w:val="18"/>
          <w:szCs w:val="18"/>
        </w:rPr>
        <w:footnoteRef/>
      </w:r>
      <w:r w:rsidRPr="002D305B">
        <w:rPr>
          <w:rFonts w:ascii="Arial" w:hAnsi="Arial" w:cs="Arial"/>
          <w:sz w:val="18"/>
          <w:szCs w:val="18"/>
        </w:rPr>
        <w:t xml:space="preserve"> Voir la </w:t>
      </w:r>
      <w:hyperlink r:id="rId30" w:history="1">
        <w:r w:rsidRPr="002D305B">
          <w:rPr>
            <w:rStyle w:val="Lienhypertexte"/>
            <w:rFonts w:ascii="Arial" w:eastAsiaTheme="majorEastAsia" w:hAnsi="Arial" w:cs="Arial"/>
            <w:sz w:val="18"/>
            <w:szCs w:val="18"/>
          </w:rPr>
          <w:t>Déclaration de Copenhague</w:t>
        </w:r>
      </w:hyperlink>
      <w:r w:rsidRPr="002D305B">
        <w:rPr>
          <w:rFonts w:ascii="Arial" w:hAnsi="Arial" w:cs="Arial"/>
          <w:sz w:val="18"/>
          <w:szCs w:val="18"/>
        </w:rPr>
        <w:t xml:space="preserve">, §1. Voir également le discours prononcé par Jean-Paul Costa (Président de la Cour du 19 janvier 2007 au 3 novembre 2011) lors de la Conférence de haut niveau d'Interlaken (18-19 février 2010), disponible dans les </w:t>
      </w:r>
      <w:hyperlink r:id="rId31" w:history="1">
        <w:r w:rsidRPr="002D305B">
          <w:rPr>
            <w:rStyle w:val="Lienhypertexte"/>
            <w:rFonts w:ascii="Arial" w:eastAsiaTheme="majorEastAsia" w:hAnsi="Arial" w:cs="Arial"/>
            <w:sz w:val="18"/>
            <w:szCs w:val="18"/>
          </w:rPr>
          <w:t>actes</w:t>
        </w:r>
      </w:hyperlink>
      <w:r w:rsidRPr="002D305B">
        <w:rPr>
          <w:rFonts w:ascii="Arial" w:hAnsi="Arial" w:cs="Arial"/>
          <w:sz w:val="18"/>
          <w:szCs w:val="18"/>
        </w:rPr>
        <w:t xml:space="preserve"> de la Conférence, page 21.</w:t>
      </w:r>
    </w:p>
  </w:footnote>
  <w:footnote w:id="31">
    <w:p w14:paraId="5364CFEC" w14:textId="77777777" w:rsidR="00D86968" w:rsidRPr="00720D91" w:rsidRDefault="00D86968" w:rsidP="00720D91">
      <w:pPr>
        <w:pStyle w:val="Notedebasdepage"/>
        <w:shd w:val="clear" w:color="auto" w:fill="FFFFFF" w:themeFill="background1"/>
        <w:rPr>
          <w:lang w:val="fr-FR"/>
        </w:rPr>
      </w:pPr>
      <w:r w:rsidRPr="00A863E6">
        <w:rPr>
          <w:rStyle w:val="Appelnotedebasdep"/>
          <w:shd w:val="clear" w:color="auto" w:fill="FFFFFF" w:themeFill="background1"/>
        </w:rPr>
        <w:footnoteRef/>
      </w:r>
      <w:r w:rsidRPr="00720D91">
        <w:rPr>
          <w:rFonts w:ascii="Arial" w:hAnsi="Arial" w:cs="Arial"/>
          <w:sz w:val="18"/>
          <w:szCs w:val="18"/>
          <w:shd w:val="clear" w:color="auto" w:fill="FFFFFF" w:themeFill="background1"/>
          <w:lang w:val="fr-FR"/>
        </w:rPr>
        <w:t xml:space="preserve"> </w:t>
      </w:r>
      <w:bookmarkStart w:id="10" w:name="_Hlk62804374"/>
      <w:r w:rsidRPr="00A863E6">
        <w:fldChar w:fldCharType="begin"/>
      </w:r>
      <w:r w:rsidRPr="00720D91">
        <w:rPr>
          <w:shd w:val="clear" w:color="auto" w:fill="FFFFFF" w:themeFill="background1"/>
          <w:lang w:val="fr-FR"/>
        </w:rPr>
        <w:instrText>HYPERLINK "http://hudoc.echr.coe.int/eng?i=001-207626"</w:instrText>
      </w:r>
      <w:r w:rsidRPr="00A863E6">
        <w:fldChar w:fldCharType="separate"/>
      </w:r>
      <w:r w:rsidRPr="00720D91">
        <w:rPr>
          <w:rStyle w:val="Lienhypertexte"/>
          <w:rFonts w:ascii="Arial" w:hAnsi="Arial" w:cs="Arial"/>
          <w:i/>
          <w:iCs/>
          <w:color w:val="auto"/>
          <w:sz w:val="18"/>
          <w:szCs w:val="18"/>
          <w:shd w:val="clear" w:color="auto" w:fill="FFFFFF" w:themeFill="background1"/>
          <w:lang w:val="fr-FR"/>
        </w:rPr>
        <w:t xml:space="preserve">Ukraine c. Russie </w:t>
      </w:r>
      <w:r w:rsidRPr="00A863E6">
        <w:rPr>
          <w:rStyle w:val="Lienhypertexte"/>
          <w:rFonts w:ascii="Arial" w:hAnsi="Arial" w:cs="Arial"/>
          <w:i/>
          <w:iCs/>
          <w:color w:val="auto"/>
          <w:sz w:val="18"/>
          <w:szCs w:val="18"/>
          <w:shd w:val="clear" w:color="auto" w:fill="FFFFFF" w:themeFill="background1"/>
        </w:rPr>
        <w:fldChar w:fldCharType="end"/>
      </w:r>
      <w:r w:rsidRPr="00720D91">
        <w:rPr>
          <w:rFonts w:ascii="Arial" w:hAnsi="Arial" w:cs="Arial"/>
          <w:i/>
          <w:iCs/>
          <w:sz w:val="18"/>
          <w:szCs w:val="18"/>
          <w:shd w:val="clear" w:color="auto" w:fill="FFFFFF" w:themeFill="background1"/>
          <w:lang w:val="fr-FR"/>
        </w:rPr>
        <w:t>(déc) [GC]</w:t>
      </w:r>
      <w:r w:rsidRPr="00720D91">
        <w:rPr>
          <w:rFonts w:ascii="Arial" w:hAnsi="Arial" w:cs="Arial"/>
          <w:sz w:val="18"/>
          <w:szCs w:val="18"/>
          <w:shd w:val="clear" w:color="auto" w:fill="FFFFFF" w:themeFill="background1"/>
          <w:lang w:val="fr-FR"/>
        </w:rPr>
        <w:t>, n° 20958/14 et 38334/18, § 235, 16 décembre 2020.</w:t>
      </w:r>
    </w:p>
    <w:bookmarkEnd w:id="10"/>
  </w:footnote>
  <w:footnote w:id="32">
    <w:p w14:paraId="5D89676D" w14:textId="77777777" w:rsidR="00D86968" w:rsidRPr="00720D91" w:rsidRDefault="00D86968" w:rsidP="00720D91">
      <w:pPr>
        <w:pStyle w:val="Notedebasdepage"/>
        <w:shd w:val="clear" w:color="auto" w:fill="FFFFFF" w:themeFill="background1"/>
        <w:rPr>
          <w:lang w:val="fr-FR"/>
        </w:rPr>
      </w:pPr>
      <w:r w:rsidRPr="00A863E6">
        <w:rPr>
          <w:rStyle w:val="Appelnotedebasdep"/>
          <w:shd w:val="clear" w:color="auto" w:fill="FFFFFF" w:themeFill="background1"/>
        </w:rPr>
        <w:footnoteRef/>
      </w:r>
      <w:r w:rsidRPr="00720D91">
        <w:rPr>
          <w:rFonts w:ascii="Arial" w:hAnsi="Arial" w:cs="Arial"/>
          <w:sz w:val="18"/>
          <w:szCs w:val="18"/>
          <w:shd w:val="clear" w:color="auto" w:fill="FFFFFF" w:themeFill="background1"/>
          <w:lang w:val="fr-FR"/>
        </w:rPr>
        <w:t xml:space="preserve"> </w:t>
      </w:r>
      <w:hyperlink r:id="rId32" w:history="1">
        <w:r w:rsidRPr="00720D91">
          <w:rPr>
            <w:rStyle w:val="Lienhypertexte"/>
            <w:rFonts w:ascii="Arial" w:hAnsi="Arial" w:cs="Arial"/>
            <w:i/>
            <w:iCs/>
            <w:color w:val="auto"/>
            <w:sz w:val="18"/>
            <w:szCs w:val="18"/>
            <w:shd w:val="clear" w:color="auto" w:fill="FFFFFF" w:themeFill="background1"/>
            <w:lang w:val="fr-FR"/>
          </w:rPr>
          <w:t xml:space="preserve">Ukraine c. Russie </w:t>
        </w:r>
      </w:hyperlink>
      <w:r w:rsidRPr="00720D91">
        <w:rPr>
          <w:rFonts w:ascii="Arial" w:hAnsi="Arial" w:cs="Arial"/>
          <w:i/>
          <w:iCs/>
          <w:sz w:val="18"/>
          <w:szCs w:val="18"/>
          <w:shd w:val="clear" w:color="auto" w:fill="FFFFFF" w:themeFill="background1"/>
          <w:lang w:val="fr-FR"/>
        </w:rPr>
        <w:t>(déc) [GC]</w:t>
      </w:r>
      <w:r w:rsidRPr="00720D91">
        <w:rPr>
          <w:rFonts w:ascii="Arial" w:hAnsi="Arial" w:cs="Arial"/>
          <w:sz w:val="18"/>
          <w:szCs w:val="18"/>
          <w:shd w:val="clear" w:color="auto" w:fill="FFFFFF" w:themeFill="background1"/>
          <w:lang w:val="fr-FR"/>
        </w:rPr>
        <w:t>, n° 20958/14 et 38334/18, § 238, 16 décembre 2020.</w:t>
      </w:r>
    </w:p>
  </w:footnote>
  <w:footnote w:id="33">
    <w:p w14:paraId="7B51A081" w14:textId="77777777" w:rsidR="00D86968" w:rsidRPr="00720D91" w:rsidRDefault="00D86968" w:rsidP="00720D91">
      <w:pPr>
        <w:pStyle w:val="Notedebasdepage"/>
        <w:shd w:val="clear" w:color="auto" w:fill="FFFFFF" w:themeFill="background1"/>
        <w:rPr>
          <w:lang w:val="fr-FR"/>
        </w:rPr>
      </w:pPr>
      <w:r w:rsidRPr="00A863E6">
        <w:rPr>
          <w:rStyle w:val="Appelnotedebasdep"/>
        </w:rPr>
        <w:footnoteRef/>
      </w:r>
      <w:r w:rsidRPr="00720D91">
        <w:rPr>
          <w:rFonts w:ascii="Arial" w:hAnsi="Arial" w:cs="Arial"/>
          <w:sz w:val="18"/>
          <w:szCs w:val="18"/>
          <w:lang w:val="fr-FR"/>
        </w:rPr>
        <w:t xml:space="preserve"> </w:t>
      </w:r>
      <w:bookmarkStart w:id="11" w:name="_Hlk62738402"/>
      <w:r w:rsidRPr="00A863E6">
        <w:fldChar w:fldCharType="begin"/>
      </w:r>
      <w:r w:rsidRPr="00720D91">
        <w:rPr>
          <w:lang w:val="fr-FR"/>
        </w:rPr>
        <w:instrText>HYPERLINK "http://hudoc.echr.coe.int/eng?i=001-207758"</w:instrText>
      </w:r>
      <w:r w:rsidRPr="00A863E6">
        <w:fldChar w:fldCharType="separate"/>
      </w:r>
      <w:r w:rsidRPr="00720D91">
        <w:rPr>
          <w:rStyle w:val="Lienhypertexte"/>
          <w:rFonts w:ascii="Arial" w:hAnsi="Arial" w:cs="Arial"/>
          <w:i/>
          <w:iCs/>
          <w:color w:val="auto"/>
          <w:sz w:val="18"/>
          <w:szCs w:val="18"/>
          <w:lang w:val="fr-FR"/>
        </w:rPr>
        <w:t xml:space="preserve">Géorgie c. Russie </w:t>
      </w:r>
      <w:r w:rsidRPr="00A863E6">
        <w:rPr>
          <w:rStyle w:val="Lienhypertexte"/>
          <w:rFonts w:ascii="Arial" w:hAnsi="Arial" w:cs="Arial"/>
          <w:i/>
          <w:iCs/>
          <w:color w:val="auto"/>
          <w:sz w:val="18"/>
          <w:szCs w:val="18"/>
        </w:rPr>
        <w:fldChar w:fldCharType="end"/>
      </w:r>
      <w:r w:rsidRPr="00720D91">
        <w:rPr>
          <w:rFonts w:ascii="Arial" w:hAnsi="Arial" w:cs="Arial"/>
          <w:sz w:val="18"/>
          <w:szCs w:val="18"/>
          <w:lang w:val="fr-FR"/>
        </w:rPr>
        <w:t>(II) (fond</w:t>
      </w:r>
      <w:r w:rsidRPr="00720D91">
        <w:rPr>
          <w:rFonts w:ascii="Arial" w:hAnsi="Arial" w:cs="Arial"/>
          <w:sz w:val="18"/>
          <w:szCs w:val="18"/>
          <w:shd w:val="clear" w:color="auto" w:fill="FFFFFF" w:themeFill="background1"/>
          <w:lang w:val="fr-FR"/>
        </w:rPr>
        <w:t xml:space="preserve">) </w:t>
      </w:r>
      <w:r w:rsidRPr="00720D91">
        <w:rPr>
          <w:rFonts w:ascii="Arial" w:hAnsi="Arial" w:cs="Arial"/>
          <w:i/>
          <w:iCs/>
          <w:sz w:val="18"/>
          <w:szCs w:val="18"/>
          <w:shd w:val="clear" w:color="auto" w:fill="FFFFFF" w:themeFill="background1"/>
          <w:lang w:val="fr-FR"/>
        </w:rPr>
        <w:t>[GC</w:t>
      </w:r>
      <w:r w:rsidRPr="00720D91">
        <w:rPr>
          <w:rFonts w:ascii="Arial" w:hAnsi="Arial" w:cs="Arial"/>
          <w:i/>
          <w:sz w:val="18"/>
          <w:szCs w:val="18"/>
          <w:shd w:val="clear" w:color="auto" w:fill="FFFFFF" w:themeFill="background1"/>
          <w:lang w:val="fr-FR"/>
        </w:rPr>
        <w:t>]</w:t>
      </w:r>
      <w:r w:rsidRPr="00720D91">
        <w:rPr>
          <w:rFonts w:ascii="Arial" w:hAnsi="Arial" w:cs="Arial"/>
          <w:i/>
          <w:iCs/>
          <w:sz w:val="18"/>
          <w:szCs w:val="18"/>
          <w:shd w:val="clear" w:color="auto" w:fill="FFFFFF" w:themeFill="background1"/>
          <w:lang w:val="fr-FR"/>
        </w:rPr>
        <w:t xml:space="preserve"> </w:t>
      </w:r>
      <w:r w:rsidRPr="00720D91">
        <w:rPr>
          <w:rFonts w:ascii="Arial" w:hAnsi="Arial" w:cs="Arial"/>
          <w:sz w:val="18"/>
          <w:szCs w:val="18"/>
          <w:lang w:val="fr-FR"/>
        </w:rPr>
        <w:t xml:space="preserve">n° 38263/08, § 100, 21 janvier 2021. </w:t>
      </w:r>
      <w:bookmarkEnd w:id="11"/>
    </w:p>
  </w:footnote>
  <w:footnote w:id="34">
    <w:p w14:paraId="058761E3" w14:textId="77777777" w:rsidR="00D86968" w:rsidRPr="00720D91" w:rsidRDefault="00D86968" w:rsidP="00720D91">
      <w:pPr>
        <w:pStyle w:val="Notedebasdepage"/>
        <w:shd w:val="clear" w:color="auto" w:fill="FFFFFF" w:themeFill="background1"/>
        <w:rPr>
          <w:lang w:val="fr-FR"/>
        </w:rPr>
      </w:pPr>
      <w:r w:rsidRPr="00A863E6">
        <w:rPr>
          <w:rStyle w:val="Appelnotedebasdep"/>
        </w:rPr>
        <w:footnoteRef/>
      </w:r>
      <w:r w:rsidRPr="00720D91">
        <w:rPr>
          <w:rFonts w:ascii="Arial" w:hAnsi="Arial" w:cs="Arial"/>
          <w:sz w:val="18"/>
          <w:szCs w:val="18"/>
          <w:lang w:val="fr-FR"/>
        </w:rPr>
        <w:t xml:space="preserve"> </w:t>
      </w:r>
      <w:hyperlink r:id="rId33" w:history="1">
        <w:r w:rsidRPr="00720D91">
          <w:rPr>
            <w:rStyle w:val="Lienhypertexte"/>
            <w:rFonts w:ascii="Arial" w:hAnsi="Arial" w:cs="Arial"/>
            <w:i/>
            <w:iCs/>
            <w:color w:val="auto"/>
            <w:sz w:val="18"/>
            <w:szCs w:val="18"/>
            <w:lang w:val="fr-FR"/>
          </w:rPr>
          <w:t xml:space="preserve">Géorgie c. Russie </w:t>
        </w:r>
      </w:hyperlink>
      <w:r w:rsidRPr="00720D91">
        <w:rPr>
          <w:rFonts w:ascii="Arial" w:hAnsi="Arial" w:cs="Arial"/>
          <w:sz w:val="18"/>
          <w:szCs w:val="18"/>
          <w:lang w:val="fr-FR"/>
        </w:rPr>
        <w:t>(II) (fond</w:t>
      </w:r>
      <w:r w:rsidRPr="00720D91">
        <w:rPr>
          <w:rFonts w:ascii="Arial" w:hAnsi="Arial" w:cs="Arial"/>
          <w:sz w:val="18"/>
          <w:szCs w:val="18"/>
          <w:shd w:val="clear" w:color="auto" w:fill="FFFFFF" w:themeFill="background1"/>
          <w:lang w:val="fr-FR"/>
        </w:rPr>
        <w:t xml:space="preserve">) </w:t>
      </w:r>
      <w:r w:rsidRPr="00720D91">
        <w:rPr>
          <w:rFonts w:ascii="Arial" w:hAnsi="Arial" w:cs="Arial"/>
          <w:i/>
          <w:iCs/>
          <w:sz w:val="18"/>
          <w:szCs w:val="18"/>
          <w:shd w:val="clear" w:color="auto" w:fill="FFFFFF" w:themeFill="background1"/>
          <w:lang w:val="fr-FR"/>
        </w:rPr>
        <w:t>[GC</w:t>
      </w:r>
      <w:r w:rsidRPr="00720D91">
        <w:rPr>
          <w:rFonts w:ascii="Arial" w:hAnsi="Arial" w:cs="Arial"/>
          <w:i/>
          <w:sz w:val="18"/>
          <w:szCs w:val="18"/>
          <w:shd w:val="clear" w:color="auto" w:fill="FFFFFF" w:themeFill="background1"/>
          <w:lang w:val="fr-FR"/>
        </w:rPr>
        <w:t xml:space="preserve">] </w:t>
      </w:r>
      <w:r w:rsidRPr="00720D91">
        <w:rPr>
          <w:rFonts w:ascii="Arial" w:hAnsi="Arial" w:cs="Arial"/>
          <w:sz w:val="18"/>
          <w:szCs w:val="18"/>
          <w:shd w:val="clear" w:color="auto" w:fill="FFFFFF" w:themeFill="background1"/>
          <w:lang w:val="fr-FR"/>
        </w:rPr>
        <w:t>n°</w:t>
      </w:r>
      <w:r w:rsidRPr="00720D91">
        <w:rPr>
          <w:rFonts w:ascii="Arial" w:hAnsi="Arial" w:cs="Arial"/>
          <w:sz w:val="18"/>
          <w:szCs w:val="18"/>
          <w:lang w:val="fr-FR"/>
        </w:rPr>
        <w:t xml:space="preserve"> 38263/08, § 101, 21 janvier 2021.</w:t>
      </w:r>
    </w:p>
  </w:footnote>
  <w:footnote w:id="35">
    <w:p w14:paraId="35C30008" w14:textId="77777777" w:rsidR="00D86968" w:rsidRPr="00720D91" w:rsidRDefault="00D86968" w:rsidP="00720D91">
      <w:pPr>
        <w:pStyle w:val="Notedebasdepage"/>
        <w:shd w:val="clear" w:color="auto" w:fill="FFFFFF" w:themeFill="background1"/>
        <w:jc w:val="both"/>
        <w:rPr>
          <w:lang w:val="fr-FR"/>
        </w:rPr>
      </w:pPr>
      <w:r w:rsidRPr="00A863E6">
        <w:rPr>
          <w:rStyle w:val="Appelnotedebasdep"/>
        </w:rPr>
        <w:footnoteRef/>
      </w:r>
      <w:r w:rsidRPr="00720D91">
        <w:rPr>
          <w:rFonts w:ascii="Arial" w:hAnsi="Arial" w:cs="Arial"/>
          <w:sz w:val="18"/>
          <w:szCs w:val="18"/>
          <w:lang w:val="fr-FR"/>
        </w:rPr>
        <w:t xml:space="preserve"> </w:t>
      </w:r>
      <w:hyperlink r:id="rId34" w:history="1">
        <w:r w:rsidRPr="00720D91">
          <w:rPr>
            <w:rStyle w:val="Lienhypertexte"/>
            <w:rFonts w:ascii="Arial" w:hAnsi="Arial" w:cs="Arial"/>
            <w:i/>
            <w:iCs/>
            <w:color w:val="auto"/>
            <w:sz w:val="18"/>
            <w:szCs w:val="18"/>
            <w:lang w:val="fr-FR"/>
          </w:rPr>
          <w:t>France, Norvège, Danemark, Suède et Pays-Bas c. Turquie</w:t>
        </w:r>
      </w:hyperlink>
      <w:r w:rsidRPr="00720D91">
        <w:rPr>
          <w:rFonts w:ascii="Arial" w:hAnsi="Arial" w:cs="Arial"/>
          <w:sz w:val="18"/>
          <w:szCs w:val="18"/>
          <w:lang w:val="fr-FR"/>
        </w:rPr>
        <w:t xml:space="preserve">, nos 9940-9944/82, décision de la Commission du 6 décembre 1983, Décisions et rapports 35, p. 163, § 19 </w:t>
      </w:r>
      <w:r w:rsidRPr="00720D91">
        <w:rPr>
          <w:lang w:val="fr-FR"/>
        </w:rPr>
        <w:t xml:space="preserve">; </w:t>
      </w:r>
      <w:hyperlink r:id="rId35" w:anchor="{%22itemid%22:[%22001-62064%22]}" w:history="1">
        <w:r w:rsidRPr="00720D91">
          <w:rPr>
            <w:rStyle w:val="Lienhypertexte"/>
            <w:rFonts w:ascii="Arial" w:hAnsi="Arial" w:cs="Arial"/>
            <w:i/>
            <w:color w:val="auto"/>
            <w:sz w:val="18"/>
            <w:szCs w:val="18"/>
            <w:shd w:val="clear" w:color="auto" w:fill="FFFFFF" w:themeFill="background1"/>
            <w:lang w:val="fr-FR"/>
          </w:rPr>
          <w:t>Irlande c. Royaume-Uni</w:t>
        </w:r>
      </w:hyperlink>
      <w:r w:rsidRPr="00720D91">
        <w:rPr>
          <w:rFonts w:ascii="Arial" w:hAnsi="Arial" w:cs="Arial"/>
          <w:sz w:val="18"/>
          <w:szCs w:val="18"/>
          <w:shd w:val="clear" w:color="auto" w:fill="FFFFFF" w:themeFill="background1"/>
          <w:lang w:val="fr-FR"/>
        </w:rPr>
        <w:t xml:space="preserve">, n° 5310/71, § 159, 18 janvier 1978 ; </w:t>
      </w:r>
      <w:hyperlink r:id="rId36" w:history="1">
        <w:r w:rsidRPr="00720D91">
          <w:rPr>
            <w:rStyle w:val="Lienhypertexte"/>
            <w:rFonts w:ascii="Arial" w:hAnsi="Arial" w:cs="Arial"/>
            <w:i/>
            <w:iCs/>
            <w:color w:val="auto"/>
            <w:sz w:val="18"/>
            <w:szCs w:val="18"/>
            <w:shd w:val="clear" w:color="auto" w:fill="FFFFFF" w:themeFill="background1"/>
            <w:lang w:val="fr-FR"/>
          </w:rPr>
          <w:t>Chypre c. Turquie (fond) [GC]</w:t>
        </w:r>
      </w:hyperlink>
      <w:r w:rsidRPr="00720D91">
        <w:rPr>
          <w:rFonts w:ascii="Arial" w:hAnsi="Arial" w:cs="Arial"/>
          <w:sz w:val="18"/>
          <w:szCs w:val="18"/>
          <w:shd w:val="clear" w:color="auto" w:fill="FFFFFF" w:themeFill="background1"/>
          <w:lang w:val="fr-FR"/>
        </w:rPr>
        <w:t xml:space="preserve">, n° 25781/94, § 99, 10 mai 2001 ; </w:t>
      </w:r>
      <w:hyperlink r:id="rId37" w:history="1">
        <w:r w:rsidRPr="00720D91">
          <w:rPr>
            <w:rStyle w:val="Lienhypertexte"/>
            <w:rFonts w:ascii="Arial" w:hAnsi="Arial" w:cs="Arial"/>
            <w:i/>
            <w:iCs/>
            <w:color w:val="auto"/>
            <w:sz w:val="18"/>
            <w:szCs w:val="18"/>
            <w:shd w:val="clear" w:color="auto" w:fill="FFFFFF" w:themeFill="background1"/>
            <w:lang w:val="fr-FR"/>
          </w:rPr>
          <w:t>Géorgie c. Russie (I) [GC]</w:t>
        </w:r>
      </w:hyperlink>
      <w:r w:rsidRPr="00720D91">
        <w:rPr>
          <w:rFonts w:ascii="Arial" w:hAnsi="Arial" w:cs="Arial"/>
          <w:sz w:val="18"/>
          <w:szCs w:val="18"/>
          <w:shd w:val="clear" w:color="auto" w:fill="FFFFFF" w:themeFill="background1"/>
          <w:lang w:val="fr-FR"/>
        </w:rPr>
        <w:t xml:space="preserve">, n° 13255/07, 3 juillet 2014, §§ 122-124 ; Voir aussi </w:t>
      </w:r>
      <w:hyperlink r:id="rId38" w:history="1">
        <w:r w:rsidRPr="00720D91">
          <w:rPr>
            <w:rStyle w:val="Lienhypertexte"/>
            <w:rFonts w:ascii="Arial" w:hAnsi="Arial" w:cs="Arial"/>
            <w:i/>
            <w:iCs/>
            <w:color w:val="auto"/>
            <w:sz w:val="18"/>
            <w:szCs w:val="18"/>
            <w:shd w:val="clear" w:color="auto" w:fill="FFFFFF" w:themeFill="background1"/>
            <w:lang w:val="fr-FR"/>
          </w:rPr>
          <w:t xml:space="preserve">Ukraine c. Russie </w:t>
        </w:r>
      </w:hyperlink>
      <w:r w:rsidRPr="00720D91">
        <w:rPr>
          <w:rFonts w:ascii="Arial" w:hAnsi="Arial" w:cs="Arial"/>
          <w:i/>
          <w:iCs/>
          <w:sz w:val="18"/>
          <w:szCs w:val="18"/>
          <w:shd w:val="clear" w:color="auto" w:fill="FFFFFF" w:themeFill="background1"/>
          <w:lang w:val="fr-FR"/>
        </w:rPr>
        <w:t>(déc)</w:t>
      </w:r>
      <w:r w:rsidRPr="00720D91">
        <w:rPr>
          <w:rFonts w:ascii="Arial" w:hAnsi="Arial" w:cs="Arial"/>
          <w:sz w:val="18"/>
          <w:szCs w:val="18"/>
          <w:shd w:val="clear" w:color="auto" w:fill="FFFFFF" w:themeFill="background1"/>
          <w:lang w:val="fr-FR"/>
        </w:rPr>
        <w:t xml:space="preserve">, n° 20958/14 et 38334/18 § 363, 14 janvier 2021 ; </w:t>
      </w:r>
      <w:hyperlink r:id="rId39" w:history="1">
        <w:r w:rsidRPr="00720D91">
          <w:rPr>
            <w:shd w:val="clear" w:color="auto" w:fill="FFFFFF" w:themeFill="background1"/>
            <w:lang w:val="fr-FR"/>
          </w:rPr>
          <w:t xml:space="preserve"> </w:t>
        </w:r>
        <w:r w:rsidRPr="00720D91">
          <w:rPr>
            <w:rStyle w:val="Lienhypertexte"/>
            <w:rFonts w:ascii="Arial" w:hAnsi="Arial" w:cs="Arial"/>
            <w:i/>
            <w:iCs/>
            <w:color w:val="auto"/>
            <w:sz w:val="18"/>
            <w:szCs w:val="18"/>
            <w:shd w:val="clear" w:color="auto" w:fill="FFFFFF" w:themeFill="background1"/>
            <w:lang w:val="fr-FR"/>
          </w:rPr>
          <w:t xml:space="preserve">Géorgie c. Russie </w:t>
        </w:r>
      </w:hyperlink>
      <w:r w:rsidRPr="00720D91">
        <w:rPr>
          <w:rFonts w:ascii="Arial" w:hAnsi="Arial" w:cs="Arial"/>
          <w:sz w:val="18"/>
          <w:szCs w:val="18"/>
          <w:shd w:val="clear" w:color="auto" w:fill="FFFFFF" w:themeFill="background1"/>
          <w:lang w:val="fr-FR"/>
        </w:rPr>
        <w:t xml:space="preserve">(II) (fond) </w:t>
      </w:r>
      <w:r w:rsidRPr="00720D91">
        <w:rPr>
          <w:rFonts w:ascii="Arial" w:hAnsi="Arial" w:cs="Arial"/>
          <w:i/>
          <w:iCs/>
          <w:sz w:val="18"/>
          <w:szCs w:val="18"/>
          <w:shd w:val="clear" w:color="auto" w:fill="FFFFFF" w:themeFill="background1"/>
          <w:lang w:val="fr-FR"/>
        </w:rPr>
        <w:t xml:space="preserve">[GC] </w:t>
      </w:r>
      <w:r w:rsidRPr="00720D91">
        <w:rPr>
          <w:rFonts w:ascii="Arial" w:hAnsi="Arial" w:cs="Arial"/>
          <w:sz w:val="18"/>
          <w:szCs w:val="18"/>
          <w:shd w:val="clear" w:color="auto" w:fill="FFFFFF" w:themeFill="background1"/>
          <w:lang w:val="fr-FR"/>
        </w:rPr>
        <w:t>n°38263/08, § 102, 21 janvier 2021</w:t>
      </w:r>
      <w:r w:rsidRPr="00720D91">
        <w:rPr>
          <w:rFonts w:ascii="Arial" w:hAnsi="Arial" w:cs="Arial"/>
          <w:sz w:val="18"/>
          <w:szCs w:val="18"/>
          <w:lang w:val="fr-FR"/>
        </w:rPr>
        <w:t>.</w:t>
      </w:r>
    </w:p>
  </w:footnote>
  <w:footnote w:id="36">
    <w:p w14:paraId="14E50016" w14:textId="77777777" w:rsidR="00D86968" w:rsidRPr="00720D91" w:rsidRDefault="00D86968" w:rsidP="00720D91">
      <w:pPr>
        <w:pStyle w:val="Notedebasdepage"/>
        <w:shd w:val="clear" w:color="auto" w:fill="FFFFFF" w:themeFill="background1"/>
        <w:rPr>
          <w:lang w:val="fr-FR"/>
        </w:rPr>
      </w:pPr>
      <w:r w:rsidRPr="00A863E6">
        <w:rPr>
          <w:rStyle w:val="Appelnotedebasdep"/>
        </w:rPr>
        <w:footnoteRef/>
      </w:r>
      <w:hyperlink r:id="rId40" w:history="1">
        <w:r w:rsidRPr="00720D91">
          <w:rPr>
            <w:lang w:val="fr-FR"/>
          </w:rPr>
          <w:t xml:space="preserve"> </w:t>
        </w:r>
        <w:r w:rsidRPr="00720D91">
          <w:rPr>
            <w:rStyle w:val="Lienhypertexte"/>
            <w:rFonts w:ascii="Arial" w:hAnsi="Arial" w:cs="Arial"/>
            <w:i/>
            <w:iCs/>
            <w:color w:val="auto"/>
            <w:sz w:val="18"/>
            <w:szCs w:val="18"/>
            <w:lang w:val="fr-FR"/>
          </w:rPr>
          <w:t xml:space="preserve">Géorgie c. Russie </w:t>
        </w:r>
      </w:hyperlink>
      <w:r w:rsidRPr="00720D91">
        <w:rPr>
          <w:rFonts w:ascii="Arial" w:hAnsi="Arial" w:cs="Arial"/>
          <w:sz w:val="18"/>
          <w:szCs w:val="18"/>
          <w:lang w:val="fr-FR"/>
        </w:rPr>
        <w:t xml:space="preserve">(II) (fond) </w:t>
      </w:r>
      <w:r w:rsidRPr="00720D91">
        <w:rPr>
          <w:rFonts w:ascii="Arial" w:hAnsi="Arial" w:cs="Arial"/>
          <w:i/>
          <w:iCs/>
          <w:sz w:val="18"/>
          <w:szCs w:val="18"/>
          <w:shd w:val="clear" w:color="auto" w:fill="FFFFFF" w:themeFill="background1"/>
          <w:lang w:val="fr-FR"/>
        </w:rPr>
        <w:t xml:space="preserve">[GC] </w:t>
      </w:r>
      <w:r w:rsidRPr="00720D91">
        <w:rPr>
          <w:rFonts w:ascii="Arial" w:hAnsi="Arial" w:cs="Arial"/>
          <w:sz w:val="18"/>
          <w:szCs w:val="18"/>
          <w:shd w:val="clear" w:color="auto" w:fill="FFFFFF" w:themeFill="background1"/>
          <w:lang w:val="fr-FR"/>
        </w:rPr>
        <w:t>n° 38263</w:t>
      </w:r>
      <w:r w:rsidRPr="00720D91">
        <w:rPr>
          <w:rFonts w:ascii="Arial" w:hAnsi="Arial" w:cs="Arial"/>
          <w:sz w:val="18"/>
          <w:szCs w:val="18"/>
          <w:lang w:val="fr-FR"/>
        </w:rPr>
        <w:t>/08, § 103, 21 janvier 2021.</w:t>
      </w:r>
      <w:r w:rsidRPr="00720D91">
        <w:rPr>
          <w:rFonts w:ascii="Arial" w:hAnsi="Arial" w:cs="Arial"/>
          <w:b/>
          <w:bCs/>
          <w:sz w:val="18"/>
          <w:szCs w:val="18"/>
          <w:lang w:val="fr-FR"/>
        </w:rPr>
        <w:t xml:space="preserve"> </w:t>
      </w:r>
    </w:p>
  </w:footnote>
  <w:footnote w:id="37">
    <w:p w14:paraId="304102EA" w14:textId="77777777" w:rsidR="00D86968" w:rsidRPr="00720D91" w:rsidRDefault="00D86968" w:rsidP="00720D91">
      <w:pPr>
        <w:pStyle w:val="Notedebasdepage"/>
        <w:shd w:val="clear" w:color="auto" w:fill="FFFFFF" w:themeFill="background1"/>
        <w:rPr>
          <w:lang w:val="fr-FR"/>
        </w:rPr>
      </w:pPr>
      <w:r w:rsidRPr="00A863E6">
        <w:rPr>
          <w:rStyle w:val="Appelnotedebasdep"/>
          <w:shd w:val="clear" w:color="auto" w:fill="FFFFFF" w:themeFill="background1"/>
        </w:rPr>
        <w:footnoteRef/>
      </w:r>
      <w:r w:rsidRPr="00720D91">
        <w:rPr>
          <w:rFonts w:ascii="Arial" w:hAnsi="Arial" w:cs="Arial"/>
          <w:sz w:val="18"/>
          <w:szCs w:val="18"/>
          <w:shd w:val="clear" w:color="auto" w:fill="FFFFFF" w:themeFill="background1"/>
          <w:lang w:val="fr-FR"/>
        </w:rPr>
        <w:t xml:space="preserve"> </w:t>
      </w:r>
      <w:hyperlink r:id="rId41" w:history="1">
        <w:r w:rsidRPr="00720D91">
          <w:rPr>
            <w:rStyle w:val="Lienhypertexte"/>
            <w:rFonts w:ascii="Arial" w:hAnsi="Arial" w:cs="Arial"/>
            <w:i/>
            <w:iCs/>
            <w:color w:val="auto"/>
            <w:sz w:val="18"/>
            <w:szCs w:val="18"/>
            <w:shd w:val="clear" w:color="auto" w:fill="FFFFFF" w:themeFill="background1"/>
            <w:lang w:val="fr-FR"/>
          </w:rPr>
          <w:t xml:space="preserve">Ukraine c. Russie </w:t>
        </w:r>
      </w:hyperlink>
      <w:r w:rsidRPr="00720D91">
        <w:rPr>
          <w:rFonts w:ascii="Arial" w:hAnsi="Arial" w:cs="Arial"/>
          <w:i/>
          <w:iCs/>
          <w:sz w:val="18"/>
          <w:szCs w:val="18"/>
          <w:shd w:val="clear" w:color="auto" w:fill="FFFFFF" w:themeFill="background1"/>
          <w:lang w:val="fr-FR"/>
        </w:rPr>
        <w:t>(déc) [GC]</w:t>
      </w:r>
      <w:r w:rsidRPr="00720D91">
        <w:rPr>
          <w:rFonts w:ascii="Arial" w:hAnsi="Arial" w:cs="Arial"/>
          <w:sz w:val="18"/>
          <w:szCs w:val="18"/>
          <w:shd w:val="clear" w:color="auto" w:fill="FFFFFF" w:themeFill="background1"/>
          <w:lang w:val="fr-FR"/>
        </w:rPr>
        <w:t>, nos 20958/14 et 38334/18, § 260, 16 décembre 2020.</w:t>
      </w:r>
    </w:p>
  </w:footnote>
  <w:footnote w:id="38">
    <w:p w14:paraId="4919AA51" w14:textId="77777777" w:rsidR="00D86968" w:rsidRPr="002D305B" w:rsidRDefault="00D86968" w:rsidP="00720D91">
      <w:pPr>
        <w:pStyle w:val="Sansinterligne"/>
        <w:jc w:val="both"/>
        <w:rPr>
          <w:rFonts w:ascii="Arial" w:hAnsi="Arial" w:cs="Arial"/>
          <w:sz w:val="18"/>
          <w:szCs w:val="18"/>
        </w:rPr>
      </w:pPr>
      <w:r w:rsidRPr="002D305B">
        <w:rPr>
          <w:rStyle w:val="Appelnotedebasdep"/>
          <w:rFonts w:ascii="Arial" w:hAnsi="Arial" w:cs="Arial"/>
          <w:sz w:val="18"/>
          <w:szCs w:val="18"/>
        </w:rPr>
        <w:footnoteRef/>
      </w:r>
      <w:r>
        <w:rPr>
          <w:rFonts w:ascii="Arial" w:hAnsi="Arial" w:cs="Arial"/>
          <w:sz w:val="18"/>
          <w:szCs w:val="18"/>
        </w:rPr>
        <w:t xml:space="preserve"> </w:t>
      </w:r>
      <w:r w:rsidRPr="002D305B">
        <w:rPr>
          <w:rFonts w:ascii="Arial" w:hAnsi="Arial" w:cs="Arial"/>
          <w:sz w:val="18"/>
          <w:szCs w:val="18"/>
        </w:rPr>
        <w:t xml:space="preserve">Voir aussi </w:t>
      </w:r>
      <w:hyperlink r:id="rId42" w:anchor="{%22itemid%22:[%22001-27972%22]}" w:history="1">
        <w:r w:rsidRPr="002D305B">
          <w:rPr>
            <w:rStyle w:val="Lienhypertexte"/>
            <w:rFonts w:ascii="Arial" w:eastAsiaTheme="majorEastAsia" w:hAnsi="Arial" w:cs="Arial"/>
            <w:i/>
            <w:sz w:val="18"/>
            <w:szCs w:val="18"/>
          </w:rPr>
          <w:t>Autriche c. Italie</w:t>
        </w:r>
      </w:hyperlink>
      <w:r w:rsidRPr="002D305B">
        <w:rPr>
          <w:rFonts w:ascii="Arial" w:hAnsi="Arial" w:cs="Arial"/>
          <w:sz w:val="18"/>
          <w:szCs w:val="18"/>
        </w:rPr>
        <w:t xml:space="preserve">, précité, page 19. </w:t>
      </w:r>
    </w:p>
  </w:footnote>
  <w:footnote w:id="39">
    <w:p w14:paraId="78A7C10F" w14:textId="77777777" w:rsidR="00D86968" w:rsidRPr="002D305B" w:rsidRDefault="00D86968" w:rsidP="00720D91">
      <w:pPr>
        <w:pStyle w:val="Sansinterligne"/>
        <w:jc w:val="both"/>
        <w:rPr>
          <w:rFonts w:ascii="Arial" w:hAnsi="Arial" w:cs="Arial"/>
          <w:sz w:val="18"/>
          <w:szCs w:val="18"/>
        </w:rPr>
      </w:pPr>
      <w:r w:rsidRPr="002D305B">
        <w:rPr>
          <w:rStyle w:val="Appelnotedebasdep"/>
          <w:rFonts w:ascii="Arial" w:hAnsi="Arial" w:cs="Arial"/>
          <w:sz w:val="18"/>
          <w:szCs w:val="18"/>
        </w:rPr>
        <w:footnoteRef/>
      </w:r>
      <w:hyperlink r:id="rId43" w:history="1">
        <w:r w:rsidRPr="002D305B">
          <w:rPr>
            <w:rStyle w:val="Lienhypertexte"/>
            <w:rFonts w:ascii="Arial" w:eastAsiaTheme="majorEastAsia" w:hAnsi="Arial" w:cs="Arial"/>
            <w:i/>
            <w:sz w:val="18"/>
            <w:szCs w:val="18"/>
          </w:rPr>
          <w:t xml:space="preserve"> Chypre c. Turquie (satisfaction équitable) [GC]</w:t>
        </w:r>
      </w:hyperlink>
      <w:r w:rsidRPr="002D305B">
        <w:rPr>
          <w:rFonts w:ascii="Arial" w:hAnsi="Arial" w:cs="Arial"/>
          <w:sz w:val="18"/>
          <w:szCs w:val="18"/>
        </w:rPr>
        <w:t>, n° 25781/94, § 44, 12 mai 2014.</w:t>
      </w:r>
    </w:p>
  </w:footnote>
  <w:footnote w:id="40">
    <w:p w14:paraId="56A66245" w14:textId="77777777" w:rsidR="00D86968" w:rsidRPr="002D305B" w:rsidRDefault="00D86968" w:rsidP="00720D91">
      <w:pPr>
        <w:pStyle w:val="Sansinterligne"/>
        <w:jc w:val="both"/>
        <w:rPr>
          <w:rFonts w:ascii="Arial" w:hAnsi="Arial" w:cs="Arial"/>
          <w:sz w:val="18"/>
          <w:szCs w:val="18"/>
        </w:rPr>
      </w:pPr>
      <w:r w:rsidRPr="002D305B">
        <w:rPr>
          <w:rStyle w:val="Appelnotedebasdep"/>
          <w:rFonts w:ascii="Arial" w:hAnsi="Arial" w:cs="Arial"/>
          <w:sz w:val="18"/>
          <w:szCs w:val="18"/>
        </w:rPr>
        <w:footnoteRef/>
      </w:r>
      <w:hyperlink r:id="rId44" w:anchor="{%22itemid%22:[%22001-62064%22]}" w:history="1">
        <w:r w:rsidRPr="002D305B">
          <w:rPr>
            <w:rStyle w:val="Lienhypertexte"/>
            <w:rFonts w:ascii="Arial" w:eastAsiaTheme="majorEastAsia" w:hAnsi="Arial" w:cs="Arial"/>
            <w:i/>
            <w:sz w:val="18"/>
            <w:szCs w:val="18"/>
          </w:rPr>
          <w:t xml:space="preserve"> Irlande c. Royaume-Uni</w:t>
        </w:r>
      </w:hyperlink>
      <w:r w:rsidRPr="002D305B">
        <w:rPr>
          <w:rFonts w:ascii="Arial" w:hAnsi="Arial" w:cs="Arial"/>
          <w:sz w:val="18"/>
          <w:szCs w:val="18"/>
        </w:rPr>
        <w:t>, n</w:t>
      </w:r>
      <w:r>
        <w:rPr>
          <w:rFonts w:ascii="Arial" w:hAnsi="Arial" w:cs="Arial"/>
          <w:sz w:val="18"/>
          <w:szCs w:val="18"/>
        </w:rPr>
        <w:t>°</w:t>
      </w:r>
      <w:r w:rsidRPr="002D305B">
        <w:rPr>
          <w:rFonts w:ascii="Arial" w:hAnsi="Arial" w:cs="Arial"/>
          <w:sz w:val="18"/>
          <w:szCs w:val="18"/>
        </w:rPr>
        <w:t xml:space="preserve"> 5310/71, § 154, 18 janvier 1978.</w:t>
      </w:r>
    </w:p>
  </w:footnote>
  <w:footnote w:id="41">
    <w:p w14:paraId="4814DACA" w14:textId="77777777" w:rsidR="00D86968" w:rsidRPr="002D305B" w:rsidRDefault="00D86968" w:rsidP="00720D91">
      <w:pPr>
        <w:pStyle w:val="Sansinterligne"/>
        <w:jc w:val="both"/>
        <w:rPr>
          <w:rFonts w:ascii="Arial" w:hAnsi="Arial" w:cs="Arial"/>
          <w:sz w:val="18"/>
          <w:szCs w:val="18"/>
        </w:rPr>
      </w:pPr>
      <w:r w:rsidRPr="002D305B">
        <w:rPr>
          <w:rStyle w:val="Appelnotedebasdep"/>
          <w:rFonts w:ascii="Arial" w:hAnsi="Arial" w:cs="Arial"/>
          <w:sz w:val="18"/>
          <w:szCs w:val="18"/>
        </w:rPr>
        <w:footnoteRef/>
      </w:r>
      <w:hyperlink r:id="rId45" w:history="1">
        <w:r w:rsidRPr="002D305B">
          <w:rPr>
            <w:rStyle w:val="Lienhypertexte"/>
            <w:rFonts w:ascii="Arial" w:eastAsiaTheme="majorEastAsia" w:hAnsi="Arial" w:cs="Arial"/>
            <w:i/>
            <w:sz w:val="18"/>
            <w:szCs w:val="18"/>
          </w:rPr>
          <w:t xml:space="preserve"> Chypre c. Turquie (satisfaction équitable) [GC]</w:t>
        </w:r>
      </w:hyperlink>
      <w:r w:rsidRPr="002D305B">
        <w:rPr>
          <w:rFonts w:ascii="Arial" w:hAnsi="Arial" w:cs="Arial"/>
          <w:sz w:val="18"/>
          <w:szCs w:val="18"/>
        </w:rPr>
        <w:t xml:space="preserve">, n° 25781/94, § 45, 12 mai 2014. </w:t>
      </w:r>
    </w:p>
  </w:footnote>
  <w:footnote w:id="42">
    <w:p w14:paraId="631A5C89" w14:textId="77777777" w:rsidR="00D86968" w:rsidRPr="00720D91" w:rsidRDefault="00D86968" w:rsidP="00720D91">
      <w:pPr>
        <w:pStyle w:val="Notedebasdepage"/>
        <w:rPr>
          <w:lang w:val="fr-FR"/>
        </w:rPr>
      </w:pPr>
      <w:r>
        <w:rPr>
          <w:rStyle w:val="Appelnotedebasdep"/>
        </w:rPr>
        <w:footnoteRef/>
      </w:r>
      <w:r w:rsidRPr="00720D91">
        <w:rPr>
          <w:lang w:val="fr-FR"/>
        </w:rPr>
        <w:t xml:space="preserve"> </w:t>
      </w:r>
      <w:hyperlink r:id="rId46" w:history="1">
        <w:r w:rsidRPr="00720D91">
          <w:rPr>
            <w:rStyle w:val="Lienhypertexte"/>
            <w:rFonts w:ascii="Arial" w:hAnsi="Arial" w:cs="Arial"/>
            <w:i/>
            <w:iCs/>
            <w:sz w:val="18"/>
            <w:szCs w:val="18"/>
            <w:lang w:val="fr-FR"/>
          </w:rPr>
          <w:t>Slovénie c. Croatie</w:t>
        </w:r>
      </w:hyperlink>
      <w:r w:rsidRPr="00720D91">
        <w:rPr>
          <w:rStyle w:val="Lienhypertexte"/>
          <w:rFonts w:ascii="Arial" w:hAnsi="Arial" w:cs="Arial"/>
          <w:i/>
          <w:iCs/>
          <w:sz w:val="18"/>
          <w:szCs w:val="18"/>
          <w:lang w:val="fr-FR"/>
        </w:rPr>
        <w:t xml:space="preserve"> </w:t>
      </w:r>
      <w:r w:rsidRPr="00720D91">
        <w:rPr>
          <w:rFonts w:ascii="Arial" w:hAnsi="Arial" w:cs="Arial"/>
          <w:i/>
          <w:iCs/>
          <w:sz w:val="18"/>
          <w:szCs w:val="18"/>
          <w:lang w:val="fr-FR"/>
        </w:rPr>
        <w:t>(dec)</w:t>
      </w:r>
      <w:r w:rsidRPr="00720D91">
        <w:rPr>
          <w:rFonts w:ascii="Arial" w:hAnsi="Arial" w:cs="Arial"/>
          <w:sz w:val="18"/>
          <w:szCs w:val="18"/>
          <w:lang w:val="fr-FR"/>
        </w:rPr>
        <w:t xml:space="preserve">, n° 54155/16, § 67, 18 novembre 2020. </w:t>
      </w:r>
    </w:p>
  </w:footnote>
  <w:footnote w:id="43">
    <w:p w14:paraId="055CD5DB" w14:textId="77777777" w:rsidR="00D86968" w:rsidRPr="0059774E" w:rsidRDefault="00D86968" w:rsidP="00720D91">
      <w:pPr>
        <w:pStyle w:val="Sansinterligne"/>
        <w:jc w:val="both"/>
        <w:rPr>
          <w:rFonts w:ascii="Arial" w:hAnsi="Arial" w:cs="Arial"/>
          <w:sz w:val="18"/>
          <w:szCs w:val="18"/>
        </w:rPr>
      </w:pPr>
      <w:r w:rsidRPr="002D305B">
        <w:rPr>
          <w:rStyle w:val="Appelnotedebasdep"/>
          <w:rFonts w:ascii="Arial" w:hAnsi="Arial" w:cs="Arial"/>
          <w:sz w:val="18"/>
          <w:szCs w:val="18"/>
        </w:rPr>
        <w:footnoteRef/>
      </w:r>
      <w:r w:rsidRPr="0059774E">
        <w:rPr>
          <w:rFonts w:ascii="Arial" w:hAnsi="Arial" w:cs="Arial"/>
          <w:sz w:val="18"/>
          <w:szCs w:val="18"/>
        </w:rPr>
        <w:t xml:space="preserve"> Voir document </w:t>
      </w:r>
      <w:bookmarkStart w:id="15" w:name="_Hlk71277567"/>
      <w:r w:rsidRPr="00560F13">
        <w:fldChar w:fldCharType="begin"/>
      </w:r>
      <w:r w:rsidRPr="0059774E">
        <w:rPr>
          <w:rFonts w:ascii="Arial" w:hAnsi="Arial" w:cs="Arial"/>
          <w:sz w:val="18"/>
          <w:szCs w:val="18"/>
        </w:rPr>
        <w:instrText xml:space="preserve"> </w:instrText>
      </w:r>
      <w:r>
        <w:rPr>
          <w:rFonts w:ascii="Arial" w:hAnsi="Arial" w:cs="Arial"/>
          <w:sz w:val="18"/>
          <w:szCs w:val="18"/>
        </w:rPr>
        <w:instrText>HYPERLINK</w:instrText>
      </w:r>
      <w:r w:rsidRPr="0059774E">
        <w:rPr>
          <w:rFonts w:ascii="Arial" w:hAnsi="Arial" w:cs="Arial"/>
          <w:sz w:val="18"/>
          <w:szCs w:val="18"/>
        </w:rPr>
        <w:instrText xml:space="preserve"> "https://rm.coe.int/steering-committee-for-human-rights-cddh-proposals-for-a-more-efficien/168094e6e1" </w:instrText>
      </w:r>
      <w:r w:rsidRPr="00560F13">
        <w:fldChar w:fldCharType="separate"/>
      </w:r>
      <w:r w:rsidRPr="0059774E">
        <w:rPr>
          <w:rStyle w:val="Lienhypertexte"/>
          <w:rFonts w:ascii="Arial" w:eastAsiaTheme="majorEastAsia" w:hAnsi="Arial" w:cs="Arial"/>
          <w:sz w:val="18"/>
          <w:szCs w:val="18"/>
        </w:rPr>
        <w:t>CDDH(2019)22</w:t>
      </w:r>
      <w:r w:rsidRPr="00560F13">
        <w:rPr>
          <w:rStyle w:val="Lienhypertexte"/>
          <w:rFonts w:ascii="Arial" w:eastAsiaTheme="majorEastAsia" w:hAnsi="Arial" w:cs="Arial"/>
          <w:sz w:val="18"/>
          <w:szCs w:val="18"/>
        </w:rPr>
        <w:fldChar w:fldCharType="end"/>
      </w:r>
      <w:r w:rsidRPr="0059774E">
        <w:rPr>
          <w:rFonts w:ascii="Arial" w:hAnsi="Arial" w:cs="Arial"/>
          <w:sz w:val="18"/>
          <w:szCs w:val="18"/>
        </w:rPr>
        <w:t>, § 9</w:t>
      </w:r>
      <w:bookmarkEnd w:id="15"/>
      <w:r w:rsidRPr="0059774E">
        <w:rPr>
          <w:rFonts w:ascii="Arial" w:hAnsi="Arial" w:cs="Arial"/>
          <w:sz w:val="18"/>
          <w:szCs w:val="18"/>
        </w:rPr>
        <w:t>.</w:t>
      </w:r>
    </w:p>
  </w:footnote>
  <w:footnote w:id="44">
    <w:p w14:paraId="5584DD1E" w14:textId="77777777" w:rsidR="00D86968" w:rsidRPr="00720D91" w:rsidRDefault="00D86968" w:rsidP="00720D91">
      <w:pPr>
        <w:pStyle w:val="Notedebasdepage"/>
        <w:rPr>
          <w:lang w:val="fr-FR"/>
        </w:rPr>
      </w:pPr>
      <w:r>
        <w:rPr>
          <w:rStyle w:val="Appelnotedebasdep"/>
        </w:rPr>
        <w:footnoteRef/>
      </w:r>
      <w:r w:rsidRPr="00720D91">
        <w:rPr>
          <w:lang w:val="fr-FR"/>
        </w:rPr>
        <w:t xml:space="preserve"> </w:t>
      </w:r>
      <w:r w:rsidRPr="00720D91">
        <w:rPr>
          <w:rFonts w:ascii="Arial" w:hAnsi="Arial" w:cs="Arial"/>
          <w:sz w:val="18"/>
          <w:szCs w:val="18"/>
          <w:lang w:val="fr-FR"/>
        </w:rPr>
        <w:t xml:space="preserve">Voir document </w:t>
      </w:r>
      <w:hyperlink r:id="rId47" w:history="1">
        <w:r w:rsidRPr="00720D91">
          <w:rPr>
            <w:rStyle w:val="Lienhypertexte"/>
            <w:rFonts w:ascii="Arial" w:hAnsi="Arial" w:cs="Arial"/>
            <w:sz w:val="18"/>
            <w:szCs w:val="18"/>
            <w:lang w:val="fr-FR"/>
          </w:rPr>
          <w:t>CDDH(2019)22</w:t>
        </w:r>
      </w:hyperlink>
      <w:r w:rsidRPr="00720D91">
        <w:rPr>
          <w:rFonts w:ascii="Arial" w:hAnsi="Arial" w:cs="Arial"/>
          <w:sz w:val="18"/>
          <w:szCs w:val="18"/>
          <w:lang w:val="fr-FR"/>
        </w:rPr>
        <w:t xml:space="preserve">, § 10. </w:t>
      </w:r>
    </w:p>
  </w:footnote>
  <w:footnote w:id="45">
    <w:p w14:paraId="6523A854" w14:textId="77777777" w:rsidR="00D86968" w:rsidRPr="00720D91" w:rsidRDefault="00D86968" w:rsidP="00720D91">
      <w:pPr>
        <w:pStyle w:val="SingleTxtG"/>
        <w:spacing w:after="0" w:line="180" w:lineRule="exact"/>
        <w:ind w:left="0"/>
        <w:rPr>
          <w:rFonts w:ascii="Arial" w:hAnsi="Arial" w:cs="Arial"/>
          <w:sz w:val="18"/>
          <w:szCs w:val="18"/>
          <w:lang w:val="fr-FR"/>
        </w:rPr>
      </w:pPr>
      <w:r w:rsidRPr="00560F13">
        <w:rPr>
          <w:rStyle w:val="Appelnotedebasdep"/>
          <w:rFonts w:ascii="Arial" w:hAnsi="Arial" w:cs="Arial"/>
          <w:sz w:val="18"/>
          <w:szCs w:val="18"/>
        </w:rPr>
        <w:footnoteRef/>
      </w:r>
      <w:r w:rsidRPr="00720D91">
        <w:rPr>
          <w:rFonts w:ascii="Arial" w:hAnsi="Arial" w:cs="Arial"/>
          <w:sz w:val="18"/>
          <w:szCs w:val="18"/>
          <w:lang w:val="fr-FR"/>
        </w:rPr>
        <w:t xml:space="preserve"> Voir document </w:t>
      </w:r>
      <w:hyperlink r:id="rId48" w:history="1">
        <w:r w:rsidRPr="00720D91">
          <w:rPr>
            <w:rStyle w:val="Lienhypertexte"/>
            <w:rFonts w:ascii="Arial" w:eastAsiaTheme="minorHAnsi" w:hAnsi="Arial" w:cs="Arial"/>
            <w:sz w:val="18"/>
            <w:szCs w:val="18"/>
            <w:lang w:val="fr-FR" w:eastAsia="en-US"/>
          </w:rPr>
          <w:t>DD(2020)34E</w:t>
        </w:r>
      </w:hyperlink>
      <w:r w:rsidRPr="00720D91">
        <w:rPr>
          <w:rStyle w:val="Lienhypertexte"/>
          <w:rFonts w:ascii="Arial" w:eastAsiaTheme="minorHAnsi" w:hAnsi="Arial" w:cs="Arial"/>
          <w:sz w:val="18"/>
          <w:szCs w:val="18"/>
          <w:lang w:val="fr-FR" w:eastAsia="en-US"/>
        </w:rPr>
        <w:t>, § 18.</w:t>
      </w:r>
    </w:p>
  </w:footnote>
  <w:footnote w:id="46">
    <w:p w14:paraId="23FD95F4" w14:textId="77777777" w:rsidR="00D86968" w:rsidRPr="00720D91" w:rsidRDefault="00D86968" w:rsidP="00720D91">
      <w:pPr>
        <w:pStyle w:val="Notedebasdepage"/>
        <w:rPr>
          <w:lang w:val="fr-FR"/>
        </w:rPr>
      </w:pPr>
      <w:r>
        <w:rPr>
          <w:rStyle w:val="Appelnotedebasdep"/>
        </w:rPr>
        <w:footnoteRef/>
      </w:r>
      <w:r w:rsidRPr="00720D91">
        <w:rPr>
          <w:lang w:val="fr-FR"/>
        </w:rPr>
        <w:t xml:space="preserve"> </w:t>
      </w:r>
      <w:r w:rsidRPr="00720D91">
        <w:rPr>
          <w:rFonts w:ascii="Arial" w:hAnsi="Arial" w:cs="Arial"/>
          <w:iCs/>
          <w:sz w:val="18"/>
          <w:szCs w:val="18"/>
          <w:lang w:val="fr-FR"/>
        </w:rPr>
        <w:t>Géorgie c. Russie (II), n°</w:t>
      </w:r>
      <w:hyperlink r:id="rId49" w:history="1">
        <w:r w:rsidRPr="00720D91">
          <w:rPr>
            <w:rStyle w:val="Lienhypertexte"/>
            <w:rFonts w:ascii="Arial" w:hAnsi="Arial" w:cs="Arial"/>
            <w:iCs/>
            <w:sz w:val="18"/>
            <w:szCs w:val="18"/>
            <w:lang w:val="fr-FR"/>
          </w:rPr>
          <w:t>38263/08</w:t>
        </w:r>
      </w:hyperlink>
      <w:r w:rsidRPr="00720D91">
        <w:rPr>
          <w:rFonts w:ascii="Arial" w:hAnsi="Arial" w:cs="Arial"/>
          <w:iCs/>
          <w:sz w:val="18"/>
          <w:szCs w:val="18"/>
          <w:lang w:val="fr-FR"/>
        </w:rPr>
        <w:t xml:space="preserve">, 21 janvier 2021 ; Géorgie c. Russie (III), déc, n° </w:t>
      </w:r>
      <w:hyperlink r:id="rId50" w:history="1">
        <w:r w:rsidRPr="00720D91">
          <w:rPr>
            <w:rStyle w:val="Lienhypertexte"/>
            <w:rFonts w:ascii="Arial" w:hAnsi="Arial" w:cs="Arial"/>
            <w:iCs/>
            <w:sz w:val="18"/>
            <w:szCs w:val="18"/>
            <w:lang w:val="fr-FR"/>
          </w:rPr>
          <w:t>61186/09,</w:t>
        </w:r>
      </w:hyperlink>
      <w:r w:rsidRPr="00720D91">
        <w:rPr>
          <w:rFonts w:ascii="Arial" w:hAnsi="Arial" w:cs="Arial"/>
          <w:iCs/>
          <w:sz w:val="18"/>
          <w:szCs w:val="18"/>
          <w:lang w:val="fr-FR"/>
        </w:rPr>
        <w:t xml:space="preserve"> 16 mars 2010 ; Ukraine c. Russie (Crimée), [GC], déc, n° </w:t>
      </w:r>
      <w:hyperlink r:id="rId51" w:history="1">
        <w:r w:rsidRPr="00720D91">
          <w:rPr>
            <w:rStyle w:val="Lienhypertexte"/>
            <w:rFonts w:ascii="Arial" w:hAnsi="Arial" w:cs="Arial"/>
            <w:iCs/>
            <w:sz w:val="18"/>
            <w:szCs w:val="18"/>
            <w:lang w:val="fr-FR"/>
          </w:rPr>
          <w:t>20958/14</w:t>
        </w:r>
      </w:hyperlink>
      <w:r w:rsidRPr="00720D91">
        <w:rPr>
          <w:rFonts w:ascii="Arial" w:hAnsi="Arial" w:cs="Arial"/>
          <w:iCs/>
          <w:sz w:val="18"/>
          <w:szCs w:val="18"/>
          <w:lang w:val="fr-FR"/>
        </w:rPr>
        <w:t xml:space="preserve"> et 38334/18, 16 décembre 2020 ; Ukraine c. Russie (III), déc, n° </w:t>
      </w:r>
      <w:hyperlink r:id="rId52" w:history="1">
        <w:r w:rsidRPr="00720D91">
          <w:rPr>
            <w:rStyle w:val="Lienhypertexte"/>
            <w:rFonts w:ascii="Arial" w:hAnsi="Arial" w:cs="Arial"/>
            <w:iCs/>
            <w:sz w:val="18"/>
            <w:szCs w:val="18"/>
            <w:lang w:val="fr-FR"/>
          </w:rPr>
          <w:t>49537/14</w:t>
        </w:r>
      </w:hyperlink>
      <w:r w:rsidRPr="00720D91">
        <w:rPr>
          <w:rFonts w:ascii="Arial" w:hAnsi="Arial" w:cs="Arial"/>
          <w:iCs/>
          <w:sz w:val="18"/>
          <w:szCs w:val="18"/>
          <w:lang w:val="fr-FR"/>
        </w:rPr>
        <w:t xml:space="preserve">, 1 septembre 2015 ; Ukraine c. Russie (VIII), n° 55855/18, introduite le </w:t>
      </w:r>
      <w:r w:rsidRPr="00720D91">
        <w:rPr>
          <w:rFonts w:ascii="Arial" w:hAnsi="Arial" w:cs="Arial"/>
          <w:sz w:val="18"/>
          <w:szCs w:val="18"/>
          <w:lang w:val="fr-FR"/>
        </w:rPr>
        <w:t>29 novembre 2018 ;</w:t>
      </w:r>
      <w:r w:rsidRPr="00720D91">
        <w:rPr>
          <w:rFonts w:ascii="Arial" w:hAnsi="Arial" w:cs="Arial"/>
          <w:iCs/>
          <w:sz w:val="18"/>
          <w:szCs w:val="18"/>
          <w:lang w:val="fr-FR"/>
        </w:rPr>
        <w:t xml:space="preserve"> Arménie c. Azerbaïdjan, n° 42521/20, introduite le 27 septembre 2020 ; Arménie c. Turquie, n° 43517/20, introduite le 4 octobre 2020 ; Azerbaïdjan c. Arménie, n° 47319/20, introduite le 27 octobre 2020.</w:t>
      </w:r>
    </w:p>
  </w:footnote>
  <w:footnote w:id="47">
    <w:p w14:paraId="526E79A5" w14:textId="77777777" w:rsidR="00D86968" w:rsidRPr="00FE6712" w:rsidRDefault="00D86968" w:rsidP="00720D91">
      <w:pPr>
        <w:jc w:val="both"/>
        <w:rPr>
          <w:rFonts w:ascii="Arial" w:hAnsi="Arial" w:cs="Arial"/>
        </w:rPr>
      </w:pPr>
      <w:r w:rsidRPr="00FE6712">
        <w:rPr>
          <w:rStyle w:val="Appelnotedebasdep"/>
          <w:rFonts w:ascii="Arial" w:hAnsi="Arial" w:cs="Arial"/>
          <w:sz w:val="18"/>
          <w:szCs w:val="18"/>
        </w:rPr>
        <w:footnoteRef/>
      </w:r>
      <w:r w:rsidRPr="00FE6712">
        <w:rPr>
          <w:rFonts w:ascii="Arial" w:hAnsi="Arial" w:cs="Arial"/>
          <w:sz w:val="18"/>
          <w:szCs w:val="18"/>
        </w:rPr>
        <w:t xml:space="preserve"> Le délai de quatre mois a été introduit par le Protocole n°15 qui est entré en vigueur le 1</w:t>
      </w:r>
      <w:r w:rsidRPr="00FE6712">
        <w:rPr>
          <w:rFonts w:ascii="Arial" w:hAnsi="Arial" w:cs="Arial"/>
          <w:sz w:val="18"/>
          <w:szCs w:val="18"/>
          <w:vertAlign w:val="superscript"/>
        </w:rPr>
        <w:t>er</w:t>
      </w:r>
      <w:r w:rsidRPr="00FE6712">
        <w:rPr>
          <w:rFonts w:ascii="Arial" w:hAnsi="Arial" w:cs="Arial"/>
          <w:sz w:val="18"/>
          <w:szCs w:val="18"/>
        </w:rPr>
        <w:t xml:space="preserve"> aout 2021. Selon l’article 8, paragraphe 3, du Protocole n°15  cette disposition  entrera en vigueur à l’expiration d’une période de six mois après la date d’entrée en vigueur du présent Protocole. </w:t>
      </w:r>
    </w:p>
  </w:footnote>
  <w:footnote w:id="48">
    <w:p w14:paraId="733D9E22" w14:textId="77777777" w:rsidR="00D86968" w:rsidRPr="00720D91" w:rsidRDefault="00D86968" w:rsidP="00720D91">
      <w:pPr>
        <w:pStyle w:val="Notedebasdepage"/>
        <w:jc w:val="both"/>
        <w:rPr>
          <w:rFonts w:ascii="Arial" w:hAnsi="Arial" w:cs="Arial"/>
          <w:color w:val="FF0000"/>
          <w:sz w:val="18"/>
          <w:szCs w:val="18"/>
          <w:lang w:val="fr-FR"/>
        </w:rPr>
      </w:pPr>
      <w:r w:rsidRPr="00034695">
        <w:rPr>
          <w:rStyle w:val="Appelnotedebasdep"/>
        </w:rPr>
        <w:footnoteRef/>
      </w:r>
      <w:r w:rsidRPr="00720D91">
        <w:rPr>
          <w:rFonts w:ascii="Arial" w:hAnsi="Arial" w:cs="Arial"/>
          <w:sz w:val="18"/>
          <w:szCs w:val="18"/>
          <w:lang w:val="fr-FR"/>
        </w:rPr>
        <w:t xml:space="preserve"> </w:t>
      </w:r>
      <w:hyperlink r:id="rId53" w:anchor="{%22itemid%22:[%22001-62064%22]}" w:history="1">
        <w:r w:rsidRPr="00720D91">
          <w:rPr>
            <w:rStyle w:val="Lienhypertexte"/>
            <w:rFonts w:ascii="Arial" w:hAnsi="Arial" w:cs="Arial"/>
            <w:i/>
            <w:color w:val="auto"/>
            <w:sz w:val="18"/>
            <w:szCs w:val="18"/>
            <w:lang w:val="fr-FR"/>
          </w:rPr>
          <w:t>Irlande c. Royaume-Uni</w:t>
        </w:r>
      </w:hyperlink>
      <w:r w:rsidRPr="00720D91">
        <w:rPr>
          <w:rFonts w:ascii="Arial" w:hAnsi="Arial" w:cs="Arial"/>
          <w:sz w:val="18"/>
          <w:szCs w:val="18"/>
          <w:lang w:val="fr-FR"/>
        </w:rPr>
        <w:t xml:space="preserve">, n° 5310/71, § 159, 18 janvier 1978 ; </w:t>
      </w:r>
      <w:hyperlink r:id="rId54" w:history="1">
        <w:r w:rsidRPr="00720D91">
          <w:rPr>
            <w:rStyle w:val="Lienhypertexte"/>
            <w:rFonts w:ascii="Arial" w:hAnsi="Arial" w:cs="Arial"/>
            <w:i/>
            <w:iCs/>
            <w:color w:val="auto"/>
            <w:sz w:val="18"/>
            <w:szCs w:val="18"/>
            <w:lang w:val="fr-FR"/>
          </w:rPr>
          <w:t xml:space="preserve">Ukraine c. Russie </w:t>
        </w:r>
      </w:hyperlink>
      <w:r w:rsidRPr="00720D91">
        <w:rPr>
          <w:rFonts w:ascii="Arial" w:hAnsi="Arial" w:cs="Arial"/>
          <w:i/>
          <w:iCs/>
          <w:sz w:val="18"/>
          <w:szCs w:val="18"/>
          <w:lang w:val="fr-FR"/>
        </w:rPr>
        <w:t>(déc) [GC]</w:t>
      </w:r>
      <w:r w:rsidRPr="00720D91">
        <w:rPr>
          <w:rFonts w:ascii="Arial" w:hAnsi="Arial" w:cs="Arial"/>
          <w:sz w:val="18"/>
          <w:szCs w:val="18"/>
          <w:lang w:val="fr-FR"/>
        </w:rPr>
        <w:t>, nos 20958/14 et 38334/18, § 363, 16 décembre 2020.</w:t>
      </w:r>
    </w:p>
  </w:footnote>
  <w:footnote w:id="49">
    <w:p w14:paraId="1DE86D79" w14:textId="77777777" w:rsidR="00D86968" w:rsidRPr="00720D91" w:rsidRDefault="00D86968" w:rsidP="00720D91">
      <w:pPr>
        <w:pStyle w:val="Notedebasdepage"/>
        <w:rPr>
          <w:rFonts w:ascii="Arial" w:hAnsi="Arial" w:cs="Arial"/>
          <w:sz w:val="18"/>
          <w:szCs w:val="18"/>
          <w:lang w:val="fr-FR"/>
        </w:rPr>
      </w:pPr>
      <w:r w:rsidRPr="002D305B">
        <w:rPr>
          <w:rStyle w:val="Appelnotedebasdep"/>
          <w:rFonts w:ascii="Arial" w:hAnsi="Arial" w:cs="Arial"/>
          <w:sz w:val="18"/>
          <w:szCs w:val="18"/>
        </w:rPr>
        <w:footnoteRef/>
      </w:r>
      <w:hyperlink r:id="rId55" w:anchor="{%22itemid%22:[%22001-64012%22]}" w:history="1">
        <w:r w:rsidRPr="00720D91">
          <w:rPr>
            <w:rStyle w:val="Lienhypertexte"/>
            <w:rFonts w:ascii="Arial" w:hAnsi="Arial" w:cs="Arial"/>
            <w:i/>
            <w:iCs/>
            <w:sz w:val="18"/>
            <w:szCs w:val="18"/>
            <w:lang w:val="fr-FR"/>
          </w:rPr>
          <w:t xml:space="preserve"> Chypre c. Turquie (fond) [GC]</w:t>
        </w:r>
      </w:hyperlink>
      <w:r w:rsidRPr="00720D91">
        <w:rPr>
          <w:rFonts w:ascii="Arial" w:hAnsi="Arial" w:cs="Arial"/>
          <w:sz w:val="18"/>
          <w:szCs w:val="18"/>
          <w:lang w:val="fr-FR"/>
        </w:rPr>
        <w:t xml:space="preserve">, n° 25781/94, § 99, 10 mai 2001. </w:t>
      </w:r>
    </w:p>
  </w:footnote>
  <w:footnote w:id="50">
    <w:p w14:paraId="78BC7CD1" w14:textId="77777777" w:rsidR="00D86968" w:rsidRPr="00034695" w:rsidRDefault="00D86968" w:rsidP="00720D91">
      <w:pPr>
        <w:pStyle w:val="Sansinterligne"/>
        <w:shd w:val="clear" w:color="auto" w:fill="FFFFFF" w:themeFill="background1"/>
        <w:jc w:val="both"/>
        <w:rPr>
          <w:rFonts w:asciiTheme="minorBidi" w:hAnsiTheme="minorBidi"/>
        </w:rPr>
      </w:pPr>
      <w:r w:rsidRPr="00034695">
        <w:rPr>
          <w:rStyle w:val="Appelnotedebasdep"/>
          <w:rFonts w:ascii="Arial" w:hAnsi="Arial" w:cs="Arial"/>
          <w:sz w:val="18"/>
          <w:szCs w:val="18"/>
        </w:rPr>
        <w:footnoteRef/>
      </w:r>
      <w:r w:rsidRPr="00034695">
        <w:rPr>
          <w:rFonts w:ascii="Arial" w:hAnsi="Arial" w:cs="Arial"/>
          <w:sz w:val="18"/>
          <w:szCs w:val="18"/>
        </w:rPr>
        <w:t xml:space="preserve"> </w:t>
      </w:r>
      <w:hyperlink r:id="rId56" w:anchor="{%22itemid%22:[%22001-62064%22]}" w:history="1">
        <w:r w:rsidRPr="00034695">
          <w:rPr>
            <w:rStyle w:val="Lienhypertexte"/>
            <w:rFonts w:ascii="Arial" w:eastAsiaTheme="majorEastAsia" w:hAnsi="Arial" w:cs="Arial"/>
            <w:i/>
            <w:color w:val="auto"/>
            <w:sz w:val="18"/>
            <w:szCs w:val="18"/>
          </w:rPr>
          <w:t>Irlande c. Royaume-Uni</w:t>
        </w:r>
      </w:hyperlink>
      <w:r w:rsidRPr="00034695">
        <w:rPr>
          <w:rFonts w:ascii="Arial" w:hAnsi="Arial" w:cs="Arial"/>
          <w:sz w:val="18"/>
          <w:szCs w:val="18"/>
        </w:rPr>
        <w:t xml:space="preserve">, n° 5310/71, § 159, 18 janvier 1978 ; </w:t>
      </w:r>
      <w:hyperlink r:id="rId57" w:anchor="{%22itemid%22:[%22001-64012%22]}" w:history="1">
        <w:r w:rsidRPr="00034695">
          <w:rPr>
            <w:rStyle w:val="Lienhypertexte"/>
            <w:rFonts w:ascii="Arial" w:eastAsiaTheme="majorEastAsia" w:hAnsi="Arial" w:cs="Arial"/>
            <w:i/>
            <w:iCs/>
            <w:color w:val="auto"/>
            <w:sz w:val="18"/>
            <w:szCs w:val="18"/>
          </w:rPr>
          <w:t>Chypre c. Turquie (fond) [GC]</w:t>
        </w:r>
      </w:hyperlink>
      <w:r w:rsidRPr="00034695">
        <w:rPr>
          <w:rFonts w:ascii="Arial" w:hAnsi="Arial" w:cs="Arial"/>
          <w:sz w:val="18"/>
          <w:szCs w:val="18"/>
        </w:rPr>
        <w:t xml:space="preserve">, n° 25781/94, § 99, 10 mai 2001 ; </w:t>
      </w:r>
      <w:hyperlink r:id="rId58" w:history="1">
        <w:r w:rsidRPr="00034695">
          <w:rPr>
            <w:rStyle w:val="Lienhypertexte"/>
            <w:rFonts w:ascii="Arial" w:eastAsiaTheme="majorEastAsia" w:hAnsi="Arial" w:cs="Arial"/>
            <w:i/>
            <w:iCs/>
            <w:color w:val="auto"/>
            <w:sz w:val="18"/>
            <w:szCs w:val="18"/>
          </w:rPr>
          <w:t>Géorgie c. Russie (I) [GC]</w:t>
        </w:r>
      </w:hyperlink>
      <w:r w:rsidRPr="00034695">
        <w:rPr>
          <w:rFonts w:ascii="Arial" w:hAnsi="Arial" w:cs="Arial"/>
          <w:sz w:val="18"/>
          <w:szCs w:val="18"/>
        </w:rPr>
        <w:t>, n° 13255/07, 3 juillet 2014</w:t>
      </w:r>
      <w:r w:rsidRPr="00034695">
        <w:rPr>
          <w:rFonts w:asciiTheme="minorBidi" w:hAnsiTheme="minorBidi"/>
          <w:sz w:val="18"/>
          <w:szCs w:val="18"/>
        </w:rPr>
        <w:t xml:space="preserve">, §. 125 ; </w:t>
      </w:r>
      <w:hyperlink r:id="rId59" w:history="1">
        <w:r w:rsidRPr="002B739A">
          <w:rPr>
            <w:rFonts w:asciiTheme="minorBidi" w:hAnsiTheme="minorBidi"/>
            <w:sz w:val="18"/>
            <w:szCs w:val="18"/>
            <w:u w:val="single"/>
          </w:rPr>
          <w:t>Ukraine c. Russie</w:t>
        </w:r>
        <w:r w:rsidRPr="002B739A">
          <w:rPr>
            <w:rFonts w:asciiTheme="minorBidi" w:hAnsiTheme="minorBidi"/>
            <w:sz w:val="18"/>
            <w:szCs w:val="18"/>
          </w:rPr>
          <w:t xml:space="preserve"> </w:t>
        </w:r>
      </w:hyperlink>
      <w:r w:rsidRPr="00034695">
        <w:rPr>
          <w:rFonts w:asciiTheme="minorBidi" w:hAnsiTheme="minorBidi"/>
          <w:sz w:val="18"/>
          <w:szCs w:val="18"/>
        </w:rPr>
        <w:t>(déc) [GC], n° 20958/14 et 38334/18, § 363, 16 décembre 2020.</w:t>
      </w:r>
    </w:p>
  </w:footnote>
  <w:footnote w:id="51">
    <w:p w14:paraId="720D512A" w14:textId="77777777" w:rsidR="00D86968" w:rsidRPr="00034695" w:rsidRDefault="00D86968" w:rsidP="00720D91">
      <w:pPr>
        <w:pStyle w:val="Sansinterligne"/>
        <w:jc w:val="both"/>
        <w:rPr>
          <w:rFonts w:ascii="Arial" w:hAnsi="Arial" w:cs="Arial"/>
          <w:strike/>
          <w:sz w:val="18"/>
          <w:szCs w:val="18"/>
        </w:rPr>
      </w:pPr>
      <w:r w:rsidRPr="00034695">
        <w:rPr>
          <w:rStyle w:val="Appelnotedebasdep"/>
          <w:rFonts w:ascii="Arial" w:hAnsi="Arial" w:cs="Arial"/>
          <w:sz w:val="18"/>
          <w:szCs w:val="18"/>
        </w:rPr>
        <w:footnoteRef/>
      </w:r>
      <w:r w:rsidRPr="00034695">
        <w:rPr>
          <w:rFonts w:ascii="Arial" w:hAnsi="Arial" w:cs="Arial"/>
          <w:sz w:val="18"/>
          <w:szCs w:val="18"/>
        </w:rPr>
        <w:t xml:space="preserve"> </w:t>
      </w:r>
      <w:hyperlink r:id="rId60" w:history="1">
        <w:r w:rsidRPr="00034695">
          <w:rPr>
            <w:rStyle w:val="Lienhypertexte"/>
            <w:rFonts w:ascii="Arial" w:eastAsiaTheme="majorEastAsia" w:hAnsi="Arial" w:cs="Arial"/>
            <w:i/>
            <w:color w:val="auto"/>
            <w:sz w:val="18"/>
            <w:szCs w:val="18"/>
          </w:rPr>
          <w:t>Irlande c. Royaume-Uni</w:t>
        </w:r>
      </w:hyperlink>
      <w:r w:rsidRPr="00034695">
        <w:rPr>
          <w:rFonts w:ascii="Arial" w:hAnsi="Arial" w:cs="Arial"/>
          <w:sz w:val="18"/>
          <w:szCs w:val="18"/>
        </w:rPr>
        <w:t xml:space="preserve">, n° 5310/71, § 159, 18 janvier 1978 ; </w:t>
      </w:r>
      <w:hyperlink r:id="rId61" w:history="1">
        <w:r w:rsidRPr="00034695">
          <w:rPr>
            <w:rStyle w:val="Lienhypertexte"/>
            <w:rFonts w:ascii="Arial" w:eastAsiaTheme="majorEastAsia" w:hAnsi="Arial" w:cs="Arial"/>
            <w:i/>
            <w:iCs/>
            <w:color w:val="auto"/>
            <w:sz w:val="18"/>
            <w:szCs w:val="18"/>
          </w:rPr>
          <w:t>Chypre c. Turquie (fond) [GC]</w:t>
        </w:r>
      </w:hyperlink>
      <w:r w:rsidRPr="00034695">
        <w:rPr>
          <w:rFonts w:ascii="Arial" w:hAnsi="Arial" w:cs="Arial"/>
          <w:sz w:val="18"/>
          <w:szCs w:val="18"/>
        </w:rPr>
        <w:t xml:space="preserve">, n° 25781/94, § 99, 10 mai 2001 ; </w:t>
      </w:r>
      <w:hyperlink r:id="rId62" w:history="1">
        <w:r w:rsidRPr="00034695">
          <w:rPr>
            <w:rStyle w:val="Lienhypertexte"/>
            <w:rFonts w:ascii="Arial" w:eastAsiaTheme="majorEastAsia" w:hAnsi="Arial" w:cs="Arial"/>
            <w:i/>
            <w:iCs/>
            <w:color w:val="auto"/>
            <w:sz w:val="18"/>
            <w:szCs w:val="18"/>
          </w:rPr>
          <w:t>Géorgie c. Russie (I) [GC]</w:t>
        </w:r>
      </w:hyperlink>
      <w:r w:rsidRPr="00034695">
        <w:rPr>
          <w:rFonts w:ascii="Arial" w:hAnsi="Arial" w:cs="Arial"/>
          <w:sz w:val="18"/>
          <w:szCs w:val="18"/>
        </w:rPr>
        <w:t>, no.13255/07, 3 juillet 2014, §. 125.</w:t>
      </w:r>
      <w:r w:rsidRPr="00034695">
        <w:rPr>
          <w:rFonts w:ascii="Arial" w:hAnsi="Arial" w:cs="Arial"/>
          <w:strike/>
          <w:sz w:val="18"/>
          <w:szCs w:val="18"/>
        </w:rPr>
        <w:t xml:space="preserve"> </w:t>
      </w:r>
    </w:p>
  </w:footnote>
  <w:footnote w:id="52">
    <w:p w14:paraId="03EFA030" w14:textId="77777777" w:rsidR="00D86968" w:rsidRPr="002D305B" w:rsidRDefault="00D86968" w:rsidP="00720D91">
      <w:pPr>
        <w:pStyle w:val="Sansinterligne"/>
        <w:jc w:val="both"/>
        <w:rPr>
          <w:rFonts w:ascii="Arial" w:hAnsi="Arial" w:cs="Arial"/>
          <w:sz w:val="18"/>
          <w:szCs w:val="18"/>
        </w:rPr>
      </w:pPr>
      <w:r w:rsidRPr="002D305B">
        <w:rPr>
          <w:rStyle w:val="Appelnotedebasdep"/>
          <w:rFonts w:ascii="Arial" w:hAnsi="Arial" w:cs="Arial"/>
          <w:sz w:val="18"/>
          <w:szCs w:val="18"/>
        </w:rPr>
        <w:footnoteRef/>
      </w:r>
      <w:r w:rsidRPr="002D305B">
        <w:rPr>
          <w:rStyle w:val="column"/>
          <w:rFonts w:ascii="Arial" w:eastAsiaTheme="majorEastAsia" w:hAnsi="Arial" w:cs="Arial"/>
          <w:sz w:val="18"/>
          <w:szCs w:val="18"/>
        </w:rPr>
        <w:t xml:space="preserve"> </w:t>
      </w:r>
      <w:hyperlink r:id="rId63" w:history="1">
        <w:r w:rsidRPr="002D305B">
          <w:rPr>
            <w:rStyle w:val="Lienhypertexte"/>
            <w:rFonts w:ascii="Arial" w:eastAsiaTheme="majorEastAsia" w:hAnsi="Arial" w:cs="Arial"/>
            <w:i/>
            <w:sz w:val="18"/>
            <w:szCs w:val="18"/>
          </w:rPr>
          <w:t>Donnelly et autres c. Royaume-Uni</w:t>
        </w:r>
      </w:hyperlink>
      <w:r w:rsidRPr="002D305B">
        <w:rPr>
          <w:rFonts w:ascii="Arial" w:hAnsi="Arial" w:cs="Arial"/>
          <w:sz w:val="18"/>
          <w:szCs w:val="18"/>
        </w:rPr>
        <w:t xml:space="preserve">, nos </w:t>
      </w:r>
      <w:r w:rsidRPr="002D305B">
        <w:rPr>
          <w:rStyle w:val="column"/>
          <w:rFonts w:ascii="Arial" w:eastAsiaTheme="majorEastAsia" w:hAnsi="Arial" w:cs="Arial"/>
          <w:sz w:val="18"/>
          <w:szCs w:val="18"/>
        </w:rPr>
        <w:t xml:space="preserve">5577-83/72, deuxième décision sur la recevabilité, </w:t>
      </w:r>
      <w:r w:rsidRPr="002D305B">
        <w:rPr>
          <w:rFonts w:ascii="Arial" w:hAnsi="Arial" w:cs="Arial"/>
          <w:sz w:val="18"/>
          <w:szCs w:val="18"/>
        </w:rPr>
        <w:t xml:space="preserve">§ 3, </w:t>
      </w:r>
      <w:r w:rsidRPr="002D305B">
        <w:rPr>
          <w:rStyle w:val="column"/>
          <w:rFonts w:ascii="Arial" w:eastAsiaTheme="majorEastAsia" w:hAnsi="Arial" w:cs="Arial"/>
          <w:sz w:val="18"/>
          <w:szCs w:val="18"/>
        </w:rPr>
        <w:t xml:space="preserve">15 décembre 1975 ; </w:t>
      </w:r>
      <w:hyperlink r:id="rId64" w:anchor="{%22itemid%22:[%22001-62621%22]}" w:history="1">
        <w:r w:rsidRPr="002D305B">
          <w:rPr>
            <w:rStyle w:val="Lienhypertexte"/>
            <w:rFonts w:ascii="Arial" w:eastAsiaTheme="majorEastAsia" w:hAnsi="Arial" w:cs="Arial"/>
            <w:i/>
            <w:sz w:val="18"/>
            <w:szCs w:val="18"/>
          </w:rPr>
          <w:t xml:space="preserve">Akdivar et autres c. Turquie </w:t>
        </w:r>
      </w:hyperlink>
      <w:r w:rsidRPr="002D305B">
        <w:rPr>
          <w:rStyle w:val="column"/>
          <w:rFonts w:ascii="Arial" w:eastAsiaTheme="majorEastAsia" w:hAnsi="Arial" w:cs="Arial"/>
          <w:sz w:val="18"/>
          <w:szCs w:val="18"/>
        </w:rPr>
        <w:t>n</w:t>
      </w:r>
      <w:r>
        <w:rPr>
          <w:rStyle w:val="column"/>
          <w:rFonts w:ascii="Arial" w:eastAsiaTheme="majorEastAsia" w:hAnsi="Arial" w:cs="Arial"/>
          <w:sz w:val="18"/>
          <w:szCs w:val="18"/>
        </w:rPr>
        <w:t xml:space="preserve">° </w:t>
      </w:r>
      <w:r w:rsidRPr="002D305B">
        <w:rPr>
          <w:rStyle w:val="column"/>
          <w:rFonts w:ascii="Arial" w:eastAsiaTheme="majorEastAsia" w:hAnsi="Arial" w:cs="Arial"/>
          <w:color w:val="000000"/>
          <w:sz w:val="18"/>
          <w:szCs w:val="18"/>
        </w:rPr>
        <w:t>21893/93</w:t>
      </w:r>
      <w:r w:rsidRPr="002D305B">
        <w:rPr>
          <w:rFonts w:ascii="Arial" w:hAnsi="Arial" w:cs="Arial"/>
          <w:color w:val="000000"/>
          <w:sz w:val="18"/>
          <w:szCs w:val="18"/>
        </w:rPr>
        <w:t xml:space="preserve">, </w:t>
      </w:r>
      <w:r w:rsidRPr="002D305B">
        <w:rPr>
          <w:rFonts w:ascii="Arial" w:hAnsi="Arial" w:cs="Arial"/>
          <w:sz w:val="18"/>
          <w:szCs w:val="18"/>
        </w:rPr>
        <w:t>§ 67 et 68</w:t>
      </w:r>
      <w:r w:rsidRPr="002D305B">
        <w:rPr>
          <w:rFonts w:ascii="Arial" w:hAnsi="Arial" w:cs="Arial"/>
          <w:color w:val="000000"/>
          <w:sz w:val="18"/>
          <w:szCs w:val="18"/>
        </w:rPr>
        <w:t xml:space="preserve">, 16 octobre 1996 ; </w:t>
      </w:r>
      <w:hyperlink r:id="rId65" w:anchor="{%22itemid%22:[%22001-62563%22]}" w:history="1">
        <w:r w:rsidRPr="002D305B">
          <w:rPr>
            <w:rStyle w:val="Lienhypertexte"/>
            <w:rFonts w:ascii="Arial" w:eastAsiaTheme="majorEastAsia" w:hAnsi="Arial" w:cs="Arial"/>
            <w:i/>
            <w:iCs/>
            <w:sz w:val="18"/>
            <w:szCs w:val="18"/>
          </w:rPr>
          <w:t xml:space="preserve">Aksoy c. Turquie </w:t>
        </w:r>
      </w:hyperlink>
      <w:r w:rsidRPr="002D305B">
        <w:rPr>
          <w:rFonts w:ascii="Arial" w:hAnsi="Arial" w:cs="Arial"/>
          <w:sz w:val="18"/>
          <w:szCs w:val="18"/>
        </w:rPr>
        <w:t>n</w:t>
      </w:r>
      <w:r>
        <w:rPr>
          <w:rFonts w:ascii="Arial" w:hAnsi="Arial" w:cs="Arial"/>
          <w:sz w:val="18"/>
          <w:szCs w:val="18"/>
        </w:rPr>
        <w:t>°</w:t>
      </w:r>
      <w:r w:rsidRPr="002D305B">
        <w:rPr>
          <w:rFonts w:ascii="Arial" w:hAnsi="Arial" w:cs="Arial"/>
          <w:sz w:val="18"/>
          <w:szCs w:val="18"/>
        </w:rPr>
        <w:t xml:space="preserve"> </w:t>
      </w:r>
      <w:r w:rsidRPr="002D305B">
        <w:rPr>
          <w:rStyle w:val="column"/>
          <w:rFonts w:ascii="Arial" w:eastAsiaTheme="majorEastAsia" w:hAnsi="Arial" w:cs="Arial"/>
          <w:sz w:val="18"/>
          <w:szCs w:val="18"/>
        </w:rPr>
        <w:t>21987/93</w:t>
      </w:r>
      <w:r w:rsidRPr="002D305B">
        <w:rPr>
          <w:rFonts w:ascii="Arial" w:hAnsi="Arial" w:cs="Arial"/>
          <w:sz w:val="18"/>
          <w:szCs w:val="18"/>
        </w:rPr>
        <w:t>, § 52, 18 décembre 1996.</w:t>
      </w:r>
    </w:p>
  </w:footnote>
  <w:footnote w:id="53">
    <w:p w14:paraId="1AE10285" w14:textId="77777777" w:rsidR="00D86968" w:rsidRPr="002D305B" w:rsidRDefault="00D86968" w:rsidP="00720D91">
      <w:pPr>
        <w:pStyle w:val="Sansinterligne"/>
        <w:jc w:val="both"/>
        <w:rPr>
          <w:rFonts w:ascii="Arial" w:hAnsi="Arial" w:cs="Arial"/>
          <w:sz w:val="18"/>
          <w:szCs w:val="18"/>
        </w:rPr>
      </w:pPr>
      <w:r w:rsidRPr="002D305B">
        <w:rPr>
          <w:rStyle w:val="Appelnotedebasdep"/>
          <w:rFonts w:ascii="Arial" w:hAnsi="Arial" w:cs="Arial"/>
          <w:sz w:val="18"/>
          <w:szCs w:val="18"/>
        </w:rPr>
        <w:footnoteRef/>
      </w:r>
      <w:r w:rsidRPr="002D305B">
        <w:rPr>
          <w:rFonts w:ascii="Arial" w:hAnsi="Arial" w:cs="Arial"/>
          <w:sz w:val="18"/>
          <w:szCs w:val="18"/>
        </w:rPr>
        <w:t xml:space="preserve"> L'appréciation de l'épuisement des voies de recours internes s'effectue normalement par rapport à l'état de la procédure à la date d'introduction de la requête devant la Cour. Cette règle est toutefois assortie d'exceptions suite à la création de nouvelles voies de recours. La Cour a appliqué cette exception dans des affaires concernant la durée de la procédure (</w:t>
      </w:r>
      <w:hyperlink r:id="rId66" w:history="1">
        <w:r w:rsidRPr="002D305B">
          <w:rPr>
            <w:rStyle w:val="Lienhypertexte"/>
            <w:rFonts w:ascii="Arial" w:eastAsiaTheme="majorEastAsia" w:hAnsi="Arial" w:cs="Arial"/>
            <w:i/>
            <w:sz w:val="18"/>
            <w:szCs w:val="18"/>
          </w:rPr>
          <w:t xml:space="preserve">Predil Anstalt c. Italie </w:t>
        </w:r>
      </w:hyperlink>
      <w:r w:rsidRPr="002D305B">
        <w:rPr>
          <w:rFonts w:ascii="Arial" w:hAnsi="Arial" w:cs="Arial"/>
          <w:sz w:val="18"/>
          <w:szCs w:val="18"/>
        </w:rPr>
        <w:t>(déc.) n</w:t>
      </w:r>
      <w:r>
        <w:rPr>
          <w:rFonts w:ascii="Arial" w:hAnsi="Arial" w:cs="Arial"/>
          <w:sz w:val="18"/>
          <w:szCs w:val="18"/>
        </w:rPr>
        <w:t>°</w:t>
      </w:r>
      <w:r w:rsidRPr="002D305B">
        <w:rPr>
          <w:rFonts w:ascii="Arial" w:hAnsi="Arial" w:cs="Arial"/>
          <w:sz w:val="18"/>
          <w:szCs w:val="18"/>
        </w:rPr>
        <w:t xml:space="preserve"> 31993/96 (français uniquement) ; </w:t>
      </w:r>
      <w:hyperlink r:id="rId67" w:history="1">
        <w:r w:rsidRPr="002D305B">
          <w:rPr>
            <w:rStyle w:val="Lienhypertexte"/>
            <w:rFonts w:ascii="Arial" w:eastAsiaTheme="majorEastAsia" w:hAnsi="Arial" w:cs="Arial"/>
            <w:i/>
            <w:iCs/>
            <w:sz w:val="18"/>
            <w:szCs w:val="18"/>
          </w:rPr>
          <w:t xml:space="preserve">Bottaro c. Italie </w:t>
        </w:r>
      </w:hyperlink>
      <w:r w:rsidRPr="002D305B">
        <w:rPr>
          <w:rFonts w:ascii="Arial" w:hAnsi="Arial" w:cs="Arial"/>
          <w:sz w:val="18"/>
          <w:szCs w:val="18"/>
        </w:rPr>
        <w:t>(déc.), n</w:t>
      </w:r>
      <w:r>
        <w:rPr>
          <w:rFonts w:ascii="Arial" w:hAnsi="Arial" w:cs="Arial"/>
          <w:sz w:val="18"/>
          <w:szCs w:val="18"/>
        </w:rPr>
        <w:t>°</w:t>
      </w:r>
      <w:r w:rsidRPr="002D305B">
        <w:rPr>
          <w:rFonts w:ascii="Arial" w:hAnsi="Arial" w:cs="Arial"/>
          <w:sz w:val="18"/>
          <w:szCs w:val="18"/>
        </w:rPr>
        <w:t xml:space="preserve"> 56298/00 (français uniquement) ; </w:t>
      </w:r>
      <w:hyperlink r:id="rId68" w:history="1">
        <w:r w:rsidRPr="002D305B">
          <w:rPr>
            <w:rStyle w:val="Lienhypertexte"/>
            <w:rFonts w:ascii="Arial" w:eastAsiaTheme="majorEastAsia" w:hAnsi="Arial" w:cs="Arial"/>
            <w:i/>
            <w:iCs/>
            <w:sz w:val="18"/>
            <w:szCs w:val="18"/>
          </w:rPr>
          <w:t xml:space="preserve">Andrášik et autres c. Slovaquie </w:t>
        </w:r>
      </w:hyperlink>
      <w:r w:rsidRPr="002D305B">
        <w:rPr>
          <w:rFonts w:ascii="Arial" w:hAnsi="Arial" w:cs="Arial"/>
          <w:sz w:val="18"/>
          <w:szCs w:val="18"/>
        </w:rPr>
        <w:t>(déc.), n</w:t>
      </w:r>
      <w:r>
        <w:rPr>
          <w:rFonts w:ascii="Arial" w:hAnsi="Arial" w:cs="Arial"/>
          <w:sz w:val="18"/>
          <w:szCs w:val="18"/>
        </w:rPr>
        <w:t>°</w:t>
      </w:r>
      <w:r w:rsidRPr="002D305B">
        <w:rPr>
          <w:rFonts w:ascii="Arial" w:hAnsi="Arial" w:cs="Arial"/>
          <w:sz w:val="18"/>
          <w:szCs w:val="18"/>
        </w:rPr>
        <w:t xml:space="preserve"> 57984/00 ; </w:t>
      </w:r>
      <w:hyperlink r:id="rId69" w:history="1">
        <w:r w:rsidRPr="002D305B">
          <w:rPr>
            <w:rStyle w:val="Lienhypertexte"/>
            <w:rFonts w:ascii="Arial" w:eastAsiaTheme="majorEastAsia" w:hAnsi="Arial" w:cs="Arial"/>
            <w:i/>
            <w:iCs/>
            <w:sz w:val="18"/>
            <w:szCs w:val="18"/>
          </w:rPr>
          <w:t xml:space="preserve">Nogolica c. Croatie </w:t>
        </w:r>
      </w:hyperlink>
      <w:r w:rsidRPr="002D305B">
        <w:rPr>
          <w:rFonts w:ascii="Arial" w:hAnsi="Arial" w:cs="Arial"/>
          <w:sz w:val="18"/>
          <w:szCs w:val="18"/>
        </w:rPr>
        <w:t>(déc.), n</w:t>
      </w:r>
      <w:r>
        <w:rPr>
          <w:rFonts w:ascii="Arial" w:hAnsi="Arial" w:cs="Arial"/>
          <w:sz w:val="18"/>
          <w:szCs w:val="18"/>
        </w:rPr>
        <w:t>°</w:t>
      </w:r>
      <w:r w:rsidRPr="002D305B">
        <w:rPr>
          <w:rFonts w:ascii="Arial" w:hAnsi="Arial" w:cs="Arial"/>
          <w:sz w:val="18"/>
          <w:szCs w:val="18"/>
        </w:rPr>
        <w:t xml:space="preserve"> 77784/01 ; </w:t>
      </w:r>
      <w:hyperlink r:id="rId70" w:history="1">
        <w:r w:rsidRPr="002D305B">
          <w:rPr>
            <w:rStyle w:val="Lienhypertexte"/>
            <w:rFonts w:ascii="Arial" w:eastAsiaTheme="majorEastAsia" w:hAnsi="Arial" w:cs="Arial"/>
            <w:i/>
            <w:iCs/>
            <w:sz w:val="18"/>
            <w:szCs w:val="18"/>
          </w:rPr>
          <w:t xml:space="preserve">Brusco c. Italie </w:t>
        </w:r>
      </w:hyperlink>
      <w:r w:rsidRPr="002D305B">
        <w:rPr>
          <w:rFonts w:ascii="Arial" w:hAnsi="Arial" w:cs="Arial"/>
          <w:sz w:val="18"/>
          <w:szCs w:val="18"/>
        </w:rPr>
        <w:t>(déc.), n</w:t>
      </w:r>
      <w:r>
        <w:rPr>
          <w:rFonts w:ascii="Arial" w:hAnsi="Arial" w:cs="Arial"/>
          <w:sz w:val="18"/>
          <w:szCs w:val="18"/>
        </w:rPr>
        <w:t>°</w:t>
      </w:r>
      <w:r w:rsidRPr="002D305B">
        <w:rPr>
          <w:rFonts w:ascii="Arial" w:hAnsi="Arial" w:cs="Arial"/>
          <w:sz w:val="18"/>
          <w:szCs w:val="18"/>
        </w:rPr>
        <w:t xml:space="preserve"> 1466/07 ; </w:t>
      </w:r>
      <w:hyperlink r:id="rId71" w:history="1">
        <w:r w:rsidRPr="002D305B">
          <w:rPr>
            <w:rStyle w:val="Lienhypertexte"/>
            <w:rFonts w:ascii="Arial" w:eastAsiaTheme="majorEastAsia" w:hAnsi="Arial" w:cs="Arial"/>
            <w:i/>
            <w:iCs/>
            <w:sz w:val="18"/>
            <w:szCs w:val="18"/>
          </w:rPr>
          <w:t xml:space="preserve">Korenjak c. Slovénie </w:t>
        </w:r>
      </w:hyperlink>
      <w:r w:rsidRPr="002D305B">
        <w:rPr>
          <w:rFonts w:ascii="Arial" w:hAnsi="Arial" w:cs="Arial"/>
          <w:sz w:val="18"/>
          <w:szCs w:val="18"/>
        </w:rPr>
        <w:t xml:space="preserve">(déc.), §§ 66-71 ; </w:t>
      </w:r>
      <w:hyperlink r:id="rId72" w:history="1">
        <w:r w:rsidRPr="002D305B">
          <w:rPr>
            <w:rStyle w:val="Lienhypertexte"/>
            <w:rFonts w:ascii="Arial" w:eastAsiaTheme="majorEastAsia" w:hAnsi="Arial" w:cs="Arial"/>
            <w:i/>
            <w:iCs/>
            <w:sz w:val="18"/>
            <w:szCs w:val="18"/>
          </w:rPr>
          <w:t xml:space="preserve">Techniki Olympiaki A.E. c. Grèce </w:t>
        </w:r>
      </w:hyperlink>
      <w:r w:rsidRPr="002D305B">
        <w:rPr>
          <w:rFonts w:ascii="Arial" w:hAnsi="Arial" w:cs="Arial"/>
          <w:sz w:val="18"/>
          <w:szCs w:val="18"/>
        </w:rPr>
        <w:t>(déc.) ; dans les affaires relatives à un nouveau recours indemnitaire en cas d'ingérence dans le droit de propriété (</w:t>
      </w:r>
      <w:hyperlink r:id="rId73" w:history="1">
        <w:r w:rsidRPr="002D305B">
          <w:rPr>
            <w:rStyle w:val="Lienhypertexte"/>
            <w:rFonts w:ascii="Arial" w:eastAsiaTheme="majorEastAsia" w:hAnsi="Arial" w:cs="Arial"/>
            <w:i/>
            <w:sz w:val="18"/>
            <w:szCs w:val="18"/>
          </w:rPr>
          <w:t xml:space="preserve">Charzyński c. Pologne </w:t>
        </w:r>
      </w:hyperlink>
      <w:r w:rsidRPr="002D305B">
        <w:rPr>
          <w:rFonts w:ascii="Arial" w:hAnsi="Arial" w:cs="Arial"/>
          <w:sz w:val="18"/>
          <w:szCs w:val="18"/>
        </w:rPr>
        <w:t xml:space="preserve">(déc.) ; </w:t>
      </w:r>
      <w:hyperlink r:id="rId74" w:history="1">
        <w:r w:rsidRPr="002D305B">
          <w:rPr>
            <w:rStyle w:val="Lienhypertexte"/>
            <w:rFonts w:ascii="Arial" w:eastAsiaTheme="majorEastAsia" w:hAnsi="Arial" w:cs="Arial"/>
            <w:i/>
            <w:iCs/>
            <w:sz w:val="18"/>
            <w:szCs w:val="18"/>
          </w:rPr>
          <w:t xml:space="preserve">Michalak c. Pologne (déc.) </w:t>
        </w:r>
      </w:hyperlink>
      <w:r w:rsidRPr="002D305B">
        <w:rPr>
          <w:rFonts w:ascii="Arial" w:hAnsi="Arial" w:cs="Arial"/>
          <w:sz w:val="18"/>
          <w:szCs w:val="18"/>
        </w:rPr>
        <w:t xml:space="preserve">; </w:t>
      </w:r>
      <w:hyperlink r:id="rId75" w:history="1">
        <w:r w:rsidRPr="002D305B">
          <w:rPr>
            <w:rStyle w:val="Lienhypertexte"/>
            <w:rFonts w:ascii="Arial" w:eastAsiaTheme="majorEastAsia" w:hAnsi="Arial" w:cs="Arial"/>
            <w:i/>
            <w:iCs/>
            <w:sz w:val="18"/>
            <w:szCs w:val="18"/>
          </w:rPr>
          <w:t xml:space="preserve">Demopoulos et autres c. Turquie </w:t>
        </w:r>
      </w:hyperlink>
      <w:r w:rsidRPr="002D305B">
        <w:rPr>
          <w:rFonts w:ascii="Arial" w:hAnsi="Arial" w:cs="Arial"/>
          <w:sz w:val="18"/>
          <w:szCs w:val="18"/>
        </w:rPr>
        <w:t>(déc.) [GC]) ; dans des affaires concernant la non-exécution de décisions internes (</w:t>
      </w:r>
      <w:hyperlink r:id="rId76" w:history="1">
        <w:r w:rsidRPr="002D305B">
          <w:rPr>
            <w:rStyle w:val="Lienhypertexte"/>
            <w:rFonts w:ascii="Arial" w:eastAsiaTheme="majorEastAsia" w:hAnsi="Arial" w:cs="Arial"/>
            <w:i/>
            <w:sz w:val="18"/>
            <w:szCs w:val="18"/>
          </w:rPr>
          <w:t xml:space="preserve">Nagovitsyn et Nalgiyev c. Russie </w:t>
        </w:r>
      </w:hyperlink>
      <w:r w:rsidRPr="002D305B">
        <w:rPr>
          <w:rFonts w:ascii="Arial" w:hAnsi="Arial" w:cs="Arial"/>
          <w:sz w:val="18"/>
          <w:szCs w:val="18"/>
        </w:rPr>
        <w:t xml:space="preserve">(déc.), §§ 36-40 ; </w:t>
      </w:r>
      <w:hyperlink r:id="rId77" w:history="1">
        <w:r w:rsidRPr="002D305B">
          <w:rPr>
            <w:rStyle w:val="Lienhypertexte"/>
            <w:rFonts w:ascii="Arial" w:eastAsiaTheme="majorEastAsia" w:hAnsi="Arial" w:cs="Arial"/>
            <w:i/>
            <w:iCs/>
            <w:sz w:val="18"/>
            <w:szCs w:val="18"/>
          </w:rPr>
          <w:t xml:space="preserve">Balan c. Moldova </w:t>
        </w:r>
      </w:hyperlink>
      <w:r w:rsidRPr="002D305B">
        <w:rPr>
          <w:rFonts w:ascii="Arial" w:hAnsi="Arial" w:cs="Arial"/>
          <w:sz w:val="18"/>
          <w:szCs w:val="18"/>
        </w:rPr>
        <w:t xml:space="preserve">(déc.)) ; dans des affaires concernant la surpopulation carcérale </w:t>
      </w:r>
      <w:hyperlink r:id="rId78" w:history="1">
        <w:r w:rsidRPr="002D305B">
          <w:rPr>
            <w:rStyle w:val="Lienhypertexte"/>
            <w:rFonts w:ascii="Arial" w:eastAsiaTheme="majorEastAsia" w:hAnsi="Arial" w:cs="Arial"/>
            <w:sz w:val="18"/>
            <w:szCs w:val="18"/>
          </w:rPr>
          <w:t xml:space="preserve">(Łatak c. Pologne </w:t>
        </w:r>
      </w:hyperlink>
      <w:r w:rsidRPr="002D305B">
        <w:rPr>
          <w:rFonts w:ascii="Arial" w:hAnsi="Arial" w:cs="Arial"/>
          <w:sz w:val="18"/>
          <w:szCs w:val="18"/>
        </w:rPr>
        <w:t xml:space="preserve">(déc.) ; </w:t>
      </w:r>
      <w:hyperlink r:id="rId79" w:history="1">
        <w:r w:rsidRPr="002D305B">
          <w:rPr>
            <w:rStyle w:val="Lienhypertexte"/>
            <w:rFonts w:ascii="Arial" w:eastAsiaTheme="majorEastAsia" w:hAnsi="Arial" w:cs="Arial"/>
            <w:sz w:val="18"/>
            <w:szCs w:val="18"/>
          </w:rPr>
          <w:t xml:space="preserve">Stella et autres c. Italie </w:t>
        </w:r>
      </w:hyperlink>
      <w:r w:rsidRPr="002D305B">
        <w:rPr>
          <w:rFonts w:ascii="Arial" w:hAnsi="Arial" w:cs="Arial"/>
          <w:sz w:val="18"/>
          <w:szCs w:val="18"/>
        </w:rPr>
        <w:t>(déc.), §§ 42-45).</w:t>
      </w:r>
    </w:p>
  </w:footnote>
  <w:footnote w:id="54">
    <w:p w14:paraId="452A5AD1" w14:textId="77777777" w:rsidR="00D86968" w:rsidRPr="00720D91" w:rsidRDefault="00D86968" w:rsidP="00720D91">
      <w:pPr>
        <w:pStyle w:val="Notedebasdepage"/>
        <w:shd w:val="clear" w:color="auto" w:fill="FFFFFF" w:themeFill="background1"/>
        <w:rPr>
          <w:lang w:val="fr-FR"/>
        </w:rPr>
      </w:pPr>
      <w:r w:rsidRPr="00644BCB">
        <w:rPr>
          <w:rStyle w:val="Appelnotedebasdep"/>
          <w:shd w:val="clear" w:color="auto" w:fill="FFFFFF" w:themeFill="background1"/>
        </w:rPr>
        <w:footnoteRef/>
      </w:r>
      <w:r w:rsidRPr="00720D91">
        <w:rPr>
          <w:rFonts w:ascii="Arial" w:hAnsi="Arial" w:cs="Arial"/>
          <w:sz w:val="18"/>
          <w:szCs w:val="18"/>
          <w:shd w:val="clear" w:color="auto" w:fill="FFFFFF" w:themeFill="background1"/>
          <w:lang w:val="fr-FR"/>
        </w:rPr>
        <w:t xml:space="preserve"> </w:t>
      </w:r>
      <w:hyperlink r:id="rId80" w:history="1">
        <w:r w:rsidRPr="00720D91">
          <w:rPr>
            <w:rStyle w:val="Lienhypertexte"/>
            <w:rFonts w:ascii="Arial" w:hAnsi="Arial" w:cs="Arial"/>
            <w:i/>
            <w:iCs/>
            <w:color w:val="auto"/>
            <w:sz w:val="18"/>
            <w:szCs w:val="18"/>
            <w:shd w:val="clear" w:color="auto" w:fill="FFFFFF" w:themeFill="background1"/>
            <w:lang w:val="fr-FR"/>
          </w:rPr>
          <w:t xml:space="preserve">Ukraine c. Russie </w:t>
        </w:r>
      </w:hyperlink>
      <w:r w:rsidRPr="00720D91">
        <w:rPr>
          <w:rFonts w:ascii="Arial" w:hAnsi="Arial" w:cs="Arial"/>
          <w:i/>
          <w:iCs/>
          <w:sz w:val="18"/>
          <w:szCs w:val="18"/>
          <w:shd w:val="clear" w:color="auto" w:fill="FFFFFF" w:themeFill="background1"/>
          <w:lang w:val="fr-FR"/>
        </w:rPr>
        <w:t>(déc) [GC]</w:t>
      </w:r>
      <w:r w:rsidRPr="00720D91">
        <w:rPr>
          <w:rFonts w:ascii="Arial" w:hAnsi="Arial" w:cs="Arial"/>
          <w:sz w:val="18"/>
          <w:szCs w:val="18"/>
          <w:shd w:val="clear" w:color="auto" w:fill="FFFFFF" w:themeFill="background1"/>
          <w:lang w:val="fr-FR"/>
        </w:rPr>
        <w:t>, nos 20958/14 et 38334/18, § 260, 16 décembre 2020.</w:t>
      </w:r>
    </w:p>
  </w:footnote>
  <w:footnote w:id="55">
    <w:p w14:paraId="04EAEE1A" w14:textId="77777777" w:rsidR="00D86968" w:rsidRPr="00644BCB" w:rsidRDefault="00D86968" w:rsidP="00720D91">
      <w:pPr>
        <w:pStyle w:val="Sansinterligne"/>
        <w:shd w:val="clear" w:color="auto" w:fill="FFFFFF" w:themeFill="background1"/>
        <w:jc w:val="both"/>
        <w:rPr>
          <w:rFonts w:ascii="Arial" w:hAnsi="Arial" w:cs="Arial"/>
          <w:sz w:val="18"/>
          <w:szCs w:val="18"/>
        </w:rPr>
      </w:pPr>
      <w:r w:rsidRPr="00644BCB">
        <w:rPr>
          <w:rStyle w:val="Appelnotedebasdep"/>
          <w:rFonts w:ascii="Arial" w:hAnsi="Arial" w:cs="Arial"/>
          <w:sz w:val="18"/>
          <w:szCs w:val="18"/>
        </w:rPr>
        <w:footnoteRef/>
      </w:r>
      <w:bookmarkStart w:id="17" w:name="_Hlk63173159"/>
      <w:r w:rsidRPr="00644BCB">
        <w:fldChar w:fldCharType="begin"/>
      </w:r>
      <w:r>
        <w:instrText>HYPERLINK</w:instrText>
      </w:r>
      <w:r w:rsidRPr="00644BCB">
        <w:instrText xml:space="preserve"> "http://hudoc.echr.coe.int/eng?i=001-108100"</w:instrText>
      </w:r>
      <w:r w:rsidRPr="00644BCB">
        <w:fldChar w:fldCharType="separate"/>
      </w:r>
      <w:r w:rsidRPr="00644BCB">
        <w:rPr>
          <w:rStyle w:val="Lienhypertexte"/>
          <w:rFonts w:ascii="Arial" w:eastAsiaTheme="majorEastAsia" w:hAnsi="Arial" w:cs="Arial"/>
          <w:i/>
          <w:color w:val="auto"/>
          <w:sz w:val="18"/>
          <w:szCs w:val="18"/>
        </w:rPr>
        <w:t>Géorgie c. Russie</w:t>
      </w:r>
      <w:r w:rsidRPr="00644BCB">
        <w:rPr>
          <w:rStyle w:val="Lienhypertexte"/>
          <w:rFonts w:ascii="Arial" w:eastAsiaTheme="majorEastAsia" w:hAnsi="Arial" w:cs="Arial"/>
          <w:color w:val="auto"/>
          <w:sz w:val="18"/>
          <w:szCs w:val="18"/>
        </w:rPr>
        <w:t xml:space="preserve"> (II) (dec)</w:t>
      </w:r>
      <w:r w:rsidRPr="00644BCB">
        <w:rPr>
          <w:rStyle w:val="Lienhypertexte"/>
          <w:rFonts w:ascii="Arial" w:eastAsiaTheme="majorEastAsia" w:hAnsi="Arial" w:cs="Arial"/>
          <w:color w:val="auto"/>
          <w:sz w:val="18"/>
          <w:szCs w:val="18"/>
        </w:rPr>
        <w:fldChar w:fldCharType="end"/>
      </w:r>
      <w:r w:rsidRPr="00644BCB">
        <w:rPr>
          <w:rFonts w:ascii="Arial" w:hAnsi="Arial" w:cs="Arial"/>
          <w:sz w:val="18"/>
          <w:szCs w:val="18"/>
        </w:rPr>
        <w:t>, n° 38263/08</w:t>
      </w:r>
      <w:bookmarkEnd w:id="17"/>
      <w:r w:rsidRPr="00644BCB">
        <w:rPr>
          <w:rFonts w:ascii="Arial" w:hAnsi="Arial" w:cs="Arial"/>
          <w:sz w:val="18"/>
          <w:szCs w:val="18"/>
        </w:rPr>
        <w:t xml:space="preserve"> , § 64, 13 décembre 201</w:t>
      </w:r>
      <w:r w:rsidRPr="00644BCB">
        <w:rPr>
          <w:rFonts w:ascii="Arial" w:hAnsi="Arial" w:cs="Arial"/>
          <w:sz w:val="18"/>
          <w:szCs w:val="18"/>
          <w:shd w:val="clear" w:color="auto" w:fill="FFFFFF" w:themeFill="background1"/>
        </w:rPr>
        <w:t xml:space="preserve">1 ; </w:t>
      </w:r>
      <w:hyperlink r:id="rId81" w:history="1">
        <w:r w:rsidRPr="00644BCB">
          <w:rPr>
            <w:rStyle w:val="Lienhypertexte"/>
            <w:rFonts w:ascii="Arial" w:eastAsiaTheme="majorEastAsia" w:hAnsi="Arial" w:cs="Arial"/>
            <w:i/>
            <w:iCs/>
            <w:color w:val="auto"/>
            <w:sz w:val="18"/>
            <w:szCs w:val="18"/>
            <w:shd w:val="clear" w:color="auto" w:fill="FFFFFF" w:themeFill="background1"/>
          </w:rPr>
          <w:t xml:space="preserve">Ukraine c. Russie </w:t>
        </w:r>
      </w:hyperlink>
      <w:r w:rsidRPr="00644BCB">
        <w:rPr>
          <w:rFonts w:ascii="Arial" w:hAnsi="Arial" w:cs="Arial"/>
          <w:i/>
          <w:iCs/>
          <w:sz w:val="18"/>
          <w:szCs w:val="18"/>
          <w:shd w:val="clear" w:color="auto" w:fill="FFFFFF" w:themeFill="background1"/>
        </w:rPr>
        <w:t>(déc) [GC]</w:t>
      </w:r>
      <w:r w:rsidRPr="00644BCB">
        <w:rPr>
          <w:rFonts w:ascii="Arial" w:hAnsi="Arial" w:cs="Arial"/>
          <w:sz w:val="18"/>
          <w:szCs w:val="18"/>
          <w:shd w:val="clear" w:color="auto" w:fill="FFFFFF" w:themeFill="background1"/>
        </w:rPr>
        <w:t xml:space="preserve">, n° 20958/14 et 38334/18 § 265, 16 décembre 2020 ; </w:t>
      </w:r>
      <w:hyperlink r:id="rId82" w:history="1">
        <w:r w:rsidRPr="00644BCB">
          <w:rPr>
            <w:rStyle w:val="Lienhypertexte"/>
            <w:rFonts w:ascii="Arial" w:eastAsiaTheme="majorEastAsia" w:hAnsi="Arial" w:cs="Arial"/>
            <w:i/>
            <w:iCs/>
            <w:color w:val="auto"/>
            <w:sz w:val="18"/>
            <w:szCs w:val="18"/>
            <w:shd w:val="clear" w:color="auto" w:fill="FFFFFF" w:themeFill="background1"/>
          </w:rPr>
          <w:t xml:space="preserve">Slovénie c. Croatie </w:t>
        </w:r>
      </w:hyperlink>
      <w:r w:rsidRPr="00644BCB">
        <w:rPr>
          <w:rFonts w:ascii="Arial" w:hAnsi="Arial" w:cs="Arial"/>
          <w:i/>
          <w:iCs/>
          <w:sz w:val="18"/>
          <w:szCs w:val="18"/>
          <w:shd w:val="clear" w:color="auto" w:fill="FFFFFF" w:themeFill="background1"/>
        </w:rPr>
        <w:t>(déc)</w:t>
      </w:r>
      <w:r w:rsidRPr="00644BCB">
        <w:rPr>
          <w:rFonts w:ascii="Arial" w:hAnsi="Arial" w:cs="Arial"/>
          <w:sz w:val="18"/>
          <w:szCs w:val="18"/>
          <w:shd w:val="clear" w:color="auto" w:fill="FFFFFF" w:themeFill="background1"/>
        </w:rPr>
        <w:t>, n° 54155/16, §§ 41, 18 novembre 2020.</w:t>
      </w:r>
    </w:p>
  </w:footnote>
  <w:footnote w:id="56">
    <w:p w14:paraId="43BD1DAF" w14:textId="77777777" w:rsidR="00D86968" w:rsidRPr="00720D91" w:rsidRDefault="00D86968" w:rsidP="00720D91">
      <w:pPr>
        <w:pStyle w:val="Notedebasdepage"/>
        <w:shd w:val="clear" w:color="auto" w:fill="FFFFFF" w:themeFill="background1"/>
        <w:jc w:val="both"/>
        <w:rPr>
          <w:lang w:val="fr-FR"/>
        </w:rPr>
      </w:pPr>
      <w:r w:rsidRPr="00644BCB">
        <w:rPr>
          <w:rStyle w:val="Appelnotedebasdep"/>
          <w:shd w:val="clear" w:color="auto" w:fill="FFFFFF" w:themeFill="background1"/>
        </w:rPr>
        <w:footnoteRef/>
      </w:r>
      <w:r w:rsidRPr="00720D91">
        <w:rPr>
          <w:rFonts w:ascii="Arial" w:hAnsi="Arial" w:cs="Arial"/>
          <w:sz w:val="18"/>
          <w:szCs w:val="18"/>
          <w:shd w:val="clear" w:color="auto" w:fill="FFFFFF" w:themeFill="background1"/>
          <w:lang w:val="fr-FR"/>
        </w:rPr>
        <w:t xml:space="preserve"> </w:t>
      </w:r>
      <w:hyperlink r:id="rId83" w:history="1">
        <w:r w:rsidRPr="00720D91">
          <w:rPr>
            <w:rStyle w:val="Lienhypertexte"/>
            <w:rFonts w:ascii="Arial" w:hAnsi="Arial" w:cs="Arial"/>
            <w:i/>
            <w:iCs/>
            <w:color w:val="auto"/>
            <w:sz w:val="18"/>
            <w:szCs w:val="18"/>
            <w:shd w:val="clear" w:color="auto" w:fill="FFFFFF" w:themeFill="background1"/>
            <w:lang w:val="fr-FR"/>
          </w:rPr>
          <w:t xml:space="preserve">Slovénie c. Croatie </w:t>
        </w:r>
      </w:hyperlink>
      <w:r w:rsidRPr="00720D91">
        <w:rPr>
          <w:rFonts w:ascii="Arial" w:hAnsi="Arial" w:cs="Arial"/>
          <w:i/>
          <w:iCs/>
          <w:sz w:val="18"/>
          <w:szCs w:val="18"/>
          <w:shd w:val="clear" w:color="auto" w:fill="FFFFFF" w:themeFill="background1"/>
          <w:lang w:val="fr-FR"/>
        </w:rPr>
        <w:t>(déc)</w:t>
      </w:r>
      <w:r w:rsidRPr="00720D91">
        <w:rPr>
          <w:rFonts w:ascii="Arial" w:hAnsi="Arial" w:cs="Arial"/>
          <w:sz w:val="18"/>
          <w:szCs w:val="18"/>
          <w:shd w:val="clear" w:color="auto" w:fill="FFFFFF" w:themeFill="background1"/>
          <w:lang w:val="fr-FR"/>
        </w:rPr>
        <w:t xml:space="preserve">, n° 54155/16, § 41, 18 novembre 2020. </w:t>
      </w:r>
      <w:r w:rsidRPr="00720D91">
        <w:rPr>
          <w:rFonts w:ascii="Arial" w:hAnsi="Arial" w:cs="Arial"/>
          <w:sz w:val="18"/>
          <w:szCs w:val="18"/>
          <w:lang w:val="fr-FR"/>
        </w:rPr>
        <w:t xml:space="preserve">Voir également </w:t>
      </w:r>
      <w:r w:rsidRPr="00720D91">
        <w:rPr>
          <w:rStyle w:val="s6b621b36"/>
          <w:rFonts w:ascii="Arial" w:hAnsi="Arial" w:cs="Arial"/>
          <w:i/>
          <w:iCs/>
          <w:color w:val="000000"/>
          <w:sz w:val="18"/>
          <w:szCs w:val="18"/>
          <w:lang w:val="fr-FR"/>
        </w:rPr>
        <w:t>France</w:t>
      </w:r>
      <w:r w:rsidRPr="00720D91">
        <w:rPr>
          <w:rStyle w:val="s6b621b36"/>
          <w:rFonts w:ascii="Arial" w:hAnsi="Arial" w:cs="Arial"/>
          <w:i/>
          <w:iCs/>
          <w:color w:val="000000"/>
          <w:sz w:val="18"/>
          <w:szCs w:val="18"/>
          <w:shd w:val="clear" w:color="auto" w:fill="FFFFFF"/>
          <w:lang w:val="fr-FR"/>
        </w:rPr>
        <w:t>, Norvège, Danemark, Suède et les Pays-Bas c. Turquie</w:t>
      </w:r>
      <w:r w:rsidRPr="00720D91">
        <w:rPr>
          <w:rStyle w:val="sb8d990e2"/>
          <w:rFonts w:ascii="Arial" w:hAnsi="Arial" w:cs="Arial"/>
          <w:color w:val="000000"/>
          <w:sz w:val="18"/>
          <w:szCs w:val="18"/>
          <w:shd w:val="clear" w:color="auto" w:fill="FFFFFF"/>
          <w:lang w:val="fr-FR"/>
        </w:rPr>
        <w:t xml:space="preserve">, pp. 161-162. </w:t>
      </w:r>
    </w:p>
  </w:footnote>
  <w:footnote w:id="57">
    <w:p w14:paraId="49288BEE" w14:textId="77777777" w:rsidR="00D86968" w:rsidRPr="00720D91" w:rsidRDefault="00D86968" w:rsidP="00720D91">
      <w:pPr>
        <w:pStyle w:val="Notedebasdepage"/>
        <w:shd w:val="clear" w:color="auto" w:fill="FFFFFF" w:themeFill="background1"/>
        <w:rPr>
          <w:lang w:val="fr-FR"/>
        </w:rPr>
      </w:pPr>
      <w:r w:rsidRPr="00644BCB">
        <w:rPr>
          <w:rStyle w:val="Appelnotedebasdep"/>
          <w:shd w:val="clear" w:color="auto" w:fill="FFFFFF" w:themeFill="background1"/>
        </w:rPr>
        <w:footnoteRef/>
      </w:r>
      <w:r w:rsidRPr="00720D91">
        <w:rPr>
          <w:rFonts w:ascii="Arial" w:hAnsi="Arial" w:cs="Arial"/>
          <w:sz w:val="18"/>
          <w:szCs w:val="18"/>
          <w:shd w:val="clear" w:color="auto" w:fill="FFFFFF" w:themeFill="background1"/>
          <w:lang w:val="fr-FR"/>
        </w:rPr>
        <w:t xml:space="preserve"> </w:t>
      </w:r>
      <w:hyperlink r:id="rId84" w:history="1">
        <w:hyperlink r:id="rId85" w:history="1">
          <w:r w:rsidRPr="00720D91">
            <w:rPr>
              <w:rStyle w:val="Lienhypertexte"/>
              <w:rFonts w:ascii="Arial" w:hAnsi="Arial" w:cs="Arial"/>
              <w:i/>
              <w:iCs/>
              <w:color w:val="auto"/>
              <w:sz w:val="18"/>
              <w:szCs w:val="18"/>
              <w:shd w:val="clear" w:color="auto" w:fill="FFFFFF" w:themeFill="background1"/>
              <w:lang w:val="fr-FR"/>
            </w:rPr>
            <w:t xml:space="preserve">Slovénie c. Croatie </w:t>
          </w:r>
        </w:hyperlink>
        <w:r w:rsidRPr="00720D91">
          <w:rPr>
            <w:rStyle w:val="Lienhypertexte"/>
            <w:rFonts w:ascii="Arial" w:hAnsi="Arial" w:cs="Arial"/>
            <w:i/>
            <w:iCs/>
            <w:color w:val="auto"/>
            <w:sz w:val="18"/>
            <w:szCs w:val="18"/>
            <w:shd w:val="clear" w:color="auto" w:fill="FFFFFF" w:themeFill="background1"/>
            <w:lang w:val="fr-FR"/>
          </w:rPr>
          <w:t xml:space="preserve"> </w:t>
        </w:r>
      </w:hyperlink>
      <w:r w:rsidRPr="00720D91">
        <w:rPr>
          <w:rFonts w:ascii="Arial" w:hAnsi="Arial" w:cs="Arial"/>
          <w:i/>
          <w:iCs/>
          <w:sz w:val="18"/>
          <w:szCs w:val="18"/>
          <w:shd w:val="clear" w:color="auto" w:fill="FFFFFF" w:themeFill="background1"/>
          <w:lang w:val="fr-FR"/>
        </w:rPr>
        <w:t>(déc)</w:t>
      </w:r>
      <w:r w:rsidRPr="00720D91">
        <w:rPr>
          <w:rFonts w:ascii="Arial" w:hAnsi="Arial" w:cs="Arial"/>
          <w:sz w:val="18"/>
          <w:szCs w:val="18"/>
          <w:shd w:val="clear" w:color="auto" w:fill="FFFFFF" w:themeFill="background1"/>
          <w:lang w:val="fr-FR"/>
        </w:rPr>
        <w:t>, n° 54155/16, § 41, 18 novembre 2020.</w:t>
      </w:r>
      <w:r w:rsidRPr="00720D91">
        <w:rPr>
          <w:rFonts w:ascii="Arial" w:hAnsi="Arial" w:cs="Arial"/>
          <w:sz w:val="18"/>
          <w:szCs w:val="18"/>
          <w:shd w:val="clear" w:color="auto" w:fill="D9D9D9" w:themeFill="background1" w:themeFillShade="D9"/>
          <w:lang w:val="fr-FR"/>
        </w:rPr>
        <w:t xml:space="preserve"> </w:t>
      </w:r>
    </w:p>
  </w:footnote>
  <w:footnote w:id="58">
    <w:p w14:paraId="338CFCA2" w14:textId="77777777" w:rsidR="00D86968" w:rsidRPr="00720D91" w:rsidRDefault="00D86968" w:rsidP="00720D91">
      <w:pPr>
        <w:pStyle w:val="Notedebasdepage"/>
        <w:shd w:val="clear" w:color="auto" w:fill="FFFFFF" w:themeFill="background1"/>
        <w:rPr>
          <w:lang w:val="fr-FR"/>
        </w:rPr>
      </w:pPr>
      <w:r w:rsidRPr="00644BCB">
        <w:rPr>
          <w:rStyle w:val="Appelnotedebasdep"/>
          <w:shd w:val="clear" w:color="auto" w:fill="FFFFFF" w:themeFill="background1"/>
        </w:rPr>
        <w:footnoteRef/>
      </w:r>
      <w:r w:rsidRPr="00720D91">
        <w:rPr>
          <w:rFonts w:ascii="Arial" w:hAnsi="Arial" w:cs="Arial"/>
          <w:sz w:val="18"/>
          <w:szCs w:val="18"/>
          <w:shd w:val="clear" w:color="auto" w:fill="FFFFFF" w:themeFill="background1"/>
          <w:lang w:val="fr-FR"/>
        </w:rPr>
        <w:t xml:space="preserve"> </w:t>
      </w:r>
      <w:hyperlink r:id="rId86" w:history="1">
        <w:r w:rsidRPr="00720D91">
          <w:rPr>
            <w:rStyle w:val="Lienhypertexte"/>
            <w:rFonts w:ascii="Arial" w:hAnsi="Arial" w:cs="Arial"/>
            <w:i/>
            <w:iCs/>
            <w:color w:val="auto"/>
            <w:sz w:val="18"/>
            <w:szCs w:val="18"/>
            <w:shd w:val="clear" w:color="auto" w:fill="FFFFFF" w:themeFill="background1"/>
            <w:lang w:val="fr-FR"/>
          </w:rPr>
          <w:t xml:space="preserve">Slovénie c. Croatie </w:t>
        </w:r>
      </w:hyperlink>
      <w:r w:rsidRPr="00720D91">
        <w:rPr>
          <w:rFonts w:ascii="Arial" w:hAnsi="Arial" w:cs="Arial"/>
          <w:i/>
          <w:iCs/>
          <w:sz w:val="18"/>
          <w:szCs w:val="18"/>
          <w:shd w:val="clear" w:color="auto" w:fill="FFFFFF" w:themeFill="background1"/>
          <w:lang w:val="fr-FR"/>
        </w:rPr>
        <w:t xml:space="preserve"> (déc)</w:t>
      </w:r>
      <w:r w:rsidRPr="00720D91">
        <w:rPr>
          <w:rFonts w:ascii="Arial" w:hAnsi="Arial" w:cs="Arial"/>
          <w:sz w:val="18"/>
          <w:szCs w:val="18"/>
          <w:shd w:val="clear" w:color="auto" w:fill="FFFFFF" w:themeFill="background1"/>
          <w:lang w:val="fr-FR"/>
        </w:rPr>
        <w:t>, n° 54155/16, § 41, 18 novembre 2020.</w:t>
      </w:r>
    </w:p>
  </w:footnote>
  <w:footnote w:id="59">
    <w:p w14:paraId="42C49E28" w14:textId="77777777" w:rsidR="00D86968" w:rsidRPr="002D305B" w:rsidRDefault="00D86968" w:rsidP="00720D91">
      <w:pPr>
        <w:pStyle w:val="Sansinterligne"/>
        <w:shd w:val="clear" w:color="auto" w:fill="FFFFFF" w:themeFill="background1"/>
        <w:jc w:val="both"/>
        <w:rPr>
          <w:rFonts w:ascii="Arial" w:hAnsi="Arial" w:cs="Arial"/>
          <w:b/>
          <w:bCs/>
          <w:color w:val="FF0000"/>
          <w:sz w:val="18"/>
          <w:szCs w:val="18"/>
        </w:rPr>
      </w:pPr>
      <w:r w:rsidRPr="00644BCB">
        <w:rPr>
          <w:rStyle w:val="Appelnotedebasdep"/>
          <w:rFonts w:ascii="Arial" w:hAnsi="Arial" w:cs="Arial"/>
          <w:sz w:val="18"/>
          <w:szCs w:val="18"/>
        </w:rPr>
        <w:footnoteRef/>
      </w:r>
      <w:r w:rsidRPr="00644BCB">
        <w:rPr>
          <w:rFonts w:ascii="Arial" w:hAnsi="Arial" w:cs="Arial"/>
          <w:sz w:val="18"/>
          <w:szCs w:val="18"/>
        </w:rPr>
        <w:t xml:space="preserve"> </w:t>
      </w:r>
      <w:hyperlink r:id="rId87" w:anchor="{%22itemid%22:[%22001-108100%22]}" w:history="1">
        <w:r w:rsidRPr="00644BCB">
          <w:rPr>
            <w:rStyle w:val="Lienhypertexte"/>
            <w:rFonts w:ascii="Arial" w:eastAsiaTheme="majorEastAsia" w:hAnsi="Arial" w:cs="Arial"/>
            <w:i/>
            <w:color w:val="auto"/>
            <w:sz w:val="18"/>
            <w:szCs w:val="18"/>
          </w:rPr>
          <w:t xml:space="preserve">Géorgie c. Russie </w:t>
        </w:r>
        <w:r w:rsidRPr="00644BCB">
          <w:rPr>
            <w:rStyle w:val="Lienhypertexte"/>
            <w:rFonts w:ascii="Arial" w:eastAsiaTheme="majorEastAsia" w:hAnsi="Arial" w:cs="Arial"/>
            <w:color w:val="auto"/>
            <w:sz w:val="18"/>
            <w:szCs w:val="18"/>
          </w:rPr>
          <w:t>(II) (déc)</w:t>
        </w:r>
      </w:hyperlink>
      <w:r w:rsidRPr="00644BCB">
        <w:rPr>
          <w:rFonts w:ascii="Arial" w:hAnsi="Arial" w:cs="Arial"/>
          <w:sz w:val="18"/>
          <w:szCs w:val="18"/>
        </w:rPr>
        <w:t>, n° 38263/08</w:t>
      </w:r>
      <w:r w:rsidRPr="00644BCB">
        <w:rPr>
          <w:rFonts w:ascii="Arial" w:hAnsi="Arial" w:cs="Arial"/>
          <w:sz w:val="18"/>
          <w:szCs w:val="18"/>
          <w:shd w:val="clear" w:color="auto" w:fill="FFFFFF" w:themeFill="background1"/>
        </w:rPr>
        <w:t xml:space="preserve">, § 65, 13 décembre 2011 ; </w:t>
      </w:r>
      <w:hyperlink r:id="rId88" w:history="1">
        <w:r w:rsidRPr="00644BCB">
          <w:rPr>
            <w:rStyle w:val="Lienhypertexte"/>
            <w:rFonts w:ascii="Arial" w:eastAsiaTheme="majorEastAsia" w:hAnsi="Arial" w:cs="Arial"/>
            <w:i/>
            <w:iCs/>
            <w:color w:val="auto"/>
            <w:sz w:val="18"/>
            <w:szCs w:val="18"/>
            <w:shd w:val="clear" w:color="auto" w:fill="FFFFFF" w:themeFill="background1"/>
          </w:rPr>
          <w:t xml:space="preserve">Ukraine c. Russie </w:t>
        </w:r>
      </w:hyperlink>
      <w:r w:rsidRPr="00644BCB">
        <w:rPr>
          <w:rFonts w:ascii="Arial" w:hAnsi="Arial" w:cs="Arial"/>
          <w:i/>
          <w:iCs/>
          <w:sz w:val="18"/>
          <w:szCs w:val="18"/>
          <w:shd w:val="clear" w:color="auto" w:fill="FFFFFF" w:themeFill="background1"/>
        </w:rPr>
        <w:t>(déc) [GC]</w:t>
      </w:r>
      <w:r w:rsidRPr="00644BCB">
        <w:rPr>
          <w:rFonts w:ascii="Arial" w:hAnsi="Arial" w:cs="Arial"/>
          <w:sz w:val="18"/>
          <w:szCs w:val="18"/>
          <w:shd w:val="clear" w:color="auto" w:fill="FFFFFF" w:themeFill="background1"/>
        </w:rPr>
        <w:t>, nos 20958/14 et 38334/18, § 265, 16 décembre 2020.</w:t>
      </w:r>
    </w:p>
  </w:footnote>
  <w:footnote w:id="60">
    <w:p w14:paraId="0BF42D11" w14:textId="77777777" w:rsidR="00D86968" w:rsidRPr="00720D91" w:rsidRDefault="00D86968" w:rsidP="00720D91">
      <w:pPr>
        <w:pStyle w:val="Notedebasdepage"/>
        <w:shd w:val="clear" w:color="auto" w:fill="FFFFFF" w:themeFill="background1"/>
        <w:jc w:val="both"/>
        <w:rPr>
          <w:rFonts w:ascii="Arial" w:hAnsi="Arial" w:cs="Arial"/>
          <w:sz w:val="18"/>
          <w:szCs w:val="18"/>
          <w:lang w:val="fr-FR"/>
        </w:rPr>
      </w:pPr>
      <w:r w:rsidRPr="00B94A1A">
        <w:rPr>
          <w:rFonts w:ascii="Arial" w:hAnsi="Arial" w:cs="Arial"/>
          <w:sz w:val="18"/>
          <w:szCs w:val="18"/>
          <w:vertAlign w:val="superscript"/>
        </w:rPr>
        <w:footnoteRef/>
      </w:r>
      <w:r w:rsidRPr="00720D91">
        <w:rPr>
          <w:rFonts w:ascii="Arial" w:hAnsi="Arial" w:cs="Arial"/>
          <w:sz w:val="18"/>
          <w:szCs w:val="18"/>
          <w:vertAlign w:val="superscript"/>
          <w:lang w:val="fr-FR"/>
        </w:rPr>
        <w:t xml:space="preserve"> </w:t>
      </w:r>
      <w:hyperlink r:id="rId89" w:history="1">
        <w:r w:rsidRPr="00720D91">
          <w:rPr>
            <w:rFonts w:ascii="Arial" w:hAnsi="Arial" w:cs="Arial"/>
            <w:sz w:val="18"/>
            <w:szCs w:val="18"/>
            <w:u w:val="single"/>
            <w:lang w:val="fr-FR"/>
          </w:rPr>
          <w:t>Ukraine c. Russie</w:t>
        </w:r>
        <w:r w:rsidRPr="00720D91">
          <w:rPr>
            <w:rFonts w:ascii="Arial" w:hAnsi="Arial" w:cs="Arial"/>
            <w:sz w:val="18"/>
            <w:szCs w:val="18"/>
            <w:lang w:val="fr-FR"/>
          </w:rPr>
          <w:t xml:space="preserve"> </w:t>
        </w:r>
      </w:hyperlink>
      <w:r w:rsidRPr="00720D91">
        <w:rPr>
          <w:rFonts w:ascii="Arial" w:hAnsi="Arial" w:cs="Arial"/>
          <w:sz w:val="18"/>
          <w:szCs w:val="18"/>
          <w:lang w:val="fr-FR"/>
        </w:rPr>
        <w:t>(déc) [GC], nos 20958/14 et 38334/18, §§ 265, 352, 16 décembre 2020.</w:t>
      </w:r>
    </w:p>
  </w:footnote>
  <w:footnote w:id="61">
    <w:p w14:paraId="3171920F" w14:textId="77777777" w:rsidR="00D86968" w:rsidRPr="00720D91" w:rsidRDefault="00D86968" w:rsidP="00720D91">
      <w:pPr>
        <w:pStyle w:val="Notedebasdepage"/>
        <w:shd w:val="clear" w:color="auto" w:fill="FFFFFF" w:themeFill="background1"/>
        <w:jc w:val="both"/>
        <w:rPr>
          <w:rFonts w:ascii="Arial" w:hAnsi="Arial" w:cs="Arial"/>
          <w:sz w:val="18"/>
          <w:szCs w:val="18"/>
          <w:lang w:val="fr-FR"/>
        </w:rPr>
      </w:pPr>
      <w:r w:rsidRPr="00B94A1A">
        <w:rPr>
          <w:rFonts w:ascii="Arial" w:hAnsi="Arial" w:cs="Arial"/>
          <w:sz w:val="18"/>
          <w:szCs w:val="18"/>
          <w:vertAlign w:val="superscript"/>
        </w:rPr>
        <w:footnoteRef/>
      </w:r>
      <w:r w:rsidRPr="00720D91">
        <w:rPr>
          <w:rFonts w:ascii="Arial" w:hAnsi="Arial" w:cs="Arial"/>
          <w:sz w:val="18"/>
          <w:szCs w:val="18"/>
          <w:lang w:val="fr-FR"/>
        </w:rPr>
        <w:t xml:space="preserve"> </w:t>
      </w:r>
      <w:hyperlink r:id="rId90" w:history="1">
        <w:r w:rsidRPr="00720D91">
          <w:rPr>
            <w:rFonts w:ascii="Arial" w:hAnsi="Arial" w:cs="Arial"/>
            <w:sz w:val="18"/>
            <w:szCs w:val="18"/>
            <w:u w:val="single"/>
            <w:lang w:val="fr-FR"/>
          </w:rPr>
          <w:t>Ukraine c. Russie</w:t>
        </w:r>
        <w:r w:rsidRPr="00720D91">
          <w:rPr>
            <w:rFonts w:ascii="Arial" w:hAnsi="Arial" w:cs="Arial"/>
            <w:sz w:val="18"/>
            <w:szCs w:val="18"/>
            <w:lang w:val="fr-FR"/>
          </w:rPr>
          <w:t xml:space="preserve"> </w:t>
        </w:r>
      </w:hyperlink>
      <w:r w:rsidRPr="00720D91">
        <w:rPr>
          <w:rFonts w:ascii="Arial" w:hAnsi="Arial" w:cs="Arial"/>
          <w:sz w:val="18"/>
          <w:szCs w:val="18"/>
          <w:lang w:val="fr-FR"/>
        </w:rPr>
        <w:t>(déc) [GC], nos 20958/14 et 38334/18, §§ 265, 352, 16 décembre 2020.</w:t>
      </w:r>
    </w:p>
  </w:footnote>
  <w:footnote w:id="62">
    <w:p w14:paraId="6CFD1BB8" w14:textId="77777777" w:rsidR="00D86968" w:rsidRPr="00720D91" w:rsidRDefault="00D86968" w:rsidP="00720D91">
      <w:pPr>
        <w:pStyle w:val="Notedebasdepage"/>
        <w:shd w:val="clear" w:color="auto" w:fill="FFFFFF" w:themeFill="background1"/>
        <w:jc w:val="both"/>
        <w:rPr>
          <w:rFonts w:ascii="Arial" w:hAnsi="Arial" w:cs="Arial"/>
          <w:sz w:val="18"/>
          <w:szCs w:val="18"/>
          <w:lang w:val="fr-FR"/>
        </w:rPr>
      </w:pPr>
      <w:r w:rsidRPr="00B94A1A">
        <w:rPr>
          <w:rFonts w:ascii="Arial" w:hAnsi="Arial" w:cs="Arial"/>
          <w:sz w:val="18"/>
          <w:szCs w:val="18"/>
          <w:vertAlign w:val="superscript"/>
        </w:rPr>
        <w:footnoteRef/>
      </w:r>
      <w:r w:rsidRPr="00720D91">
        <w:rPr>
          <w:rFonts w:ascii="Arial" w:hAnsi="Arial" w:cs="Arial"/>
          <w:sz w:val="18"/>
          <w:szCs w:val="18"/>
          <w:lang w:val="fr-FR"/>
        </w:rPr>
        <w:t xml:space="preserve"> </w:t>
      </w:r>
      <w:hyperlink r:id="rId91" w:history="1">
        <w:r w:rsidRPr="00720D91">
          <w:rPr>
            <w:rFonts w:ascii="Arial" w:hAnsi="Arial" w:cs="Arial"/>
            <w:sz w:val="18"/>
            <w:szCs w:val="18"/>
            <w:u w:val="single"/>
            <w:lang w:val="fr-FR"/>
          </w:rPr>
          <w:t>France, Norvège, Danemark, Suède et Pays-Bas c. Turquie</w:t>
        </w:r>
      </w:hyperlink>
      <w:r w:rsidRPr="00720D91">
        <w:rPr>
          <w:rFonts w:ascii="Arial" w:hAnsi="Arial" w:cs="Arial"/>
          <w:sz w:val="18"/>
          <w:szCs w:val="18"/>
          <w:lang w:val="fr-FR"/>
        </w:rPr>
        <w:t xml:space="preserve">, n° 9940-9944/82, décision de la Commission du 6 décembre 1983, Décisions et rapports 35, p. 162. </w:t>
      </w:r>
    </w:p>
  </w:footnote>
  <w:footnote w:id="63">
    <w:p w14:paraId="451D4C9E" w14:textId="77777777" w:rsidR="00D86968" w:rsidRPr="00720D91" w:rsidRDefault="00D86968" w:rsidP="00720D91">
      <w:pPr>
        <w:pStyle w:val="Notedebasdepage"/>
        <w:shd w:val="clear" w:color="auto" w:fill="FFFFFF" w:themeFill="background1"/>
        <w:jc w:val="both"/>
        <w:rPr>
          <w:rFonts w:ascii="Arial" w:hAnsi="Arial" w:cs="Arial"/>
          <w:sz w:val="18"/>
          <w:szCs w:val="18"/>
          <w:lang w:val="fr-FR"/>
        </w:rPr>
      </w:pPr>
      <w:r w:rsidRPr="00B94A1A">
        <w:rPr>
          <w:rFonts w:ascii="Arial" w:hAnsi="Arial" w:cs="Arial"/>
          <w:sz w:val="18"/>
          <w:szCs w:val="18"/>
          <w:vertAlign w:val="superscript"/>
        </w:rPr>
        <w:footnoteRef/>
      </w:r>
      <w:r w:rsidRPr="00720D91">
        <w:rPr>
          <w:rFonts w:ascii="Arial" w:hAnsi="Arial" w:cs="Arial"/>
          <w:sz w:val="18"/>
          <w:szCs w:val="18"/>
          <w:lang w:val="fr-FR"/>
        </w:rPr>
        <w:t xml:space="preserve"> </w:t>
      </w:r>
      <w:hyperlink r:id="rId92" w:history="1">
        <w:r w:rsidRPr="00720D91">
          <w:rPr>
            <w:rFonts w:ascii="Arial" w:hAnsi="Arial" w:cs="Arial"/>
            <w:sz w:val="18"/>
            <w:szCs w:val="18"/>
            <w:u w:val="single"/>
            <w:lang w:val="fr-FR"/>
          </w:rPr>
          <w:t>Ukraine c. Russie</w:t>
        </w:r>
        <w:r w:rsidRPr="00720D91">
          <w:rPr>
            <w:rFonts w:ascii="Arial" w:hAnsi="Arial" w:cs="Arial"/>
            <w:sz w:val="18"/>
            <w:szCs w:val="18"/>
            <w:lang w:val="fr-FR"/>
          </w:rPr>
          <w:t xml:space="preserve"> </w:t>
        </w:r>
      </w:hyperlink>
      <w:r w:rsidRPr="00720D91">
        <w:rPr>
          <w:rFonts w:ascii="Arial" w:hAnsi="Arial" w:cs="Arial"/>
          <w:sz w:val="18"/>
          <w:szCs w:val="18"/>
          <w:lang w:val="fr-FR"/>
        </w:rPr>
        <w:t xml:space="preserve"> (déc) [GC], nos 20958/14 et 38334/18, § 367, 16 décembre 2020.</w:t>
      </w:r>
    </w:p>
  </w:footnote>
  <w:footnote w:id="64">
    <w:p w14:paraId="10111D19" w14:textId="77777777" w:rsidR="00D86968" w:rsidRPr="00720D91" w:rsidRDefault="00D86968" w:rsidP="00720D91">
      <w:pPr>
        <w:pStyle w:val="Notedebasdepage"/>
        <w:shd w:val="clear" w:color="auto" w:fill="FFFFFF" w:themeFill="background1"/>
        <w:jc w:val="both"/>
        <w:rPr>
          <w:rFonts w:ascii="Arial" w:hAnsi="Arial" w:cs="Arial"/>
          <w:sz w:val="18"/>
          <w:szCs w:val="18"/>
          <w:lang w:val="fr-FR"/>
        </w:rPr>
      </w:pPr>
      <w:r w:rsidRPr="00B94A1A">
        <w:rPr>
          <w:rFonts w:ascii="Arial" w:hAnsi="Arial" w:cs="Arial"/>
          <w:sz w:val="18"/>
          <w:szCs w:val="18"/>
          <w:vertAlign w:val="superscript"/>
        </w:rPr>
        <w:footnoteRef/>
      </w:r>
      <w:r w:rsidRPr="00720D91">
        <w:rPr>
          <w:rFonts w:ascii="Arial" w:hAnsi="Arial" w:cs="Arial"/>
          <w:sz w:val="18"/>
          <w:szCs w:val="18"/>
          <w:lang w:val="fr-FR"/>
        </w:rPr>
        <w:t xml:space="preserve"> </w:t>
      </w:r>
      <w:hyperlink r:id="rId93" w:history="1">
        <w:r w:rsidRPr="00720D91">
          <w:rPr>
            <w:rFonts w:ascii="Arial" w:hAnsi="Arial" w:cs="Arial"/>
            <w:sz w:val="18"/>
            <w:szCs w:val="18"/>
            <w:u w:val="single"/>
            <w:lang w:val="fr-FR"/>
          </w:rPr>
          <w:t>Slovénie c. Croatie</w:t>
        </w:r>
        <w:r w:rsidRPr="00720D91">
          <w:rPr>
            <w:rFonts w:ascii="Arial" w:hAnsi="Arial" w:cs="Arial"/>
            <w:sz w:val="18"/>
            <w:szCs w:val="18"/>
            <w:lang w:val="fr-FR"/>
          </w:rPr>
          <w:t xml:space="preserve"> </w:t>
        </w:r>
      </w:hyperlink>
      <w:r w:rsidRPr="00720D91">
        <w:rPr>
          <w:rFonts w:ascii="Arial" w:hAnsi="Arial" w:cs="Arial"/>
          <w:sz w:val="18"/>
          <w:szCs w:val="18"/>
          <w:lang w:val="fr-FR"/>
        </w:rPr>
        <w:t>déc), n° 54155/16, §§ 43, 44, 18 novembre 2020.</w:t>
      </w:r>
    </w:p>
  </w:footnote>
  <w:footnote w:id="65">
    <w:p w14:paraId="7B95F76F" w14:textId="77777777" w:rsidR="00D86968" w:rsidRPr="00720D91" w:rsidRDefault="00D86968" w:rsidP="00720D91">
      <w:pPr>
        <w:pStyle w:val="Notedebasdepage"/>
        <w:shd w:val="clear" w:color="auto" w:fill="FFFFFF" w:themeFill="background1"/>
        <w:jc w:val="both"/>
        <w:rPr>
          <w:rFonts w:ascii="Arial" w:hAnsi="Arial" w:cs="Arial"/>
          <w:sz w:val="18"/>
          <w:szCs w:val="18"/>
          <w:lang w:val="fr-FR"/>
        </w:rPr>
      </w:pPr>
      <w:r w:rsidRPr="00B94A1A">
        <w:rPr>
          <w:rFonts w:ascii="Arial" w:hAnsi="Arial" w:cs="Arial"/>
          <w:sz w:val="18"/>
          <w:szCs w:val="18"/>
          <w:vertAlign w:val="superscript"/>
        </w:rPr>
        <w:footnoteRef/>
      </w:r>
      <w:r w:rsidRPr="00720D91">
        <w:rPr>
          <w:rFonts w:ascii="Arial" w:hAnsi="Arial" w:cs="Arial"/>
          <w:sz w:val="18"/>
          <w:szCs w:val="18"/>
          <w:vertAlign w:val="superscript"/>
          <w:lang w:val="fr-FR"/>
        </w:rPr>
        <w:t xml:space="preserve"> </w:t>
      </w:r>
      <w:r w:rsidRPr="00720D91">
        <w:rPr>
          <w:rFonts w:ascii="Arial" w:hAnsi="Arial" w:cs="Arial"/>
          <w:sz w:val="18"/>
          <w:szCs w:val="18"/>
          <w:u w:val="single"/>
          <w:lang w:val="fr-FR"/>
        </w:rPr>
        <w:t>Chypre c. Turquie</w:t>
      </w:r>
      <w:r w:rsidRPr="00720D91">
        <w:rPr>
          <w:rFonts w:ascii="Arial" w:hAnsi="Arial" w:cs="Arial"/>
          <w:sz w:val="18"/>
          <w:szCs w:val="18"/>
          <w:lang w:val="fr-FR"/>
        </w:rPr>
        <w:t xml:space="preserve">, </w:t>
      </w:r>
      <w:hyperlink r:id="rId94" w:history="1">
        <w:r w:rsidRPr="00720D91">
          <w:rPr>
            <w:rFonts w:ascii="Arial" w:hAnsi="Arial" w:cs="Arial"/>
            <w:sz w:val="18"/>
            <w:szCs w:val="18"/>
            <w:lang w:val="fr-FR"/>
          </w:rPr>
          <w:t>nos 6780/74 et 6950/75</w:t>
        </w:r>
      </w:hyperlink>
      <w:r w:rsidRPr="00720D91">
        <w:rPr>
          <w:rFonts w:ascii="Arial" w:hAnsi="Arial" w:cs="Arial"/>
          <w:sz w:val="18"/>
          <w:szCs w:val="18"/>
          <w:lang w:val="fr-FR"/>
        </w:rPr>
        <w:t xml:space="preserve">, p.138, 26 mai 1975 ; </w:t>
      </w:r>
      <w:hyperlink r:id="rId95" w:tgtFrame="_blank" w:history="1">
        <w:r w:rsidRPr="00720D91">
          <w:rPr>
            <w:rFonts w:ascii="Arial" w:hAnsi="Arial" w:cs="Arial"/>
            <w:sz w:val="18"/>
            <w:szCs w:val="18"/>
            <w:u w:val="single"/>
            <w:lang w:val="fr-FR"/>
          </w:rPr>
          <w:t>Chypre c. Turquie</w:t>
        </w:r>
        <w:r w:rsidRPr="00720D91">
          <w:rPr>
            <w:rFonts w:ascii="Arial" w:hAnsi="Arial" w:cs="Arial"/>
            <w:sz w:val="18"/>
            <w:szCs w:val="18"/>
            <w:lang w:val="fr-FR"/>
          </w:rPr>
          <w:t xml:space="preserve"> no. 8007/77</w:t>
        </w:r>
      </w:hyperlink>
      <w:r w:rsidRPr="00720D91">
        <w:rPr>
          <w:rFonts w:ascii="Arial" w:hAnsi="Arial" w:cs="Arial"/>
          <w:sz w:val="18"/>
          <w:szCs w:val="18"/>
          <w:lang w:val="fr-FR"/>
        </w:rPr>
        <w:t xml:space="preserve">, déc. 03.10.78, D.R. 13 p. 78, para. 56 à 156 ; </w:t>
      </w:r>
      <w:hyperlink r:id="rId96" w:history="1">
        <w:r w:rsidRPr="00720D91">
          <w:rPr>
            <w:rFonts w:ascii="Arial" w:hAnsi="Arial" w:cs="Arial"/>
            <w:sz w:val="18"/>
            <w:szCs w:val="18"/>
            <w:u w:val="single"/>
            <w:lang w:val="fr-FR"/>
          </w:rPr>
          <w:t>Chypre c. Turquie</w:t>
        </w:r>
        <w:r w:rsidRPr="00720D91">
          <w:rPr>
            <w:rFonts w:ascii="Arial" w:hAnsi="Arial" w:cs="Arial"/>
            <w:sz w:val="18"/>
            <w:szCs w:val="18"/>
            <w:lang w:val="fr-FR"/>
          </w:rPr>
          <w:t>, no 25781/94</w:t>
        </w:r>
      </w:hyperlink>
      <w:r w:rsidRPr="00720D91">
        <w:rPr>
          <w:rFonts w:ascii="Arial" w:hAnsi="Arial" w:cs="Arial"/>
          <w:sz w:val="18"/>
          <w:szCs w:val="18"/>
          <w:lang w:val="fr-FR"/>
        </w:rPr>
        <w:t>, p. 135, 28 juin 1996 ;</w:t>
      </w:r>
    </w:p>
  </w:footnote>
  <w:footnote w:id="66">
    <w:p w14:paraId="434255BC" w14:textId="77777777" w:rsidR="00D86968" w:rsidRPr="00720D91" w:rsidRDefault="00D86968" w:rsidP="00720D91">
      <w:pPr>
        <w:pStyle w:val="Notedebasdepage"/>
        <w:shd w:val="clear" w:color="auto" w:fill="FFFFFF" w:themeFill="background1"/>
        <w:jc w:val="both"/>
        <w:rPr>
          <w:rFonts w:ascii="Arial" w:hAnsi="Arial" w:cs="Arial"/>
          <w:sz w:val="18"/>
          <w:szCs w:val="18"/>
          <w:lang w:val="fr-FR"/>
        </w:rPr>
      </w:pPr>
      <w:r w:rsidRPr="00B94A1A">
        <w:rPr>
          <w:rFonts w:ascii="Arial" w:hAnsi="Arial" w:cs="Arial"/>
          <w:sz w:val="18"/>
          <w:szCs w:val="18"/>
          <w:vertAlign w:val="superscript"/>
        </w:rPr>
        <w:footnoteRef/>
      </w:r>
      <w:r w:rsidRPr="00720D91">
        <w:rPr>
          <w:rFonts w:ascii="Arial" w:hAnsi="Arial" w:cs="Arial"/>
          <w:sz w:val="18"/>
          <w:szCs w:val="18"/>
          <w:vertAlign w:val="superscript"/>
          <w:lang w:val="fr-FR"/>
        </w:rPr>
        <w:t xml:space="preserve"> </w:t>
      </w:r>
      <w:r w:rsidRPr="00720D91">
        <w:rPr>
          <w:rFonts w:ascii="Arial" w:hAnsi="Arial" w:cs="Arial"/>
          <w:sz w:val="18"/>
          <w:szCs w:val="18"/>
          <w:u w:val="single"/>
          <w:lang w:val="fr-FR"/>
        </w:rPr>
        <w:t>Chypre c. Turquie</w:t>
      </w:r>
      <w:r w:rsidRPr="00720D91">
        <w:rPr>
          <w:rFonts w:ascii="Arial" w:hAnsi="Arial" w:cs="Arial"/>
          <w:sz w:val="18"/>
          <w:szCs w:val="18"/>
          <w:lang w:val="fr-FR"/>
        </w:rPr>
        <w:t xml:space="preserve">, </w:t>
      </w:r>
      <w:hyperlink r:id="rId97" w:history="1">
        <w:r w:rsidRPr="00720D91">
          <w:rPr>
            <w:rFonts w:ascii="Arial" w:hAnsi="Arial" w:cs="Arial"/>
            <w:sz w:val="18"/>
            <w:szCs w:val="18"/>
            <w:lang w:val="fr-FR"/>
          </w:rPr>
          <w:t>nos 6780/74 et 6950/75</w:t>
        </w:r>
      </w:hyperlink>
      <w:r w:rsidRPr="00720D91">
        <w:rPr>
          <w:rFonts w:ascii="Arial" w:hAnsi="Arial" w:cs="Arial"/>
          <w:sz w:val="18"/>
          <w:szCs w:val="18"/>
          <w:lang w:val="fr-FR"/>
        </w:rPr>
        <w:t xml:space="preserve">, p.138, 26 mai 1975 ; </w:t>
      </w:r>
      <w:hyperlink r:id="rId98" w:tgtFrame="_blank" w:history="1">
        <w:r w:rsidRPr="00720D91">
          <w:rPr>
            <w:rFonts w:ascii="Arial" w:hAnsi="Arial" w:cs="Arial"/>
            <w:sz w:val="18"/>
            <w:szCs w:val="18"/>
            <w:u w:val="single"/>
            <w:lang w:val="fr-FR"/>
          </w:rPr>
          <w:t>Chypre c. Turquie</w:t>
        </w:r>
        <w:r w:rsidRPr="00720D91">
          <w:rPr>
            <w:rFonts w:ascii="Arial" w:hAnsi="Arial" w:cs="Arial"/>
            <w:sz w:val="18"/>
            <w:szCs w:val="18"/>
            <w:lang w:val="fr-FR"/>
          </w:rPr>
          <w:t xml:space="preserve"> n° 8007/77</w:t>
        </w:r>
      </w:hyperlink>
      <w:r w:rsidRPr="00720D91">
        <w:rPr>
          <w:rFonts w:ascii="Arial" w:hAnsi="Arial" w:cs="Arial"/>
          <w:sz w:val="18"/>
          <w:szCs w:val="18"/>
          <w:lang w:val="fr-FR"/>
        </w:rPr>
        <w:t>, déc. 03.10.78, D.R. 13 p. 78, para. 56 à p. 156.</w:t>
      </w:r>
    </w:p>
  </w:footnote>
  <w:footnote w:id="67">
    <w:p w14:paraId="62DFE33D" w14:textId="77777777" w:rsidR="00D86968" w:rsidRPr="00720D91" w:rsidRDefault="00D86968" w:rsidP="00720D91">
      <w:pPr>
        <w:pStyle w:val="Notedebasdepage"/>
        <w:shd w:val="clear" w:color="auto" w:fill="FFFFFF" w:themeFill="background1"/>
        <w:jc w:val="both"/>
        <w:rPr>
          <w:rFonts w:ascii="Arial" w:hAnsi="Arial" w:cs="Arial"/>
          <w:sz w:val="18"/>
          <w:szCs w:val="18"/>
          <w:lang w:val="fr-FR"/>
        </w:rPr>
      </w:pPr>
      <w:r w:rsidRPr="00B94A1A">
        <w:rPr>
          <w:rFonts w:ascii="Arial" w:hAnsi="Arial" w:cs="Arial"/>
          <w:sz w:val="18"/>
          <w:szCs w:val="18"/>
          <w:vertAlign w:val="superscript"/>
        </w:rPr>
        <w:footnoteRef/>
      </w:r>
      <w:r w:rsidRPr="00720D91">
        <w:rPr>
          <w:rFonts w:ascii="Arial" w:hAnsi="Arial" w:cs="Arial"/>
          <w:sz w:val="18"/>
          <w:szCs w:val="18"/>
          <w:lang w:val="fr-FR"/>
        </w:rPr>
        <w:t xml:space="preserve"> </w:t>
      </w:r>
      <w:hyperlink r:id="rId99" w:history="1">
        <w:r w:rsidRPr="00720D91">
          <w:rPr>
            <w:rFonts w:ascii="Arial" w:hAnsi="Arial" w:cs="Arial"/>
            <w:sz w:val="18"/>
            <w:szCs w:val="18"/>
            <w:u w:val="single"/>
            <w:lang w:val="fr-FR"/>
          </w:rPr>
          <w:t>Ukraine c. Russie</w:t>
        </w:r>
        <w:r w:rsidRPr="00720D91">
          <w:rPr>
            <w:rFonts w:ascii="Arial" w:hAnsi="Arial" w:cs="Arial"/>
            <w:sz w:val="18"/>
            <w:szCs w:val="18"/>
            <w:lang w:val="fr-FR"/>
          </w:rPr>
          <w:t xml:space="preserve"> </w:t>
        </w:r>
      </w:hyperlink>
      <w:r w:rsidRPr="00720D91">
        <w:rPr>
          <w:rFonts w:ascii="Arial" w:hAnsi="Arial" w:cs="Arial"/>
          <w:sz w:val="18"/>
          <w:szCs w:val="18"/>
          <w:lang w:val="fr-FR"/>
        </w:rPr>
        <w:t>(déc) [GC], nos 20958/14 et 38334/18, § 271, 16 décembre 2020.</w:t>
      </w:r>
    </w:p>
  </w:footnote>
  <w:footnote w:id="68">
    <w:p w14:paraId="421D821D" w14:textId="77777777" w:rsidR="00D86968" w:rsidRPr="00720D91" w:rsidRDefault="00D86968" w:rsidP="00720D91">
      <w:pPr>
        <w:pStyle w:val="Notedebasdepage"/>
        <w:shd w:val="clear" w:color="auto" w:fill="FFFFFF" w:themeFill="background1"/>
        <w:jc w:val="both"/>
        <w:rPr>
          <w:rFonts w:ascii="Arial" w:hAnsi="Arial" w:cs="Arial"/>
          <w:sz w:val="18"/>
          <w:szCs w:val="18"/>
          <w:lang w:val="fr-FR"/>
        </w:rPr>
      </w:pPr>
      <w:r w:rsidRPr="00B94A1A">
        <w:rPr>
          <w:rFonts w:ascii="Arial" w:hAnsi="Arial" w:cs="Arial"/>
          <w:sz w:val="18"/>
          <w:szCs w:val="18"/>
          <w:vertAlign w:val="superscript"/>
        </w:rPr>
        <w:footnoteRef/>
      </w:r>
      <w:r w:rsidRPr="00720D91">
        <w:rPr>
          <w:rFonts w:ascii="Arial" w:hAnsi="Arial" w:cs="Arial"/>
          <w:sz w:val="18"/>
          <w:szCs w:val="18"/>
          <w:lang w:val="fr-FR"/>
        </w:rPr>
        <w:t xml:space="preserve"> </w:t>
      </w:r>
      <w:hyperlink r:id="rId100" w:history="1">
        <w:r w:rsidRPr="00720D91">
          <w:rPr>
            <w:rFonts w:ascii="Arial" w:hAnsi="Arial" w:cs="Arial"/>
            <w:sz w:val="18"/>
            <w:szCs w:val="18"/>
            <w:u w:val="single"/>
            <w:lang w:val="fr-FR"/>
          </w:rPr>
          <w:t>Ukraine c. Russie</w:t>
        </w:r>
        <w:r w:rsidRPr="00720D91">
          <w:rPr>
            <w:rFonts w:ascii="Arial" w:hAnsi="Arial" w:cs="Arial"/>
            <w:sz w:val="18"/>
            <w:szCs w:val="18"/>
            <w:lang w:val="fr-FR"/>
          </w:rPr>
          <w:t xml:space="preserve"> </w:t>
        </w:r>
      </w:hyperlink>
      <w:r w:rsidRPr="00720D91">
        <w:rPr>
          <w:rFonts w:ascii="Arial" w:hAnsi="Arial" w:cs="Arial"/>
          <w:sz w:val="18"/>
          <w:szCs w:val="18"/>
          <w:lang w:val="fr-FR"/>
        </w:rPr>
        <w:t>(déc) [GC], nos 20958/14 et 38334/18, § 272, 16 décembre 2020.</w:t>
      </w:r>
    </w:p>
  </w:footnote>
  <w:footnote w:id="69">
    <w:p w14:paraId="01155C0B" w14:textId="77777777" w:rsidR="00D86968" w:rsidRPr="00720D91" w:rsidRDefault="00D86968" w:rsidP="00720D91">
      <w:pPr>
        <w:pStyle w:val="Notedebasdepage"/>
        <w:shd w:val="clear" w:color="auto" w:fill="FFFFFF" w:themeFill="background1"/>
        <w:jc w:val="both"/>
        <w:rPr>
          <w:lang w:val="fr-FR"/>
        </w:rPr>
      </w:pPr>
      <w:r w:rsidRPr="00B94A1A">
        <w:rPr>
          <w:rFonts w:ascii="Arial" w:hAnsi="Arial" w:cs="Arial"/>
          <w:sz w:val="18"/>
          <w:szCs w:val="18"/>
          <w:vertAlign w:val="superscript"/>
        </w:rPr>
        <w:footnoteRef/>
      </w:r>
      <w:hyperlink r:id="rId101" w:history="1">
        <w:r w:rsidRPr="00720D91">
          <w:rPr>
            <w:rFonts w:ascii="Arial" w:hAnsi="Arial" w:cs="Arial"/>
            <w:sz w:val="18"/>
            <w:szCs w:val="18"/>
            <w:lang w:val="fr-FR"/>
          </w:rPr>
          <w:t xml:space="preserve"> </w:t>
        </w:r>
        <w:r w:rsidRPr="00720D91">
          <w:rPr>
            <w:rFonts w:ascii="Arial" w:hAnsi="Arial" w:cs="Arial"/>
            <w:sz w:val="18"/>
            <w:szCs w:val="18"/>
            <w:u w:val="single"/>
            <w:lang w:val="fr-FR"/>
          </w:rPr>
          <w:t>Slovénie c. Croatie</w:t>
        </w:r>
        <w:r w:rsidRPr="00720D91">
          <w:rPr>
            <w:rFonts w:ascii="Arial" w:hAnsi="Arial" w:cs="Arial"/>
            <w:sz w:val="18"/>
            <w:szCs w:val="18"/>
            <w:lang w:val="fr-FR"/>
          </w:rPr>
          <w:t xml:space="preserve"> </w:t>
        </w:r>
      </w:hyperlink>
      <w:r w:rsidRPr="00720D91">
        <w:rPr>
          <w:rFonts w:ascii="Arial" w:hAnsi="Arial" w:cs="Arial"/>
          <w:sz w:val="18"/>
          <w:szCs w:val="18"/>
          <w:lang w:val="fr-FR"/>
        </w:rPr>
        <w:t>(déc), n° 54155/16, §§ 46-70, 18 novembre 2020.</w:t>
      </w:r>
      <w:r w:rsidRPr="00720D91">
        <w:rPr>
          <w:rFonts w:ascii="Arial" w:hAnsi="Arial" w:cs="Arial"/>
          <w:b/>
          <w:bCs/>
          <w:sz w:val="18"/>
          <w:szCs w:val="18"/>
          <w:shd w:val="clear" w:color="auto" w:fill="D9D9D9" w:themeFill="background1" w:themeFillShade="D9"/>
          <w:lang w:val="fr-FR"/>
        </w:rPr>
        <w:t xml:space="preserve"> </w:t>
      </w:r>
    </w:p>
  </w:footnote>
  <w:footnote w:id="70">
    <w:p w14:paraId="2B78CCBE" w14:textId="77777777" w:rsidR="00D86968" w:rsidRPr="00720D91" w:rsidRDefault="00D86968" w:rsidP="00720D91">
      <w:pPr>
        <w:pStyle w:val="Notedebasdepage"/>
        <w:rPr>
          <w:lang w:val="fr-FR"/>
        </w:rPr>
      </w:pPr>
      <w:r w:rsidRPr="00644BCB">
        <w:rPr>
          <w:rStyle w:val="Appelnotedebasdep"/>
          <w:shd w:val="clear" w:color="auto" w:fill="FFFFFF" w:themeFill="background1"/>
        </w:rPr>
        <w:footnoteRef/>
      </w:r>
      <w:hyperlink r:id="rId102" w:history="1">
        <w:r w:rsidRPr="00720D91">
          <w:rPr>
            <w:rStyle w:val="Lienhypertexte"/>
            <w:rFonts w:ascii="Arial" w:hAnsi="Arial" w:cs="Arial"/>
            <w:i/>
            <w:iCs/>
            <w:color w:val="auto"/>
            <w:sz w:val="18"/>
            <w:szCs w:val="18"/>
            <w:shd w:val="clear" w:color="auto" w:fill="FFFFFF" w:themeFill="background1"/>
            <w:lang w:val="fr-FR"/>
          </w:rPr>
          <w:t xml:space="preserve"> Slovénie c. Croatie </w:t>
        </w:r>
      </w:hyperlink>
      <w:r w:rsidRPr="00720D91">
        <w:rPr>
          <w:rFonts w:ascii="Arial" w:hAnsi="Arial" w:cs="Arial"/>
          <w:i/>
          <w:iCs/>
          <w:sz w:val="18"/>
          <w:szCs w:val="18"/>
          <w:shd w:val="clear" w:color="auto" w:fill="FFFFFF" w:themeFill="background1"/>
          <w:lang w:val="fr-FR"/>
        </w:rPr>
        <w:t>(déc)</w:t>
      </w:r>
      <w:r w:rsidRPr="00720D91">
        <w:rPr>
          <w:rFonts w:ascii="Arial" w:hAnsi="Arial" w:cs="Arial"/>
          <w:sz w:val="18"/>
          <w:szCs w:val="18"/>
          <w:shd w:val="clear" w:color="auto" w:fill="FFFFFF" w:themeFill="background1"/>
          <w:lang w:val="fr-FR"/>
        </w:rPr>
        <w:t>, n° 54155/16, § 43, 18 novembre 2020.</w:t>
      </w:r>
    </w:p>
  </w:footnote>
  <w:footnote w:id="71">
    <w:p w14:paraId="54535816" w14:textId="77777777" w:rsidR="00D86968" w:rsidRPr="00720D91" w:rsidRDefault="00D86968" w:rsidP="00720D91">
      <w:pPr>
        <w:pStyle w:val="Notedebasdepage"/>
        <w:shd w:val="clear" w:color="auto" w:fill="FFFFFF" w:themeFill="background1"/>
        <w:rPr>
          <w:lang w:val="fr-FR"/>
        </w:rPr>
      </w:pPr>
      <w:r w:rsidRPr="00644BCB">
        <w:rPr>
          <w:rStyle w:val="Appelnotedebasdep"/>
          <w:shd w:val="clear" w:color="auto" w:fill="FFFFFF" w:themeFill="background1"/>
        </w:rPr>
        <w:footnoteRef/>
      </w:r>
      <w:hyperlink r:id="rId103" w:history="1">
        <w:r w:rsidRPr="00720D91">
          <w:rPr>
            <w:rStyle w:val="Lienhypertexte"/>
            <w:rFonts w:ascii="Arial" w:hAnsi="Arial" w:cs="Arial"/>
            <w:i/>
            <w:iCs/>
            <w:color w:val="auto"/>
            <w:sz w:val="18"/>
            <w:szCs w:val="18"/>
            <w:shd w:val="clear" w:color="auto" w:fill="FFFFFF" w:themeFill="background1"/>
            <w:lang w:val="fr-FR"/>
          </w:rPr>
          <w:t xml:space="preserve"> Slovénie c. Croatie </w:t>
        </w:r>
      </w:hyperlink>
      <w:r w:rsidRPr="00720D91">
        <w:rPr>
          <w:rFonts w:ascii="Arial" w:hAnsi="Arial" w:cs="Arial"/>
          <w:i/>
          <w:iCs/>
          <w:sz w:val="18"/>
          <w:szCs w:val="18"/>
          <w:shd w:val="clear" w:color="auto" w:fill="FFFFFF" w:themeFill="background1"/>
          <w:lang w:val="fr-FR"/>
        </w:rPr>
        <w:t>(déc)</w:t>
      </w:r>
      <w:r w:rsidRPr="00720D91">
        <w:rPr>
          <w:rFonts w:ascii="Arial" w:hAnsi="Arial" w:cs="Arial"/>
          <w:sz w:val="18"/>
          <w:szCs w:val="18"/>
          <w:shd w:val="clear" w:color="auto" w:fill="FFFFFF" w:themeFill="background1"/>
          <w:lang w:val="fr-FR"/>
        </w:rPr>
        <w:t>, n° 54155/16, § 76, 18 novembre 2020.</w:t>
      </w:r>
    </w:p>
  </w:footnote>
  <w:footnote w:id="72">
    <w:p w14:paraId="1C6718C7" w14:textId="77777777" w:rsidR="00D86968" w:rsidRPr="00720D91" w:rsidRDefault="00D86968" w:rsidP="00720D91">
      <w:pPr>
        <w:pStyle w:val="Notedebasdepage"/>
        <w:shd w:val="clear" w:color="auto" w:fill="FFFFFF" w:themeFill="background1"/>
        <w:rPr>
          <w:lang w:val="fr-FR"/>
        </w:rPr>
      </w:pPr>
      <w:r w:rsidRPr="00644BCB">
        <w:rPr>
          <w:rStyle w:val="Appelnotedebasdep"/>
          <w:shd w:val="clear" w:color="auto" w:fill="FFFFFF" w:themeFill="background1"/>
        </w:rPr>
        <w:footnoteRef/>
      </w:r>
      <w:hyperlink r:id="rId104" w:history="1">
        <w:r w:rsidRPr="00720D91">
          <w:rPr>
            <w:rStyle w:val="Lienhypertexte"/>
            <w:rFonts w:ascii="Arial" w:hAnsi="Arial" w:cs="Arial"/>
            <w:i/>
            <w:iCs/>
            <w:color w:val="auto"/>
            <w:sz w:val="18"/>
            <w:szCs w:val="18"/>
            <w:shd w:val="clear" w:color="auto" w:fill="FFFFFF" w:themeFill="background1"/>
            <w:lang w:val="fr-FR"/>
          </w:rPr>
          <w:t xml:space="preserve"> Slovénie c. Croatie </w:t>
        </w:r>
      </w:hyperlink>
      <w:r w:rsidRPr="00720D91">
        <w:rPr>
          <w:rFonts w:ascii="Arial" w:hAnsi="Arial" w:cs="Arial"/>
          <w:i/>
          <w:iCs/>
          <w:sz w:val="18"/>
          <w:szCs w:val="18"/>
          <w:shd w:val="clear" w:color="auto" w:fill="FFFFFF" w:themeFill="background1"/>
          <w:lang w:val="fr-FR"/>
        </w:rPr>
        <w:t>(déc)</w:t>
      </w:r>
      <w:r w:rsidRPr="00720D91">
        <w:rPr>
          <w:rFonts w:ascii="Arial" w:hAnsi="Arial" w:cs="Arial"/>
          <w:sz w:val="18"/>
          <w:szCs w:val="18"/>
          <w:shd w:val="clear" w:color="auto" w:fill="FFFFFF" w:themeFill="background1"/>
          <w:lang w:val="fr-FR"/>
        </w:rPr>
        <w:t>, n° 54155/16, § 70, 18 novembre 2020.</w:t>
      </w:r>
    </w:p>
  </w:footnote>
  <w:footnote w:id="73">
    <w:p w14:paraId="3A2E3EBE" w14:textId="77777777" w:rsidR="00D86968" w:rsidRPr="00720D91" w:rsidRDefault="00D86968" w:rsidP="00720D91">
      <w:pPr>
        <w:pStyle w:val="SingleTxtG"/>
        <w:spacing w:after="0" w:line="180" w:lineRule="exact"/>
        <w:ind w:left="0" w:right="0"/>
        <w:rPr>
          <w:rFonts w:ascii="Arial" w:hAnsi="Arial" w:cs="Arial"/>
          <w:sz w:val="18"/>
          <w:szCs w:val="18"/>
          <w:lang w:val="fr-FR"/>
        </w:rPr>
      </w:pPr>
      <w:r w:rsidRPr="00560F13">
        <w:rPr>
          <w:rStyle w:val="Appelnotedebasdep"/>
          <w:rFonts w:ascii="Arial" w:hAnsi="Arial" w:cs="Arial"/>
          <w:sz w:val="18"/>
          <w:szCs w:val="18"/>
        </w:rPr>
        <w:footnoteRef/>
      </w:r>
      <w:r w:rsidRPr="00720D91">
        <w:rPr>
          <w:rFonts w:ascii="Arial" w:hAnsi="Arial" w:cs="Arial"/>
          <w:sz w:val="18"/>
          <w:szCs w:val="18"/>
          <w:lang w:val="fr-FR"/>
        </w:rPr>
        <w:t xml:space="preserve"> Voir document </w:t>
      </w:r>
      <w:hyperlink r:id="rId105" w:history="1">
        <w:r w:rsidRPr="00720D91">
          <w:rPr>
            <w:rStyle w:val="Lienhypertexte"/>
            <w:rFonts w:ascii="Arial" w:hAnsi="Arial" w:cs="Arial"/>
            <w:sz w:val="18"/>
            <w:szCs w:val="18"/>
            <w:lang w:val="fr-FR"/>
          </w:rPr>
          <w:t>CDDH(2019)22</w:t>
        </w:r>
      </w:hyperlink>
    </w:p>
  </w:footnote>
  <w:footnote w:id="74">
    <w:p w14:paraId="1B29DE8F" w14:textId="77777777" w:rsidR="00D86968" w:rsidRPr="00720D91" w:rsidRDefault="00D86968" w:rsidP="00720D91">
      <w:pPr>
        <w:pStyle w:val="Notedebasdepage"/>
        <w:rPr>
          <w:lang w:val="fr-FR"/>
        </w:rPr>
      </w:pPr>
      <w:r>
        <w:rPr>
          <w:rStyle w:val="Appelnotedebasdep"/>
        </w:rPr>
        <w:footnoteRef/>
      </w:r>
      <w:r w:rsidRPr="00720D91">
        <w:rPr>
          <w:lang w:val="fr-FR"/>
        </w:rPr>
        <w:t xml:space="preserve"> </w:t>
      </w:r>
      <w:r w:rsidRPr="00720D91">
        <w:rPr>
          <w:rFonts w:ascii="Arial" w:hAnsi="Arial" w:cs="Arial"/>
          <w:sz w:val="18"/>
          <w:szCs w:val="18"/>
          <w:lang w:val="fr-FR"/>
        </w:rPr>
        <w:t xml:space="preserve">Voir commentaires de la Fédération de Russie dans le document </w:t>
      </w:r>
      <w:hyperlink r:id="rId106" w:history="1">
        <w:r w:rsidRPr="00720D91">
          <w:rPr>
            <w:rStyle w:val="Lienhypertexte"/>
            <w:rFonts w:ascii="Arial" w:hAnsi="Arial" w:cs="Arial"/>
            <w:sz w:val="18"/>
            <w:szCs w:val="18"/>
            <w:lang w:val="fr-FR"/>
          </w:rPr>
          <w:t>CDDH(2019)12</w:t>
        </w:r>
      </w:hyperlink>
      <w:r w:rsidRPr="00720D91">
        <w:rPr>
          <w:rFonts w:ascii="Arial" w:hAnsi="Arial" w:cs="Arial"/>
          <w:sz w:val="18"/>
          <w:szCs w:val="18"/>
          <w:lang w:val="fr-FR"/>
        </w:rPr>
        <w:t>, §§ 3.1. et 3.2 ; DH-SYSC-IV(2020)05Rev et DH-SYSC-IV(2020)06REV.</w:t>
      </w:r>
    </w:p>
  </w:footnote>
  <w:footnote w:id="75">
    <w:p w14:paraId="304BDE21" w14:textId="77777777" w:rsidR="00D86968" w:rsidRPr="00720D91" w:rsidRDefault="00D86968" w:rsidP="00720D91">
      <w:pPr>
        <w:pStyle w:val="SingleTxtG"/>
        <w:spacing w:after="0" w:line="180" w:lineRule="exact"/>
        <w:ind w:left="0" w:right="0"/>
        <w:rPr>
          <w:rFonts w:ascii="Arial" w:hAnsi="Arial" w:cs="Arial"/>
          <w:sz w:val="18"/>
          <w:szCs w:val="18"/>
          <w:lang w:val="fr-FR"/>
        </w:rPr>
      </w:pPr>
      <w:r w:rsidRPr="002D305B">
        <w:rPr>
          <w:rStyle w:val="Appelnotedebasdep"/>
          <w:rFonts w:ascii="Arial" w:hAnsi="Arial" w:cs="Arial"/>
          <w:sz w:val="18"/>
          <w:szCs w:val="18"/>
        </w:rPr>
        <w:footnoteRef/>
      </w:r>
      <w:r w:rsidRPr="00720D91">
        <w:rPr>
          <w:rFonts w:ascii="Arial" w:hAnsi="Arial" w:cs="Arial"/>
          <w:sz w:val="18"/>
          <w:szCs w:val="18"/>
          <w:lang w:val="fr-FR"/>
        </w:rPr>
        <w:t xml:space="preserve"> Voir commentaires de la Fédération de Russie dans le document </w:t>
      </w:r>
      <w:hyperlink r:id="rId107" w:history="1">
        <w:r w:rsidRPr="00720D91">
          <w:rPr>
            <w:rStyle w:val="Lienhypertexte"/>
            <w:rFonts w:ascii="Arial" w:hAnsi="Arial" w:cs="Arial"/>
            <w:sz w:val="18"/>
            <w:szCs w:val="18"/>
            <w:lang w:val="fr-FR"/>
          </w:rPr>
          <w:t>CDDH(2019)12</w:t>
        </w:r>
      </w:hyperlink>
      <w:r w:rsidRPr="00720D91">
        <w:rPr>
          <w:rFonts w:ascii="Arial" w:hAnsi="Arial" w:cs="Arial"/>
          <w:sz w:val="18"/>
          <w:szCs w:val="18"/>
          <w:lang w:val="fr-FR"/>
        </w:rPr>
        <w:t xml:space="preserve">, §§ 3.1. et 3.2. </w:t>
      </w:r>
    </w:p>
  </w:footnote>
  <w:footnote w:id="76">
    <w:p w14:paraId="69956B15" w14:textId="77777777" w:rsidR="00D86968" w:rsidRPr="00720D91" w:rsidRDefault="00D86968" w:rsidP="00720D91">
      <w:pPr>
        <w:pStyle w:val="SingleTxtG"/>
        <w:spacing w:after="0" w:line="180" w:lineRule="exact"/>
        <w:ind w:left="0" w:right="0"/>
        <w:rPr>
          <w:rFonts w:ascii="Arial" w:hAnsi="Arial" w:cs="Arial"/>
          <w:sz w:val="18"/>
          <w:szCs w:val="18"/>
          <w:lang w:val="fr-FR"/>
        </w:rPr>
      </w:pPr>
      <w:r w:rsidRPr="00560F13">
        <w:rPr>
          <w:rStyle w:val="Appelnotedebasdep"/>
          <w:rFonts w:ascii="Arial" w:hAnsi="Arial" w:cs="Arial"/>
          <w:sz w:val="18"/>
          <w:szCs w:val="18"/>
        </w:rPr>
        <w:footnoteRef/>
      </w:r>
      <w:r w:rsidRPr="00720D91">
        <w:rPr>
          <w:rFonts w:ascii="Arial" w:hAnsi="Arial" w:cs="Arial"/>
          <w:sz w:val="18"/>
          <w:szCs w:val="18"/>
          <w:lang w:val="fr-FR"/>
        </w:rPr>
        <w:t xml:space="preserve"> </w:t>
      </w:r>
      <w:hyperlink r:id="rId108" w:history="1">
        <w:r w:rsidRPr="00720D91">
          <w:rPr>
            <w:rStyle w:val="Lienhypertexte"/>
            <w:rFonts w:ascii="Arial" w:hAnsi="Arial" w:cs="Arial"/>
            <w:i/>
            <w:sz w:val="18"/>
            <w:szCs w:val="18"/>
            <w:lang w:val="fr-FR"/>
          </w:rPr>
          <w:t>Varnava et autres c. Turquie</w:t>
        </w:r>
      </w:hyperlink>
      <w:r w:rsidRPr="00720D91">
        <w:rPr>
          <w:rFonts w:ascii="Arial" w:hAnsi="Arial" w:cs="Arial"/>
          <w:sz w:val="18"/>
          <w:szCs w:val="18"/>
          <w:lang w:val="fr-FR"/>
        </w:rPr>
        <w:t>, nos. 16064/90, 16065/90, 16066/90, 16068/90, 16069/90, 16070/90, 16071/90, 16072/90 and 16073/90, §§ 118 and 119, 18 septembre 2009.</w:t>
      </w:r>
    </w:p>
  </w:footnote>
  <w:footnote w:id="77">
    <w:p w14:paraId="2439EF54" w14:textId="77777777" w:rsidR="00D86968" w:rsidRPr="00DC52A8" w:rsidRDefault="00D86968" w:rsidP="00720D91">
      <w:pPr>
        <w:jc w:val="both"/>
      </w:pPr>
      <w:r w:rsidRPr="00560F13">
        <w:rPr>
          <w:rStyle w:val="Appelnotedebasdep"/>
          <w:rFonts w:ascii="Arial" w:hAnsi="Arial" w:cs="Arial"/>
          <w:sz w:val="18"/>
          <w:szCs w:val="18"/>
        </w:rPr>
        <w:footnoteRef/>
      </w:r>
      <w:r w:rsidRPr="00560F13">
        <w:rPr>
          <w:rFonts w:ascii="Arial" w:hAnsi="Arial" w:cs="Arial"/>
          <w:sz w:val="18"/>
          <w:szCs w:val="18"/>
        </w:rPr>
        <w:t xml:space="preserve"> </w:t>
      </w:r>
      <w:r>
        <w:rPr>
          <w:rFonts w:ascii="Arial" w:hAnsi="Arial" w:cs="Arial"/>
          <w:sz w:val="18"/>
          <w:szCs w:val="18"/>
        </w:rPr>
        <w:t>Voir Déclaration de Copenhague</w:t>
      </w:r>
      <w:r w:rsidRPr="00560F13">
        <w:rPr>
          <w:rFonts w:ascii="Arial" w:hAnsi="Arial" w:cs="Arial"/>
          <w:sz w:val="18"/>
          <w:szCs w:val="18"/>
        </w:rPr>
        <w:t xml:space="preserve">, § 45. </w:t>
      </w:r>
      <w:r w:rsidRPr="00B850CF">
        <w:rPr>
          <w:rFonts w:ascii="Arial" w:hAnsi="Arial" w:cs="Arial"/>
          <w:sz w:val="18"/>
          <w:szCs w:val="18"/>
        </w:rPr>
        <w:t xml:space="preserve">Voir également </w:t>
      </w:r>
      <w:hyperlink r:id="rId109" w:history="1">
        <w:r w:rsidRPr="00DC52A8">
          <w:rPr>
            <w:rStyle w:val="Lienhypertexte"/>
            <w:rFonts w:ascii="Arial" w:eastAsiaTheme="majorEastAsia" w:hAnsi="Arial" w:cs="Arial"/>
            <w:i/>
            <w:sz w:val="18"/>
            <w:szCs w:val="18"/>
          </w:rPr>
          <w:t>Berdzenishvili et autres c. Russi</w:t>
        </w:r>
        <w:r w:rsidRPr="00DC52A8">
          <w:rPr>
            <w:rStyle w:val="Lienhypertexte"/>
            <w:rFonts w:ascii="Arial" w:eastAsiaTheme="majorEastAsia" w:hAnsi="Arial" w:cs="Arial"/>
            <w:sz w:val="18"/>
            <w:szCs w:val="18"/>
          </w:rPr>
          <w:t>e</w:t>
        </w:r>
      </w:hyperlink>
      <w:r w:rsidRPr="00B850CF">
        <w:rPr>
          <w:rFonts w:ascii="Arial" w:hAnsi="Arial" w:cs="Arial"/>
          <w:sz w:val="18"/>
          <w:szCs w:val="18"/>
        </w:rPr>
        <w:t xml:space="preserve">, nos. 14594/07 et 6 autres, § 4, 20 décembre 2016; et voir </w:t>
      </w:r>
      <w:hyperlink r:id="rId110" w:history="1">
        <w:r w:rsidRPr="00B850CF">
          <w:rPr>
            <w:rStyle w:val="Lienhypertexte"/>
            <w:rFonts w:ascii="Arial" w:eastAsiaTheme="majorEastAsia" w:hAnsi="Arial" w:cs="Arial"/>
            <w:sz w:val="18"/>
            <w:szCs w:val="18"/>
          </w:rPr>
          <w:t>communiqué de presse</w:t>
        </w:r>
      </w:hyperlink>
      <w:r w:rsidRPr="00B850CF">
        <w:rPr>
          <w:rFonts w:ascii="Arial" w:hAnsi="Arial" w:cs="Arial"/>
          <w:sz w:val="18"/>
          <w:szCs w:val="18"/>
        </w:rPr>
        <w:t xml:space="preserve"> “</w:t>
      </w:r>
      <w:r w:rsidRPr="00DC52A8">
        <w:rPr>
          <w:rFonts w:ascii="Arial" w:hAnsi="Arial" w:cs="Arial"/>
          <w:sz w:val="18"/>
          <w:szCs w:val="18"/>
        </w:rPr>
        <w:t>La CEDH va ajourner des requêtes individuelles portant sur l’Ukraine de l’est” ECHR 432 (2018), 17 décembre 2018.</w:t>
      </w:r>
    </w:p>
  </w:footnote>
  <w:footnote w:id="78">
    <w:p w14:paraId="5D9F362A" w14:textId="77777777" w:rsidR="00D86968" w:rsidRPr="00720D91" w:rsidRDefault="00D86968" w:rsidP="00720D91">
      <w:pPr>
        <w:pStyle w:val="SingleTxtG"/>
        <w:spacing w:after="0" w:line="180" w:lineRule="exact"/>
        <w:ind w:left="0" w:right="0"/>
        <w:rPr>
          <w:rFonts w:ascii="Arial" w:hAnsi="Arial" w:cs="Arial"/>
          <w:sz w:val="18"/>
          <w:szCs w:val="18"/>
          <w:lang w:val="fr-FR"/>
        </w:rPr>
      </w:pPr>
      <w:r w:rsidRPr="00560F13">
        <w:rPr>
          <w:rStyle w:val="Appelnotedebasdep"/>
          <w:rFonts w:ascii="Arial" w:hAnsi="Arial" w:cs="Arial"/>
          <w:sz w:val="18"/>
          <w:szCs w:val="18"/>
        </w:rPr>
        <w:footnoteRef/>
      </w:r>
      <w:r w:rsidRPr="00720D91">
        <w:rPr>
          <w:rFonts w:ascii="Arial" w:hAnsi="Arial" w:cs="Arial"/>
          <w:sz w:val="18"/>
          <w:szCs w:val="18"/>
          <w:lang w:val="fr-FR"/>
        </w:rPr>
        <w:t xml:space="preserve"> </w:t>
      </w:r>
      <w:hyperlink r:id="rId111" w:anchor="{%22appno%22:[%2244913/15%22],%22itemid%22:[%22001-165566%22]}" w:history="1">
        <w:r w:rsidRPr="00720D91">
          <w:rPr>
            <w:rStyle w:val="Lienhypertexte"/>
            <w:rFonts w:ascii="Arial" w:hAnsi="Arial" w:cs="Arial"/>
            <w:i/>
            <w:iCs/>
            <w:sz w:val="18"/>
            <w:szCs w:val="18"/>
            <w:lang w:val="fr-FR"/>
          </w:rPr>
          <w:t>Lisnyy and others v. Ukraine and Russia</w:t>
        </w:r>
        <w:r w:rsidRPr="00720D91">
          <w:rPr>
            <w:rStyle w:val="Lienhypertexte"/>
            <w:rFonts w:ascii="Arial" w:hAnsi="Arial" w:cs="Arial"/>
            <w:sz w:val="18"/>
            <w:szCs w:val="18"/>
            <w:lang w:val="fr-FR"/>
          </w:rPr>
          <w:t xml:space="preserve"> </w:t>
        </w:r>
      </w:hyperlink>
      <w:r w:rsidRPr="00720D91">
        <w:rPr>
          <w:rFonts w:ascii="Arial" w:hAnsi="Arial" w:cs="Arial"/>
          <w:sz w:val="18"/>
          <w:szCs w:val="18"/>
          <w:lang w:val="fr-FR"/>
        </w:rPr>
        <w:t xml:space="preserve"> nos. 5355/15, 44913/15 et 50852/15, 5 juillet 2016 (anglais uniquement). </w:t>
      </w:r>
    </w:p>
  </w:footnote>
  <w:footnote w:id="79">
    <w:p w14:paraId="3FEDE27E" w14:textId="77777777" w:rsidR="00D86968" w:rsidRPr="00720D91" w:rsidRDefault="00D86968" w:rsidP="00720D91">
      <w:pPr>
        <w:pStyle w:val="SingleTxtG"/>
        <w:spacing w:after="0" w:line="180" w:lineRule="exact"/>
        <w:ind w:left="0" w:right="0"/>
        <w:rPr>
          <w:rFonts w:ascii="Arial" w:hAnsi="Arial" w:cs="Arial"/>
          <w:sz w:val="18"/>
          <w:szCs w:val="18"/>
          <w:lang w:val="fr-FR"/>
        </w:rPr>
      </w:pPr>
      <w:r w:rsidRPr="00560F13">
        <w:rPr>
          <w:rStyle w:val="Appelnotedebasdep"/>
          <w:rFonts w:ascii="Arial" w:hAnsi="Arial" w:cs="Arial"/>
          <w:sz w:val="18"/>
          <w:szCs w:val="18"/>
        </w:rPr>
        <w:footnoteRef/>
      </w:r>
      <w:r w:rsidRPr="00720D91">
        <w:rPr>
          <w:rFonts w:ascii="Arial" w:hAnsi="Arial" w:cs="Arial"/>
          <w:sz w:val="18"/>
          <w:szCs w:val="18"/>
          <w:lang w:val="fr-FR"/>
        </w:rPr>
        <w:t xml:space="preserve"> Voir </w:t>
      </w:r>
      <w:hyperlink r:id="rId112" w:history="1">
        <w:r w:rsidRPr="00720D91">
          <w:rPr>
            <w:rStyle w:val="Lienhypertexte"/>
            <w:rFonts w:ascii="Arial" w:hAnsi="Arial" w:cs="Arial"/>
            <w:sz w:val="18"/>
            <w:szCs w:val="18"/>
            <w:lang w:val="fr-FR"/>
          </w:rPr>
          <w:t>communiqué de presse</w:t>
        </w:r>
      </w:hyperlink>
      <w:r w:rsidRPr="00720D91">
        <w:rPr>
          <w:rFonts w:ascii="Arial" w:hAnsi="Arial" w:cs="Arial"/>
          <w:sz w:val="18"/>
          <w:szCs w:val="18"/>
          <w:lang w:val="fr-FR"/>
        </w:rPr>
        <w:t xml:space="preserve"> “</w:t>
      </w:r>
      <w:r w:rsidRPr="00720D91">
        <w:rPr>
          <w:rFonts w:ascii="Arial" w:eastAsiaTheme="minorHAnsi" w:hAnsi="Arial" w:cs="Arial"/>
          <w:sz w:val="18"/>
          <w:szCs w:val="18"/>
          <w:lang w:val="fr-FR"/>
        </w:rPr>
        <w:t>La CEDH va ajourner des requêtes individuelles portant sur l’Ukraine de l’est</w:t>
      </w:r>
      <w:r w:rsidRPr="00720D91">
        <w:rPr>
          <w:rFonts w:ascii="Arial" w:hAnsi="Arial" w:cs="Arial"/>
          <w:sz w:val="18"/>
          <w:szCs w:val="18"/>
          <w:lang w:val="fr-FR"/>
        </w:rPr>
        <w:t>” ECHR 432 (2018), 17 décembre 2018.</w:t>
      </w:r>
    </w:p>
  </w:footnote>
  <w:footnote w:id="80">
    <w:p w14:paraId="2416D192" w14:textId="77777777" w:rsidR="00D86968" w:rsidRPr="00720D91" w:rsidRDefault="00D86968" w:rsidP="00720D91">
      <w:pPr>
        <w:pStyle w:val="SingleTxtG"/>
        <w:spacing w:after="0" w:line="180" w:lineRule="exact"/>
        <w:ind w:left="0" w:right="0"/>
        <w:rPr>
          <w:rFonts w:ascii="Arial" w:hAnsi="Arial" w:cs="Arial"/>
          <w:sz w:val="18"/>
          <w:szCs w:val="18"/>
          <w:lang w:val="fr-FR"/>
        </w:rPr>
      </w:pPr>
      <w:r w:rsidRPr="00560F13">
        <w:rPr>
          <w:rStyle w:val="Appelnotedebasdep"/>
          <w:rFonts w:ascii="Arial" w:hAnsi="Arial" w:cs="Arial"/>
          <w:sz w:val="18"/>
          <w:szCs w:val="18"/>
        </w:rPr>
        <w:footnoteRef/>
      </w:r>
      <w:r w:rsidRPr="00720D91">
        <w:rPr>
          <w:rFonts w:ascii="Arial" w:hAnsi="Arial" w:cs="Arial"/>
          <w:sz w:val="18"/>
          <w:szCs w:val="18"/>
          <w:lang w:val="fr-FR"/>
        </w:rPr>
        <w:t xml:space="preserve"> Voir document </w:t>
      </w:r>
      <w:hyperlink r:id="rId113" w:history="1">
        <w:r w:rsidRPr="00720D91">
          <w:rPr>
            <w:rStyle w:val="Lienhypertexte"/>
            <w:rFonts w:ascii="Arial" w:hAnsi="Arial" w:cs="Arial"/>
            <w:sz w:val="18"/>
            <w:szCs w:val="18"/>
            <w:lang w:val="fr-FR"/>
          </w:rPr>
          <w:t>CDDH(2019)22</w:t>
        </w:r>
      </w:hyperlink>
      <w:r w:rsidRPr="00720D91">
        <w:rPr>
          <w:rFonts w:ascii="Arial" w:hAnsi="Arial" w:cs="Arial"/>
          <w:sz w:val="18"/>
          <w:szCs w:val="18"/>
          <w:lang w:val="fr-FR"/>
        </w:rPr>
        <w:t>, § 25.</w:t>
      </w:r>
    </w:p>
  </w:footnote>
  <w:footnote w:id="81">
    <w:p w14:paraId="1A7280B1" w14:textId="77777777" w:rsidR="00D86968" w:rsidRPr="00567E85" w:rsidRDefault="00D86968" w:rsidP="00720D91">
      <w:pPr>
        <w:jc w:val="both"/>
      </w:pPr>
      <w:r w:rsidRPr="00560F13">
        <w:rPr>
          <w:rStyle w:val="Appelnotedebasdep"/>
          <w:rFonts w:ascii="Arial" w:hAnsi="Arial" w:cs="Arial"/>
          <w:sz w:val="18"/>
          <w:szCs w:val="18"/>
        </w:rPr>
        <w:footnoteRef/>
      </w:r>
      <w:r w:rsidRPr="00567E85">
        <w:rPr>
          <w:rFonts w:ascii="Arial" w:hAnsi="Arial" w:cs="Arial"/>
          <w:sz w:val="18"/>
          <w:szCs w:val="18"/>
        </w:rPr>
        <w:t xml:space="preserve"> Voir </w:t>
      </w:r>
      <w:hyperlink r:id="rId114" w:history="1">
        <w:r w:rsidRPr="00567E85">
          <w:rPr>
            <w:rStyle w:val="Lienhypertexte"/>
            <w:rFonts w:ascii="Arial" w:eastAsiaTheme="majorEastAsia" w:hAnsi="Arial" w:cs="Arial"/>
            <w:sz w:val="18"/>
            <w:szCs w:val="18"/>
          </w:rPr>
          <w:t>Communiqué de presse</w:t>
        </w:r>
      </w:hyperlink>
      <w:r w:rsidRPr="00567E85">
        <w:rPr>
          <w:rFonts w:ascii="Arial" w:hAnsi="Arial" w:cs="Arial"/>
          <w:sz w:val="18"/>
          <w:szCs w:val="18"/>
        </w:rPr>
        <w:t>, “</w:t>
      </w:r>
      <w:r w:rsidRPr="00567E85">
        <w:rPr>
          <w:rFonts w:ascii="Arial" w:hAnsi="Arial" w:cs="Arial"/>
          <w:sz w:val="18"/>
          <w:szCs w:val="18"/>
          <w:lang w:eastAsia="zh-CN"/>
        </w:rPr>
        <w:t>La Cour européenne joint trois requêtes intérétatiques”,</w:t>
      </w:r>
      <w:r w:rsidRPr="00567E85">
        <w:rPr>
          <w:rFonts w:ascii="Arial" w:hAnsi="Arial" w:cs="Arial"/>
          <w:sz w:val="18"/>
          <w:szCs w:val="18"/>
        </w:rPr>
        <w:t xml:space="preserve"> ECHR 354 (2020), 4 </w:t>
      </w:r>
      <w:r>
        <w:rPr>
          <w:rFonts w:ascii="Arial" w:hAnsi="Arial" w:cs="Arial"/>
          <w:sz w:val="18"/>
          <w:szCs w:val="18"/>
        </w:rPr>
        <w:t>décembre</w:t>
      </w:r>
      <w:r w:rsidRPr="00567E85">
        <w:rPr>
          <w:rFonts w:ascii="Arial" w:hAnsi="Arial" w:cs="Arial"/>
          <w:sz w:val="18"/>
          <w:szCs w:val="18"/>
        </w:rPr>
        <w:t xml:space="preserve"> 2020. </w:t>
      </w:r>
    </w:p>
  </w:footnote>
  <w:footnote w:id="82">
    <w:p w14:paraId="35BFD80C" w14:textId="77777777" w:rsidR="00D86968" w:rsidRPr="00720D91" w:rsidRDefault="00D86968" w:rsidP="00720D91">
      <w:pPr>
        <w:pStyle w:val="SingleTxtG"/>
        <w:spacing w:after="0" w:line="180" w:lineRule="exact"/>
        <w:ind w:left="0" w:right="0"/>
        <w:rPr>
          <w:rFonts w:ascii="Arial" w:hAnsi="Arial" w:cs="Arial"/>
          <w:sz w:val="18"/>
          <w:szCs w:val="18"/>
          <w:lang w:val="fr-FR"/>
        </w:rPr>
      </w:pPr>
      <w:r w:rsidRPr="00560F13">
        <w:rPr>
          <w:rStyle w:val="Appelnotedebasdep"/>
          <w:rFonts w:ascii="Arial" w:hAnsi="Arial" w:cs="Arial"/>
          <w:sz w:val="18"/>
          <w:szCs w:val="18"/>
        </w:rPr>
        <w:footnoteRef/>
      </w:r>
      <w:r w:rsidRPr="00720D91">
        <w:rPr>
          <w:rFonts w:ascii="Arial" w:hAnsi="Arial" w:cs="Arial"/>
          <w:sz w:val="18"/>
          <w:szCs w:val="18"/>
          <w:lang w:val="fr-FR"/>
        </w:rPr>
        <w:t xml:space="preserve"> </w:t>
      </w:r>
      <w:hyperlink r:id="rId115" w:history="1">
        <w:r w:rsidRPr="00720D91">
          <w:rPr>
            <w:rStyle w:val="Lienhypertexte"/>
            <w:rFonts w:ascii="Arial" w:hAnsi="Arial" w:cs="Arial"/>
            <w:i/>
            <w:iCs/>
            <w:sz w:val="18"/>
            <w:szCs w:val="18"/>
            <w:lang w:val="fr-FR"/>
          </w:rPr>
          <w:t>Ukraine c. Russie</w:t>
        </w:r>
      </w:hyperlink>
      <w:r w:rsidRPr="00720D91">
        <w:rPr>
          <w:rFonts w:ascii="Arial" w:hAnsi="Arial" w:cs="Arial"/>
          <w:i/>
          <w:iCs/>
          <w:sz w:val="18"/>
          <w:szCs w:val="18"/>
          <w:lang w:val="fr-FR"/>
        </w:rPr>
        <w:t xml:space="preserve"> (dec) [GC]</w:t>
      </w:r>
      <w:r w:rsidRPr="00720D91">
        <w:rPr>
          <w:rFonts w:ascii="Arial" w:hAnsi="Arial" w:cs="Arial"/>
          <w:sz w:val="18"/>
          <w:szCs w:val="18"/>
          <w:lang w:val="fr-FR"/>
        </w:rPr>
        <w:t>, nos. 20958/14 et 38334/18, § 236-245, 16 décembre 2020.</w:t>
      </w:r>
    </w:p>
  </w:footnote>
  <w:footnote w:id="83">
    <w:p w14:paraId="1BD024B8" w14:textId="77777777" w:rsidR="00D86968" w:rsidRPr="00720D91" w:rsidRDefault="00D86968" w:rsidP="00720D91">
      <w:pPr>
        <w:pStyle w:val="SingleTxtG"/>
        <w:spacing w:after="0" w:line="180" w:lineRule="exact"/>
        <w:ind w:left="0" w:right="0"/>
        <w:rPr>
          <w:rFonts w:ascii="Arial" w:hAnsi="Arial" w:cs="Arial"/>
          <w:sz w:val="18"/>
          <w:szCs w:val="18"/>
          <w:lang w:val="fr-FR"/>
        </w:rPr>
      </w:pPr>
      <w:r w:rsidRPr="00560F13">
        <w:rPr>
          <w:rStyle w:val="Appelnotedebasdep"/>
          <w:rFonts w:ascii="Arial" w:hAnsi="Arial" w:cs="Arial"/>
          <w:sz w:val="18"/>
          <w:szCs w:val="18"/>
        </w:rPr>
        <w:footnoteRef/>
      </w:r>
      <w:r w:rsidRPr="00720D91">
        <w:rPr>
          <w:rFonts w:ascii="Arial" w:hAnsi="Arial" w:cs="Arial"/>
          <w:sz w:val="18"/>
          <w:szCs w:val="18"/>
          <w:lang w:val="fr-FR"/>
        </w:rPr>
        <w:t xml:space="preserve"> </w:t>
      </w:r>
      <w:hyperlink r:id="rId116" w:history="1">
        <w:r w:rsidRPr="00720D91">
          <w:rPr>
            <w:rStyle w:val="Lienhypertexte"/>
            <w:rFonts w:ascii="Arial" w:hAnsi="Arial" w:cs="Arial"/>
            <w:i/>
            <w:iCs/>
            <w:sz w:val="18"/>
            <w:szCs w:val="18"/>
            <w:lang w:val="fr-FR"/>
          </w:rPr>
          <w:t>Ukraine c. Russie</w:t>
        </w:r>
      </w:hyperlink>
      <w:r w:rsidRPr="00720D91">
        <w:rPr>
          <w:rFonts w:ascii="Arial" w:hAnsi="Arial" w:cs="Arial"/>
          <w:i/>
          <w:iCs/>
          <w:sz w:val="18"/>
          <w:szCs w:val="18"/>
          <w:lang w:val="fr-FR"/>
        </w:rPr>
        <w:t xml:space="preserve"> (dec) [GC]</w:t>
      </w:r>
      <w:r w:rsidRPr="00720D91">
        <w:rPr>
          <w:rFonts w:ascii="Arial" w:hAnsi="Arial" w:cs="Arial"/>
          <w:sz w:val="18"/>
          <w:szCs w:val="18"/>
          <w:lang w:val="fr-FR"/>
        </w:rPr>
        <w:t xml:space="preserve">, nos. 20958/14 et 38334/18, § 240, 16 décembre 2020. </w:t>
      </w:r>
    </w:p>
  </w:footnote>
  <w:footnote w:id="84">
    <w:p w14:paraId="1B1D70F3" w14:textId="77777777" w:rsidR="00D86968" w:rsidRPr="002D305B" w:rsidRDefault="00D86968" w:rsidP="00720D91">
      <w:pPr>
        <w:pStyle w:val="Sansinterligne"/>
        <w:jc w:val="both"/>
        <w:rPr>
          <w:rFonts w:ascii="Arial" w:hAnsi="Arial" w:cs="Arial"/>
          <w:sz w:val="18"/>
          <w:szCs w:val="18"/>
        </w:rPr>
      </w:pPr>
      <w:r w:rsidRPr="002D305B">
        <w:rPr>
          <w:rStyle w:val="Appelnotedebasdep"/>
          <w:rFonts w:ascii="Arial" w:hAnsi="Arial" w:cs="Arial"/>
          <w:sz w:val="18"/>
          <w:szCs w:val="18"/>
        </w:rPr>
        <w:footnoteRef/>
      </w:r>
      <w:r w:rsidRPr="002D305B">
        <w:rPr>
          <w:rFonts w:ascii="Arial" w:hAnsi="Arial" w:cs="Arial"/>
          <w:sz w:val="18"/>
          <w:szCs w:val="18"/>
        </w:rPr>
        <w:t xml:space="preserve"> Voir les commentaires de la Fédération de Russie dans le document </w:t>
      </w:r>
      <w:bookmarkStart w:id="19" w:name="_Hlk67304788"/>
      <w:r w:rsidRPr="002D305B">
        <w:fldChar w:fldCharType="begin"/>
      </w:r>
      <w:r w:rsidRPr="002D305B">
        <w:instrText xml:space="preserve"> </w:instrText>
      </w:r>
      <w:r>
        <w:instrText>HYPERLINK</w:instrText>
      </w:r>
      <w:r w:rsidRPr="002D305B">
        <w:instrText xml:space="preserve"> "https://rm.coe.int/steering-committee-for-human-rights-comite-directeur-pour-les-droits-d/1680943434" </w:instrText>
      </w:r>
      <w:r w:rsidRPr="002D305B">
        <w:fldChar w:fldCharType="separate"/>
      </w:r>
      <w:r w:rsidRPr="002D305B">
        <w:rPr>
          <w:rStyle w:val="Lienhypertexte"/>
          <w:rFonts w:ascii="Arial" w:eastAsiaTheme="majorEastAsia" w:hAnsi="Arial" w:cs="Arial"/>
          <w:sz w:val="18"/>
          <w:szCs w:val="18"/>
        </w:rPr>
        <w:t>CDDH(2019)12</w:t>
      </w:r>
      <w:r w:rsidRPr="002D305B">
        <w:rPr>
          <w:rStyle w:val="Lienhypertexte"/>
          <w:rFonts w:ascii="Arial" w:eastAsiaTheme="majorEastAsia" w:hAnsi="Arial" w:cs="Arial"/>
          <w:sz w:val="18"/>
          <w:szCs w:val="18"/>
        </w:rPr>
        <w:fldChar w:fldCharType="end"/>
      </w:r>
      <w:bookmarkEnd w:id="19"/>
      <w:r w:rsidRPr="002D305B">
        <w:rPr>
          <w:rStyle w:val="Lienhypertexte"/>
          <w:rFonts w:ascii="Arial" w:eastAsiaTheme="majorEastAsia" w:hAnsi="Arial" w:cs="Arial"/>
          <w:sz w:val="18"/>
          <w:szCs w:val="18"/>
        </w:rPr>
        <w:t xml:space="preserve"> </w:t>
      </w:r>
      <w:r w:rsidRPr="002D305B">
        <w:rPr>
          <w:rFonts w:ascii="Arial" w:hAnsi="Arial" w:cs="Arial"/>
          <w:sz w:val="18"/>
          <w:szCs w:val="18"/>
        </w:rPr>
        <w:t>§§ 3.1. et 3.2.</w:t>
      </w:r>
    </w:p>
  </w:footnote>
  <w:footnote w:id="85">
    <w:p w14:paraId="5382E667" w14:textId="77777777" w:rsidR="00D86968" w:rsidRPr="002D305B" w:rsidRDefault="00D86968" w:rsidP="00720D91">
      <w:pPr>
        <w:pStyle w:val="Sansinterligne"/>
        <w:jc w:val="both"/>
        <w:rPr>
          <w:rFonts w:ascii="Arial" w:hAnsi="Arial" w:cs="Arial"/>
          <w:sz w:val="18"/>
          <w:szCs w:val="18"/>
        </w:rPr>
      </w:pPr>
      <w:r w:rsidRPr="002D305B">
        <w:rPr>
          <w:rStyle w:val="Appelnotedebasdep"/>
          <w:rFonts w:ascii="Arial" w:hAnsi="Arial" w:cs="Arial"/>
          <w:sz w:val="18"/>
          <w:szCs w:val="18"/>
        </w:rPr>
        <w:footnoteRef/>
      </w:r>
      <w:r w:rsidRPr="002D305B">
        <w:rPr>
          <w:rFonts w:ascii="Arial" w:hAnsi="Arial" w:cs="Arial"/>
          <w:sz w:val="18"/>
          <w:szCs w:val="18"/>
        </w:rPr>
        <w:t xml:space="preserve"> </w:t>
      </w:r>
      <w:r w:rsidRPr="002D305B">
        <w:rPr>
          <w:rFonts w:ascii="Arial" w:hAnsi="Arial" w:cs="Arial"/>
          <w:sz w:val="18"/>
        </w:rPr>
        <w:t xml:space="preserve">Ibid. </w:t>
      </w:r>
      <w:r w:rsidRPr="002D305B">
        <w:rPr>
          <w:rFonts w:ascii="Arial" w:hAnsi="Arial" w:cs="Arial"/>
          <w:sz w:val="18"/>
          <w:szCs w:val="18"/>
        </w:rPr>
        <w:t>§§ 46, 47.</w:t>
      </w:r>
    </w:p>
  </w:footnote>
  <w:footnote w:id="86">
    <w:p w14:paraId="5FCDEC3C" w14:textId="77777777" w:rsidR="00D86968" w:rsidRPr="00720D91" w:rsidRDefault="00D86968" w:rsidP="00720D91">
      <w:pPr>
        <w:pStyle w:val="Notedebasdepage"/>
        <w:jc w:val="both"/>
        <w:rPr>
          <w:lang w:val="fr-FR"/>
        </w:rPr>
      </w:pPr>
      <w:r w:rsidRPr="002D305B">
        <w:rPr>
          <w:rStyle w:val="Appelnotedebasdep"/>
          <w:rFonts w:ascii="Arial" w:hAnsi="Arial" w:cs="Arial"/>
          <w:sz w:val="18"/>
          <w:szCs w:val="18"/>
        </w:rPr>
        <w:footnoteRef/>
      </w:r>
      <w:hyperlink r:id="rId117" w:history="1">
        <w:r w:rsidRPr="00720D91">
          <w:rPr>
            <w:rStyle w:val="Lienhypertexte"/>
            <w:rFonts w:ascii="Arial" w:hAnsi="Arial" w:cs="Arial"/>
            <w:i/>
            <w:iCs/>
            <w:sz w:val="18"/>
            <w:szCs w:val="18"/>
            <w:lang w:val="fr-FR"/>
          </w:rPr>
          <w:t xml:space="preserve"> </w:t>
        </w:r>
      </w:hyperlink>
      <w:hyperlink r:id="rId118" w:history="1">
        <w:r w:rsidRPr="00720D91">
          <w:rPr>
            <w:rStyle w:val="Lienhypertexte"/>
            <w:rFonts w:ascii="Arial" w:hAnsi="Arial" w:cs="Arial"/>
            <w:i/>
            <w:iCs/>
            <w:sz w:val="18"/>
            <w:szCs w:val="18"/>
            <w:lang w:val="fr-FR"/>
          </w:rPr>
          <w:t>Vojnović c. Croatie</w:t>
        </w:r>
      </w:hyperlink>
      <w:bookmarkStart w:id="20" w:name="_Hlk46129737"/>
      <w:r w:rsidRPr="002D305B">
        <w:fldChar w:fldCharType="begin"/>
      </w:r>
      <w:r w:rsidRPr="00720D91">
        <w:rPr>
          <w:lang w:val="fr-FR"/>
        </w:rPr>
        <w:instrText xml:space="preserve"> HYPERLINK "http://hudoc.echr.coe.int/eng?i=001-112143" </w:instrText>
      </w:r>
      <w:r w:rsidRPr="002D305B">
        <w:fldChar w:fldCharType="separate"/>
      </w:r>
      <w:r w:rsidRPr="00720D91">
        <w:rPr>
          <w:rStyle w:val="Lienhypertexte"/>
          <w:rFonts w:ascii="Arial" w:hAnsi="Arial" w:cs="Arial"/>
          <w:i/>
          <w:iCs/>
          <w:sz w:val="18"/>
          <w:szCs w:val="18"/>
          <w:lang w:val="fr-FR"/>
        </w:rPr>
        <w:t xml:space="preserve"> </w:t>
      </w:r>
      <w:r w:rsidRPr="002D305B">
        <w:rPr>
          <w:rStyle w:val="Lienhypertexte"/>
          <w:rFonts w:ascii="Arial" w:hAnsi="Arial" w:cs="Arial"/>
          <w:i/>
          <w:iCs/>
          <w:sz w:val="18"/>
          <w:szCs w:val="18"/>
        </w:rPr>
        <w:fldChar w:fldCharType="end"/>
      </w:r>
      <w:r w:rsidRPr="00720D91">
        <w:rPr>
          <w:rFonts w:ascii="Arial" w:hAnsi="Arial" w:cs="Arial"/>
          <w:sz w:val="18"/>
          <w:szCs w:val="18"/>
          <w:lang w:val="fr-FR"/>
        </w:rPr>
        <w:t>(déc.), n° 4819/10, 26 juin 2012, § 28</w:t>
      </w:r>
      <w:bookmarkEnd w:id="20"/>
      <w:r w:rsidRPr="00720D91">
        <w:rPr>
          <w:rFonts w:ascii="Arial" w:hAnsi="Arial" w:cs="Arial"/>
          <w:sz w:val="18"/>
          <w:szCs w:val="18"/>
          <w:lang w:val="fr-FR"/>
        </w:rPr>
        <w:t xml:space="preserve"> (anglais uniquement); </w:t>
      </w:r>
      <w:hyperlink r:id="rId119" w:history="1">
        <w:r w:rsidRPr="00720D91">
          <w:rPr>
            <w:rStyle w:val="Lienhypertexte"/>
            <w:rFonts w:ascii="Arial" w:hAnsi="Arial" w:cs="Arial"/>
            <w:i/>
            <w:iCs/>
            <w:sz w:val="18"/>
            <w:szCs w:val="18"/>
            <w:lang w:val="fr-FR"/>
          </w:rPr>
          <w:t xml:space="preserve">Verein gegen Tierfabriken Schweiz (VgT) c. Suisse (n° 2) </w:t>
        </w:r>
      </w:hyperlink>
      <w:r w:rsidRPr="00720D91">
        <w:rPr>
          <w:rFonts w:ascii="Arial" w:hAnsi="Arial" w:cs="Arial"/>
          <w:sz w:val="18"/>
          <w:szCs w:val="18"/>
          <w:lang w:val="fr-FR"/>
        </w:rPr>
        <w:t xml:space="preserve">[GC], § 63 ; </w:t>
      </w:r>
      <w:hyperlink r:id="rId120" w:history="1">
        <w:r w:rsidRPr="00720D91">
          <w:rPr>
            <w:rStyle w:val="Lienhypertexte"/>
            <w:rFonts w:ascii="Arial" w:hAnsi="Arial" w:cs="Arial"/>
            <w:i/>
            <w:iCs/>
            <w:sz w:val="18"/>
            <w:szCs w:val="18"/>
            <w:lang w:val="fr-FR"/>
          </w:rPr>
          <w:t>Amarandei et autres c. Roumanie</w:t>
        </w:r>
      </w:hyperlink>
      <w:r w:rsidRPr="00720D91">
        <w:rPr>
          <w:rFonts w:ascii="Arial" w:hAnsi="Arial" w:cs="Arial"/>
          <w:sz w:val="18"/>
          <w:szCs w:val="18"/>
          <w:lang w:val="fr-FR"/>
        </w:rPr>
        <w:t xml:space="preserve">, </w:t>
      </w:r>
      <w:bookmarkStart w:id="21" w:name="_Hlk46129861"/>
      <w:r w:rsidRPr="00720D91">
        <w:rPr>
          <w:rFonts w:ascii="Arial" w:hAnsi="Arial" w:cs="Arial"/>
          <w:sz w:val="18"/>
          <w:szCs w:val="18"/>
          <w:lang w:val="fr-FR"/>
        </w:rPr>
        <w:t xml:space="preserve">n° 1443/10, 26 juillet 2016, </w:t>
      </w:r>
      <w:bookmarkEnd w:id="21"/>
      <w:r w:rsidRPr="00720D91">
        <w:rPr>
          <w:rFonts w:ascii="Arial" w:hAnsi="Arial" w:cs="Arial"/>
          <w:sz w:val="18"/>
          <w:szCs w:val="18"/>
          <w:lang w:val="fr-FR"/>
        </w:rPr>
        <w:t>§§ 106-111.</w:t>
      </w:r>
    </w:p>
  </w:footnote>
  <w:footnote w:id="87">
    <w:p w14:paraId="79ECAC6F" w14:textId="77777777" w:rsidR="00D86968" w:rsidRPr="002D305B" w:rsidRDefault="00D86968" w:rsidP="00720D91">
      <w:pPr>
        <w:pStyle w:val="Sansinterligne"/>
        <w:jc w:val="both"/>
        <w:rPr>
          <w:rFonts w:ascii="Arial" w:hAnsi="Arial" w:cs="Arial"/>
          <w:sz w:val="18"/>
          <w:szCs w:val="18"/>
        </w:rPr>
      </w:pPr>
      <w:r w:rsidRPr="002D305B">
        <w:rPr>
          <w:rStyle w:val="Appelnotedebasdep"/>
          <w:rFonts w:ascii="Arial" w:hAnsi="Arial" w:cs="Arial"/>
          <w:sz w:val="18"/>
          <w:szCs w:val="18"/>
        </w:rPr>
        <w:footnoteRef/>
      </w:r>
      <w:hyperlink r:id="rId121" w:history="1">
        <w:r w:rsidRPr="002D305B">
          <w:rPr>
            <w:rStyle w:val="Lienhypertexte"/>
            <w:rFonts w:ascii="Arial" w:eastAsiaTheme="majorEastAsia" w:hAnsi="Arial" w:cs="Arial"/>
            <w:i/>
            <w:sz w:val="18"/>
            <w:szCs w:val="18"/>
          </w:rPr>
          <w:t xml:space="preserve"> Berdzenishvili et autres c. Russie</w:t>
        </w:r>
      </w:hyperlink>
      <w:r w:rsidRPr="002D305B">
        <w:rPr>
          <w:rFonts w:ascii="Arial" w:hAnsi="Arial" w:cs="Arial"/>
          <w:sz w:val="18"/>
          <w:szCs w:val="18"/>
        </w:rPr>
        <w:t xml:space="preserve">, précité, § 49 (anglais uniquement) </w:t>
      </w:r>
    </w:p>
  </w:footnote>
  <w:footnote w:id="88">
    <w:p w14:paraId="07A01B15" w14:textId="77777777" w:rsidR="00D86968" w:rsidRPr="00644BCB" w:rsidRDefault="00D86968" w:rsidP="00720D91">
      <w:pPr>
        <w:pStyle w:val="Sansinterligne"/>
        <w:shd w:val="clear" w:color="auto" w:fill="FFFFFF" w:themeFill="background1"/>
        <w:jc w:val="both"/>
        <w:rPr>
          <w:rFonts w:ascii="Arial" w:hAnsi="Arial" w:cs="Arial"/>
          <w:sz w:val="18"/>
          <w:szCs w:val="18"/>
        </w:rPr>
      </w:pPr>
      <w:r w:rsidRPr="00644BCB">
        <w:rPr>
          <w:rStyle w:val="Appelnotedebasdep"/>
          <w:rFonts w:ascii="Arial" w:hAnsi="Arial" w:cs="Arial"/>
          <w:sz w:val="18"/>
          <w:szCs w:val="18"/>
        </w:rPr>
        <w:footnoteRef/>
      </w:r>
      <w:r w:rsidRPr="00644BCB">
        <w:rPr>
          <w:rFonts w:ascii="Arial" w:hAnsi="Arial" w:cs="Arial"/>
          <w:sz w:val="18"/>
          <w:szCs w:val="18"/>
        </w:rPr>
        <w:t xml:space="preserve"> Voir les commentaires de la Fédération de Russie contenus dans le document </w:t>
      </w:r>
      <w:hyperlink r:id="rId122" w:history="1">
        <w:r w:rsidRPr="00644BCB">
          <w:rPr>
            <w:rStyle w:val="Lienhypertexte"/>
            <w:rFonts w:ascii="Arial" w:eastAsiaTheme="majorEastAsia" w:hAnsi="Arial" w:cs="Arial"/>
            <w:sz w:val="18"/>
            <w:szCs w:val="18"/>
          </w:rPr>
          <w:t>CDDH(2019)12</w:t>
        </w:r>
      </w:hyperlink>
      <w:r w:rsidRPr="00644BCB">
        <w:rPr>
          <w:rFonts w:ascii="Arial" w:hAnsi="Arial" w:cs="Arial"/>
          <w:sz w:val="18"/>
          <w:szCs w:val="18"/>
        </w:rPr>
        <w:t>, § 3.2.</w:t>
      </w:r>
    </w:p>
  </w:footnote>
  <w:footnote w:id="89">
    <w:p w14:paraId="243BB8BE" w14:textId="77777777" w:rsidR="00D86968" w:rsidRPr="00720D91" w:rsidRDefault="00D86968" w:rsidP="00720D91">
      <w:pPr>
        <w:pStyle w:val="Notedebasdepage"/>
        <w:rPr>
          <w:rFonts w:ascii="Arial" w:hAnsi="Arial" w:cs="Arial"/>
          <w:lang w:val="fr-FR"/>
        </w:rPr>
      </w:pPr>
      <w:r w:rsidRPr="001F2793">
        <w:rPr>
          <w:rStyle w:val="Appelnotedebasdep"/>
          <w:rFonts w:ascii="Arial" w:hAnsi="Arial" w:cs="Arial"/>
          <w:sz w:val="18"/>
          <w:szCs w:val="18"/>
        </w:rPr>
        <w:footnoteRef/>
      </w:r>
      <w:r w:rsidRPr="00720D91">
        <w:rPr>
          <w:rFonts w:ascii="Arial" w:hAnsi="Arial" w:cs="Arial"/>
          <w:sz w:val="18"/>
          <w:szCs w:val="18"/>
          <w:lang w:val="fr-FR"/>
        </w:rPr>
        <w:t xml:space="preserve"> Géorgie c. Russie (I) (satisfaction équitable) [GC], n°13255/07, §48-72</w:t>
      </w:r>
    </w:p>
  </w:footnote>
  <w:footnote w:id="90">
    <w:p w14:paraId="222B08C6" w14:textId="77777777" w:rsidR="00D86968" w:rsidRPr="00486B14" w:rsidRDefault="00D86968" w:rsidP="00720D91">
      <w:pPr>
        <w:rPr>
          <w:lang w:val="en-US"/>
        </w:rPr>
      </w:pPr>
      <w:r w:rsidRPr="00560F13">
        <w:rPr>
          <w:rStyle w:val="Appelnotedebasdep"/>
          <w:rFonts w:ascii="Arial" w:hAnsi="Arial" w:cs="Arial"/>
          <w:sz w:val="18"/>
          <w:szCs w:val="18"/>
        </w:rPr>
        <w:footnoteRef/>
      </w:r>
      <w:r w:rsidRPr="00300E2F">
        <w:rPr>
          <w:rFonts w:ascii="Arial" w:hAnsi="Arial" w:cs="Arial"/>
          <w:sz w:val="18"/>
          <w:szCs w:val="18"/>
        </w:rPr>
        <w:t xml:space="preserve"> De tels mécanismes pourraient s’agir des procédures établies sur la base des instruments internationaux des droits de l’homme qui vont de la négociation et de la conciliation au règlement des différends par les comités établis par ces instruments. </w:t>
      </w:r>
      <w:r>
        <w:rPr>
          <w:rFonts w:ascii="Arial" w:hAnsi="Arial" w:cs="Arial"/>
          <w:sz w:val="18"/>
          <w:szCs w:val="18"/>
        </w:rPr>
        <w:t>Certains mécanismes</w:t>
      </w:r>
      <w:r w:rsidRPr="00560F13">
        <w:rPr>
          <w:rFonts w:ascii="Arial" w:hAnsi="Arial" w:cs="Arial"/>
          <w:sz w:val="18"/>
          <w:szCs w:val="18"/>
        </w:rPr>
        <w:t xml:space="preserve"> </w:t>
      </w:r>
      <w:r>
        <w:rPr>
          <w:rFonts w:ascii="Arial" w:hAnsi="Arial" w:cs="Arial"/>
          <w:sz w:val="18"/>
          <w:szCs w:val="18"/>
        </w:rPr>
        <w:t>traitant des requêtes interétatiques</w:t>
      </w:r>
      <w:r w:rsidRPr="00560F13">
        <w:rPr>
          <w:rFonts w:ascii="Arial" w:hAnsi="Arial" w:cs="Arial"/>
          <w:sz w:val="18"/>
          <w:szCs w:val="18"/>
        </w:rPr>
        <w:t xml:space="preserve"> </w:t>
      </w:r>
      <w:r>
        <w:rPr>
          <w:rFonts w:ascii="Arial" w:hAnsi="Arial" w:cs="Arial"/>
          <w:sz w:val="18"/>
          <w:szCs w:val="18"/>
        </w:rPr>
        <w:t>sont le Comité des droits de l’homme</w:t>
      </w:r>
      <w:r w:rsidRPr="00560F13">
        <w:rPr>
          <w:rFonts w:ascii="Arial" w:hAnsi="Arial" w:cs="Arial"/>
          <w:sz w:val="18"/>
          <w:szCs w:val="18"/>
        </w:rPr>
        <w:t xml:space="preserve"> </w:t>
      </w:r>
      <w:r>
        <w:rPr>
          <w:rFonts w:ascii="Arial" w:hAnsi="Arial" w:cs="Arial"/>
          <w:sz w:val="18"/>
          <w:szCs w:val="18"/>
        </w:rPr>
        <w:t xml:space="preserve">(CDH) </w:t>
      </w:r>
      <w:r>
        <w:rPr>
          <w:rFonts w:ascii="Arial" w:eastAsiaTheme="minorEastAsia" w:hAnsi="Arial" w:cs="Arial"/>
          <w:sz w:val="18"/>
          <w:szCs w:val="18"/>
          <w:lang w:eastAsia="en-GB"/>
        </w:rPr>
        <w:t xml:space="preserve">qui surveille la mise en œuvre du </w:t>
      </w:r>
      <w:r w:rsidRPr="002352CC">
        <w:rPr>
          <w:rFonts w:ascii="Arial" w:eastAsiaTheme="minorEastAsia" w:hAnsi="Arial" w:cs="Arial"/>
          <w:sz w:val="18"/>
          <w:szCs w:val="18"/>
          <w:lang w:eastAsia="en-GB"/>
        </w:rPr>
        <w:t>Pacte international relatif aux droits civils et politiques et ses protocoles facultatifs</w:t>
      </w:r>
      <w:r>
        <w:rPr>
          <w:rFonts w:ascii="Arial" w:eastAsiaTheme="minorEastAsia" w:hAnsi="Arial" w:cs="Arial"/>
          <w:sz w:val="18"/>
          <w:szCs w:val="18"/>
          <w:lang w:eastAsia="en-GB"/>
        </w:rPr>
        <w:t xml:space="preserve"> </w:t>
      </w:r>
      <w:r w:rsidRPr="006E71A2">
        <w:rPr>
          <w:rFonts w:ascii="Arial" w:hAnsi="Arial" w:cs="Arial"/>
          <w:sz w:val="18"/>
          <w:szCs w:val="18"/>
        </w:rPr>
        <w:t>(</w:t>
      </w:r>
      <w:r>
        <w:rPr>
          <w:rFonts w:ascii="Arial" w:hAnsi="Arial" w:cs="Arial"/>
          <w:sz w:val="18"/>
          <w:szCs w:val="18"/>
        </w:rPr>
        <w:t>PIDCP</w:t>
      </w:r>
      <w:r w:rsidRPr="006E71A2">
        <w:rPr>
          <w:rFonts w:ascii="Arial" w:hAnsi="Arial" w:cs="Arial"/>
          <w:sz w:val="18"/>
          <w:szCs w:val="18"/>
        </w:rPr>
        <w:t xml:space="preserve">); </w:t>
      </w:r>
      <w:r>
        <w:rPr>
          <w:rFonts w:ascii="Arial" w:hAnsi="Arial" w:cs="Arial"/>
          <w:sz w:val="18"/>
          <w:szCs w:val="18"/>
        </w:rPr>
        <w:t>le Comité contre la torture</w:t>
      </w:r>
      <w:r w:rsidRPr="006E71A2">
        <w:rPr>
          <w:rFonts w:ascii="Arial" w:hAnsi="Arial" w:cs="Arial"/>
          <w:sz w:val="18"/>
          <w:szCs w:val="18"/>
        </w:rPr>
        <w:t xml:space="preserve"> (CAT) qui surveille la mise en œuvre de la Convention des Nations</w:t>
      </w:r>
      <w:r>
        <w:rPr>
          <w:rFonts w:ascii="Arial" w:hAnsi="Arial" w:cs="Arial"/>
          <w:sz w:val="18"/>
          <w:szCs w:val="18"/>
        </w:rPr>
        <w:t xml:space="preserve"> Unies contre la torture (a</w:t>
      </w:r>
      <w:r w:rsidRPr="006E71A2">
        <w:rPr>
          <w:rFonts w:ascii="Arial" w:hAnsi="Arial" w:cs="Arial"/>
          <w:sz w:val="18"/>
          <w:szCs w:val="18"/>
        </w:rPr>
        <w:t xml:space="preserve">rticle 21); </w:t>
      </w:r>
      <w:r>
        <w:rPr>
          <w:rFonts w:ascii="Arial" w:hAnsi="Arial" w:cs="Arial"/>
          <w:sz w:val="18"/>
          <w:szCs w:val="18"/>
        </w:rPr>
        <w:t>l</w:t>
      </w:r>
      <w:r w:rsidRPr="006E71A2">
        <w:rPr>
          <w:rFonts w:ascii="Arial" w:hAnsi="Arial" w:cs="Arial"/>
          <w:sz w:val="18"/>
          <w:szCs w:val="18"/>
        </w:rPr>
        <w:t>e Comité des droits économiques, sociaux et culturels (CESCR)</w:t>
      </w:r>
      <w:r>
        <w:rPr>
          <w:rFonts w:ascii="Arial" w:hAnsi="Arial" w:cs="Arial"/>
          <w:sz w:val="18"/>
          <w:szCs w:val="18"/>
          <w:shd w:val="clear" w:color="auto" w:fill="FFFFFF"/>
        </w:rPr>
        <w:t xml:space="preserve"> (a</w:t>
      </w:r>
      <w:r w:rsidRPr="006E71A2">
        <w:rPr>
          <w:rFonts w:ascii="Arial" w:hAnsi="Arial" w:cs="Arial"/>
          <w:sz w:val="18"/>
          <w:szCs w:val="18"/>
          <w:shd w:val="clear" w:color="auto" w:fill="FFFFFF"/>
        </w:rPr>
        <w:t xml:space="preserve">rticle 10) </w:t>
      </w:r>
      <w:r>
        <w:rPr>
          <w:rFonts w:ascii="Arial" w:hAnsi="Arial" w:cs="Arial"/>
          <w:sz w:val="18"/>
          <w:szCs w:val="18"/>
          <w:shd w:val="clear" w:color="auto" w:fill="FFFFFF"/>
        </w:rPr>
        <w:t>et</w:t>
      </w:r>
      <w:r w:rsidRPr="006E71A2">
        <w:rPr>
          <w:rFonts w:ascii="Arial" w:hAnsi="Arial" w:cs="Arial"/>
          <w:sz w:val="18"/>
          <w:szCs w:val="18"/>
          <w:shd w:val="clear" w:color="auto" w:fill="FFFFFF"/>
        </w:rPr>
        <w:t xml:space="preserve"> </w:t>
      </w:r>
      <w:r>
        <w:rPr>
          <w:rFonts w:ascii="Arial" w:hAnsi="Arial" w:cs="Arial"/>
          <w:sz w:val="18"/>
          <w:szCs w:val="18"/>
          <w:shd w:val="clear" w:color="auto" w:fill="FFFFFF"/>
        </w:rPr>
        <w:t>le</w:t>
      </w:r>
      <w:r w:rsidRPr="006E71A2">
        <w:rPr>
          <w:rFonts w:ascii="Arial" w:hAnsi="Arial" w:cs="Arial"/>
          <w:sz w:val="18"/>
          <w:szCs w:val="18"/>
          <w:shd w:val="clear" w:color="auto" w:fill="FFFFFF"/>
        </w:rPr>
        <w:t xml:space="preserve"> </w:t>
      </w:r>
      <w:r>
        <w:rPr>
          <w:rFonts w:ascii="Arial" w:hAnsi="Arial" w:cs="Arial"/>
          <w:sz w:val="18"/>
          <w:szCs w:val="18"/>
          <w:shd w:val="clear" w:color="auto" w:fill="FFFFFF"/>
        </w:rPr>
        <w:t xml:space="preserve">Comité des droits de l’enfant sous le Protocole facultatif à la </w:t>
      </w:r>
      <w:r w:rsidRPr="006E71A2">
        <w:rPr>
          <w:rFonts w:ascii="Arial" w:hAnsi="Arial" w:cs="Arial"/>
          <w:sz w:val="18"/>
          <w:szCs w:val="18"/>
        </w:rPr>
        <w:t xml:space="preserve">Convention </w:t>
      </w:r>
      <w:r>
        <w:rPr>
          <w:rFonts w:ascii="Arial" w:hAnsi="Arial" w:cs="Arial"/>
          <w:sz w:val="18"/>
          <w:szCs w:val="18"/>
        </w:rPr>
        <w:t>des droits de l’enfant</w:t>
      </w:r>
      <w:r w:rsidRPr="006E71A2">
        <w:rPr>
          <w:rFonts w:ascii="Arial" w:hAnsi="Arial" w:cs="Arial"/>
          <w:sz w:val="18"/>
          <w:szCs w:val="18"/>
        </w:rPr>
        <w:t xml:space="preserve"> </w:t>
      </w:r>
      <w:r>
        <w:rPr>
          <w:rFonts w:ascii="Arial" w:hAnsi="Arial" w:cs="Arial"/>
          <w:sz w:val="18"/>
          <w:szCs w:val="18"/>
        </w:rPr>
        <w:t>sur la procédure de communication</w:t>
      </w:r>
      <w:r w:rsidRPr="006E71A2">
        <w:rPr>
          <w:rStyle w:val="Lienhypertexte"/>
          <w:rFonts w:ascii="Arial" w:eastAsiaTheme="majorEastAsia" w:hAnsi="Arial" w:cs="Arial"/>
          <w:sz w:val="18"/>
          <w:szCs w:val="18"/>
        </w:rPr>
        <w:t xml:space="preserve"> (Article 12). </w:t>
      </w:r>
      <w:r w:rsidRPr="00560F13">
        <w:rPr>
          <w:rStyle w:val="Lienhypertexte"/>
          <w:rFonts w:ascii="Arial" w:eastAsiaTheme="majorEastAsia" w:hAnsi="Arial" w:cs="Arial"/>
          <w:sz w:val="18"/>
          <w:szCs w:val="18"/>
          <w:lang w:val="en-US"/>
        </w:rPr>
        <w:t>International dispute settlement mechanisms also encompass other dispute resolution mechanisms not exclusively established under a human rights treaty such as the ICJ and fact-findin</w:t>
      </w:r>
      <w:r w:rsidRPr="003B3965">
        <w:rPr>
          <w:rFonts w:ascii="Arial" w:hAnsi="Arial" w:cs="Arial"/>
          <w:sz w:val="18"/>
          <w:szCs w:val="18"/>
          <w:lang w:val="en-US"/>
        </w:rPr>
        <w:t>de l’homechani</w:t>
      </w:r>
    </w:p>
  </w:footnote>
  <w:footnote w:id="91">
    <w:p w14:paraId="67FC4CCC" w14:textId="77777777" w:rsidR="00D86968" w:rsidRPr="00A8273A" w:rsidRDefault="00D86968" w:rsidP="00720D91">
      <w:pPr>
        <w:jc w:val="both"/>
        <w:rPr>
          <w:lang w:val="en-US"/>
        </w:rPr>
      </w:pPr>
      <w:r w:rsidRPr="00A8273A">
        <w:rPr>
          <w:rFonts w:ascii="Arial" w:hAnsi="Arial" w:cs="Arial"/>
          <w:sz w:val="18"/>
          <w:szCs w:val="18"/>
          <w:lang w:val="en-US"/>
        </w:rPr>
        <w:t>s</w:t>
      </w:r>
      <w:r w:rsidRPr="002D305B">
        <w:rPr>
          <w:rStyle w:val="Appelnotedebasdep"/>
          <w:rFonts w:ascii="Arial" w:hAnsi="Arial" w:cs="Arial"/>
          <w:sz w:val="18"/>
          <w:szCs w:val="18"/>
        </w:rPr>
        <w:footnoteRef/>
      </w:r>
      <w:hyperlink r:id="rId123" w:history="1">
        <w:r w:rsidRPr="00A8273A">
          <w:rPr>
            <w:rStyle w:val="Lienhypertexte"/>
            <w:rFonts w:ascii="Arial" w:eastAsiaTheme="majorEastAsia" w:hAnsi="Arial" w:cs="Arial"/>
            <w:i/>
            <w:iCs/>
            <w:sz w:val="18"/>
            <w:szCs w:val="18"/>
            <w:lang w:val="en-US"/>
          </w:rPr>
          <w:t xml:space="preserve"> </w:t>
        </w:r>
      </w:hyperlink>
      <w:hyperlink r:id="rId124" w:history="1">
        <w:r w:rsidRPr="00A8273A">
          <w:rPr>
            <w:rStyle w:val="Lienhypertexte"/>
            <w:rFonts w:ascii="Arial" w:eastAsiaTheme="majorEastAsia" w:hAnsi="Arial" w:cs="Arial"/>
            <w:i/>
            <w:iCs/>
            <w:sz w:val="18"/>
            <w:szCs w:val="18"/>
            <w:lang w:val="en-US"/>
          </w:rPr>
          <w:t>OAO Neftyanaya Kompaniya Yukos c. Russie</w:t>
        </w:r>
      </w:hyperlink>
      <w:r w:rsidRPr="00A8273A">
        <w:rPr>
          <w:rFonts w:ascii="Arial" w:hAnsi="Arial" w:cs="Arial"/>
          <w:sz w:val="18"/>
          <w:szCs w:val="18"/>
          <w:lang w:val="en-US"/>
        </w:rPr>
        <w:t xml:space="preserve">, no 14902/04, § 520, 20 septembre 2011 ; </w:t>
      </w:r>
      <w:bookmarkStart w:id="26" w:name="_Hlk46154832"/>
      <w:r w:rsidRPr="002D305B">
        <w:fldChar w:fldCharType="begin"/>
      </w:r>
      <w:r w:rsidRPr="00A8273A">
        <w:rPr>
          <w:lang w:val="en-US"/>
        </w:rPr>
        <w:instrText>HYPERLINK "http://hudoc.echr.coe.int/eng?i=001-164455"</w:instrText>
      </w:r>
      <w:r w:rsidRPr="002D305B">
        <w:fldChar w:fldCharType="separate"/>
      </w:r>
      <w:r w:rsidRPr="00A8273A">
        <w:rPr>
          <w:rStyle w:val="Lienhypertexte"/>
          <w:rFonts w:ascii="Arial" w:eastAsiaTheme="majorEastAsia" w:hAnsi="Arial" w:cs="Arial"/>
          <w:i/>
          <w:iCs/>
          <w:sz w:val="18"/>
          <w:szCs w:val="18"/>
          <w:lang w:val="en-US"/>
        </w:rPr>
        <w:t>Eğitim ve Bilim Emekçileri Sendikası c. Turquie</w:t>
      </w:r>
      <w:r w:rsidRPr="002D305B">
        <w:rPr>
          <w:rStyle w:val="Lienhypertexte"/>
          <w:rFonts w:ascii="Arial" w:eastAsiaTheme="majorEastAsia" w:hAnsi="Arial" w:cs="Arial"/>
          <w:i/>
          <w:iCs/>
          <w:sz w:val="18"/>
          <w:szCs w:val="18"/>
        </w:rPr>
        <w:fldChar w:fldCharType="end"/>
      </w:r>
      <w:r w:rsidRPr="00A8273A">
        <w:rPr>
          <w:rFonts w:ascii="Arial" w:hAnsi="Arial" w:cs="Arial"/>
          <w:sz w:val="18"/>
          <w:szCs w:val="18"/>
          <w:lang w:val="en-US"/>
        </w:rPr>
        <w:t xml:space="preserve">, no 20347/07, § 37, 5 juillet 2016 </w:t>
      </w:r>
      <w:bookmarkEnd w:id="26"/>
      <w:r w:rsidRPr="00A8273A">
        <w:rPr>
          <w:rFonts w:ascii="Arial" w:hAnsi="Arial" w:cs="Arial"/>
          <w:sz w:val="18"/>
          <w:szCs w:val="18"/>
          <w:lang w:val="en-US"/>
        </w:rPr>
        <w:t xml:space="preserve">(français uniquement).   </w:t>
      </w:r>
    </w:p>
  </w:footnote>
  <w:footnote w:id="92">
    <w:p w14:paraId="551B2924" w14:textId="77777777" w:rsidR="00D86968" w:rsidRPr="002D305B" w:rsidRDefault="00D86968" w:rsidP="00720D91">
      <w:pPr>
        <w:pStyle w:val="Sansinterligne"/>
        <w:jc w:val="both"/>
        <w:rPr>
          <w:rFonts w:ascii="Arial" w:hAnsi="Arial" w:cs="Arial"/>
          <w:sz w:val="18"/>
          <w:szCs w:val="18"/>
        </w:rPr>
      </w:pPr>
      <w:r w:rsidRPr="002D305B">
        <w:rPr>
          <w:rStyle w:val="Appelnotedebasdep"/>
          <w:rFonts w:ascii="Arial" w:hAnsi="Arial" w:cs="Arial"/>
          <w:sz w:val="18"/>
          <w:szCs w:val="18"/>
        </w:rPr>
        <w:footnoteRef/>
      </w:r>
      <w:hyperlink r:id="rId125" w:history="1">
        <w:r w:rsidRPr="002D305B">
          <w:rPr>
            <w:rStyle w:val="Lienhypertexte"/>
            <w:rFonts w:ascii="Arial" w:eastAsiaTheme="majorEastAsia" w:hAnsi="Arial" w:cs="Arial"/>
            <w:i/>
            <w:iCs/>
            <w:sz w:val="18"/>
            <w:szCs w:val="18"/>
          </w:rPr>
          <w:t xml:space="preserve"> POA et autres c. Royaume-Uni </w:t>
        </w:r>
      </w:hyperlink>
      <w:r w:rsidRPr="002D305B">
        <w:rPr>
          <w:rFonts w:ascii="Arial" w:hAnsi="Arial" w:cs="Arial"/>
          <w:sz w:val="18"/>
          <w:szCs w:val="18"/>
        </w:rPr>
        <w:t xml:space="preserve">(déc.), no. 59253/11, § 27, 21 mai 2013 (anglais uniquement). </w:t>
      </w:r>
    </w:p>
  </w:footnote>
  <w:footnote w:id="93">
    <w:p w14:paraId="0E062DA9" w14:textId="77777777" w:rsidR="00D86968" w:rsidRPr="002D305B" w:rsidRDefault="00D86968" w:rsidP="00720D91">
      <w:pPr>
        <w:pStyle w:val="Sansinterligne"/>
        <w:jc w:val="both"/>
        <w:rPr>
          <w:rFonts w:ascii="Arial" w:eastAsiaTheme="minorHAnsi" w:hAnsi="Arial" w:cs="Arial"/>
          <w:sz w:val="18"/>
          <w:szCs w:val="18"/>
          <w:lang w:eastAsia="en-US"/>
        </w:rPr>
      </w:pPr>
      <w:r w:rsidRPr="002D305B">
        <w:rPr>
          <w:rStyle w:val="Appelnotedebasdep"/>
          <w:rFonts w:ascii="Arial" w:hAnsi="Arial" w:cs="Arial"/>
          <w:sz w:val="18"/>
          <w:szCs w:val="18"/>
        </w:rPr>
        <w:footnoteRef/>
      </w:r>
      <w:hyperlink r:id="rId126" w:history="1">
        <w:r w:rsidRPr="002D305B">
          <w:rPr>
            <w:rStyle w:val="Lienhypertexte"/>
            <w:rFonts w:ascii="Arial" w:eastAsiaTheme="minorHAnsi" w:hAnsi="Arial" w:cs="Arial"/>
            <w:i/>
            <w:iCs/>
            <w:sz w:val="18"/>
            <w:szCs w:val="18"/>
            <w:lang w:eastAsia="en-US"/>
          </w:rPr>
          <w:t xml:space="preserve"> OAO Neftyanaya Kompaniya Yukos c. Russie</w:t>
        </w:r>
      </w:hyperlink>
      <w:r w:rsidRPr="002D305B">
        <w:rPr>
          <w:rFonts w:ascii="Arial" w:eastAsiaTheme="minorHAnsi" w:hAnsi="Arial" w:cs="Arial"/>
          <w:sz w:val="18"/>
          <w:szCs w:val="18"/>
          <w:lang w:eastAsia="en-US"/>
        </w:rPr>
        <w:t xml:space="preserve">, précité, § 520 ; </w:t>
      </w:r>
      <w:hyperlink r:id="rId127" w:history="1">
        <w:r w:rsidRPr="002D305B">
          <w:rPr>
            <w:rStyle w:val="Lienhypertexte"/>
            <w:rFonts w:ascii="Arial" w:eastAsiaTheme="majorEastAsia" w:hAnsi="Arial" w:cs="Arial"/>
            <w:i/>
            <w:iCs/>
            <w:sz w:val="18"/>
            <w:szCs w:val="18"/>
          </w:rPr>
          <w:t xml:space="preserve">Gürdeniz c. Turquie </w:t>
        </w:r>
      </w:hyperlink>
      <w:r w:rsidRPr="002D305B">
        <w:rPr>
          <w:rStyle w:val="sb8d990e2"/>
          <w:rFonts w:ascii="Arial" w:eastAsiaTheme="majorEastAsia" w:hAnsi="Arial" w:cs="Arial"/>
          <w:color w:val="000000"/>
          <w:sz w:val="18"/>
          <w:szCs w:val="18"/>
        </w:rPr>
        <w:t>(déc.) (français seulement</w:t>
      </w:r>
      <w:r w:rsidRPr="002D305B">
        <w:rPr>
          <w:rFonts w:ascii="Arial" w:eastAsiaTheme="minorHAnsi" w:hAnsi="Arial" w:cs="Arial"/>
          <w:sz w:val="18"/>
          <w:szCs w:val="18"/>
          <w:lang w:eastAsia="en-US"/>
        </w:rPr>
        <w:t xml:space="preserve">), no. 59715/10, §§ 39-40, 18 mars 2014 ; </w:t>
      </w:r>
      <w:hyperlink r:id="rId128" w:history="1">
        <w:r w:rsidRPr="002D305B">
          <w:rPr>
            <w:rStyle w:val="Lienhypertexte"/>
            <w:rFonts w:ascii="Arial" w:eastAsiaTheme="minorHAnsi" w:hAnsi="Arial" w:cs="Arial"/>
            <w:i/>
            <w:iCs/>
            <w:sz w:val="18"/>
            <w:szCs w:val="18"/>
            <w:lang w:eastAsia="en-US"/>
          </w:rPr>
          <w:t xml:space="preserve">Doğan et Çakmak c. Turquie </w:t>
        </w:r>
      </w:hyperlink>
      <w:r w:rsidRPr="002D305B">
        <w:rPr>
          <w:rFonts w:ascii="Arial" w:eastAsiaTheme="minorHAnsi" w:hAnsi="Arial" w:cs="Arial"/>
          <w:sz w:val="18"/>
          <w:szCs w:val="18"/>
          <w:lang w:eastAsia="en-US"/>
        </w:rPr>
        <w:t xml:space="preserve">(déc.) </w:t>
      </w:r>
      <w:r w:rsidRPr="002D305B">
        <w:rPr>
          <w:rFonts w:ascii="Arial" w:eastAsiaTheme="minorHAnsi" w:hAnsi="Arial" w:cs="Arial"/>
          <w:color w:val="000000"/>
          <w:sz w:val="18"/>
          <w:szCs w:val="18"/>
          <w:lang w:eastAsia="en-US"/>
        </w:rPr>
        <w:t>(</w:t>
      </w:r>
      <w:r w:rsidRPr="002D305B">
        <w:rPr>
          <w:rStyle w:val="sb8d990e2"/>
          <w:rFonts w:ascii="Arial" w:eastAsiaTheme="majorEastAsia" w:hAnsi="Arial" w:cs="Arial"/>
          <w:color w:val="000000"/>
          <w:sz w:val="18"/>
          <w:szCs w:val="18"/>
        </w:rPr>
        <w:t>français uniquement)</w:t>
      </w:r>
      <w:r w:rsidRPr="002D305B">
        <w:rPr>
          <w:rFonts w:ascii="Arial" w:eastAsiaTheme="minorHAnsi" w:hAnsi="Arial" w:cs="Arial"/>
          <w:sz w:val="18"/>
          <w:szCs w:val="18"/>
          <w:lang w:eastAsia="en-US"/>
        </w:rPr>
        <w:t xml:space="preserve">, nos 28484/10, 58223/10, § 20, 14 mai 2019. </w:t>
      </w:r>
    </w:p>
  </w:footnote>
  <w:footnote w:id="94">
    <w:p w14:paraId="1E126F3C" w14:textId="77777777" w:rsidR="00D86968" w:rsidRPr="002D305B" w:rsidRDefault="00D86968" w:rsidP="00720D91">
      <w:pPr>
        <w:pStyle w:val="Sansinterligne"/>
        <w:jc w:val="both"/>
        <w:rPr>
          <w:rFonts w:ascii="Arial" w:eastAsiaTheme="minorHAnsi" w:hAnsi="Arial" w:cs="Arial"/>
          <w:color w:val="000000"/>
          <w:sz w:val="18"/>
          <w:szCs w:val="18"/>
          <w:lang w:eastAsia="en-US"/>
        </w:rPr>
      </w:pPr>
      <w:r w:rsidRPr="002D305B">
        <w:rPr>
          <w:rStyle w:val="Appelnotedebasdep"/>
          <w:rFonts w:ascii="Arial" w:hAnsi="Arial" w:cs="Arial"/>
          <w:sz w:val="18"/>
          <w:szCs w:val="18"/>
        </w:rPr>
        <w:footnoteRef/>
      </w:r>
      <w:r w:rsidRPr="002D305B">
        <w:t xml:space="preserve"> </w:t>
      </w:r>
      <w:hyperlink r:id="rId129" w:anchor="{%22itemid%22:[%22001-80314%22]}" w:history="1">
        <w:r w:rsidRPr="002D305B">
          <w:rPr>
            <w:rStyle w:val="Lienhypertexte"/>
            <w:rFonts w:ascii="Arial" w:eastAsiaTheme="majorEastAsia" w:hAnsi="Arial" w:cs="Arial"/>
            <w:i/>
            <w:sz w:val="18"/>
            <w:szCs w:val="18"/>
          </w:rPr>
          <w:t>Patera c. République tchèque</w:t>
        </w:r>
      </w:hyperlink>
      <w:r w:rsidRPr="002D305B">
        <w:rPr>
          <w:rFonts w:ascii="Arial" w:hAnsi="Arial" w:cs="Arial"/>
          <w:sz w:val="18"/>
          <w:szCs w:val="18"/>
        </w:rPr>
        <w:t xml:space="preserve"> (déc.), </w:t>
      </w:r>
      <w:r w:rsidRPr="002D305B">
        <w:rPr>
          <w:rFonts w:ascii="Arial" w:eastAsiaTheme="minorHAnsi" w:hAnsi="Arial" w:cs="Arial"/>
          <w:color w:val="000000"/>
          <w:sz w:val="18"/>
          <w:szCs w:val="18"/>
          <w:lang w:eastAsia="en-US"/>
        </w:rPr>
        <w:t xml:space="preserve">n° 25326/03, 26 avril 2007 ; </w:t>
      </w:r>
      <w:hyperlink r:id="rId130" w:anchor="{%22languageisocode%22:[%22FRE%22],%22appno%22:[%2223205/08%22],%22documentcollectionid2%22:[%22CHAMBER%22],%22itemid%22:[%22001-103165%22]}" w:history="1">
        <w:r w:rsidRPr="002D305B">
          <w:rPr>
            <w:rStyle w:val="Lienhypertexte"/>
            <w:rFonts w:ascii="Arial" w:eastAsiaTheme="minorHAnsi" w:hAnsi="Arial" w:cs="Arial"/>
            <w:i/>
            <w:iCs/>
            <w:sz w:val="18"/>
            <w:szCs w:val="18"/>
            <w:lang w:eastAsia="en-US"/>
          </w:rPr>
          <w:t>Karoussiotis c. Portugal</w:t>
        </w:r>
      </w:hyperlink>
      <w:r w:rsidRPr="002D305B">
        <w:rPr>
          <w:rFonts w:ascii="Arial" w:eastAsiaTheme="minorHAnsi" w:hAnsi="Arial" w:cs="Arial"/>
          <w:color w:val="000000"/>
          <w:sz w:val="18"/>
          <w:szCs w:val="18"/>
          <w:lang w:eastAsia="en-US"/>
        </w:rPr>
        <w:t>, n° 23205/08, par. 63, 1</w:t>
      </w:r>
      <w:r w:rsidRPr="002D305B">
        <w:rPr>
          <w:rFonts w:ascii="Arial" w:eastAsiaTheme="minorHAnsi" w:hAnsi="Arial" w:cs="Arial"/>
          <w:color w:val="000000"/>
          <w:sz w:val="18"/>
          <w:szCs w:val="18"/>
          <w:vertAlign w:val="superscript"/>
          <w:lang w:eastAsia="en-US"/>
        </w:rPr>
        <w:t>er</w:t>
      </w:r>
      <w:r w:rsidRPr="002D305B">
        <w:rPr>
          <w:rFonts w:ascii="Arial" w:eastAsiaTheme="minorHAnsi" w:hAnsi="Arial" w:cs="Arial"/>
          <w:color w:val="000000"/>
          <w:sz w:val="18"/>
          <w:szCs w:val="18"/>
          <w:lang w:eastAsia="en-US"/>
        </w:rPr>
        <w:t xml:space="preserve"> février 2011 ; </w:t>
      </w:r>
      <w:hyperlink r:id="rId131" w:history="1">
        <w:r w:rsidRPr="002D305B">
          <w:rPr>
            <w:rStyle w:val="Lienhypertexte"/>
            <w:rFonts w:ascii="Arial" w:eastAsiaTheme="minorHAnsi" w:hAnsi="Arial" w:cs="Arial"/>
            <w:i/>
            <w:iCs/>
            <w:sz w:val="18"/>
            <w:szCs w:val="18"/>
            <w:lang w:eastAsia="en-US"/>
          </w:rPr>
          <w:t>Gürdeniz c.</w:t>
        </w:r>
      </w:hyperlink>
      <w:r w:rsidRPr="002D305B">
        <w:rPr>
          <w:rStyle w:val="Lienhypertexte"/>
          <w:rFonts w:ascii="Arial" w:eastAsiaTheme="minorHAnsi" w:hAnsi="Arial" w:cs="Arial"/>
          <w:i/>
          <w:iCs/>
          <w:sz w:val="18"/>
          <w:szCs w:val="18"/>
          <w:lang w:eastAsia="en-US"/>
        </w:rPr>
        <w:t xml:space="preserve"> Turquie</w:t>
      </w:r>
      <w:r w:rsidRPr="002D305B">
        <w:rPr>
          <w:rFonts w:ascii="Arial" w:eastAsiaTheme="minorHAnsi" w:hAnsi="Arial" w:cs="Arial"/>
          <w:i/>
          <w:iCs/>
          <w:color w:val="000000"/>
          <w:sz w:val="18"/>
          <w:szCs w:val="18"/>
          <w:lang w:eastAsia="en-US"/>
        </w:rPr>
        <w:t xml:space="preserve"> </w:t>
      </w:r>
      <w:r w:rsidRPr="002D305B">
        <w:rPr>
          <w:rFonts w:ascii="Arial" w:eastAsiaTheme="minorHAnsi" w:hAnsi="Arial" w:cs="Arial"/>
          <w:color w:val="000000"/>
          <w:sz w:val="18"/>
          <w:szCs w:val="18"/>
          <w:lang w:eastAsia="en-US"/>
        </w:rPr>
        <w:t xml:space="preserve">(déc.), précité, par. 41 à 45 ; </w:t>
      </w:r>
      <w:hyperlink r:id="rId132" w:anchor="{%22itemid%22:[%22001-86554%22]}" w:history="1">
        <w:r w:rsidRPr="002D305B">
          <w:rPr>
            <w:rStyle w:val="Lienhypertexte"/>
            <w:rFonts w:ascii="Arial" w:eastAsiaTheme="minorHAnsi" w:hAnsi="Arial" w:cs="Arial"/>
            <w:i/>
            <w:iCs/>
            <w:sz w:val="18"/>
            <w:szCs w:val="18"/>
            <w:lang w:eastAsia="en-US"/>
          </w:rPr>
          <w:t>Pauger c.</w:t>
        </w:r>
      </w:hyperlink>
      <w:r w:rsidRPr="002D305B">
        <w:rPr>
          <w:rStyle w:val="Lienhypertexte"/>
          <w:rFonts w:ascii="Arial" w:eastAsiaTheme="minorHAnsi" w:hAnsi="Arial" w:cs="Arial"/>
          <w:i/>
          <w:iCs/>
          <w:sz w:val="18"/>
          <w:szCs w:val="18"/>
          <w:lang w:eastAsia="en-US"/>
        </w:rPr>
        <w:t xml:space="preserve"> </w:t>
      </w:r>
      <w:hyperlink r:id="rId133" w:anchor="{%22languageisocode%22:[%22FRE%22],%22appno%22:[%2216717/90%22],%22documentcollectionid2%22:[%22CHAMBER%22],%22itemid%22:[%22001-62607%22]}" w:history="1">
        <w:r w:rsidRPr="002D305B">
          <w:rPr>
            <w:rStyle w:val="Lienhypertexte"/>
            <w:rFonts w:ascii="Arial" w:eastAsiaTheme="minorHAnsi" w:hAnsi="Arial" w:cs="Arial"/>
            <w:i/>
            <w:iCs/>
            <w:sz w:val="18"/>
            <w:szCs w:val="18"/>
            <w:lang w:eastAsia="en-US"/>
          </w:rPr>
          <w:t>Autriche</w:t>
        </w:r>
      </w:hyperlink>
      <w:r w:rsidRPr="002D305B">
        <w:rPr>
          <w:rFonts w:ascii="Arial" w:eastAsiaTheme="minorHAnsi" w:hAnsi="Arial" w:cs="Arial"/>
          <w:color w:val="000000"/>
          <w:sz w:val="18"/>
          <w:szCs w:val="18"/>
          <w:lang w:eastAsia="en-US"/>
        </w:rPr>
        <w:t xml:space="preserve"> (décision de la Commission), n° 24872/94, 9 février 1995.</w:t>
      </w:r>
    </w:p>
  </w:footnote>
  <w:footnote w:id="95">
    <w:p w14:paraId="4442052C" w14:textId="77777777" w:rsidR="00D86968" w:rsidRPr="00516A54" w:rsidRDefault="00D86968" w:rsidP="00720D91">
      <w:pPr>
        <w:pStyle w:val="Sansinterligne"/>
        <w:jc w:val="both"/>
        <w:rPr>
          <w:rFonts w:ascii="Arial" w:hAnsi="Arial" w:cs="Arial"/>
          <w:i/>
          <w:iCs/>
          <w:sz w:val="18"/>
          <w:szCs w:val="18"/>
        </w:rPr>
      </w:pPr>
      <w:r w:rsidRPr="002D305B">
        <w:rPr>
          <w:rStyle w:val="Appelnotedebasdep"/>
          <w:rFonts w:ascii="Arial" w:hAnsi="Arial" w:cs="Arial"/>
          <w:sz w:val="18"/>
          <w:szCs w:val="18"/>
        </w:rPr>
        <w:footnoteRef/>
      </w:r>
      <w:r w:rsidRPr="002D305B">
        <w:t xml:space="preserve"> </w:t>
      </w:r>
      <w:hyperlink r:id="rId134" w:anchor="{%22appno%22:[%2215472/02%22]}" w:history="1">
        <w:r w:rsidRPr="002D305B">
          <w:rPr>
            <w:rStyle w:val="Lienhypertexte"/>
            <w:rFonts w:ascii="Arial" w:eastAsiaTheme="majorEastAsia" w:hAnsi="Arial" w:cs="Arial"/>
            <w:i/>
            <w:iCs/>
            <w:sz w:val="18"/>
            <w:szCs w:val="18"/>
          </w:rPr>
          <w:t>Folgerø et autres c. Norvège </w:t>
        </w:r>
      </w:hyperlink>
      <w:r w:rsidRPr="002D305B">
        <w:rPr>
          <w:rStyle w:val="sb8d990e2"/>
          <w:rFonts w:ascii="Arial" w:eastAsiaTheme="majorEastAsia" w:hAnsi="Arial" w:cs="Arial"/>
          <w:color w:val="000000"/>
          <w:sz w:val="18"/>
          <w:szCs w:val="18"/>
        </w:rPr>
        <w:t>(déc.), n° </w:t>
      </w:r>
      <w:r w:rsidRPr="002D305B">
        <w:rPr>
          <w:rFonts w:ascii="Arial" w:hAnsi="Arial" w:cs="Arial"/>
          <w:sz w:val="18"/>
          <w:szCs w:val="18"/>
        </w:rPr>
        <w:t>15472/02</w:t>
      </w:r>
      <w:r w:rsidRPr="002D305B">
        <w:rPr>
          <w:rStyle w:val="sb8d990e2"/>
          <w:rFonts w:ascii="Arial" w:eastAsiaTheme="majorEastAsia" w:hAnsi="Arial" w:cs="Arial"/>
          <w:color w:val="000000"/>
          <w:sz w:val="18"/>
          <w:szCs w:val="18"/>
        </w:rPr>
        <w:t>, 14 février 2006 ;</w:t>
      </w:r>
      <w:r w:rsidRPr="002D305B">
        <w:rPr>
          <w:rFonts w:ascii="Arial" w:hAnsi="Arial" w:cs="Arial"/>
          <w:sz w:val="18"/>
          <w:szCs w:val="18"/>
        </w:rPr>
        <w:t xml:space="preserve"> </w:t>
      </w:r>
      <w:hyperlink r:id="rId135" w:anchor="{%22itemid%22:[%22001-111414%22]}" w:history="1">
        <w:r w:rsidRPr="002D305B">
          <w:rPr>
            <w:rStyle w:val="Lienhypertexte"/>
            <w:rFonts w:ascii="Arial" w:eastAsiaTheme="majorEastAsia" w:hAnsi="Arial" w:cs="Arial"/>
            <w:i/>
            <w:iCs/>
            <w:sz w:val="18"/>
            <w:szCs w:val="18"/>
          </w:rPr>
          <w:t>Savda c. Turquie</w:t>
        </w:r>
      </w:hyperlink>
      <w:r w:rsidRPr="002D305B">
        <w:rPr>
          <w:rStyle w:val="sb8d990e2"/>
          <w:rFonts w:ascii="Arial" w:eastAsiaTheme="majorEastAsia" w:hAnsi="Arial" w:cs="Arial"/>
          <w:color w:val="000000"/>
          <w:sz w:val="18"/>
          <w:szCs w:val="18"/>
        </w:rPr>
        <w:t>, n° </w:t>
      </w:r>
      <w:r w:rsidRPr="002D305B">
        <w:rPr>
          <w:rFonts w:ascii="Arial" w:hAnsi="Arial" w:cs="Arial"/>
          <w:sz w:val="18"/>
          <w:szCs w:val="18"/>
        </w:rPr>
        <w:t>42730/05</w:t>
      </w:r>
      <w:r w:rsidRPr="002D305B">
        <w:rPr>
          <w:rStyle w:val="sb8d990e2"/>
          <w:rFonts w:ascii="Arial" w:eastAsiaTheme="majorEastAsia" w:hAnsi="Arial" w:cs="Arial"/>
          <w:color w:val="000000"/>
          <w:sz w:val="18"/>
          <w:szCs w:val="18"/>
        </w:rPr>
        <w:t xml:space="preserve">, par. 68, 12 juin 2012 ; </w:t>
      </w:r>
      <w:hyperlink r:id="rId136" w:anchor="{%22itemid%22:[%22001-142444%22]}" w:history="1">
        <w:r w:rsidRPr="002D305B">
          <w:rPr>
            <w:rStyle w:val="Lienhypertexte"/>
            <w:rFonts w:ascii="Arial" w:eastAsiaTheme="majorEastAsia" w:hAnsi="Arial" w:cs="Arial"/>
            <w:i/>
            <w:iCs/>
            <w:sz w:val="18"/>
            <w:szCs w:val="18"/>
          </w:rPr>
          <w:t>Gürdeniz c. Turquie</w:t>
        </w:r>
        <w:r w:rsidRPr="002D305B">
          <w:rPr>
            <w:rStyle w:val="Lienhypertexte"/>
            <w:rFonts w:ascii="Arial" w:eastAsiaTheme="majorEastAsia" w:hAnsi="Arial" w:cs="Arial"/>
            <w:sz w:val="18"/>
            <w:szCs w:val="18"/>
          </w:rPr>
          <w:t> </w:t>
        </w:r>
      </w:hyperlink>
      <w:r w:rsidRPr="002D305B">
        <w:rPr>
          <w:rStyle w:val="sb8d990e2"/>
          <w:rFonts w:ascii="Arial" w:eastAsiaTheme="majorEastAsia" w:hAnsi="Arial" w:cs="Arial"/>
          <w:color w:val="000000"/>
          <w:sz w:val="18"/>
          <w:szCs w:val="18"/>
        </w:rPr>
        <w:t>(déc.), n° </w:t>
      </w:r>
      <w:r w:rsidRPr="002D305B">
        <w:rPr>
          <w:rFonts w:ascii="Arial" w:hAnsi="Arial" w:cs="Arial"/>
          <w:sz w:val="18"/>
          <w:szCs w:val="18"/>
        </w:rPr>
        <w:t>59715/10</w:t>
      </w:r>
      <w:r w:rsidRPr="002D305B">
        <w:rPr>
          <w:rStyle w:val="sb8d990e2"/>
          <w:rFonts w:ascii="Arial" w:eastAsiaTheme="majorEastAsia" w:hAnsi="Arial" w:cs="Arial"/>
          <w:color w:val="000000"/>
          <w:sz w:val="18"/>
          <w:szCs w:val="18"/>
        </w:rPr>
        <w:t xml:space="preserve">, par. 37, 18 mars 2014 ; </w:t>
      </w:r>
      <w:hyperlink r:id="rId137" w:history="1">
        <w:r w:rsidRPr="002D305B">
          <w:rPr>
            <w:rStyle w:val="Lienhypertexte"/>
            <w:rFonts w:ascii="Arial" w:eastAsiaTheme="majorEastAsia" w:hAnsi="Arial" w:cs="Arial"/>
            <w:i/>
            <w:sz w:val="18"/>
            <w:szCs w:val="18"/>
          </w:rPr>
          <w:t>Kavala</w:t>
        </w:r>
      </w:hyperlink>
      <w:r w:rsidRPr="002D305B">
        <w:rPr>
          <w:rStyle w:val="Lienhypertexte"/>
          <w:rFonts w:ascii="Arial" w:eastAsiaTheme="majorEastAsia" w:hAnsi="Arial" w:cs="Arial"/>
          <w:i/>
          <w:sz w:val="18"/>
          <w:szCs w:val="18"/>
        </w:rPr>
        <w:t xml:space="preserve"> c. Turquie</w:t>
      </w:r>
      <w:r w:rsidRPr="002D305B">
        <w:rPr>
          <w:rFonts w:ascii="Arial" w:hAnsi="Arial" w:cs="Arial"/>
          <w:sz w:val="18"/>
          <w:szCs w:val="18"/>
        </w:rPr>
        <w:t>, n° 28749/18, 10 décembre 2019.</w:t>
      </w:r>
      <w:r>
        <w:rPr>
          <w:rFonts w:ascii="Arial" w:hAnsi="Arial" w:cs="Arial"/>
          <w:sz w:val="18"/>
          <w:szCs w:val="18"/>
        </w:rPr>
        <w:t xml:space="preserve"> </w:t>
      </w:r>
      <w:hyperlink r:id="rId138" w:history="1">
        <w:r w:rsidRPr="00516A54">
          <w:rPr>
            <w:rStyle w:val="Lienhypertexte"/>
            <w:rFonts w:ascii="Arial" w:eastAsiaTheme="majorEastAsia" w:hAnsi="Arial" w:cs="Arial"/>
            <w:i/>
            <w:iCs/>
            <w:sz w:val="18"/>
            <w:szCs w:val="18"/>
          </w:rPr>
          <w:t>POA et autres c. Royaume-Uni</w:t>
        </w:r>
      </w:hyperlink>
      <w:r w:rsidRPr="00516A54">
        <w:rPr>
          <w:rFonts w:ascii="Arial" w:hAnsi="Arial" w:cs="Arial"/>
          <w:sz w:val="18"/>
          <w:szCs w:val="18"/>
        </w:rPr>
        <w:t xml:space="preserve"> (dec) </w:t>
      </w:r>
    </w:p>
  </w:footnote>
  <w:footnote w:id="96">
    <w:p w14:paraId="33CD418D" w14:textId="77777777" w:rsidR="00D86968" w:rsidRPr="00516A54" w:rsidRDefault="00D86968" w:rsidP="00720D91">
      <w:pPr>
        <w:pStyle w:val="Sansinterligne"/>
        <w:jc w:val="both"/>
        <w:rPr>
          <w:rFonts w:ascii="Arial" w:hAnsi="Arial" w:cs="Arial"/>
          <w:sz w:val="18"/>
          <w:szCs w:val="18"/>
        </w:rPr>
      </w:pPr>
      <w:r w:rsidRPr="002D305B">
        <w:rPr>
          <w:rStyle w:val="Appelnotedebasdep"/>
          <w:rFonts w:ascii="Arial" w:hAnsi="Arial" w:cs="Arial"/>
          <w:sz w:val="18"/>
          <w:szCs w:val="18"/>
        </w:rPr>
        <w:footnoteRef/>
      </w:r>
      <w:hyperlink r:id="rId139" w:history="1">
        <w:r w:rsidRPr="00516A54">
          <w:rPr>
            <w:rStyle w:val="Lienhypertexte"/>
            <w:rFonts w:ascii="Arial" w:eastAsiaTheme="minorHAnsi" w:hAnsi="Arial" w:cs="Arial"/>
            <w:i/>
            <w:iCs/>
            <w:sz w:val="18"/>
            <w:szCs w:val="18"/>
            <w:lang w:eastAsia="en-US"/>
          </w:rPr>
          <w:t>OAO Neftyanaya Kompaniya Yukos v. Russia</w:t>
        </w:r>
      </w:hyperlink>
      <w:r w:rsidRPr="00516A54">
        <w:rPr>
          <w:rFonts w:ascii="Arial" w:hAnsi="Arial" w:cs="Arial"/>
          <w:color w:val="000000"/>
          <w:sz w:val="18"/>
          <w:szCs w:val="18"/>
        </w:rPr>
        <w:t xml:space="preserve">, </w:t>
      </w:r>
      <w:r w:rsidRPr="00516A54">
        <w:rPr>
          <w:rFonts w:ascii="Arial" w:hAnsi="Arial" w:cs="Arial"/>
          <w:sz w:val="18"/>
          <w:szCs w:val="18"/>
        </w:rPr>
        <w:t>quoted above</w:t>
      </w:r>
      <w:r w:rsidRPr="00516A54">
        <w:rPr>
          <w:rFonts w:ascii="Arial" w:hAnsi="Arial" w:cs="Arial"/>
          <w:color w:val="000000"/>
          <w:sz w:val="18"/>
          <w:szCs w:val="18"/>
        </w:rPr>
        <w:t xml:space="preserve">, § 522; </w:t>
      </w:r>
      <w:hyperlink r:id="rId140" w:history="1">
        <w:r w:rsidRPr="00516A54">
          <w:rPr>
            <w:rStyle w:val="Lienhypertexte"/>
            <w:rFonts w:ascii="Arial" w:eastAsiaTheme="minorHAnsi" w:hAnsi="Arial" w:cs="Arial"/>
            <w:i/>
            <w:iCs/>
            <w:sz w:val="18"/>
            <w:szCs w:val="18"/>
            <w:lang w:eastAsia="en-US"/>
          </w:rPr>
          <w:t>De Pace v. Italy</w:t>
        </w:r>
      </w:hyperlink>
      <w:r w:rsidRPr="00516A54">
        <w:rPr>
          <w:rStyle w:val="Lienhypertexte"/>
          <w:rFonts w:ascii="Arial" w:eastAsiaTheme="minorHAnsi" w:hAnsi="Arial" w:cs="Arial"/>
          <w:i/>
          <w:iCs/>
          <w:sz w:val="18"/>
          <w:szCs w:val="18"/>
          <w:lang w:eastAsia="en-US"/>
        </w:rPr>
        <w:t xml:space="preserve"> </w:t>
      </w:r>
      <w:r w:rsidRPr="00516A54">
        <w:rPr>
          <w:rFonts w:ascii="Arial" w:hAnsi="Arial" w:cs="Arial"/>
          <w:color w:val="000000"/>
          <w:sz w:val="18"/>
          <w:szCs w:val="18"/>
        </w:rPr>
        <w:t>(</w:t>
      </w:r>
      <w:r w:rsidRPr="00516A54">
        <w:rPr>
          <w:rStyle w:val="sb8d990e2"/>
          <w:rFonts w:ascii="Arial" w:eastAsiaTheme="majorEastAsia" w:hAnsi="Arial" w:cs="Arial"/>
          <w:color w:val="000000"/>
          <w:sz w:val="18"/>
          <w:szCs w:val="18"/>
        </w:rPr>
        <w:t>French only),</w:t>
      </w:r>
      <w:r w:rsidRPr="00516A54">
        <w:rPr>
          <w:rFonts w:ascii="Arial" w:hAnsi="Arial" w:cs="Arial"/>
          <w:color w:val="000000"/>
          <w:sz w:val="18"/>
          <w:szCs w:val="18"/>
        </w:rPr>
        <w:t xml:space="preserve"> no. 22728/03, §§ 25-28, 17 July 2008; </w:t>
      </w:r>
      <w:hyperlink r:id="rId141" w:history="1">
        <w:r w:rsidRPr="00516A54">
          <w:rPr>
            <w:rStyle w:val="Lienhypertexte"/>
            <w:rFonts w:ascii="Arial" w:eastAsiaTheme="minorHAnsi" w:hAnsi="Arial" w:cs="Arial"/>
            <w:i/>
            <w:iCs/>
            <w:sz w:val="18"/>
            <w:szCs w:val="18"/>
            <w:lang w:eastAsia="en-US"/>
          </w:rPr>
          <w:t>Karoussiotis v. Portugal</w:t>
        </w:r>
      </w:hyperlink>
      <w:r w:rsidRPr="00516A54">
        <w:rPr>
          <w:rFonts w:ascii="Arial" w:hAnsi="Arial" w:cs="Arial"/>
          <w:color w:val="000000"/>
          <w:sz w:val="18"/>
          <w:szCs w:val="18"/>
        </w:rPr>
        <w:t xml:space="preserve">, §§ 62 and 65-76; </w:t>
      </w:r>
      <w:hyperlink r:id="rId142" w:history="1">
        <w:r w:rsidRPr="00516A54">
          <w:rPr>
            <w:rStyle w:val="Lienhypertexte"/>
            <w:rFonts w:ascii="Arial" w:eastAsiaTheme="minorHAnsi" w:hAnsi="Arial" w:cs="Arial"/>
            <w:i/>
            <w:iCs/>
            <w:sz w:val="18"/>
            <w:szCs w:val="18"/>
            <w:lang w:eastAsia="en-US"/>
          </w:rPr>
          <w:t>Doğan and Çakmak v. Turkey</w:t>
        </w:r>
      </w:hyperlink>
      <w:r w:rsidRPr="00516A54">
        <w:rPr>
          <w:rFonts w:ascii="Arial" w:hAnsi="Arial" w:cs="Arial"/>
          <w:i/>
          <w:iCs/>
          <w:color w:val="000000"/>
          <w:sz w:val="18"/>
          <w:szCs w:val="18"/>
        </w:rPr>
        <w:t xml:space="preserve"> </w:t>
      </w:r>
      <w:r w:rsidRPr="00516A54">
        <w:rPr>
          <w:rFonts w:ascii="Arial" w:hAnsi="Arial" w:cs="Arial"/>
          <w:color w:val="000000"/>
          <w:sz w:val="18"/>
          <w:szCs w:val="18"/>
        </w:rPr>
        <w:t>(dec.) (</w:t>
      </w:r>
      <w:r w:rsidRPr="00516A54">
        <w:rPr>
          <w:rStyle w:val="sb8d990e2"/>
          <w:rFonts w:ascii="Arial" w:eastAsiaTheme="majorEastAsia" w:hAnsi="Arial" w:cs="Arial"/>
          <w:color w:val="000000"/>
          <w:sz w:val="18"/>
          <w:szCs w:val="18"/>
        </w:rPr>
        <w:t>French only)</w:t>
      </w:r>
      <w:r w:rsidRPr="00516A54">
        <w:rPr>
          <w:rFonts w:ascii="Arial" w:hAnsi="Arial" w:cs="Arial"/>
          <w:color w:val="000000"/>
          <w:sz w:val="18"/>
          <w:szCs w:val="18"/>
        </w:rPr>
        <w:t xml:space="preserve">, quoted above, § 2. </w:t>
      </w:r>
    </w:p>
  </w:footnote>
  <w:footnote w:id="97">
    <w:p w14:paraId="64588C85" w14:textId="77777777" w:rsidR="00D86968" w:rsidRPr="002D305B" w:rsidRDefault="00D86968" w:rsidP="00720D91">
      <w:pPr>
        <w:pStyle w:val="Sansinterligne"/>
        <w:jc w:val="both"/>
        <w:rPr>
          <w:rFonts w:ascii="Arial" w:hAnsi="Arial" w:cs="Arial"/>
          <w:sz w:val="18"/>
          <w:szCs w:val="18"/>
        </w:rPr>
      </w:pPr>
      <w:r w:rsidRPr="002D305B">
        <w:rPr>
          <w:rStyle w:val="Appelnotedebasdep"/>
          <w:rFonts w:ascii="Arial" w:hAnsi="Arial" w:cs="Arial"/>
          <w:sz w:val="18"/>
          <w:szCs w:val="18"/>
        </w:rPr>
        <w:footnoteRef/>
      </w:r>
      <w:r w:rsidRPr="00516A54">
        <w:rPr>
          <w:rFonts w:ascii="Arial" w:hAnsi="Arial" w:cs="Arial"/>
          <w:sz w:val="18"/>
          <w:szCs w:val="18"/>
        </w:rPr>
        <w:t xml:space="preserve"> </w:t>
      </w:r>
      <w:hyperlink r:id="rId143" w:history="1">
        <w:r w:rsidRPr="00516A54">
          <w:rPr>
            <w:rStyle w:val="Lienhypertexte"/>
            <w:rFonts w:ascii="Arial" w:eastAsiaTheme="majorEastAsia" w:hAnsi="Arial" w:cs="Arial"/>
            <w:i/>
            <w:iCs/>
            <w:sz w:val="18"/>
            <w:szCs w:val="18"/>
          </w:rPr>
          <w:t>Peraldi c. France</w:t>
        </w:r>
        <w:r w:rsidRPr="00516A54">
          <w:rPr>
            <w:rStyle w:val="Lienhypertexte"/>
            <w:rFonts w:ascii="Arial" w:eastAsiaTheme="majorEastAsia" w:hAnsi="Arial" w:cs="Arial"/>
            <w:sz w:val="18"/>
            <w:szCs w:val="18"/>
          </w:rPr>
          <w:t> </w:t>
        </w:r>
      </w:hyperlink>
      <w:r w:rsidRPr="00516A54">
        <w:rPr>
          <w:rStyle w:val="sb8d990e2"/>
          <w:rFonts w:ascii="Arial" w:eastAsiaTheme="majorEastAsia" w:hAnsi="Arial" w:cs="Arial"/>
          <w:color w:val="000000"/>
          <w:sz w:val="18"/>
          <w:szCs w:val="18"/>
        </w:rPr>
        <w:t>(déc.), n° </w:t>
      </w:r>
      <w:r w:rsidRPr="00516A54">
        <w:rPr>
          <w:rFonts w:ascii="Arial" w:hAnsi="Arial" w:cs="Arial"/>
          <w:sz w:val="18"/>
          <w:szCs w:val="18"/>
        </w:rPr>
        <w:t>2096/05</w:t>
      </w:r>
      <w:r w:rsidRPr="00516A54">
        <w:rPr>
          <w:rStyle w:val="sb8d990e2"/>
          <w:rFonts w:ascii="Arial" w:eastAsiaTheme="majorEastAsia" w:hAnsi="Arial" w:cs="Arial"/>
          <w:color w:val="000000"/>
          <w:sz w:val="18"/>
          <w:szCs w:val="18"/>
        </w:rPr>
        <w:t xml:space="preserve">, 7 avril 2009 ; </w:t>
      </w:r>
      <w:hyperlink r:id="rId144" w:history="1">
        <w:r w:rsidRPr="00516A54">
          <w:rPr>
            <w:rStyle w:val="Lienhypertexte"/>
            <w:rFonts w:ascii="Arial" w:eastAsiaTheme="majorEastAsia" w:hAnsi="Arial" w:cs="Arial"/>
            <w:i/>
            <w:iCs/>
            <w:sz w:val="18"/>
            <w:szCs w:val="18"/>
          </w:rPr>
          <w:t>Gürdeniz c. Turquie</w:t>
        </w:r>
        <w:r w:rsidRPr="00516A54">
          <w:rPr>
            <w:rStyle w:val="Lienhypertexte"/>
            <w:rFonts w:ascii="Arial" w:eastAsiaTheme="majorEastAsia" w:hAnsi="Arial" w:cs="Arial"/>
            <w:sz w:val="18"/>
            <w:szCs w:val="18"/>
          </w:rPr>
          <w:t> </w:t>
        </w:r>
      </w:hyperlink>
      <w:r w:rsidRPr="00516A54">
        <w:rPr>
          <w:rStyle w:val="sb8d990e2"/>
          <w:rFonts w:ascii="Arial" w:eastAsiaTheme="majorEastAsia" w:hAnsi="Arial" w:cs="Arial"/>
          <w:color w:val="000000"/>
          <w:sz w:val="18"/>
          <w:szCs w:val="18"/>
        </w:rPr>
        <w:t>(déc.), n° </w:t>
      </w:r>
      <w:r w:rsidRPr="00516A54">
        <w:rPr>
          <w:rFonts w:ascii="Arial" w:hAnsi="Arial" w:cs="Arial"/>
          <w:sz w:val="18"/>
          <w:szCs w:val="18"/>
        </w:rPr>
        <w:t>59715/10</w:t>
      </w:r>
      <w:r w:rsidRPr="00516A54">
        <w:rPr>
          <w:rStyle w:val="sb8d990e2"/>
          <w:rFonts w:ascii="Arial" w:eastAsiaTheme="majorEastAsia" w:hAnsi="Arial" w:cs="Arial"/>
          <w:color w:val="000000"/>
          <w:sz w:val="18"/>
          <w:szCs w:val="18"/>
        </w:rPr>
        <w:t>, par. 37, 18 mars 2014 </w:t>
      </w:r>
      <w:r w:rsidRPr="00516A54">
        <w:rPr>
          <w:rFonts w:ascii="Arial" w:hAnsi="Arial" w:cs="Arial"/>
          <w:sz w:val="18"/>
          <w:szCs w:val="18"/>
        </w:rPr>
        <w:t xml:space="preserve">; </w:t>
      </w:r>
      <w:hyperlink r:id="rId145" w:history="1">
        <w:r w:rsidRPr="00516A54">
          <w:rPr>
            <w:rStyle w:val="Lienhypertexte"/>
            <w:rFonts w:ascii="Arial" w:eastAsiaTheme="majorEastAsia" w:hAnsi="Arial" w:cs="Arial"/>
            <w:i/>
            <w:sz w:val="18"/>
            <w:szCs w:val="18"/>
          </w:rPr>
          <w:t>Selahattin Demirtaş c.</w:t>
        </w:r>
      </w:hyperlink>
      <w:r w:rsidRPr="00516A54">
        <w:rPr>
          <w:rStyle w:val="Lienhypertexte"/>
          <w:rFonts w:ascii="Arial" w:eastAsiaTheme="majorEastAsia" w:hAnsi="Arial" w:cs="Arial"/>
          <w:i/>
          <w:sz w:val="18"/>
          <w:szCs w:val="18"/>
        </w:rPr>
        <w:t xml:space="preserve"> </w:t>
      </w:r>
      <w:r w:rsidRPr="002D305B">
        <w:rPr>
          <w:rStyle w:val="Lienhypertexte"/>
          <w:rFonts w:ascii="Arial" w:eastAsiaTheme="majorEastAsia" w:hAnsi="Arial" w:cs="Arial"/>
          <w:i/>
          <w:sz w:val="18"/>
          <w:szCs w:val="18"/>
        </w:rPr>
        <w:t>Turquie</w:t>
      </w:r>
      <w:r w:rsidRPr="002D305B">
        <w:rPr>
          <w:rFonts w:ascii="Arial" w:hAnsi="Arial" w:cs="Arial"/>
          <w:sz w:val="18"/>
          <w:szCs w:val="18"/>
        </w:rPr>
        <w:t xml:space="preserve"> (n° 2), n° 14305/17, 20 novembre 2018 ; </w:t>
      </w:r>
      <w:hyperlink r:id="rId146" w:history="1">
        <w:r w:rsidRPr="002D305B">
          <w:rPr>
            <w:rStyle w:val="Lienhypertexte"/>
            <w:rFonts w:ascii="Arial" w:eastAsiaTheme="majorEastAsia" w:hAnsi="Arial" w:cs="Arial"/>
            <w:i/>
            <w:sz w:val="18"/>
            <w:szCs w:val="18"/>
          </w:rPr>
          <w:t>Kavala</w:t>
        </w:r>
      </w:hyperlink>
      <w:r w:rsidRPr="002D305B">
        <w:rPr>
          <w:rStyle w:val="Lienhypertexte"/>
          <w:rFonts w:ascii="Arial" w:eastAsiaTheme="majorEastAsia" w:hAnsi="Arial" w:cs="Arial"/>
          <w:i/>
          <w:sz w:val="18"/>
          <w:szCs w:val="18"/>
        </w:rPr>
        <w:t xml:space="preserve"> c. </w:t>
      </w:r>
      <w:hyperlink r:id="rId147" w:history="1">
        <w:r w:rsidRPr="002D305B">
          <w:rPr>
            <w:rStyle w:val="Lienhypertexte"/>
            <w:rFonts w:ascii="Arial" w:eastAsiaTheme="majorEastAsia" w:hAnsi="Arial" w:cs="Arial"/>
            <w:i/>
            <w:sz w:val="18"/>
            <w:szCs w:val="18"/>
          </w:rPr>
          <w:t>Turquie</w:t>
        </w:r>
      </w:hyperlink>
      <w:r w:rsidRPr="002D305B">
        <w:rPr>
          <w:rFonts w:ascii="Arial" w:hAnsi="Arial" w:cs="Arial"/>
          <w:sz w:val="18"/>
          <w:szCs w:val="18"/>
        </w:rPr>
        <w:t xml:space="preserve">, n° 28749/18, 10 décembre 2019. </w:t>
      </w:r>
    </w:p>
  </w:footnote>
  <w:footnote w:id="98">
    <w:p w14:paraId="3413C367" w14:textId="77777777" w:rsidR="00D86968" w:rsidRPr="002D305B" w:rsidRDefault="00D86968" w:rsidP="00720D91">
      <w:pPr>
        <w:pStyle w:val="Sansinterligne"/>
        <w:jc w:val="both"/>
        <w:rPr>
          <w:rFonts w:ascii="Arial" w:hAnsi="Arial" w:cs="Arial"/>
          <w:sz w:val="18"/>
          <w:szCs w:val="18"/>
        </w:rPr>
      </w:pPr>
      <w:r w:rsidRPr="002D305B">
        <w:rPr>
          <w:rStyle w:val="Appelnotedebasdep"/>
          <w:rFonts w:ascii="Arial" w:hAnsi="Arial" w:cs="Arial"/>
          <w:sz w:val="18"/>
          <w:szCs w:val="18"/>
        </w:rPr>
        <w:footnoteRef/>
      </w:r>
      <w:r w:rsidRPr="002D305B">
        <w:rPr>
          <w:rFonts w:ascii="Arial" w:hAnsi="Arial" w:cs="Arial"/>
          <w:sz w:val="18"/>
          <w:szCs w:val="18"/>
        </w:rPr>
        <w:t xml:space="preserve"> </w:t>
      </w:r>
      <w:hyperlink r:id="rId148" w:history="1">
        <w:r w:rsidRPr="002D305B">
          <w:rPr>
            <w:rStyle w:val="Lienhypertexte"/>
            <w:rFonts w:ascii="Arial" w:eastAsiaTheme="majorEastAsia" w:hAnsi="Arial" w:cs="Arial"/>
            <w:i/>
            <w:sz w:val="18"/>
            <w:szCs w:val="18"/>
          </w:rPr>
          <w:t>Karoussiotis c. Portugal</w:t>
        </w:r>
      </w:hyperlink>
      <w:r w:rsidRPr="002D305B">
        <w:rPr>
          <w:rFonts w:ascii="Arial" w:hAnsi="Arial" w:cs="Arial"/>
          <w:sz w:val="18"/>
          <w:szCs w:val="18"/>
        </w:rPr>
        <w:t>, no 23205/08, 1</w:t>
      </w:r>
      <w:r w:rsidRPr="002D305B">
        <w:rPr>
          <w:rFonts w:ascii="Arial" w:hAnsi="Arial" w:cs="Arial"/>
          <w:sz w:val="18"/>
          <w:szCs w:val="18"/>
          <w:vertAlign w:val="superscript"/>
        </w:rPr>
        <w:t>er</w:t>
      </w:r>
      <w:r w:rsidRPr="002D305B">
        <w:rPr>
          <w:rFonts w:ascii="Arial" w:hAnsi="Arial" w:cs="Arial"/>
          <w:sz w:val="18"/>
          <w:szCs w:val="18"/>
        </w:rPr>
        <w:t xml:space="preserve"> février 2011.</w:t>
      </w:r>
    </w:p>
  </w:footnote>
  <w:footnote w:id="99">
    <w:p w14:paraId="753C0E45" w14:textId="77777777" w:rsidR="00D86968" w:rsidRPr="002D305B" w:rsidRDefault="00D86968" w:rsidP="00720D91">
      <w:pPr>
        <w:pStyle w:val="Sansinterligne"/>
        <w:jc w:val="both"/>
        <w:rPr>
          <w:rFonts w:ascii="Arial" w:hAnsi="Arial" w:cs="Arial"/>
          <w:sz w:val="18"/>
          <w:szCs w:val="18"/>
        </w:rPr>
      </w:pPr>
      <w:r w:rsidRPr="002D305B">
        <w:rPr>
          <w:rStyle w:val="Appelnotedebasdep"/>
          <w:rFonts w:ascii="Arial" w:hAnsi="Arial" w:cs="Arial"/>
          <w:sz w:val="18"/>
          <w:szCs w:val="18"/>
        </w:rPr>
        <w:footnoteRef/>
      </w:r>
      <w:r w:rsidRPr="002D305B">
        <w:rPr>
          <w:rStyle w:val="sb8d990e2"/>
          <w:rFonts w:ascii="Arial" w:eastAsiaTheme="majorEastAsia" w:hAnsi="Arial" w:cs="Arial"/>
          <w:color w:val="000000"/>
          <w:sz w:val="18"/>
          <w:szCs w:val="18"/>
        </w:rPr>
        <w:t xml:space="preserve"> </w:t>
      </w:r>
      <w:hyperlink r:id="rId149" w:history="1">
        <w:r w:rsidRPr="002D305B">
          <w:rPr>
            <w:rStyle w:val="Lienhypertexte"/>
            <w:rFonts w:ascii="Arial" w:eastAsiaTheme="majorEastAsia" w:hAnsi="Arial" w:cs="Arial"/>
            <w:i/>
            <w:iCs/>
            <w:sz w:val="18"/>
            <w:szCs w:val="18"/>
          </w:rPr>
          <w:t>Lukanov c. Bulgarie</w:t>
        </w:r>
      </w:hyperlink>
      <w:r w:rsidRPr="002D305B">
        <w:rPr>
          <w:rStyle w:val="sb8d990e2"/>
          <w:rFonts w:ascii="Arial" w:eastAsiaTheme="majorEastAsia" w:hAnsi="Arial" w:cs="Arial"/>
          <w:color w:val="000000"/>
          <w:sz w:val="18"/>
          <w:szCs w:val="18"/>
        </w:rPr>
        <w:t xml:space="preserve">, n° </w:t>
      </w:r>
      <w:r w:rsidRPr="002D305B">
        <w:rPr>
          <w:rFonts w:ascii="Arial" w:hAnsi="Arial" w:cs="Arial"/>
          <w:sz w:val="18"/>
          <w:szCs w:val="18"/>
        </w:rPr>
        <w:t>21915/93</w:t>
      </w:r>
      <w:r w:rsidRPr="002D305B">
        <w:rPr>
          <w:rStyle w:val="sb8d990e2"/>
          <w:rFonts w:ascii="Arial" w:eastAsiaTheme="majorEastAsia" w:hAnsi="Arial" w:cs="Arial"/>
          <w:color w:val="000000"/>
          <w:sz w:val="18"/>
          <w:szCs w:val="18"/>
        </w:rPr>
        <w:t xml:space="preserve">, décision de la Commission du 12 janvier 1995, Décisions et rapports 80-A, p. 108 ; </w:t>
      </w:r>
      <w:hyperlink r:id="rId150" w:history="1">
        <w:r w:rsidRPr="002D305B">
          <w:t xml:space="preserve"> </w:t>
        </w:r>
        <w:hyperlink r:id="rId151" w:history="1">
          <w:r w:rsidRPr="002D305B">
            <w:rPr>
              <w:rStyle w:val="Lienhypertexte"/>
              <w:rFonts w:ascii="Arial" w:eastAsiaTheme="majorEastAsia" w:hAnsi="Arial" w:cs="Arial"/>
              <w:i/>
              <w:sz w:val="18"/>
              <w:szCs w:val="18"/>
            </w:rPr>
            <w:t>Selahattin Demirtaş c.</w:t>
          </w:r>
        </w:hyperlink>
        <w:r w:rsidRPr="002D305B">
          <w:rPr>
            <w:rStyle w:val="Lienhypertexte"/>
            <w:rFonts w:ascii="Arial" w:eastAsiaTheme="majorEastAsia" w:hAnsi="Arial" w:cs="Arial"/>
            <w:i/>
            <w:sz w:val="18"/>
            <w:szCs w:val="18"/>
          </w:rPr>
          <w:t xml:space="preserve"> Turquie </w:t>
        </w:r>
      </w:hyperlink>
      <w:r w:rsidRPr="002D305B">
        <w:rPr>
          <w:rFonts w:ascii="Arial" w:hAnsi="Arial" w:cs="Arial"/>
          <w:sz w:val="18"/>
          <w:szCs w:val="18"/>
        </w:rPr>
        <w:t xml:space="preserve">(n° 2) n°14305/17, 20 novembre 2018. </w:t>
      </w:r>
    </w:p>
  </w:footnote>
  <w:footnote w:id="100">
    <w:p w14:paraId="1BFC74B0" w14:textId="77777777" w:rsidR="00D86968" w:rsidRPr="00486B14" w:rsidRDefault="00D86968" w:rsidP="00720D91">
      <w:pPr>
        <w:pStyle w:val="SingleTxtG"/>
        <w:spacing w:after="0" w:line="180" w:lineRule="exact"/>
        <w:ind w:left="0" w:right="0"/>
        <w:rPr>
          <w:rFonts w:ascii="Arial" w:hAnsi="Arial" w:cs="Arial"/>
          <w:sz w:val="18"/>
          <w:szCs w:val="18"/>
          <w:lang w:val="en-US"/>
        </w:rPr>
      </w:pPr>
      <w:r w:rsidRPr="00560F13">
        <w:rPr>
          <w:rStyle w:val="Appelnotedebasdep"/>
          <w:rFonts w:ascii="Arial" w:hAnsi="Arial" w:cs="Arial"/>
          <w:sz w:val="18"/>
          <w:szCs w:val="18"/>
        </w:rPr>
        <w:footnoteRef/>
      </w:r>
      <w:r w:rsidRPr="00486B14">
        <w:rPr>
          <w:rFonts w:ascii="Arial" w:hAnsi="Arial" w:cs="Arial"/>
          <w:sz w:val="18"/>
          <w:szCs w:val="18"/>
          <w:lang w:val="en-US"/>
        </w:rPr>
        <w:t xml:space="preserve"> </w:t>
      </w:r>
      <w:r w:rsidRPr="00560F13">
        <w:rPr>
          <w:rFonts w:ascii="Arial" w:hAnsi="Arial" w:cs="Arial"/>
          <w:sz w:val="18"/>
          <w:szCs w:val="18"/>
          <w:lang w:val="en-US"/>
        </w:rPr>
        <w:t>Article 5 (2) (a) of the Optional Protocol provides that the Human Rights Committee shall not consider any communication from an individual unless it has ascertained that the same matter is not being examined under another procedure of international investigation or settlement. State Parties to the ICCPR may and have indeed entered reservations to this provision.</w:t>
      </w:r>
    </w:p>
  </w:footnote>
  <w:footnote w:id="101">
    <w:p w14:paraId="3F155516" w14:textId="77777777" w:rsidR="00D86968" w:rsidRPr="00486B14" w:rsidRDefault="00D86968" w:rsidP="00720D91">
      <w:pPr>
        <w:pStyle w:val="SingleTxtG"/>
        <w:spacing w:after="0" w:line="180" w:lineRule="exact"/>
        <w:ind w:left="0" w:right="0"/>
        <w:rPr>
          <w:rFonts w:ascii="Arial" w:hAnsi="Arial" w:cs="Arial"/>
          <w:sz w:val="18"/>
          <w:szCs w:val="18"/>
          <w:lang w:val="en-US"/>
        </w:rPr>
      </w:pPr>
      <w:r w:rsidRPr="00560F13">
        <w:rPr>
          <w:rFonts w:ascii="Arial" w:hAnsi="Arial" w:cs="Arial"/>
          <w:sz w:val="18"/>
          <w:szCs w:val="18"/>
          <w:vertAlign w:val="superscript"/>
          <w:lang w:val="en-US"/>
        </w:rPr>
        <w:footnoteRef/>
      </w:r>
      <w:r w:rsidRPr="00560F13">
        <w:rPr>
          <w:rFonts w:ascii="Arial" w:hAnsi="Arial" w:cs="Arial"/>
          <w:sz w:val="18"/>
          <w:szCs w:val="18"/>
          <w:lang w:val="en-US"/>
        </w:rPr>
        <w:t xml:space="preserve"> </w:t>
      </w:r>
      <w:hyperlink r:id="rId152" w:history="1">
        <w:r w:rsidRPr="00560F13">
          <w:rPr>
            <w:rStyle w:val="Lienhypertexte"/>
            <w:rFonts w:ascii="Arial" w:hAnsi="Arial" w:cs="Arial"/>
            <w:sz w:val="18"/>
            <w:szCs w:val="18"/>
            <w:lang w:val="en-US"/>
          </w:rPr>
          <w:t>https://treaties.un.org/Pages/ViewDetails.aspx?src=TREATY&amp;mtdsg_no=IV-5&amp;chapter=4</w:t>
        </w:r>
      </w:hyperlink>
      <w:r w:rsidRPr="00560F13">
        <w:rPr>
          <w:rFonts w:ascii="Arial" w:hAnsi="Arial" w:cs="Arial"/>
          <w:sz w:val="18"/>
          <w:szCs w:val="18"/>
          <w:lang w:val="en-US"/>
        </w:rPr>
        <w:t xml:space="preserve"> </w:t>
      </w:r>
    </w:p>
  </w:footnote>
  <w:footnote w:id="102">
    <w:p w14:paraId="306DFBF8" w14:textId="77777777" w:rsidR="00D86968" w:rsidRPr="00486B14" w:rsidRDefault="00D86968" w:rsidP="00720D91">
      <w:pPr>
        <w:pStyle w:val="SingleTxtG"/>
        <w:spacing w:after="0" w:line="180" w:lineRule="exact"/>
        <w:ind w:left="0" w:right="0"/>
        <w:rPr>
          <w:rFonts w:ascii="Arial" w:hAnsi="Arial" w:cs="Arial"/>
          <w:sz w:val="18"/>
          <w:szCs w:val="18"/>
          <w:lang w:val="en-US"/>
        </w:rPr>
      </w:pPr>
      <w:r w:rsidRPr="00560F13">
        <w:rPr>
          <w:rStyle w:val="Appelnotedebasdep"/>
          <w:rFonts w:ascii="Arial" w:hAnsi="Arial" w:cs="Arial"/>
          <w:sz w:val="18"/>
          <w:szCs w:val="18"/>
        </w:rPr>
        <w:footnoteRef/>
      </w:r>
      <w:r w:rsidRPr="00486B14">
        <w:rPr>
          <w:rFonts w:ascii="Arial" w:hAnsi="Arial" w:cs="Arial"/>
          <w:sz w:val="18"/>
          <w:szCs w:val="18"/>
          <w:lang w:val="en-US"/>
        </w:rPr>
        <w:t xml:space="preserve"> </w:t>
      </w:r>
      <w:r w:rsidRPr="00560F13">
        <w:rPr>
          <w:rFonts w:ascii="Arial" w:hAnsi="Arial" w:cs="Arial"/>
          <w:sz w:val="18"/>
          <w:szCs w:val="18"/>
          <w:lang w:val="en-US"/>
        </w:rPr>
        <w:t>See Communication</w:t>
      </w:r>
      <w:r w:rsidRPr="00486B14">
        <w:rPr>
          <w:rFonts w:ascii="Arial" w:hAnsi="Arial" w:cs="Arial"/>
          <w:sz w:val="18"/>
          <w:szCs w:val="18"/>
          <w:lang w:val="en-US"/>
        </w:rPr>
        <w:t xml:space="preserve"> </w:t>
      </w:r>
      <w:hyperlink r:id="rId153" w:history="1">
        <w:r w:rsidRPr="00486B14">
          <w:rPr>
            <w:rStyle w:val="Lienhypertexte"/>
            <w:rFonts w:ascii="Arial" w:hAnsi="Arial" w:cs="Arial"/>
            <w:sz w:val="18"/>
            <w:szCs w:val="18"/>
            <w:lang w:val="en-US"/>
          </w:rPr>
          <w:t>CCPR/C/123/D/2807/2016</w:t>
        </w:r>
      </w:hyperlink>
      <w:r w:rsidRPr="00486B14">
        <w:rPr>
          <w:rFonts w:ascii="Arial" w:hAnsi="Arial" w:cs="Arial"/>
          <w:sz w:val="18"/>
          <w:szCs w:val="18"/>
          <w:lang w:val="en-US"/>
        </w:rPr>
        <w:t xml:space="preserve">, 17 October 2018, Views adopted by the Committee under article 5 (4) of the Optional Protocol, concerning communication No. 2807/2016 submitted by Miriana Hebbadj, State Party France, see paragraph 6.3. See also </w:t>
      </w:r>
      <w:hyperlink r:id="rId154" w:history="1">
        <w:r w:rsidRPr="00486B14">
          <w:rPr>
            <w:rStyle w:val="Lienhypertexte"/>
            <w:rFonts w:ascii="Arial" w:hAnsi="Arial" w:cs="Arial"/>
            <w:sz w:val="18"/>
            <w:szCs w:val="18"/>
            <w:lang w:val="en-US"/>
          </w:rPr>
          <w:t>CCPR/C/123/D/2747/2016</w:t>
        </w:r>
      </w:hyperlink>
      <w:r w:rsidRPr="00486B14">
        <w:rPr>
          <w:rFonts w:ascii="Arial" w:hAnsi="Arial" w:cs="Arial"/>
          <w:sz w:val="18"/>
          <w:szCs w:val="18"/>
          <w:lang w:val="en-US"/>
        </w:rPr>
        <w:t>, 7 December 2018, Views adopted by the Committee under article 5 (4) of the Optional Protocol, concerning communication No. 2747/2016, submitted by Sonia Yaker, State Party France, paragraph 6.2. At the time of ratification of the ICCPR France entered the following reservation: “France makes a reservation to article 5, paragraph 2 (a), specifying that the Human Rights Committee shall not have competence to consider a communication from an individual if the same matter is being examined or has already been considered under another procedure of international investigation or settlement.”</w:t>
      </w:r>
    </w:p>
  </w:footnote>
  <w:footnote w:id="103">
    <w:p w14:paraId="06681DCF" w14:textId="77777777" w:rsidR="00D86968" w:rsidRPr="00486B14" w:rsidRDefault="00D86968" w:rsidP="00720D91">
      <w:pPr>
        <w:pStyle w:val="SingleTxtG"/>
        <w:spacing w:after="0" w:line="180" w:lineRule="exact"/>
        <w:ind w:left="0" w:right="0"/>
        <w:rPr>
          <w:rFonts w:ascii="Arial" w:hAnsi="Arial" w:cs="Arial"/>
          <w:sz w:val="18"/>
          <w:szCs w:val="18"/>
          <w:lang w:val="en-US"/>
        </w:rPr>
      </w:pPr>
      <w:r w:rsidRPr="00560F13">
        <w:rPr>
          <w:rStyle w:val="Appelnotedebasdep"/>
          <w:rFonts w:ascii="Arial" w:hAnsi="Arial" w:cs="Arial"/>
          <w:sz w:val="18"/>
          <w:szCs w:val="18"/>
        </w:rPr>
        <w:footnoteRef/>
      </w:r>
      <w:r w:rsidRPr="00486B14">
        <w:rPr>
          <w:rFonts w:ascii="Arial" w:hAnsi="Arial" w:cs="Arial"/>
          <w:sz w:val="18"/>
          <w:szCs w:val="18"/>
          <w:lang w:val="en-US"/>
        </w:rPr>
        <w:t xml:space="preserve"> See Communication </w:t>
      </w:r>
      <w:hyperlink r:id="rId155" w:history="1">
        <w:r w:rsidRPr="00486B14">
          <w:rPr>
            <w:rStyle w:val="Lienhypertexte"/>
            <w:rFonts w:ascii="Arial" w:hAnsi="Arial" w:cs="Arial"/>
            <w:sz w:val="18"/>
            <w:szCs w:val="18"/>
            <w:lang w:val="en-US"/>
          </w:rPr>
          <w:t>CCPR/C/86/D/1123/2002</w:t>
        </w:r>
        <w:r w:rsidRPr="00486B14">
          <w:rPr>
            <w:rStyle w:val="Lienhypertexte"/>
            <w:rFonts w:ascii="Arial" w:hAnsi="Arial" w:cs="Arial"/>
            <w:b/>
            <w:sz w:val="18"/>
            <w:szCs w:val="18"/>
            <w:lang w:val="en-US"/>
          </w:rPr>
          <w:t xml:space="preserve"> </w:t>
        </w:r>
      </w:hyperlink>
      <w:r w:rsidRPr="00486B14">
        <w:rPr>
          <w:rFonts w:ascii="Arial" w:hAnsi="Arial" w:cs="Arial"/>
          <w:sz w:val="18"/>
          <w:szCs w:val="18"/>
          <w:lang w:val="en-US"/>
        </w:rPr>
        <w:t>Views adopted by the Human Rights Committee concerning communication No. 1123/2002 s</w:t>
      </w:r>
      <w:r w:rsidRPr="00486B14">
        <w:rPr>
          <w:rFonts w:ascii="Arial" w:hAnsi="Arial" w:cs="Arial"/>
          <w:iCs/>
          <w:sz w:val="18"/>
          <w:szCs w:val="18"/>
          <w:lang w:val="en-US"/>
        </w:rPr>
        <w:t>ubmitted</w:t>
      </w:r>
      <w:r w:rsidRPr="00486B14">
        <w:rPr>
          <w:rFonts w:ascii="Arial" w:hAnsi="Arial" w:cs="Arial"/>
          <w:i/>
          <w:iCs/>
          <w:sz w:val="18"/>
          <w:szCs w:val="18"/>
          <w:lang w:val="en-US"/>
        </w:rPr>
        <w:t xml:space="preserve"> by</w:t>
      </w:r>
      <w:r w:rsidRPr="00486B14">
        <w:rPr>
          <w:rFonts w:ascii="Arial" w:hAnsi="Arial" w:cs="Arial"/>
          <w:sz w:val="18"/>
          <w:szCs w:val="18"/>
          <w:lang w:val="en-US"/>
        </w:rPr>
        <w:t xml:space="preserve"> Carlos Correia de Matos, State Party Portugal; </w:t>
      </w:r>
      <w:hyperlink r:id="rId156" w:history="1">
        <w:r w:rsidRPr="00486B14">
          <w:rPr>
            <w:rStyle w:val="Lienhypertexte"/>
            <w:rFonts w:ascii="Arial" w:hAnsi="Arial" w:cs="Arial"/>
            <w:sz w:val="18"/>
            <w:szCs w:val="18"/>
            <w:lang w:val="en-US"/>
          </w:rPr>
          <w:t>CCPR/C/123/D/2807/2016</w:t>
        </w:r>
      </w:hyperlink>
      <w:r w:rsidRPr="00486B14">
        <w:rPr>
          <w:rStyle w:val="Lienhypertexte"/>
          <w:rFonts w:ascii="Arial" w:hAnsi="Arial" w:cs="Arial"/>
          <w:b/>
          <w:sz w:val="18"/>
          <w:szCs w:val="18"/>
          <w:lang w:val="en-US"/>
        </w:rPr>
        <w:t xml:space="preserve">; </w:t>
      </w:r>
      <w:hyperlink r:id="rId157" w:history="1">
        <w:r w:rsidRPr="00486B14">
          <w:rPr>
            <w:rStyle w:val="Lienhypertexte"/>
            <w:rFonts w:ascii="Arial" w:hAnsi="Arial" w:cs="Arial"/>
            <w:sz w:val="18"/>
            <w:szCs w:val="18"/>
            <w:lang w:val="en-US"/>
          </w:rPr>
          <w:t>CCPR/C/123/D/2807/2016</w:t>
        </w:r>
      </w:hyperlink>
      <w:r w:rsidRPr="00486B14">
        <w:rPr>
          <w:rStyle w:val="Lienhypertexte"/>
          <w:rFonts w:ascii="Arial" w:hAnsi="Arial" w:cs="Arial"/>
          <w:sz w:val="18"/>
          <w:szCs w:val="18"/>
          <w:lang w:val="en-US"/>
        </w:rPr>
        <w:t>.</w:t>
      </w:r>
    </w:p>
  </w:footnote>
  <w:footnote w:id="104">
    <w:p w14:paraId="634C30F7" w14:textId="77777777" w:rsidR="00D86968" w:rsidRPr="00560F13" w:rsidRDefault="00D86968" w:rsidP="00720D91">
      <w:pPr>
        <w:pStyle w:val="SingleTxtG"/>
        <w:spacing w:after="0" w:line="180" w:lineRule="exact"/>
        <w:ind w:left="0" w:right="0"/>
        <w:rPr>
          <w:rFonts w:ascii="Arial" w:hAnsi="Arial" w:cs="Arial"/>
          <w:sz w:val="18"/>
          <w:szCs w:val="18"/>
          <w:lang w:val="es-ES"/>
        </w:rPr>
      </w:pPr>
      <w:r w:rsidRPr="00560F13">
        <w:rPr>
          <w:rStyle w:val="Appelnotedebasdep"/>
          <w:rFonts w:ascii="Arial" w:hAnsi="Arial" w:cs="Arial"/>
          <w:sz w:val="18"/>
          <w:szCs w:val="18"/>
        </w:rPr>
        <w:footnoteRef/>
      </w:r>
      <w:r w:rsidRPr="00560F13">
        <w:rPr>
          <w:rFonts w:ascii="Arial" w:hAnsi="Arial" w:cs="Arial"/>
          <w:sz w:val="18"/>
          <w:szCs w:val="18"/>
          <w:lang w:val="es-ES"/>
        </w:rPr>
        <w:t xml:space="preserve"> </w:t>
      </w:r>
      <w:hyperlink r:id="rId158" w:history="1">
        <w:r w:rsidRPr="00A246D4">
          <w:rPr>
            <w:rStyle w:val="Lienhypertexte"/>
            <w:rFonts w:ascii="Arial" w:hAnsi="Arial" w:cs="Arial"/>
            <w:i/>
            <w:iCs/>
            <w:sz w:val="18"/>
            <w:szCs w:val="18"/>
            <w:lang w:val="es-ES"/>
          </w:rPr>
          <w:t>Correia de Matos c. Portugal</w:t>
        </w:r>
      </w:hyperlink>
      <w:r>
        <w:rPr>
          <w:rFonts w:ascii="Arial" w:hAnsi="Arial" w:cs="Arial"/>
          <w:sz w:val="18"/>
          <w:szCs w:val="18"/>
          <w:lang w:val="es-ES"/>
        </w:rPr>
        <w:t xml:space="preserve"> </w:t>
      </w:r>
      <w:r w:rsidRPr="00560F13">
        <w:rPr>
          <w:rFonts w:ascii="Arial" w:hAnsi="Arial" w:cs="Arial"/>
          <w:sz w:val="18"/>
          <w:szCs w:val="18"/>
          <w:lang w:val="es-ES"/>
        </w:rPr>
        <w:t xml:space="preserve">[GC], no. 56402/12, 4 </w:t>
      </w:r>
      <w:r>
        <w:rPr>
          <w:rFonts w:ascii="Arial" w:hAnsi="Arial" w:cs="Arial"/>
          <w:sz w:val="18"/>
          <w:szCs w:val="18"/>
          <w:lang w:val="es-ES"/>
        </w:rPr>
        <w:t>avril</w:t>
      </w:r>
      <w:r w:rsidRPr="00560F13">
        <w:rPr>
          <w:rFonts w:ascii="Arial" w:hAnsi="Arial" w:cs="Arial"/>
          <w:sz w:val="18"/>
          <w:szCs w:val="18"/>
          <w:lang w:val="es-ES"/>
        </w:rPr>
        <w:t xml:space="preserve"> 2018. </w:t>
      </w:r>
      <w:r>
        <w:rPr>
          <w:rFonts w:ascii="Arial" w:hAnsi="Arial" w:cs="Arial"/>
          <w:sz w:val="18"/>
          <w:szCs w:val="18"/>
          <w:lang w:val="es-ES"/>
        </w:rPr>
        <w:t xml:space="preserve">  </w:t>
      </w:r>
    </w:p>
  </w:footnote>
  <w:footnote w:id="105">
    <w:p w14:paraId="7CFF585B" w14:textId="77777777" w:rsidR="00D86968" w:rsidRPr="00720D91" w:rsidRDefault="00D86968" w:rsidP="00720D91">
      <w:pPr>
        <w:pStyle w:val="SingleTxtG"/>
        <w:spacing w:after="0" w:line="180" w:lineRule="exact"/>
        <w:ind w:left="0" w:right="0"/>
        <w:rPr>
          <w:rFonts w:ascii="Arial" w:hAnsi="Arial" w:cs="Arial"/>
          <w:sz w:val="18"/>
          <w:szCs w:val="18"/>
          <w:lang w:val="fr-FR"/>
        </w:rPr>
      </w:pPr>
      <w:r w:rsidRPr="00560F13">
        <w:rPr>
          <w:rStyle w:val="Appelnotedebasdep"/>
          <w:rFonts w:ascii="Arial" w:hAnsi="Arial" w:cs="Arial"/>
          <w:sz w:val="18"/>
          <w:szCs w:val="18"/>
        </w:rPr>
        <w:footnoteRef/>
      </w:r>
      <w:r w:rsidRPr="00720D91">
        <w:rPr>
          <w:rFonts w:ascii="Arial" w:hAnsi="Arial" w:cs="Arial"/>
          <w:sz w:val="18"/>
          <w:szCs w:val="18"/>
          <w:lang w:val="fr-FR"/>
        </w:rPr>
        <w:t xml:space="preserve"> Voir </w:t>
      </w:r>
      <w:hyperlink r:id="rId159" w:anchor="{%2233401953%22:[0]}" w:history="1">
        <w:r w:rsidRPr="00720D91">
          <w:rPr>
            <w:rStyle w:val="Lienhypertexte"/>
            <w:rFonts w:ascii="Arial" w:hAnsi="Arial" w:cs="Arial"/>
            <w:sz w:val="18"/>
            <w:szCs w:val="18"/>
            <w:lang w:val="fr-FR"/>
          </w:rPr>
          <w:t>CDDH(2019)R92Addendum1</w:t>
        </w:r>
      </w:hyperlink>
      <w:r w:rsidRPr="00720D91">
        <w:rPr>
          <w:rFonts w:ascii="Arial" w:hAnsi="Arial" w:cs="Arial"/>
          <w:sz w:val="18"/>
          <w:szCs w:val="18"/>
          <w:lang w:val="fr-FR"/>
        </w:rPr>
        <w:t xml:space="preserve"> rapport sur la place de la Convention européenne des droits de l’homme dans l’ordre juridique européen et international, voir section III, page 109. </w:t>
      </w:r>
    </w:p>
  </w:footnote>
  <w:footnote w:id="106">
    <w:p w14:paraId="6AED9916" w14:textId="77777777" w:rsidR="00D86968" w:rsidRPr="00720D91" w:rsidRDefault="00D86968" w:rsidP="00720D91">
      <w:pPr>
        <w:pStyle w:val="SingleTxtG"/>
        <w:spacing w:after="0" w:line="180" w:lineRule="exact"/>
        <w:ind w:left="0" w:right="0"/>
        <w:rPr>
          <w:rFonts w:ascii="Arial" w:hAnsi="Arial" w:cs="Arial"/>
          <w:sz w:val="18"/>
          <w:szCs w:val="18"/>
          <w:u w:val="single"/>
          <w:lang w:val="fr-FR"/>
        </w:rPr>
      </w:pPr>
      <w:r w:rsidRPr="00560F13">
        <w:rPr>
          <w:rStyle w:val="Appelnotedebasdep"/>
          <w:rFonts w:ascii="Arial" w:hAnsi="Arial" w:cs="Arial"/>
          <w:b/>
          <w:sz w:val="18"/>
          <w:szCs w:val="18"/>
          <w:u w:val="single"/>
        </w:rPr>
        <w:footnoteRef/>
      </w:r>
      <w:r w:rsidRPr="00720D91">
        <w:rPr>
          <w:rFonts w:ascii="Arial" w:hAnsi="Arial" w:cs="Arial"/>
          <w:b/>
          <w:sz w:val="18"/>
          <w:szCs w:val="18"/>
          <w:u w:val="single"/>
          <w:lang w:val="fr-FR"/>
        </w:rPr>
        <w:t xml:space="preserve"> </w:t>
      </w:r>
      <w:hyperlink r:id="rId160" w:history="1">
        <w:r w:rsidRPr="00720D91">
          <w:rPr>
            <w:rStyle w:val="Lienhypertexte"/>
            <w:rFonts w:ascii="Arial" w:hAnsi="Arial" w:cs="Arial"/>
            <w:sz w:val="18"/>
            <w:szCs w:val="18"/>
            <w:lang w:val="fr-FR"/>
          </w:rPr>
          <w:t>CDDH(2019)R92Addendum1</w:t>
        </w:r>
      </w:hyperlink>
      <w:r w:rsidRPr="00720D91">
        <w:rPr>
          <w:rStyle w:val="Lienhypertexte"/>
          <w:rFonts w:ascii="Arial" w:hAnsi="Arial" w:cs="Arial"/>
          <w:sz w:val="18"/>
          <w:szCs w:val="18"/>
          <w:lang w:val="fr-FR"/>
        </w:rPr>
        <w:t>,</w:t>
      </w:r>
      <w:r w:rsidRPr="00720D91">
        <w:rPr>
          <w:rFonts w:ascii="Arial" w:hAnsi="Arial" w:cs="Arial"/>
          <w:sz w:val="18"/>
          <w:szCs w:val="18"/>
          <w:u w:val="single"/>
          <w:lang w:val="fr-FR"/>
        </w:rPr>
        <w:t xml:space="preserve"> § 346-355</w:t>
      </w:r>
    </w:p>
  </w:footnote>
  <w:footnote w:id="107">
    <w:p w14:paraId="3816CEEA" w14:textId="77777777" w:rsidR="00D86968" w:rsidRPr="002D305B" w:rsidRDefault="00D86968" w:rsidP="00720D91">
      <w:pPr>
        <w:pStyle w:val="Sansinterligne"/>
        <w:jc w:val="both"/>
        <w:rPr>
          <w:rFonts w:ascii="Arial" w:hAnsi="Arial" w:cs="Arial"/>
          <w:sz w:val="18"/>
          <w:szCs w:val="18"/>
        </w:rPr>
      </w:pPr>
      <w:r w:rsidRPr="002D305B">
        <w:rPr>
          <w:rStyle w:val="Appelnotedebasdep"/>
          <w:rFonts w:ascii="Arial" w:hAnsi="Arial" w:cs="Arial"/>
          <w:sz w:val="18"/>
          <w:szCs w:val="18"/>
        </w:rPr>
        <w:footnoteRef/>
      </w:r>
      <w:r w:rsidRPr="002D305B">
        <w:rPr>
          <w:rFonts w:ascii="Arial" w:hAnsi="Arial" w:cs="Arial"/>
          <w:sz w:val="18"/>
          <w:szCs w:val="18"/>
        </w:rPr>
        <w:t xml:space="preserve"> </w:t>
      </w:r>
      <w:hyperlink r:id="rId161" w:history="1">
        <w:r w:rsidRPr="002D305B">
          <w:rPr>
            <w:rStyle w:val="Lienhypertexte"/>
            <w:rFonts w:ascii="Arial" w:eastAsiaTheme="majorEastAsia" w:hAnsi="Arial" w:cs="Arial"/>
            <w:i/>
            <w:sz w:val="18"/>
            <w:szCs w:val="18"/>
          </w:rPr>
          <w:t xml:space="preserve">Géorgie c. Russie </w:t>
        </w:r>
        <w:r w:rsidRPr="002D305B">
          <w:rPr>
            <w:rStyle w:val="Lienhypertexte"/>
            <w:rFonts w:ascii="Arial" w:eastAsiaTheme="majorEastAsia" w:hAnsi="Arial" w:cs="Arial"/>
            <w:sz w:val="18"/>
            <w:szCs w:val="18"/>
          </w:rPr>
          <w:t>(II) (déc.)</w:t>
        </w:r>
      </w:hyperlink>
      <w:r w:rsidRPr="002D305B">
        <w:rPr>
          <w:rFonts w:ascii="Arial" w:hAnsi="Arial" w:cs="Arial"/>
          <w:sz w:val="18"/>
          <w:szCs w:val="18"/>
        </w:rPr>
        <w:t>, n° 38263/08, § 79, 13 décembre 2011.</w:t>
      </w:r>
    </w:p>
  </w:footnote>
  <w:footnote w:id="108">
    <w:p w14:paraId="5E0CAC77" w14:textId="77777777" w:rsidR="00D86968" w:rsidRPr="002D305B" w:rsidRDefault="00D86968" w:rsidP="00720D91">
      <w:pPr>
        <w:pStyle w:val="Sansinterligne"/>
        <w:jc w:val="both"/>
        <w:rPr>
          <w:rFonts w:ascii="Arial" w:hAnsi="Arial" w:cs="Arial"/>
          <w:sz w:val="18"/>
          <w:szCs w:val="18"/>
        </w:rPr>
      </w:pPr>
      <w:r w:rsidRPr="002D305B">
        <w:rPr>
          <w:rStyle w:val="Appelnotedebasdep"/>
          <w:rFonts w:ascii="Arial" w:hAnsi="Arial" w:cs="Arial"/>
          <w:sz w:val="18"/>
          <w:szCs w:val="18"/>
        </w:rPr>
        <w:footnoteRef/>
      </w:r>
      <w:r w:rsidRPr="002D305B">
        <w:rPr>
          <w:rFonts w:ascii="Arial" w:hAnsi="Arial" w:cs="Arial"/>
          <w:sz w:val="18"/>
          <w:szCs w:val="18"/>
        </w:rPr>
        <w:t xml:space="preserve"> La seule affaire dans laquelle la Cour s'est prononcée au sujet de l'article 55 est la décision de la Commission sur la recevabilité dans l'affaire </w:t>
      </w:r>
      <w:hyperlink r:id="rId162" w:history="1">
        <w:r w:rsidRPr="002D305B">
          <w:rPr>
            <w:rStyle w:val="Lienhypertexte"/>
            <w:rFonts w:ascii="Arial" w:eastAsiaTheme="majorEastAsia" w:hAnsi="Arial" w:cs="Arial"/>
            <w:i/>
            <w:sz w:val="18"/>
            <w:szCs w:val="18"/>
          </w:rPr>
          <w:t>Chypre c. Turquie</w:t>
        </w:r>
      </w:hyperlink>
      <w:r w:rsidRPr="002D305B">
        <w:rPr>
          <w:rFonts w:ascii="Arial" w:hAnsi="Arial" w:cs="Arial"/>
          <w:sz w:val="18"/>
          <w:szCs w:val="18"/>
        </w:rPr>
        <w:t>, n° 25781/94</w:t>
      </w:r>
      <w:r w:rsidRPr="002D305B">
        <w:rPr>
          <w:rStyle w:val="column"/>
          <w:rFonts w:ascii="Arial" w:eastAsiaTheme="majorEastAsia" w:hAnsi="Arial" w:cs="Arial"/>
          <w:sz w:val="18"/>
          <w:szCs w:val="18"/>
        </w:rPr>
        <w:t xml:space="preserve">, partie III. </w:t>
      </w:r>
    </w:p>
  </w:footnote>
  <w:footnote w:id="109">
    <w:p w14:paraId="274139AF" w14:textId="77777777" w:rsidR="00D86968" w:rsidRPr="002D305B" w:rsidRDefault="00D86968" w:rsidP="00720D91">
      <w:pPr>
        <w:pStyle w:val="Sansinterligne"/>
        <w:jc w:val="both"/>
        <w:rPr>
          <w:rFonts w:ascii="Arial" w:hAnsi="Arial" w:cs="Arial"/>
          <w:sz w:val="18"/>
          <w:szCs w:val="18"/>
        </w:rPr>
      </w:pPr>
      <w:r w:rsidRPr="002D305B">
        <w:rPr>
          <w:rStyle w:val="Appelnotedebasdep"/>
          <w:rFonts w:ascii="Arial" w:hAnsi="Arial" w:cs="Arial"/>
          <w:sz w:val="18"/>
          <w:szCs w:val="18"/>
        </w:rPr>
        <w:footnoteRef/>
      </w:r>
      <w:r w:rsidRPr="002D305B">
        <w:rPr>
          <w:rFonts w:ascii="Arial" w:hAnsi="Arial" w:cs="Arial"/>
          <w:sz w:val="18"/>
          <w:szCs w:val="18"/>
        </w:rPr>
        <w:t xml:space="preserve"> Ceci est également implicite dans les dispositions de la </w:t>
      </w:r>
      <w:hyperlink r:id="rId163" w:history="1">
        <w:r w:rsidRPr="002D305B">
          <w:rPr>
            <w:rStyle w:val="Lienhypertexte"/>
            <w:rFonts w:ascii="Arial" w:eastAsiaTheme="majorEastAsia" w:hAnsi="Arial" w:cs="Arial"/>
            <w:sz w:val="18"/>
            <w:szCs w:val="18"/>
          </w:rPr>
          <w:t xml:space="preserve">Résolution (70) 17 </w:t>
        </w:r>
      </w:hyperlink>
      <w:r w:rsidRPr="002D305B">
        <w:rPr>
          <w:rFonts w:ascii="Arial" w:hAnsi="Arial" w:cs="Arial"/>
          <w:sz w:val="18"/>
          <w:szCs w:val="18"/>
        </w:rPr>
        <w:t>du Comité des Ministres adoptée par les Délégués des Ministres le 15 mai 1970, « Pacte des Nations Unies relatif aux droits civils et politiques et Convention européenne des droits de l'homme : Procédure de traitement des plaintes interétatiques ».</w:t>
      </w:r>
    </w:p>
  </w:footnote>
  <w:footnote w:id="110">
    <w:p w14:paraId="0C4EA9FF" w14:textId="77777777" w:rsidR="00D86968" w:rsidRPr="002D305B" w:rsidRDefault="00D86968" w:rsidP="00720D91">
      <w:pPr>
        <w:pStyle w:val="Sansinterligne"/>
        <w:jc w:val="both"/>
        <w:rPr>
          <w:rFonts w:ascii="Arial" w:hAnsi="Arial" w:cs="Arial"/>
          <w:sz w:val="18"/>
          <w:szCs w:val="18"/>
        </w:rPr>
      </w:pPr>
      <w:r w:rsidRPr="002D305B">
        <w:rPr>
          <w:rFonts w:ascii="Arial" w:hAnsi="Arial" w:cs="Arial"/>
          <w:sz w:val="18"/>
          <w:szCs w:val="18"/>
          <w:vertAlign w:val="superscript"/>
        </w:rPr>
        <w:footnoteRef/>
      </w:r>
      <w:r w:rsidRPr="002D305B">
        <w:rPr>
          <w:rFonts w:ascii="Arial" w:hAnsi="Arial" w:cs="Arial"/>
          <w:sz w:val="18"/>
          <w:szCs w:val="18"/>
        </w:rPr>
        <w:t xml:space="preserve"> Voir la </w:t>
      </w:r>
      <w:hyperlink r:id="rId164" w:history="1">
        <w:r w:rsidRPr="002D305B">
          <w:rPr>
            <w:rStyle w:val="Lienhypertexte"/>
            <w:rFonts w:ascii="Arial" w:eastAsiaTheme="majorEastAsia" w:hAnsi="Arial" w:cs="Arial"/>
            <w:sz w:val="18"/>
            <w:szCs w:val="18"/>
          </w:rPr>
          <w:t xml:space="preserve">Résolution (70) 17 </w:t>
        </w:r>
      </w:hyperlink>
      <w:r w:rsidRPr="002D305B">
        <w:rPr>
          <w:rFonts w:ascii="Arial" w:hAnsi="Arial" w:cs="Arial"/>
          <w:sz w:val="18"/>
          <w:szCs w:val="18"/>
        </w:rPr>
        <w:t>du Comité des Ministres précitée. Le Comité des Ministres « déclare qu’en attendant que le problème de l’interprétation de l’article 62 de la Convention européenne [actuel article 55] soit résolu, les États parties à cette convention qui ratifient le Pacte de l’Onu relatif aux droits civils et politiques ou adhèrent à celui-ci, et qui souscrivent à la déclaration facultative prévue à l’article 41 de ce Pacte, ne doivent normalement avoir recours qu’à la procédure instituée par la Convention européenne en ce qui concerne les plaintes dirigées contre une autre Partie Contractante liée par la Convention européenne et alléguant la violation d’un droit couvert, en substance, tant par la Convention européenne (ou ses Protocoles) que par le Pacte des Nations Unies relatif aux droits civils et politiques, étant entendu que la procédure de l’Onu pourra être utilisée lorsqu’il s’agira de droits non garantis dans la Convention européenne (ou ses Protocoles) ou à l’égard d’États qui ne sont pas parties à cette convention ».</w:t>
      </w:r>
    </w:p>
  </w:footnote>
  <w:footnote w:id="111">
    <w:p w14:paraId="40DC50B0" w14:textId="77777777" w:rsidR="00D86968" w:rsidRPr="002D305B" w:rsidRDefault="00D86968" w:rsidP="00720D91">
      <w:pPr>
        <w:pStyle w:val="Sansinterligne"/>
        <w:jc w:val="both"/>
        <w:rPr>
          <w:rFonts w:ascii="Arial" w:hAnsi="Arial" w:cs="Arial"/>
          <w:sz w:val="18"/>
          <w:szCs w:val="18"/>
        </w:rPr>
      </w:pPr>
      <w:r w:rsidRPr="002D305B">
        <w:rPr>
          <w:rStyle w:val="Appelnotedebasdep"/>
          <w:rFonts w:ascii="Arial" w:hAnsi="Arial" w:cs="Arial"/>
          <w:sz w:val="18"/>
          <w:szCs w:val="18"/>
        </w:rPr>
        <w:footnoteRef/>
      </w:r>
      <w:hyperlink r:id="rId165" w:history="1">
        <w:r w:rsidRPr="002D305B">
          <w:rPr>
            <w:rStyle w:val="Lienhypertexte"/>
            <w:rFonts w:ascii="Arial" w:eastAsiaTheme="majorEastAsia" w:hAnsi="Arial" w:cs="Arial"/>
            <w:i/>
            <w:sz w:val="18"/>
            <w:szCs w:val="18"/>
          </w:rPr>
          <w:t xml:space="preserve"> Chypre c. Turquie</w:t>
        </w:r>
      </w:hyperlink>
      <w:r w:rsidRPr="002D305B">
        <w:rPr>
          <w:rFonts w:ascii="Arial" w:hAnsi="Arial" w:cs="Arial"/>
          <w:i/>
          <w:sz w:val="18"/>
          <w:szCs w:val="18"/>
        </w:rPr>
        <w:t xml:space="preserve">, </w:t>
      </w:r>
      <w:r w:rsidRPr="002D305B">
        <w:rPr>
          <w:rFonts w:ascii="Arial" w:hAnsi="Arial" w:cs="Arial"/>
          <w:sz w:val="18"/>
          <w:szCs w:val="18"/>
        </w:rPr>
        <w:t xml:space="preserve">n° 25781/94, décision de la Commission, </w:t>
      </w:r>
      <w:r w:rsidRPr="002D305B">
        <w:rPr>
          <w:rStyle w:val="column"/>
          <w:rFonts w:ascii="Arial" w:eastAsiaTheme="majorEastAsia" w:hAnsi="Arial" w:cs="Arial"/>
          <w:sz w:val="18"/>
          <w:szCs w:val="18"/>
        </w:rPr>
        <w:t>partie III.</w:t>
      </w:r>
    </w:p>
  </w:footnote>
  <w:footnote w:id="112">
    <w:p w14:paraId="5F103A7D" w14:textId="77777777" w:rsidR="00D86968" w:rsidRPr="00943DBE" w:rsidRDefault="00D86968" w:rsidP="00720D91">
      <w:pPr>
        <w:pStyle w:val="Sansinterligne"/>
        <w:jc w:val="both"/>
        <w:rPr>
          <w:rFonts w:ascii="Arial" w:hAnsi="Arial" w:cs="Arial"/>
          <w:sz w:val="18"/>
          <w:szCs w:val="18"/>
        </w:rPr>
      </w:pPr>
      <w:r w:rsidRPr="002D305B">
        <w:rPr>
          <w:rStyle w:val="Appelnotedebasdep"/>
          <w:rFonts w:ascii="Arial" w:hAnsi="Arial" w:cs="Arial"/>
          <w:sz w:val="18"/>
          <w:szCs w:val="18"/>
        </w:rPr>
        <w:footnoteRef/>
      </w:r>
      <w:r w:rsidRPr="00943DBE">
        <w:rPr>
          <w:rFonts w:ascii="Arial" w:hAnsi="Arial" w:cs="Arial"/>
          <w:sz w:val="18"/>
          <w:szCs w:val="18"/>
        </w:rPr>
        <w:t xml:space="preserve"> Ibid</w:t>
      </w:r>
      <w:r w:rsidRPr="00943DBE">
        <w:rPr>
          <w:rStyle w:val="column"/>
          <w:rFonts w:ascii="Arial" w:eastAsiaTheme="majorEastAsia" w:hAnsi="Arial" w:cs="Arial"/>
          <w:sz w:val="18"/>
          <w:szCs w:val="18"/>
        </w:rPr>
        <w:t>.</w:t>
      </w:r>
    </w:p>
  </w:footnote>
  <w:footnote w:id="113">
    <w:p w14:paraId="0CA0C35A" w14:textId="77777777" w:rsidR="00D86968" w:rsidRPr="00720D91" w:rsidRDefault="00D86968" w:rsidP="00720D91">
      <w:pPr>
        <w:pStyle w:val="SingleTxtG"/>
        <w:spacing w:after="0" w:line="180" w:lineRule="exact"/>
        <w:ind w:left="0" w:right="0"/>
        <w:rPr>
          <w:rFonts w:ascii="Arial" w:hAnsi="Arial" w:cs="Arial"/>
          <w:sz w:val="18"/>
          <w:szCs w:val="18"/>
          <w:lang w:val="fr-FR"/>
        </w:rPr>
      </w:pPr>
      <w:r w:rsidRPr="00560F13">
        <w:rPr>
          <w:rStyle w:val="Appelnotedebasdep"/>
          <w:rFonts w:ascii="Arial" w:hAnsi="Arial" w:cs="Arial"/>
          <w:sz w:val="18"/>
          <w:szCs w:val="18"/>
        </w:rPr>
        <w:footnoteRef/>
      </w:r>
      <w:r w:rsidRPr="00720D91">
        <w:rPr>
          <w:rFonts w:ascii="Arial" w:hAnsi="Arial" w:cs="Arial"/>
          <w:sz w:val="18"/>
          <w:szCs w:val="18"/>
          <w:lang w:val="fr-FR"/>
        </w:rPr>
        <w:t xml:space="preserve"> Voir document </w:t>
      </w:r>
      <w:hyperlink r:id="rId166" w:history="1">
        <w:r w:rsidRPr="00720D91">
          <w:rPr>
            <w:rStyle w:val="Lienhypertexte"/>
            <w:rFonts w:ascii="Arial" w:hAnsi="Arial" w:cs="Arial"/>
            <w:sz w:val="18"/>
            <w:szCs w:val="18"/>
            <w:lang w:val="fr-FR"/>
          </w:rPr>
          <w:t>CDDH(2019)22</w:t>
        </w:r>
      </w:hyperlink>
      <w:r w:rsidRPr="00720D91">
        <w:rPr>
          <w:rFonts w:ascii="Arial" w:hAnsi="Arial" w:cs="Arial"/>
          <w:sz w:val="18"/>
          <w:szCs w:val="18"/>
          <w:lang w:val="fr-FR"/>
        </w:rPr>
        <w:t>, §§ 26 and 27.</w:t>
      </w:r>
    </w:p>
  </w:footnote>
  <w:footnote w:id="114">
    <w:p w14:paraId="0E73036E" w14:textId="77777777" w:rsidR="00D86968" w:rsidRPr="00720D91" w:rsidRDefault="00D86968" w:rsidP="00720D91">
      <w:pPr>
        <w:pStyle w:val="Notedebasdepage"/>
        <w:shd w:val="clear" w:color="auto" w:fill="FFFFFF" w:themeFill="background1"/>
        <w:rPr>
          <w:lang w:val="fr-FR"/>
        </w:rPr>
      </w:pPr>
      <w:r w:rsidRPr="00644BCB">
        <w:rPr>
          <w:rStyle w:val="Appelnotedebasdep"/>
          <w:shd w:val="clear" w:color="auto" w:fill="FFFFFF" w:themeFill="background1"/>
        </w:rPr>
        <w:footnoteRef/>
      </w:r>
      <w:r w:rsidRPr="00720D91">
        <w:rPr>
          <w:rFonts w:ascii="Arial" w:hAnsi="Arial" w:cs="Arial"/>
          <w:sz w:val="18"/>
          <w:szCs w:val="18"/>
          <w:shd w:val="clear" w:color="auto" w:fill="FFFFFF" w:themeFill="background1"/>
          <w:lang w:val="fr-FR"/>
        </w:rPr>
        <w:t xml:space="preserve"> </w:t>
      </w:r>
      <w:hyperlink r:id="rId167" w:history="1">
        <w:r w:rsidRPr="00720D91">
          <w:rPr>
            <w:rStyle w:val="Lienhypertexte"/>
            <w:rFonts w:ascii="Arial" w:hAnsi="Arial" w:cs="Arial"/>
            <w:i/>
            <w:iCs/>
            <w:color w:val="auto"/>
            <w:sz w:val="18"/>
            <w:szCs w:val="18"/>
            <w:shd w:val="clear" w:color="auto" w:fill="FFFFFF" w:themeFill="background1"/>
            <w:lang w:val="fr-FR"/>
          </w:rPr>
          <w:t xml:space="preserve">Ukraine c. Russie </w:t>
        </w:r>
      </w:hyperlink>
      <w:r w:rsidRPr="00720D91">
        <w:rPr>
          <w:rFonts w:ascii="Arial" w:hAnsi="Arial" w:cs="Arial"/>
          <w:i/>
          <w:iCs/>
          <w:sz w:val="18"/>
          <w:szCs w:val="18"/>
          <w:shd w:val="clear" w:color="auto" w:fill="FFFFFF" w:themeFill="background1"/>
          <w:lang w:val="fr-FR"/>
        </w:rPr>
        <w:t>(déc) [GC]</w:t>
      </w:r>
      <w:r w:rsidRPr="00720D91">
        <w:rPr>
          <w:rFonts w:ascii="Arial" w:hAnsi="Arial" w:cs="Arial"/>
          <w:sz w:val="18"/>
          <w:szCs w:val="18"/>
          <w:shd w:val="clear" w:color="auto" w:fill="FFFFFF" w:themeFill="background1"/>
          <w:lang w:val="fr-FR"/>
        </w:rPr>
        <w:t>, n° 20958/14 et 38334/18, § 254, 16 décembre 2020.</w:t>
      </w:r>
    </w:p>
  </w:footnote>
  <w:footnote w:id="115">
    <w:p w14:paraId="6D573B1F" w14:textId="77777777" w:rsidR="00D86968" w:rsidRPr="00720D91" w:rsidRDefault="00D86968" w:rsidP="00720D91">
      <w:pPr>
        <w:pStyle w:val="Notedebasdepage"/>
        <w:shd w:val="clear" w:color="auto" w:fill="FFFFFF" w:themeFill="background1"/>
        <w:rPr>
          <w:lang w:val="fr-FR"/>
        </w:rPr>
      </w:pPr>
      <w:r w:rsidRPr="00644BCB">
        <w:rPr>
          <w:rStyle w:val="Appelnotedebasdep"/>
          <w:shd w:val="clear" w:color="auto" w:fill="FFFFFF" w:themeFill="background1"/>
        </w:rPr>
        <w:footnoteRef/>
      </w:r>
      <w:r w:rsidRPr="00720D91">
        <w:rPr>
          <w:rFonts w:ascii="Arial" w:hAnsi="Arial" w:cs="Arial"/>
          <w:sz w:val="18"/>
          <w:szCs w:val="18"/>
          <w:shd w:val="clear" w:color="auto" w:fill="FFFFFF" w:themeFill="background1"/>
          <w:lang w:val="fr-FR"/>
        </w:rPr>
        <w:t xml:space="preserve"> </w:t>
      </w:r>
      <w:hyperlink r:id="rId168" w:history="1">
        <w:r w:rsidRPr="00720D91">
          <w:rPr>
            <w:rStyle w:val="Lienhypertexte"/>
            <w:rFonts w:ascii="Arial" w:hAnsi="Arial" w:cs="Arial"/>
            <w:i/>
            <w:iCs/>
            <w:color w:val="auto"/>
            <w:sz w:val="18"/>
            <w:szCs w:val="18"/>
            <w:shd w:val="clear" w:color="auto" w:fill="FFFFFF" w:themeFill="background1"/>
            <w:lang w:val="fr-FR"/>
          </w:rPr>
          <w:t xml:space="preserve">Géorgie c. Russie </w:t>
        </w:r>
      </w:hyperlink>
      <w:r w:rsidRPr="00720D91">
        <w:rPr>
          <w:rFonts w:ascii="Arial" w:hAnsi="Arial" w:cs="Arial"/>
          <w:sz w:val="18"/>
          <w:szCs w:val="18"/>
          <w:shd w:val="clear" w:color="auto" w:fill="FFFFFF" w:themeFill="background1"/>
          <w:lang w:val="fr-FR"/>
        </w:rPr>
        <w:t>(II) (fond) [GC] n° 38263/08, § 61, 21 janvier 2021.</w:t>
      </w:r>
    </w:p>
  </w:footnote>
  <w:footnote w:id="116">
    <w:p w14:paraId="4683FBE3" w14:textId="77777777" w:rsidR="00D86968" w:rsidRPr="00BF50E1" w:rsidRDefault="00D86968" w:rsidP="00720D91">
      <w:pPr>
        <w:pStyle w:val="Sansinterligne"/>
        <w:jc w:val="both"/>
        <w:rPr>
          <w:rFonts w:ascii="Arial" w:hAnsi="Arial" w:cs="Arial"/>
          <w:sz w:val="18"/>
          <w:szCs w:val="18"/>
        </w:rPr>
      </w:pPr>
      <w:r w:rsidRPr="007E1D76">
        <w:rPr>
          <w:rStyle w:val="Appelnotedebasdep"/>
          <w:rFonts w:ascii="Arial" w:hAnsi="Arial" w:cs="Arial"/>
          <w:sz w:val="18"/>
          <w:szCs w:val="18"/>
        </w:rPr>
        <w:footnoteRef/>
      </w:r>
      <w:r w:rsidRPr="00BF50E1">
        <w:rPr>
          <w:rFonts w:ascii="Arial" w:hAnsi="Arial" w:cs="Arial"/>
          <w:sz w:val="18"/>
          <w:szCs w:val="18"/>
        </w:rPr>
        <w:t xml:space="preserve"> Voir le document </w:t>
      </w:r>
      <w:hyperlink r:id="rId169" w:history="1">
        <w:r w:rsidRPr="00BF50E1">
          <w:rPr>
            <w:rStyle w:val="Lienhypertexte"/>
            <w:rFonts w:ascii="Arial" w:eastAsiaTheme="majorEastAsia" w:hAnsi="Arial" w:cs="Arial"/>
            <w:sz w:val="18"/>
            <w:szCs w:val="18"/>
          </w:rPr>
          <w:t>CDDH(2019)22</w:t>
        </w:r>
      </w:hyperlink>
      <w:r w:rsidRPr="00BF50E1">
        <w:rPr>
          <w:rFonts w:ascii="Arial" w:hAnsi="Arial" w:cs="Arial"/>
          <w:sz w:val="18"/>
          <w:szCs w:val="18"/>
        </w:rPr>
        <w:t>, §§ 20 et 24.</w:t>
      </w:r>
    </w:p>
  </w:footnote>
  <w:footnote w:id="117">
    <w:p w14:paraId="50631565" w14:textId="77777777" w:rsidR="00D86968" w:rsidRPr="00720D91" w:rsidRDefault="00D86968" w:rsidP="00720D91">
      <w:pPr>
        <w:pStyle w:val="Notedebasdepage"/>
        <w:rPr>
          <w:lang w:val="fr-FR"/>
        </w:rPr>
      </w:pPr>
      <w:r w:rsidRPr="00644BCB">
        <w:rPr>
          <w:rStyle w:val="Appelnotedebasdep"/>
          <w:shd w:val="clear" w:color="auto" w:fill="FFFFFF" w:themeFill="background1"/>
        </w:rPr>
        <w:footnoteRef/>
      </w:r>
      <w:hyperlink r:id="rId170" w:history="1">
        <w:r w:rsidRPr="00720D91">
          <w:rPr>
            <w:rStyle w:val="Lienhypertexte"/>
            <w:rFonts w:ascii="Arial" w:hAnsi="Arial" w:cs="Arial"/>
            <w:i/>
            <w:iCs/>
            <w:color w:val="auto"/>
            <w:sz w:val="18"/>
            <w:szCs w:val="18"/>
            <w:shd w:val="clear" w:color="auto" w:fill="FFFFFF" w:themeFill="background1"/>
            <w:lang w:val="fr-FR"/>
          </w:rPr>
          <w:t xml:space="preserve"> Géorgie c. Russie </w:t>
        </w:r>
      </w:hyperlink>
      <w:r w:rsidRPr="00720D91">
        <w:rPr>
          <w:rFonts w:ascii="Arial" w:hAnsi="Arial" w:cs="Arial"/>
          <w:sz w:val="18"/>
          <w:szCs w:val="18"/>
          <w:shd w:val="clear" w:color="auto" w:fill="FFFFFF" w:themeFill="background1"/>
          <w:lang w:val="fr-FR"/>
        </w:rPr>
        <w:t>(II) (fond) [GC] n° 38263/08, § 141, 21 janvier 2021.</w:t>
      </w:r>
    </w:p>
  </w:footnote>
  <w:footnote w:id="118">
    <w:p w14:paraId="0438AD0B" w14:textId="77777777" w:rsidR="00D86968" w:rsidRPr="00293191" w:rsidRDefault="00D86968" w:rsidP="00720D91">
      <w:pPr>
        <w:pStyle w:val="Sansinterligne"/>
        <w:jc w:val="both"/>
        <w:rPr>
          <w:rFonts w:ascii="Arial" w:hAnsi="Arial" w:cs="Arial"/>
          <w:sz w:val="18"/>
          <w:szCs w:val="18"/>
        </w:rPr>
      </w:pPr>
      <w:r w:rsidRPr="00293191">
        <w:rPr>
          <w:rStyle w:val="Appelnotedebasdep"/>
          <w:rFonts w:ascii="Arial" w:hAnsi="Arial" w:cs="Arial"/>
          <w:sz w:val="18"/>
          <w:szCs w:val="18"/>
        </w:rPr>
        <w:footnoteRef/>
      </w:r>
      <w:r w:rsidRPr="00293191">
        <w:rPr>
          <w:rFonts w:ascii="Arial" w:hAnsi="Arial" w:cs="Arial"/>
          <w:sz w:val="18"/>
          <w:szCs w:val="18"/>
        </w:rPr>
        <w:t xml:space="preserve"> Ceci est sans préjudice du fait que le Règlement de la Cour contient des dispositions détaillées concernant les mesures d'instruction et les obligations des parties à cet égard, voir l'annexe 1 du </w:t>
      </w:r>
      <w:hyperlink r:id="rId171" w:history="1">
        <w:r w:rsidRPr="00293191">
          <w:rPr>
            <w:rStyle w:val="Lienhypertexte"/>
            <w:rFonts w:ascii="Arial" w:eastAsiaTheme="majorEastAsia" w:hAnsi="Arial" w:cs="Arial"/>
            <w:sz w:val="18"/>
            <w:szCs w:val="18"/>
          </w:rPr>
          <w:t>Règlement de la Cour</w:t>
        </w:r>
      </w:hyperlink>
      <w:r w:rsidRPr="00293191">
        <w:rPr>
          <w:rFonts w:ascii="Arial" w:hAnsi="Arial" w:cs="Arial"/>
          <w:sz w:val="18"/>
          <w:szCs w:val="18"/>
        </w:rPr>
        <w:t>.</w:t>
      </w:r>
    </w:p>
  </w:footnote>
  <w:footnote w:id="119">
    <w:p w14:paraId="0D534150" w14:textId="77777777" w:rsidR="00D86968" w:rsidRPr="00293191" w:rsidRDefault="00D86968" w:rsidP="00720D91">
      <w:pPr>
        <w:pStyle w:val="Sansinterligne"/>
        <w:shd w:val="clear" w:color="auto" w:fill="FFFFFF" w:themeFill="background1"/>
        <w:jc w:val="both"/>
        <w:rPr>
          <w:rFonts w:ascii="Arial" w:hAnsi="Arial" w:cs="Arial"/>
          <w:sz w:val="18"/>
          <w:szCs w:val="18"/>
        </w:rPr>
      </w:pPr>
      <w:r w:rsidRPr="00293191">
        <w:rPr>
          <w:rStyle w:val="Appelnotedebasdep"/>
          <w:rFonts w:ascii="Arial" w:hAnsi="Arial" w:cs="Arial"/>
          <w:sz w:val="18"/>
          <w:szCs w:val="18"/>
        </w:rPr>
        <w:footnoteRef/>
      </w:r>
      <w:r w:rsidRPr="00293191">
        <w:rPr>
          <w:rFonts w:ascii="Arial" w:hAnsi="Arial" w:cs="Arial"/>
          <w:sz w:val="18"/>
          <w:szCs w:val="18"/>
        </w:rPr>
        <w:t xml:space="preserve"> </w:t>
      </w:r>
      <w:hyperlink r:id="rId172" w:history="1">
        <w:r w:rsidRPr="00293191">
          <w:rPr>
            <w:rStyle w:val="Lienhypertexte"/>
            <w:rFonts w:ascii="Arial" w:eastAsiaTheme="majorEastAsia" w:hAnsi="Arial" w:cs="Arial"/>
            <w:i/>
            <w:sz w:val="18"/>
            <w:szCs w:val="18"/>
          </w:rPr>
          <w:t>Irlande c. Royaume-Uni</w:t>
        </w:r>
      </w:hyperlink>
      <w:r w:rsidRPr="00293191">
        <w:rPr>
          <w:rFonts w:ascii="Arial" w:hAnsi="Arial" w:cs="Arial"/>
          <w:sz w:val="18"/>
          <w:szCs w:val="18"/>
        </w:rPr>
        <w:t xml:space="preserve">, no. 5310/71, § 160, 18 janvier 1978. </w:t>
      </w:r>
    </w:p>
  </w:footnote>
  <w:footnote w:id="120">
    <w:p w14:paraId="4DFD4406" w14:textId="77777777" w:rsidR="00D86968" w:rsidRPr="00293191" w:rsidRDefault="00D86968" w:rsidP="00720D91">
      <w:pPr>
        <w:pStyle w:val="Sansinterligne"/>
        <w:shd w:val="clear" w:color="auto" w:fill="FFFFFF" w:themeFill="background1"/>
        <w:jc w:val="both"/>
        <w:rPr>
          <w:rFonts w:ascii="Arial" w:hAnsi="Arial" w:cs="Arial"/>
          <w:sz w:val="18"/>
          <w:szCs w:val="18"/>
        </w:rPr>
      </w:pPr>
      <w:r w:rsidRPr="00293191">
        <w:rPr>
          <w:rStyle w:val="Appelnotedebasdep"/>
          <w:rFonts w:ascii="Arial" w:hAnsi="Arial" w:cs="Arial"/>
          <w:sz w:val="18"/>
          <w:szCs w:val="18"/>
        </w:rPr>
        <w:footnoteRef/>
      </w:r>
      <w:r w:rsidRPr="00293191">
        <w:rPr>
          <w:rFonts w:ascii="Arial" w:hAnsi="Arial" w:cs="Arial"/>
          <w:sz w:val="18"/>
          <w:szCs w:val="18"/>
        </w:rPr>
        <w:t xml:space="preserve"> </w:t>
      </w:r>
      <w:hyperlink r:id="rId173" w:history="1">
        <w:r w:rsidRPr="00293191">
          <w:rPr>
            <w:rStyle w:val="Lienhypertexte"/>
            <w:rFonts w:ascii="Arial" w:eastAsiaTheme="majorEastAsia" w:hAnsi="Arial" w:cs="Arial"/>
            <w:i/>
            <w:sz w:val="18"/>
            <w:szCs w:val="18"/>
          </w:rPr>
          <w:t>Nachova et autres c. Bulgarie</w:t>
        </w:r>
      </w:hyperlink>
      <w:r w:rsidRPr="00293191">
        <w:rPr>
          <w:rFonts w:ascii="Arial" w:hAnsi="Arial" w:cs="Arial"/>
          <w:sz w:val="18"/>
          <w:szCs w:val="18"/>
        </w:rPr>
        <w:t>, nos 43577/98 et 43579/98, § 147, 6 juillet 2005, CEDH 2005-VII.</w:t>
      </w:r>
    </w:p>
  </w:footnote>
  <w:footnote w:id="121">
    <w:p w14:paraId="0827693C" w14:textId="77777777" w:rsidR="00D86968" w:rsidRPr="00293191" w:rsidRDefault="00D86968" w:rsidP="00720D91">
      <w:pPr>
        <w:pStyle w:val="Sansinterligne"/>
        <w:jc w:val="both"/>
        <w:rPr>
          <w:rFonts w:ascii="Arial" w:hAnsi="Arial" w:cs="Arial"/>
          <w:sz w:val="18"/>
          <w:szCs w:val="18"/>
        </w:rPr>
      </w:pPr>
      <w:r w:rsidRPr="00293191">
        <w:rPr>
          <w:rStyle w:val="Appelnotedebasdep"/>
          <w:rFonts w:ascii="Arial" w:hAnsi="Arial" w:cs="Arial"/>
          <w:sz w:val="18"/>
          <w:szCs w:val="18"/>
        </w:rPr>
        <w:footnoteRef/>
      </w:r>
      <w:hyperlink r:id="rId174" w:history="1">
        <w:r w:rsidRPr="00293191">
          <w:rPr>
            <w:rStyle w:val="Lienhypertexte"/>
            <w:rFonts w:ascii="Arial" w:eastAsiaTheme="majorEastAsia" w:hAnsi="Arial" w:cs="Arial"/>
            <w:i/>
            <w:color w:val="auto"/>
            <w:sz w:val="18"/>
            <w:szCs w:val="18"/>
          </w:rPr>
          <w:t xml:space="preserve"> </w:t>
        </w:r>
        <w:bookmarkStart w:id="37" w:name="_Hlk67307663"/>
        <w:r w:rsidRPr="00293191">
          <w:fldChar w:fldCharType="begin"/>
        </w:r>
        <w:r w:rsidRPr="00293191">
          <w:rPr>
            <w:rFonts w:ascii="Arial" w:hAnsi="Arial" w:cs="Arial"/>
          </w:rPr>
          <w:instrText xml:space="preserve"> </w:instrText>
        </w:r>
        <w:r>
          <w:rPr>
            <w:rFonts w:ascii="Arial" w:hAnsi="Arial" w:cs="Arial"/>
          </w:rPr>
          <w:instrText>HYPERLINK</w:instrText>
        </w:r>
        <w:r w:rsidRPr="00293191">
          <w:rPr>
            <w:rFonts w:ascii="Arial" w:hAnsi="Arial" w:cs="Arial"/>
          </w:rPr>
          <w:instrText xml:space="preserve"> "https://hudoc.echr.coe.int/eng" \l "{%22itemid%22:[%22001-145552%22]}" </w:instrText>
        </w:r>
        <w:r w:rsidRPr="00293191">
          <w:fldChar w:fldCharType="separate"/>
        </w:r>
        <w:r w:rsidRPr="00293191">
          <w:rPr>
            <w:rStyle w:val="Lienhypertexte"/>
            <w:rFonts w:ascii="Arial" w:eastAsiaTheme="majorEastAsia" w:hAnsi="Arial" w:cs="Arial"/>
            <w:i/>
            <w:color w:val="auto"/>
            <w:sz w:val="18"/>
            <w:szCs w:val="18"/>
          </w:rPr>
          <w:t>Géorgie c. Russie</w:t>
        </w:r>
        <w:r w:rsidRPr="00293191">
          <w:rPr>
            <w:rStyle w:val="Lienhypertexte"/>
            <w:rFonts w:ascii="Arial" w:eastAsiaTheme="majorEastAsia" w:hAnsi="Arial" w:cs="Arial"/>
            <w:i/>
            <w:color w:val="auto"/>
            <w:sz w:val="18"/>
            <w:szCs w:val="18"/>
          </w:rPr>
          <w:fldChar w:fldCharType="end"/>
        </w:r>
        <w:r w:rsidRPr="00293191">
          <w:rPr>
            <w:rStyle w:val="Lienhypertexte"/>
            <w:rFonts w:ascii="Arial" w:eastAsiaTheme="majorEastAsia" w:hAnsi="Arial" w:cs="Arial"/>
            <w:color w:val="auto"/>
            <w:sz w:val="18"/>
            <w:szCs w:val="18"/>
          </w:rPr>
          <w:t xml:space="preserve"> </w:t>
        </w:r>
        <w:r w:rsidRPr="00293191">
          <w:rPr>
            <w:rStyle w:val="Lienhypertexte"/>
            <w:rFonts w:ascii="Arial" w:eastAsiaTheme="majorEastAsia" w:hAnsi="Arial" w:cs="Arial"/>
            <w:i/>
            <w:color w:val="auto"/>
            <w:sz w:val="18"/>
            <w:szCs w:val="18"/>
          </w:rPr>
          <w:t>(I)</w:t>
        </w:r>
        <w:bookmarkEnd w:id="37"/>
      </w:hyperlink>
      <w:r w:rsidRPr="00293191">
        <w:rPr>
          <w:rFonts w:ascii="Arial" w:hAnsi="Arial" w:cs="Arial"/>
          <w:sz w:val="18"/>
          <w:szCs w:val="18"/>
        </w:rPr>
        <w:t>, précité § 94.</w:t>
      </w:r>
    </w:p>
  </w:footnote>
  <w:footnote w:id="122">
    <w:p w14:paraId="6AFCC81C" w14:textId="77777777" w:rsidR="00D86968" w:rsidRPr="00720D91" w:rsidRDefault="00D86968" w:rsidP="00720D91">
      <w:pPr>
        <w:pStyle w:val="Notedebasdepage"/>
        <w:shd w:val="clear" w:color="auto" w:fill="FFFFFF" w:themeFill="background1"/>
        <w:jc w:val="both"/>
        <w:rPr>
          <w:rFonts w:ascii="Arial" w:hAnsi="Arial" w:cs="Arial"/>
          <w:lang w:val="fr-FR"/>
        </w:rPr>
      </w:pPr>
      <w:r w:rsidRPr="00293191">
        <w:rPr>
          <w:rStyle w:val="Appelnotedebasdep"/>
          <w:rFonts w:ascii="Arial" w:hAnsi="Arial" w:cs="Arial"/>
        </w:rPr>
        <w:footnoteRef/>
      </w:r>
      <w:r w:rsidRPr="00720D91">
        <w:rPr>
          <w:rFonts w:ascii="Arial" w:hAnsi="Arial" w:cs="Arial"/>
          <w:sz w:val="18"/>
          <w:szCs w:val="18"/>
          <w:lang w:val="fr-FR"/>
        </w:rPr>
        <w:t xml:space="preserve"> </w:t>
      </w:r>
      <w:hyperlink r:id="rId175" w:anchor="{%22itemid%22:[%22001-62064%22]}" w:history="1">
        <w:r w:rsidRPr="00720D91">
          <w:rPr>
            <w:rStyle w:val="Lienhypertexte"/>
            <w:rFonts w:ascii="Arial" w:hAnsi="Arial" w:cs="Arial"/>
            <w:i/>
            <w:color w:val="auto"/>
            <w:sz w:val="18"/>
            <w:szCs w:val="18"/>
            <w:lang w:val="fr-FR"/>
          </w:rPr>
          <w:t>Irlande c. Royaume-Uni</w:t>
        </w:r>
      </w:hyperlink>
      <w:r w:rsidRPr="00720D91">
        <w:rPr>
          <w:rFonts w:ascii="Arial" w:hAnsi="Arial" w:cs="Arial"/>
          <w:sz w:val="18"/>
          <w:szCs w:val="18"/>
          <w:lang w:val="fr-FR"/>
        </w:rPr>
        <w:t xml:space="preserve">, no. 5310/71, § 210, 18 janvier 1978 ; </w:t>
      </w:r>
      <w:hyperlink r:id="rId176" w:anchor="{%22itemid%22:[%22001-145552%22]}" w:history="1">
        <w:r w:rsidRPr="00720D91">
          <w:rPr>
            <w:rStyle w:val="Lienhypertexte"/>
            <w:rFonts w:ascii="Arial" w:hAnsi="Arial" w:cs="Arial"/>
            <w:i/>
            <w:color w:val="auto"/>
            <w:sz w:val="18"/>
            <w:szCs w:val="18"/>
            <w:lang w:val="fr-FR"/>
          </w:rPr>
          <w:t>Géorgie c. Russie</w:t>
        </w:r>
      </w:hyperlink>
      <w:r w:rsidRPr="00720D91">
        <w:rPr>
          <w:rStyle w:val="Lienhypertexte"/>
          <w:rFonts w:ascii="Arial" w:hAnsi="Arial" w:cs="Arial"/>
          <w:color w:val="auto"/>
          <w:sz w:val="18"/>
          <w:szCs w:val="18"/>
          <w:lang w:val="fr-FR"/>
        </w:rPr>
        <w:t xml:space="preserve"> </w:t>
      </w:r>
      <w:r w:rsidRPr="00720D91">
        <w:rPr>
          <w:rStyle w:val="Lienhypertexte"/>
          <w:rFonts w:ascii="Arial" w:hAnsi="Arial" w:cs="Arial"/>
          <w:i/>
          <w:color w:val="auto"/>
          <w:sz w:val="18"/>
          <w:szCs w:val="18"/>
          <w:lang w:val="fr-FR"/>
        </w:rPr>
        <w:t>(I)</w:t>
      </w:r>
      <w:r w:rsidRPr="00720D91">
        <w:rPr>
          <w:rFonts w:ascii="Arial" w:hAnsi="Arial" w:cs="Arial"/>
          <w:sz w:val="18"/>
          <w:szCs w:val="18"/>
          <w:lang w:val="fr-FR"/>
        </w:rPr>
        <w:t xml:space="preserve">, précité, § 138 </w:t>
      </w:r>
      <w:hyperlink r:id="rId177" w:history="1">
        <w:r w:rsidRPr="00720D91">
          <w:rPr>
            <w:rFonts w:ascii="Arial" w:hAnsi="Arial" w:cs="Arial"/>
            <w:lang w:val="fr-FR"/>
          </w:rPr>
          <w:t xml:space="preserve"> </w:t>
        </w:r>
        <w:r w:rsidRPr="00720D91">
          <w:rPr>
            <w:rStyle w:val="Lienhypertexte"/>
            <w:rFonts w:ascii="Arial" w:hAnsi="Arial" w:cs="Arial"/>
            <w:i/>
            <w:iCs/>
            <w:color w:val="auto"/>
            <w:sz w:val="18"/>
            <w:szCs w:val="18"/>
            <w:lang w:val="fr-FR"/>
          </w:rPr>
          <w:t xml:space="preserve">Géorgie c. Russie </w:t>
        </w:r>
      </w:hyperlink>
      <w:r w:rsidRPr="00720D91">
        <w:rPr>
          <w:rFonts w:ascii="Arial" w:hAnsi="Arial" w:cs="Arial"/>
          <w:sz w:val="18"/>
          <w:szCs w:val="18"/>
          <w:lang w:val="fr-FR"/>
        </w:rPr>
        <w:t>(</w:t>
      </w:r>
      <w:r w:rsidRPr="00720D91">
        <w:rPr>
          <w:rFonts w:ascii="Arial" w:hAnsi="Arial" w:cs="Arial"/>
          <w:sz w:val="18"/>
          <w:szCs w:val="18"/>
          <w:shd w:val="clear" w:color="auto" w:fill="FFFFFF" w:themeFill="background1"/>
          <w:lang w:val="fr-FR"/>
        </w:rPr>
        <w:t>II) (fond) [GC] no. 38263/08, § 59, 21 janvier 2021.</w:t>
      </w:r>
    </w:p>
  </w:footnote>
  <w:footnote w:id="123">
    <w:p w14:paraId="7E95C58A" w14:textId="77777777" w:rsidR="00D86968" w:rsidRPr="00720D91" w:rsidRDefault="00D86968" w:rsidP="00720D91">
      <w:pPr>
        <w:pStyle w:val="Notedebasdepage"/>
        <w:shd w:val="clear" w:color="auto" w:fill="FFFFFF" w:themeFill="background1"/>
        <w:jc w:val="both"/>
        <w:rPr>
          <w:rFonts w:ascii="Arial" w:hAnsi="Arial" w:cs="Arial"/>
          <w:b/>
          <w:bCs/>
          <w:color w:val="FF0000"/>
          <w:lang w:val="fr-FR"/>
        </w:rPr>
      </w:pPr>
      <w:r w:rsidRPr="00293191">
        <w:rPr>
          <w:rStyle w:val="Appelnotedebasdep"/>
          <w:rFonts w:ascii="Arial" w:hAnsi="Arial" w:cs="Arial"/>
          <w:sz w:val="18"/>
        </w:rPr>
        <w:footnoteRef/>
      </w:r>
      <w:r w:rsidRPr="00720D91">
        <w:rPr>
          <w:rFonts w:ascii="Arial" w:hAnsi="Arial" w:cs="Arial"/>
          <w:lang w:val="fr-FR"/>
        </w:rPr>
        <w:t xml:space="preserve"> </w:t>
      </w:r>
      <w:hyperlink r:id="rId178" w:anchor="{%22itemid%22:[%22001-145552%22]}" w:history="1">
        <w:r w:rsidRPr="00720D91">
          <w:rPr>
            <w:rStyle w:val="Lienhypertexte"/>
            <w:rFonts w:ascii="Arial" w:hAnsi="Arial" w:cs="Arial"/>
            <w:i/>
            <w:color w:val="auto"/>
            <w:sz w:val="18"/>
            <w:szCs w:val="18"/>
            <w:lang w:val="fr-FR"/>
          </w:rPr>
          <w:t>Géorgie c. Russie</w:t>
        </w:r>
      </w:hyperlink>
      <w:r w:rsidRPr="00720D91">
        <w:rPr>
          <w:rStyle w:val="Lienhypertexte"/>
          <w:rFonts w:ascii="Arial" w:hAnsi="Arial" w:cs="Arial"/>
          <w:color w:val="auto"/>
          <w:sz w:val="18"/>
          <w:szCs w:val="18"/>
          <w:lang w:val="fr-FR"/>
        </w:rPr>
        <w:t xml:space="preserve"> </w:t>
      </w:r>
      <w:r w:rsidRPr="00720D91">
        <w:rPr>
          <w:rStyle w:val="Lienhypertexte"/>
          <w:rFonts w:ascii="Arial" w:hAnsi="Arial" w:cs="Arial"/>
          <w:i/>
          <w:color w:val="auto"/>
          <w:sz w:val="18"/>
          <w:szCs w:val="18"/>
          <w:lang w:val="fr-FR"/>
        </w:rPr>
        <w:t>(I)</w:t>
      </w:r>
      <w:r w:rsidRPr="00720D91">
        <w:rPr>
          <w:rFonts w:ascii="Arial" w:hAnsi="Arial" w:cs="Arial"/>
          <w:sz w:val="18"/>
          <w:szCs w:val="18"/>
          <w:lang w:val="fr-FR"/>
        </w:rPr>
        <w:t xml:space="preserve">, précité, § 138 ; </w:t>
      </w:r>
      <w:hyperlink r:id="rId179" w:history="1">
        <w:r w:rsidRPr="00720D91">
          <w:rPr>
            <w:rFonts w:ascii="Arial" w:hAnsi="Arial" w:cs="Arial"/>
            <w:lang w:val="fr-FR"/>
          </w:rPr>
          <w:t xml:space="preserve"> </w:t>
        </w:r>
        <w:r w:rsidRPr="00720D91">
          <w:rPr>
            <w:rStyle w:val="Lienhypertexte"/>
            <w:rFonts w:ascii="Arial" w:hAnsi="Arial" w:cs="Arial"/>
            <w:i/>
            <w:iCs/>
            <w:color w:val="auto"/>
            <w:sz w:val="18"/>
            <w:szCs w:val="18"/>
            <w:lang w:val="fr-FR"/>
          </w:rPr>
          <w:t xml:space="preserve">Géorgie c. Russie </w:t>
        </w:r>
      </w:hyperlink>
      <w:r w:rsidRPr="00720D91">
        <w:rPr>
          <w:rFonts w:ascii="Arial" w:hAnsi="Arial" w:cs="Arial"/>
          <w:sz w:val="18"/>
          <w:szCs w:val="18"/>
          <w:lang w:val="fr-FR"/>
        </w:rPr>
        <w:t>(II</w:t>
      </w:r>
      <w:r w:rsidRPr="00720D91">
        <w:rPr>
          <w:rFonts w:ascii="Arial" w:hAnsi="Arial" w:cs="Arial"/>
          <w:sz w:val="18"/>
          <w:szCs w:val="18"/>
          <w:shd w:val="clear" w:color="auto" w:fill="FFFFFF" w:themeFill="background1"/>
          <w:lang w:val="fr-FR"/>
        </w:rPr>
        <w:t>) (fond) [GC] no. 38263/08, § 59, 21 janvier 2021.</w:t>
      </w:r>
    </w:p>
  </w:footnote>
  <w:footnote w:id="124">
    <w:p w14:paraId="52C84A93" w14:textId="77777777" w:rsidR="00D86968" w:rsidRPr="00293191" w:rsidRDefault="00D86968" w:rsidP="00720D91">
      <w:pPr>
        <w:shd w:val="clear" w:color="auto" w:fill="FFFFFF" w:themeFill="background1"/>
        <w:jc w:val="both"/>
        <w:rPr>
          <w:rFonts w:ascii="Arial" w:hAnsi="Arial" w:cs="Arial"/>
          <w:color w:val="FF0000"/>
          <w:sz w:val="20"/>
          <w:szCs w:val="20"/>
        </w:rPr>
      </w:pPr>
      <w:r w:rsidRPr="00293191">
        <w:rPr>
          <w:rStyle w:val="Appelnotedebasdep"/>
          <w:rFonts w:ascii="Arial" w:hAnsi="Arial" w:cs="Arial"/>
          <w:sz w:val="18"/>
          <w:szCs w:val="18"/>
          <w:shd w:val="clear" w:color="auto" w:fill="FFFFFF" w:themeFill="background1"/>
        </w:rPr>
        <w:footnoteRef/>
      </w:r>
      <w:r w:rsidRPr="00293191">
        <w:rPr>
          <w:rFonts w:ascii="Arial" w:hAnsi="Arial" w:cs="Arial"/>
          <w:sz w:val="18"/>
          <w:szCs w:val="18"/>
          <w:shd w:val="clear" w:color="auto" w:fill="FFFFFF" w:themeFill="background1"/>
        </w:rPr>
        <w:t xml:space="preserve"> </w:t>
      </w:r>
      <w:hyperlink r:id="rId180" w:history="1">
        <w:r w:rsidRPr="00293191">
          <w:rPr>
            <w:rStyle w:val="Lienhypertexte"/>
            <w:rFonts w:ascii="Arial" w:eastAsiaTheme="majorEastAsia" w:hAnsi="Arial" w:cs="Arial"/>
            <w:i/>
            <w:color w:val="auto"/>
            <w:sz w:val="18"/>
            <w:szCs w:val="18"/>
            <w:shd w:val="clear" w:color="auto" w:fill="FFFFFF" w:themeFill="background1"/>
          </w:rPr>
          <w:t xml:space="preserve">Géorgie c. Russie </w:t>
        </w:r>
        <w:r w:rsidRPr="00293191">
          <w:rPr>
            <w:rStyle w:val="Lienhypertexte"/>
            <w:rFonts w:ascii="Arial" w:eastAsiaTheme="majorEastAsia" w:hAnsi="Arial" w:cs="Arial"/>
            <w:color w:val="auto"/>
            <w:sz w:val="18"/>
            <w:szCs w:val="18"/>
            <w:shd w:val="clear" w:color="auto" w:fill="FFFFFF" w:themeFill="background1"/>
          </w:rPr>
          <w:t>(I)</w:t>
        </w:r>
      </w:hyperlink>
      <w:r w:rsidRPr="00293191">
        <w:rPr>
          <w:rFonts w:ascii="Arial" w:hAnsi="Arial" w:cs="Arial"/>
          <w:sz w:val="18"/>
          <w:szCs w:val="18"/>
          <w:shd w:val="clear" w:color="auto" w:fill="FFFFFF" w:themeFill="background1"/>
        </w:rPr>
        <w:t xml:space="preserve">, précité, § 138 ; </w:t>
      </w:r>
      <w:hyperlink r:id="rId181" w:history="1">
        <w:r w:rsidRPr="00293191">
          <w:rPr>
            <w:rStyle w:val="Lienhypertexte"/>
            <w:rFonts w:ascii="Arial" w:eastAsiaTheme="majorEastAsia" w:hAnsi="Arial" w:cs="Arial"/>
            <w:i/>
            <w:iCs/>
            <w:color w:val="auto"/>
            <w:sz w:val="18"/>
            <w:szCs w:val="18"/>
            <w:shd w:val="clear" w:color="auto" w:fill="FFFFFF" w:themeFill="background1"/>
          </w:rPr>
          <w:t xml:space="preserve">Géorgie c. Russie </w:t>
        </w:r>
      </w:hyperlink>
      <w:r w:rsidRPr="00293191">
        <w:rPr>
          <w:rFonts w:ascii="Arial" w:hAnsi="Arial" w:cs="Arial"/>
          <w:sz w:val="18"/>
          <w:szCs w:val="18"/>
          <w:shd w:val="clear" w:color="auto" w:fill="FFFFFF" w:themeFill="background1"/>
        </w:rPr>
        <w:t>(II) (fond) [GC] no. 38263/08, § 59, 21 janvier 2021.</w:t>
      </w:r>
    </w:p>
  </w:footnote>
  <w:footnote w:id="125">
    <w:p w14:paraId="68E1C497" w14:textId="77777777" w:rsidR="00D86968" w:rsidRPr="00720D91" w:rsidRDefault="00D86968" w:rsidP="00720D91">
      <w:pPr>
        <w:pStyle w:val="SingleTxtG"/>
        <w:spacing w:after="0" w:line="180" w:lineRule="exact"/>
        <w:ind w:left="0" w:right="0"/>
        <w:rPr>
          <w:rFonts w:ascii="Arial" w:hAnsi="Arial" w:cs="Arial"/>
          <w:color w:val="FF0000"/>
          <w:sz w:val="18"/>
          <w:szCs w:val="18"/>
          <w:shd w:val="clear" w:color="auto" w:fill="D9D9D9" w:themeFill="background1" w:themeFillShade="D9"/>
          <w:lang w:val="fr-FR"/>
        </w:rPr>
      </w:pPr>
      <w:r w:rsidRPr="00293191">
        <w:rPr>
          <w:rStyle w:val="Appelnotedebasdep"/>
          <w:rFonts w:ascii="Arial" w:hAnsi="Arial" w:cs="Arial"/>
          <w:sz w:val="18"/>
          <w:szCs w:val="18"/>
        </w:rPr>
        <w:footnoteRef/>
      </w:r>
      <w:r w:rsidRPr="00720D91">
        <w:rPr>
          <w:rFonts w:ascii="Arial" w:hAnsi="Arial" w:cs="Arial"/>
          <w:sz w:val="18"/>
          <w:szCs w:val="18"/>
          <w:lang w:val="fr-FR"/>
        </w:rPr>
        <w:t xml:space="preserve"> </w:t>
      </w:r>
      <w:hyperlink r:id="rId182" w:history="1">
        <w:r w:rsidRPr="00720D91">
          <w:rPr>
            <w:rFonts w:ascii="Arial" w:hAnsi="Arial" w:cs="Arial"/>
            <w:i/>
            <w:iCs/>
            <w:sz w:val="18"/>
            <w:szCs w:val="18"/>
            <w:u w:val="single"/>
            <w:lang w:val="fr-FR"/>
          </w:rPr>
          <w:t>Géorgie c. Russi</w:t>
        </w:r>
      </w:hyperlink>
      <w:r w:rsidRPr="00720D91">
        <w:rPr>
          <w:rFonts w:ascii="Arial" w:hAnsi="Arial" w:cs="Arial"/>
          <w:i/>
          <w:iCs/>
          <w:sz w:val="18"/>
          <w:szCs w:val="18"/>
          <w:u w:val="single"/>
          <w:lang w:val="fr-FR"/>
        </w:rPr>
        <w:t>e</w:t>
      </w:r>
      <w:r w:rsidRPr="00720D91">
        <w:rPr>
          <w:rFonts w:ascii="Arial" w:hAnsi="Arial" w:cs="Arial"/>
          <w:sz w:val="18"/>
          <w:szCs w:val="18"/>
          <w:u w:val="single"/>
          <w:lang w:val="fr-FR"/>
        </w:rPr>
        <w:t xml:space="preserve"> (II) (fond)</w:t>
      </w:r>
      <w:r w:rsidRPr="00720D91">
        <w:rPr>
          <w:rFonts w:ascii="Arial" w:hAnsi="Arial" w:cs="Arial"/>
          <w:sz w:val="18"/>
          <w:szCs w:val="18"/>
          <w:lang w:val="fr-FR"/>
        </w:rPr>
        <w:t xml:space="preserve"> n° 38263/08, § 74, 21 janvier 2021.</w:t>
      </w:r>
    </w:p>
  </w:footnote>
  <w:footnote w:id="126">
    <w:p w14:paraId="383FB0DE" w14:textId="77777777" w:rsidR="00D86968" w:rsidRPr="00720D91" w:rsidRDefault="00D86968" w:rsidP="00720D91">
      <w:pPr>
        <w:pStyle w:val="Notedebasdepage"/>
        <w:rPr>
          <w:rFonts w:ascii="Arial" w:hAnsi="Arial" w:cs="Arial"/>
          <w:lang w:val="fr-FR"/>
        </w:rPr>
      </w:pPr>
      <w:r w:rsidRPr="00293191">
        <w:rPr>
          <w:rStyle w:val="Appelnotedebasdep"/>
          <w:rFonts w:ascii="Arial" w:hAnsi="Arial" w:cs="Arial"/>
          <w:shd w:val="clear" w:color="auto" w:fill="FFFFFF" w:themeFill="background1"/>
        </w:rPr>
        <w:footnoteRef/>
      </w:r>
      <w:r w:rsidRPr="00720D91">
        <w:rPr>
          <w:rFonts w:ascii="Arial" w:hAnsi="Arial" w:cs="Arial"/>
          <w:sz w:val="18"/>
          <w:szCs w:val="18"/>
          <w:shd w:val="clear" w:color="auto" w:fill="FFFFFF" w:themeFill="background1"/>
          <w:lang w:val="fr-FR"/>
        </w:rPr>
        <w:t xml:space="preserve"> </w:t>
      </w:r>
      <w:hyperlink r:id="rId183" w:history="1">
        <w:r w:rsidRPr="00720D91">
          <w:rPr>
            <w:rStyle w:val="Lienhypertexte"/>
            <w:rFonts w:ascii="Arial" w:hAnsi="Arial" w:cs="Arial"/>
            <w:i/>
            <w:iCs/>
            <w:color w:val="auto"/>
            <w:sz w:val="18"/>
            <w:szCs w:val="18"/>
            <w:shd w:val="clear" w:color="auto" w:fill="FFFFFF" w:themeFill="background1"/>
            <w:lang w:val="fr-FR"/>
          </w:rPr>
          <w:t xml:space="preserve">Ukraine c. Russie </w:t>
        </w:r>
      </w:hyperlink>
      <w:r w:rsidRPr="00720D91">
        <w:rPr>
          <w:rFonts w:ascii="Arial" w:hAnsi="Arial" w:cs="Arial"/>
          <w:i/>
          <w:iCs/>
          <w:sz w:val="18"/>
          <w:szCs w:val="18"/>
          <w:shd w:val="clear" w:color="auto" w:fill="FFFFFF" w:themeFill="background1"/>
          <w:lang w:val="fr-FR"/>
        </w:rPr>
        <w:t>(déc) [GC]</w:t>
      </w:r>
      <w:r w:rsidRPr="00720D91">
        <w:rPr>
          <w:rFonts w:ascii="Arial" w:hAnsi="Arial" w:cs="Arial"/>
          <w:sz w:val="18"/>
          <w:szCs w:val="18"/>
          <w:shd w:val="clear" w:color="auto" w:fill="FFFFFF" w:themeFill="background1"/>
          <w:lang w:val="fr-FR"/>
        </w:rPr>
        <w:t>, nos 20958/14 et 38334/18 § 257, 16 décembre 2020.</w:t>
      </w:r>
      <w:r w:rsidRPr="00720D91">
        <w:rPr>
          <w:rFonts w:ascii="Arial" w:hAnsi="Arial" w:cs="Arial"/>
          <w:sz w:val="18"/>
          <w:szCs w:val="18"/>
          <w:lang w:val="fr-FR"/>
        </w:rPr>
        <w:t xml:space="preserve"> </w:t>
      </w:r>
    </w:p>
  </w:footnote>
  <w:footnote w:id="127">
    <w:p w14:paraId="7E711095" w14:textId="77777777" w:rsidR="00D86968" w:rsidRPr="00A8273A" w:rsidRDefault="00D86968" w:rsidP="00720D91">
      <w:pPr>
        <w:pStyle w:val="SingleTxtG"/>
        <w:spacing w:after="0" w:line="180" w:lineRule="exact"/>
        <w:ind w:left="0" w:right="0"/>
        <w:rPr>
          <w:rFonts w:ascii="Arial" w:hAnsi="Arial" w:cs="Arial"/>
          <w:sz w:val="18"/>
          <w:szCs w:val="18"/>
          <w:shd w:val="clear" w:color="auto" w:fill="D9D9D9" w:themeFill="background1" w:themeFillShade="D9"/>
          <w:lang w:val="en-US"/>
        </w:rPr>
      </w:pPr>
      <w:r w:rsidRPr="00293191">
        <w:rPr>
          <w:rStyle w:val="Appelnotedebasdep"/>
          <w:rFonts w:ascii="Arial" w:hAnsi="Arial" w:cs="Arial"/>
          <w:sz w:val="18"/>
          <w:szCs w:val="18"/>
        </w:rPr>
        <w:footnoteRef/>
      </w:r>
      <w:r w:rsidRPr="00720D91">
        <w:rPr>
          <w:rFonts w:ascii="Arial" w:hAnsi="Arial" w:cs="Arial"/>
          <w:sz w:val="18"/>
          <w:szCs w:val="18"/>
          <w:lang w:val="fr-FR"/>
        </w:rPr>
        <w:t xml:space="preserve"> </w:t>
      </w:r>
      <w:hyperlink r:id="rId184" w:anchor="_Toc388884484" w:history="1">
        <w:r w:rsidRPr="00720D91">
          <w:rPr>
            <w:rStyle w:val="Lienhypertexte"/>
            <w:rFonts w:ascii="Arial" w:hAnsi="Arial" w:cs="Arial"/>
            <w:i/>
            <w:sz w:val="18"/>
            <w:szCs w:val="18"/>
            <w:lang w:val="fr-FR"/>
          </w:rPr>
          <w:t>Géorgie c. Russie</w:t>
        </w:r>
        <w:r w:rsidRPr="00720D91">
          <w:rPr>
            <w:rStyle w:val="Lienhypertexte"/>
            <w:rFonts w:ascii="Arial" w:hAnsi="Arial" w:cs="Arial"/>
            <w:sz w:val="18"/>
            <w:szCs w:val="18"/>
            <w:lang w:val="fr-FR"/>
          </w:rPr>
          <w:t xml:space="preserve"> (I)</w:t>
        </w:r>
      </w:hyperlink>
      <w:r w:rsidRPr="00720D91">
        <w:rPr>
          <w:rFonts w:ascii="Arial" w:hAnsi="Arial" w:cs="Arial"/>
          <w:sz w:val="18"/>
          <w:szCs w:val="18"/>
          <w:lang w:val="fr-FR"/>
        </w:rPr>
        <w:t xml:space="preserve">, cité ci-dessus, §§ 83-84. </w:t>
      </w:r>
      <w:hyperlink r:id="rId185" w:history="1">
        <w:r w:rsidRPr="00A8273A">
          <w:rPr>
            <w:rFonts w:ascii="Arial" w:hAnsi="Arial" w:cs="Arial"/>
            <w:i/>
            <w:iCs/>
            <w:sz w:val="18"/>
            <w:szCs w:val="18"/>
            <w:lang w:val="en-US"/>
          </w:rPr>
          <w:t>Géorgie c. Russie</w:t>
        </w:r>
      </w:hyperlink>
      <w:r w:rsidRPr="00A8273A">
        <w:rPr>
          <w:rFonts w:ascii="Arial" w:hAnsi="Arial" w:cs="Arial"/>
          <w:sz w:val="18"/>
          <w:szCs w:val="18"/>
          <w:lang w:val="en-US"/>
        </w:rPr>
        <w:t xml:space="preserve"> (II) (fond) n°38263/08, §§ 63-66, 21 janvier 2021.</w:t>
      </w:r>
    </w:p>
  </w:footnote>
  <w:footnote w:id="128">
    <w:p w14:paraId="52961F76" w14:textId="77777777" w:rsidR="00D86968" w:rsidRPr="00720D91" w:rsidRDefault="00D86968" w:rsidP="00720D91">
      <w:pPr>
        <w:pStyle w:val="Sansinterligne"/>
        <w:jc w:val="both"/>
        <w:rPr>
          <w:rFonts w:ascii="Arial" w:hAnsi="Arial" w:cs="Arial"/>
          <w:sz w:val="18"/>
          <w:szCs w:val="18"/>
          <w:lang w:val="en-US"/>
        </w:rPr>
      </w:pPr>
      <w:r w:rsidRPr="00293191">
        <w:rPr>
          <w:rStyle w:val="Appelnotedebasdep"/>
          <w:rFonts w:ascii="Arial" w:hAnsi="Arial" w:cs="Arial"/>
          <w:sz w:val="18"/>
          <w:szCs w:val="18"/>
        </w:rPr>
        <w:footnoteRef/>
      </w:r>
      <w:r w:rsidRPr="00720D91">
        <w:rPr>
          <w:rFonts w:ascii="Arial" w:hAnsi="Arial" w:cs="Arial"/>
          <w:sz w:val="18"/>
          <w:szCs w:val="18"/>
          <w:lang w:val="en-US"/>
        </w:rPr>
        <w:t xml:space="preserve"> Voir Philip Leach, Costas Paraskeva, Gordana Uzelac, International Human Rights and Fact-Finding ; An Analysis of the fact-finding missions conducted by the European Commission and the European Court of Human Rights, Human Rights and Social Justice, Research Institute, February 2009, pg 13. </w:t>
      </w:r>
    </w:p>
  </w:footnote>
  <w:footnote w:id="129">
    <w:p w14:paraId="6441CB1B" w14:textId="77777777" w:rsidR="00D86968" w:rsidRPr="00720D91" w:rsidRDefault="00D86968" w:rsidP="00720D91">
      <w:pPr>
        <w:pStyle w:val="SingleTxtG"/>
        <w:spacing w:after="0" w:line="180" w:lineRule="exact"/>
        <w:ind w:left="0" w:right="0"/>
        <w:rPr>
          <w:rFonts w:ascii="Arial" w:hAnsi="Arial" w:cs="Arial"/>
          <w:sz w:val="18"/>
          <w:szCs w:val="18"/>
          <w:lang w:val="fr-FR"/>
        </w:rPr>
      </w:pPr>
      <w:r w:rsidRPr="00560F13">
        <w:rPr>
          <w:rStyle w:val="Appelnotedebasdep"/>
          <w:rFonts w:ascii="Arial" w:hAnsi="Arial" w:cs="Arial"/>
          <w:sz w:val="18"/>
          <w:szCs w:val="18"/>
        </w:rPr>
        <w:footnoteRef/>
      </w:r>
      <w:r w:rsidRPr="00720D91">
        <w:rPr>
          <w:rFonts w:ascii="Arial" w:hAnsi="Arial" w:cs="Arial"/>
          <w:sz w:val="18"/>
          <w:szCs w:val="18"/>
          <w:lang w:val="fr-FR"/>
        </w:rPr>
        <w:t xml:space="preserve"> </w:t>
      </w:r>
      <w:hyperlink r:id="rId186" w:history="1">
        <w:r w:rsidRPr="00720D91">
          <w:rPr>
            <w:rStyle w:val="Lienhypertexte"/>
            <w:rFonts w:ascii="Arial" w:hAnsi="Arial" w:cs="Arial"/>
            <w:i/>
            <w:sz w:val="18"/>
            <w:szCs w:val="18"/>
            <w:lang w:val="fr-FR"/>
          </w:rPr>
          <w:t>Géorgie c. Russie</w:t>
        </w:r>
        <w:r w:rsidRPr="00720D91">
          <w:rPr>
            <w:rStyle w:val="Lienhypertexte"/>
            <w:rFonts w:ascii="Arial" w:hAnsi="Arial" w:cs="Arial"/>
            <w:sz w:val="18"/>
            <w:szCs w:val="18"/>
            <w:lang w:val="fr-FR"/>
          </w:rPr>
          <w:t xml:space="preserve"> (I)</w:t>
        </w:r>
      </w:hyperlink>
      <w:r w:rsidRPr="00720D91">
        <w:rPr>
          <w:rFonts w:ascii="Arial" w:hAnsi="Arial" w:cs="Arial"/>
          <w:sz w:val="18"/>
          <w:szCs w:val="18"/>
          <w:lang w:val="fr-FR"/>
        </w:rPr>
        <w:t xml:space="preserve"> (satisfaction équitable) précité, § 59 ; </w:t>
      </w:r>
      <w:hyperlink r:id="rId187" w:history="1">
        <w:r w:rsidRPr="00720D91">
          <w:rPr>
            <w:rStyle w:val="Lienhypertexte"/>
            <w:rFonts w:ascii="Arial" w:hAnsi="Arial" w:cs="Arial"/>
            <w:sz w:val="18"/>
            <w:szCs w:val="18"/>
            <w:lang w:val="fr-FR"/>
          </w:rPr>
          <w:t>Géorgie c. Russie</w:t>
        </w:r>
      </w:hyperlink>
      <w:r w:rsidRPr="00720D91">
        <w:rPr>
          <w:rFonts w:ascii="Arial" w:hAnsi="Arial" w:cs="Arial"/>
          <w:sz w:val="18"/>
          <w:szCs w:val="18"/>
          <w:lang w:val="fr-FR"/>
        </w:rPr>
        <w:t xml:space="preserve"> (II) (fond) [GC] n° 38263/08, § 341, 21 janvier 2021.</w:t>
      </w:r>
    </w:p>
  </w:footnote>
  <w:footnote w:id="130">
    <w:p w14:paraId="4B19B176" w14:textId="77777777" w:rsidR="00D86968" w:rsidRPr="002D305B" w:rsidRDefault="00D86968" w:rsidP="00720D91">
      <w:pPr>
        <w:pStyle w:val="Sansinterligne"/>
        <w:jc w:val="both"/>
        <w:rPr>
          <w:rFonts w:ascii="Arial" w:hAnsi="Arial" w:cs="Arial"/>
          <w:sz w:val="18"/>
          <w:szCs w:val="18"/>
        </w:rPr>
      </w:pPr>
      <w:r w:rsidRPr="002D305B">
        <w:rPr>
          <w:rStyle w:val="Appelnotedebasdep"/>
          <w:rFonts w:ascii="Arial" w:hAnsi="Arial" w:cs="Arial"/>
          <w:sz w:val="18"/>
          <w:szCs w:val="18"/>
        </w:rPr>
        <w:footnoteRef/>
      </w:r>
      <w:hyperlink r:id="rId188" w:history="1">
        <w:r w:rsidRPr="002D305B">
          <w:rPr>
            <w:rStyle w:val="Lienhypertexte"/>
            <w:rFonts w:ascii="Arial" w:eastAsiaTheme="majorEastAsia" w:hAnsi="Arial" w:cs="Arial"/>
            <w:i/>
            <w:iCs/>
            <w:sz w:val="18"/>
            <w:szCs w:val="18"/>
          </w:rPr>
          <w:t xml:space="preserve"> </w:t>
        </w:r>
      </w:hyperlink>
      <w:hyperlink r:id="rId189" w:history="1">
        <w:r w:rsidRPr="002D305B">
          <w:rPr>
            <w:rStyle w:val="Lienhypertexte"/>
            <w:rFonts w:ascii="Arial" w:eastAsiaTheme="majorEastAsia" w:hAnsi="Arial" w:cs="Arial"/>
            <w:i/>
            <w:sz w:val="18"/>
            <w:szCs w:val="18"/>
          </w:rPr>
          <w:t>Bazorkina c. Russie</w:t>
        </w:r>
      </w:hyperlink>
      <w:r w:rsidRPr="002D305B">
        <w:rPr>
          <w:rFonts w:ascii="Arial" w:hAnsi="Arial" w:cs="Arial"/>
          <w:sz w:val="18"/>
          <w:szCs w:val="18"/>
        </w:rPr>
        <w:t xml:space="preserve">, n° 69481/01, § 170, 27 juillet 2006 ; </w:t>
      </w:r>
      <w:hyperlink r:id="rId190" w:history="1">
        <w:r w:rsidRPr="002D305B">
          <w:rPr>
            <w:rStyle w:val="Lienhypertexte"/>
            <w:rFonts w:ascii="Arial" w:eastAsiaTheme="majorEastAsia" w:hAnsi="Arial" w:cs="Arial"/>
            <w:i/>
            <w:sz w:val="18"/>
            <w:szCs w:val="18"/>
          </w:rPr>
          <w:t>Tahsin Acar c. Turquie [GC]</w:t>
        </w:r>
      </w:hyperlink>
      <w:r w:rsidRPr="002D305B">
        <w:rPr>
          <w:rStyle w:val="Lienhypertexte"/>
          <w:rFonts w:ascii="Arial" w:eastAsiaTheme="majorEastAsia" w:hAnsi="Arial" w:cs="Arial"/>
          <w:i/>
          <w:sz w:val="18"/>
          <w:szCs w:val="18"/>
        </w:rPr>
        <w:t>,</w:t>
      </w:r>
      <w:r w:rsidRPr="002D305B">
        <w:rPr>
          <w:rFonts w:ascii="Arial" w:hAnsi="Arial" w:cs="Arial"/>
          <w:sz w:val="18"/>
          <w:szCs w:val="18"/>
        </w:rPr>
        <w:t xml:space="preserve"> n° 26307/95, § 253, 8 avril 2004. </w:t>
      </w:r>
      <w:r>
        <w:rPr>
          <w:rFonts w:ascii="Arial" w:hAnsi="Arial" w:cs="Arial"/>
          <w:sz w:val="18"/>
          <w:szCs w:val="18"/>
        </w:rPr>
        <w:t xml:space="preserve"> </w:t>
      </w:r>
    </w:p>
  </w:footnote>
  <w:footnote w:id="131">
    <w:p w14:paraId="33B9CFDD" w14:textId="77777777" w:rsidR="00D86968" w:rsidRPr="00C106CA" w:rsidRDefault="00D86968" w:rsidP="00720D91">
      <w:pPr>
        <w:pStyle w:val="Sansinterligne"/>
        <w:jc w:val="both"/>
        <w:rPr>
          <w:rFonts w:ascii="Arial" w:hAnsi="Arial" w:cs="Arial"/>
          <w:sz w:val="18"/>
          <w:szCs w:val="18"/>
        </w:rPr>
      </w:pPr>
      <w:r w:rsidRPr="00560F13">
        <w:rPr>
          <w:rStyle w:val="Appelnotedebasdep"/>
          <w:rFonts w:ascii="Arial" w:hAnsi="Arial" w:cs="Arial"/>
          <w:sz w:val="18"/>
          <w:szCs w:val="18"/>
        </w:rPr>
        <w:footnoteRef/>
      </w:r>
      <w:r w:rsidRPr="00C106CA">
        <w:rPr>
          <w:rFonts w:ascii="Arial" w:hAnsi="Arial" w:cs="Arial"/>
          <w:sz w:val="18"/>
          <w:szCs w:val="18"/>
        </w:rPr>
        <w:t xml:space="preserve"> </w:t>
      </w:r>
      <w:hyperlink r:id="rId191" w:history="1">
        <w:r w:rsidRPr="002D305B">
          <w:rPr>
            <w:rStyle w:val="Lienhypertexte"/>
            <w:rFonts w:ascii="Arial" w:eastAsiaTheme="majorEastAsia" w:hAnsi="Arial" w:cs="Arial"/>
            <w:i/>
            <w:sz w:val="18"/>
            <w:szCs w:val="18"/>
          </w:rPr>
          <w:t>Janowiec et autres c. Russie</w:t>
        </w:r>
      </w:hyperlink>
      <w:r w:rsidRPr="002D305B">
        <w:rPr>
          <w:rStyle w:val="Lienhypertexte"/>
          <w:rFonts w:ascii="Arial" w:eastAsiaTheme="majorEastAsia" w:hAnsi="Arial" w:cs="Arial"/>
          <w:i/>
          <w:sz w:val="18"/>
          <w:szCs w:val="18"/>
        </w:rPr>
        <w:t xml:space="preserve"> [GC]</w:t>
      </w:r>
      <w:r w:rsidRPr="002D305B">
        <w:rPr>
          <w:rFonts w:ascii="Arial" w:hAnsi="Arial" w:cs="Arial"/>
          <w:sz w:val="18"/>
          <w:szCs w:val="18"/>
        </w:rPr>
        <w:t xml:space="preserve">, </w:t>
      </w:r>
      <w:r w:rsidRPr="00C106CA">
        <w:rPr>
          <w:rFonts w:ascii="Arial" w:hAnsi="Arial" w:cs="Arial"/>
          <w:sz w:val="18"/>
          <w:szCs w:val="18"/>
        </w:rPr>
        <w:t>n</w:t>
      </w:r>
      <w:r>
        <w:rPr>
          <w:rFonts w:ascii="Arial" w:hAnsi="Arial" w:cs="Arial"/>
          <w:sz w:val="18"/>
          <w:szCs w:val="18"/>
        </w:rPr>
        <w:t>°</w:t>
      </w:r>
      <w:r w:rsidRPr="00C106CA">
        <w:rPr>
          <w:rFonts w:ascii="Arial" w:hAnsi="Arial" w:cs="Arial"/>
          <w:sz w:val="18"/>
          <w:szCs w:val="18"/>
        </w:rPr>
        <w:t xml:space="preserve"> 55508/07 </w:t>
      </w:r>
      <w:r>
        <w:rPr>
          <w:rFonts w:ascii="Arial" w:hAnsi="Arial" w:cs="Arial"/>
          <w:sz w:val="18"/>
          <w:szCs w:val="18"/>
        </w:rPr>
        <w:t>et</w:t>
      </w:r>
      <w:r w:rsidRPr="00C106CA">
        <w:rPr>
          <w:rFonts w:ascii="Arial" w:hAnsi="Arial" w:cs="Arial"/>
          <w:sz w:val="18"/>
          <w:szCs w:val="18"/>
        </w:rPr>
        <w:t xml:space="preserve"> 29520/09</w:t>
      </w:r>
      <w:r w:rsidRPr="002D305B">
        <w:rPr>
          <w:rFonts w:ascii="Arial" w:hAnsi="Arial" w:cs="Arial"/>
          <w:sz w:val="18"/>
          <w:szCs w:val="18"/>
        </w:rPr>
        <w:t>, § 20</w:t>
      </w:r>
      <w:r>
        <w:rPr>
          <w:rFonts w:ascii="Arial" w:hAnsi="Arial" w:cs="Arial"/>
          <w:sz w:val="18"/>
          <w:szCs w:val="18"/>
        </w:rPr>
        <w:t>9</w:t>
      </w:r>
      <w:r w:rsidRPr="002D305B">
        <w:rPr>
          <w:rFonts w:ascii="Arial" w:hAnsi="Arial" w:cs="Arial"/>
          <w:sz w:val="18"/>
          <w:szCs w:val="18"/>
        </w:rPr>
        <w:t xml:space="preserve">. </w:t>
      </w:r>
    </w:p>
  </w:footnote>
  <w:footnote w:id="132">
    <w:p w14:paraId="7A681C83" w14:textId="77777777" w:rsidR="00D86968" w:rsidRPr="00720D91" w:rsidRDefault="00D86968" w:rsidP="00720D91">
      <w:pPr>
        <w:pStyle w:val="SingleTxtG"/>
        <w:spacing w:after="0" w:line="180" w:lineRule="exact"/>
        <w:ind w:left="0" w:right="0"/>
        <w:rPr>
          <w:rFonts w:ascii="Arial" w:hAnsi="Arial" w:cs="Arial"/>
          <w:sz w:val="18"/>
          <w:szCs w:val="18"/>
          <w:lang w:val="fr-FR"/>
        </w:rPr>
      </w:pPr>
      <w:r w:rsidRPr="00560F13">
        <w:rPr>
          <w:rStyle w:val="Appelnotedebasdep"/>
          <w:rFonts w:ascii="Arial" w:hAnsi="Arial" w:cs="Arial"/>
          <w:sz w:val="18"/>
          <w:szCs w:val="18"/>
        </w:rPr>
        <w:footnoteRef/>
      </w:r>
      <w:r w:rsidRPr="00720D91">
        <w:rPr>
          <w:rFonts w:ascii="Arial" w:hAnsi="Arial" w:cs="Arial"/>
          <w:sz w:val="18"/>
          <w:szCs w:val="18"/>
          <w:lang w:val="fr-FR"/>
        </w:rPr>
        <w:t xml:space="preserve"> </w:t>
      </w:r>
      <w:hyperlink r:id="rId192" w:history="1">
        <w:r w:rsidRPr="00720D91">
          <w:rPr>
            <w:rStyle w:val="Lienhypertexte"/>
            <w:rFonts w:ascii="Arial" w:hAnsi="Arial" w:cs="Arial"/>
            <w:i/>
            <w:sz w:val="18"/>
            <w:szCs w:val="18"/>
            <w:lang w:val="fr-FR"/>
          </w:rPr>
          <w:t>Janowiec et autres c. Russie</w:t>
        </w:r>
      </w:hyperlink>
      <w:r w:rsidRPr="00720D91">
        <w:rPr>
          <w:rStyle w:val="Lienhypertexte"/>
          <w:rFonts w:ascii="Arial" w:hAnsi="Arial" w:cs="Arial"/>
          <w:i/>
          <w:sz w:val="18"/>
          <w:szCs w:val="18"/>
          <w:lang w:val="fr-FR"/>
        </w:rPr>
        <w:t xml:space="preserve"> [GC]</w:t>
      </w:r>
      <w:r w:rsidRPr="00720D91">
        <w:rPr>
          <w:rFonts w:ascii="Arial" w:hAnsi="Arial" w:cs="Arial"/>
          <w:sz w:val="18"/>
          <w:szCs w:val="18"/>
          <w:lang w:val="fr-FR"/>
        </w:rPr>
        <w:t xml:space="preserve">, n° 55508/07 et 29520/09, § 209. </w:t>
      </w:r>
    </w:p>
  </w:footnote>
  <w:footnote w:id="133">
    <w:p w14:paraId="071AB585" w14:textId="77777777" w:rsidR="00D86968" w:rsidRPr="00720D91" w:rsidRDefault="00D86968" w:rsidP="00720D91">
      <w:pPr>
        <w:pStyle w:val="SingleTxtG"/>
        <w:spacing w:after="0" w:line="180" w:lineRule="exact"/>
        <w:ind w:left="0" w:right="0"/>
        <w:rPr>
          <w:rFonts w:ascii="Arial" w:hAnsi="Arial" w:cs="Arial"/>
          <w:sz w:val="18"/>
          <w:szCs w:val="18"/>
          <w:lang w:val="fr-FR"/>
        </w:rPr>
      </w:pPr>
      <w:r w:rsidRPr="00560F13">
        <w:rPr>
          <w:rStyle w:val="Appelnotedebasdep"/>
          <w:rFonts w:ascii="Arial" w:hAnsi="Arial" w:cs="Arial"/>
          <w:sz w:val="18"/>
          <w:szCs w:val="18"/>
        </w:rPr>
        <w:footnoteRef/>
      </w:r>
      <w:r w:rsidRPr="00720D91">
        <w:rPr>
          <w:rFonts w:ascii="Arial" w:hAnsi="Arial" w:cs="Arial"/>
          <w:sz w:val="18"/>
          <w:szCs w:val="18"/>
          <w:lang w:val="fr-FR"/>
        </w:rPr>
        <w:t xml:space="preserve"> </w:t>
      </w:r>
      <w:hyperlink r:id="rId193" w:history="1">
        <w:r w:rsidRPr="00720D91">
          <w:rPr>
            <w:rStyle w:val="Lienhypertexte"/>
            <w:rFonts w:ascii="Arial" w:hAnsi="Arial" w:cs="Arial"/>
            <w:i/>
            <w:sz w:val="18"/>
            <w:szCs w:val="18"/>
            <w:lang w:val="fr-FR"/>
          </w:rPr>
          <w:t>Janowiec et autres c. Russie</w:t>
        </w:r>
      </w:hyperlink>
      <w:r w:rsidRPr="00720D91">
        <w:rPr>
          <w:rStyle w:val="Lienhypertexte"/>
          <w:rFonts w:ascii="Arial" w:hAnsi="Arial" w:cs="Arial"/>
          <w:i/>
          <w:sz w:val="18"/>
          <w:szCs w:val="18"/>
          <w:lang w:val="fr-FR"/>
        </w:rPr>
        <w:t xml:space="preserve"> [GC]</w:t>
      </w:r>
      <w:r w:rsidRPr="00720D91">
        <w:rPr>
          <w:rFonts w:ascii="Arial" w:hAnsi="Arial" w:cs="Arial"/>
          <w:sz w:val="18"/>
          <w:szCs w:val="18"/>
          <w:lang w:val="fr-FR"/>
        </w:rPr>
        <w:t xml:space="preserve">, n° 55508/07 et 29520/09, § 209. </w:t>
      </w:r>
    </w:p>
  </w:footnote>
  <w:footnote w:id="134">
    <w:p w14:paraId="26B26065" w14:textId="77777777" w:rsidR="00D86968" w:rsidRPr="00720D91" w:rsidRDefault="00D86968" w:rsidP="00720D91">
      <w:pPr>
        <w:pStyle w:val="SingleTxtG"/>
        <w:spacing w:after="0" w:line="180" w:lineRule="exact"/>
        <w:ind w:left="0" w:right="0"/>
        <w:rPr>
          <w:rFonts w:ascii="Arial" w:hAnsi="Arial" w:cs="Arial"/>
          <w:sz w:val="18"/>
          <w:szCs w:val="18"/>
          <w:lang w:val="fr-FR"/>
        </w:rPr>
      </w:pPr>
      <w:r w:rsidRPr="00560F13">
        <w:rPr>
          <w:rStyle w:val="Appelnotedebasdep"/>
          <w:rFonts w:ascii="Arial" w:hAnsi="Arial" w:cs="Arial"/>
          <w:sz w:val="18"/>
          <w:szCs w:val="18"/>
        </w:rPr>
        <w:footnoteRef/>
      </w:r>
      <w:r w:rsidRPr="00720D91">
        <w:rPr>
          <w:rFonts w:ascii="Arial" w:hAnsi="Arial" w:cs="Arial"/>
          <w:sz w:val="18"/>
          <w:szCs w:val="18"/>
          <w:lang w:val="fr-FR"/>
        </w:rPr>
        <w:t xml:space="preserve"> </w:t>
      </w:r>
      <w:hyperlink r:id="rId194" w:history="1">
        <w:r w:rsidRPr="00720D91">
          <w:rPr>
            <w:rStyle w:val="Lienhypertexte"/>
            <w:rFonts w:ascii="Arial" w:hAnsi="Arial" w:cs="Arial"/>
            <w:i/>
            <w:sz w:val="18"/>
            <w:szCs w:val="18"/>
            <w:lang w:val="fr-FR"/>
          </w:rPr>
          <w:t>Janowiec et autres c. Russie</w:t>
        </w:r>
      </w:hyperlink>
      <w:r w:rsidRPr="00720D91">
        <w:rPr>
          <w:rStyle w:val="Lienhypertexte"/>
          <w:rFonts w:ascii="Arial" w:hAnsi="Arial" w:cs="Arial"/>
          <w:i/>
          <w:sz w:val="18"/>
          <w:szCs w:val="18"/>
          <w:lang w:val="fr-FR"/>
        </w:rPr>
        <w:t xml:space="preserve"> [GC]</w:t>
      </w:r>
      <w:r w:rsidRPr="00720D91">
        <w:rPr>
          <w:rFonts w:ascii="Arial" w:hAnsi="Arial" w:cs="Arial"/>
          <w:sz w:val="18"/>
          <w:szCs w:val="18"/>
          <w:lang w:val="fr-FR"/>
        </w:rPr>
        <w:t>, précité, § 209.</w:t>
      </w:r>
    </w:p>
  </w:footnote>
  <w:footnote w:id="135">
    <w:p w14:paraId="2428DB8F" w14:textId="77777777" w:rsidR="00D86968" w:rsidRPr="002D305B" w:rsidRDefault="00D86968" w:rsidP="00720D91">
      <w:pPr>
        <w:pStyle w:val="Sansinterligne"/>
        <w:jc w:val="both"/>
        <w:rPr>
          <w:rFonts w:ascii="Arial" w:hAnsi="Arial" w:cs="Arial"/>
          <w:sz w:val="18"/>
          <w:szCs w:val="18"/>
        </w:rPr>
      </w:pPr>
      <w:r w:rsidRPr="002D305B">
        <w:rPr>
          <w:rStyle w:val="Appelnotedebasdep"/>
          <w:rFonts w:ascii="Arial" w:hAnsi="Arial" w:cs="Arial"/>
          <w:sz w:val="18"/>
          <w:szCs w:val="18"/>
        </w:rPr>
        <w:footnoteRef/>
      </w:r>
      <w:hyperlink r:id="rId195" w:history="1">
        <w:r w:rsidRPr="002D305B">
          <w:rPr>
            <w:rStyle w:val="Lienhypertexte"/>
            <w:rFonts w:ascii="Arial" w:eastAsiaTheme="majorEastAsia" w:hAnsi="Arial" w:cs="Arial"/>
            <w:i/>
            <w:iCs/>
            <w:sz w:val="18"/>
            <w:szCs w:val="18"/>
          </w:rPr>
          <w:t xml:space="preserve"> </w:t>
        </w:r>
      </w:hyperlink>
      <w:hyperlink r:id="rId196" w:history="1">
        <w:r w:rsidRPr="002D305B">
          <w:rPr>
            <w:rStyle w:val="Lienhypertexte"/>
            <w:rFonts w:ascii="Arial" w:eastAsiaTheme="majorEastAsia" w:hAnsi="Arial" w:cs="Arial"/>
            <w:i/>
            <w:sz w:val="18"/>
            <w:szCs w:val="18"/>
          </w:rPr>
          <w:t>Janowiec et autres c. Russie</w:t>
        </w:r>
      </w:hyperlink>
      <w:r w:rsidRPr="002D305B">
        <w:rPr>
          <w:rStyle w:val="Lienhypertexte"/>
          <w:rFonts w:ascii="Arial" w:eastAsiaTheme="majorEastAsia" w:hAnsi="Arial" w:cs="Arial"/>
          <w:i/>
          <w:sz w:val="18"/>
          <w:szCs w:val="18"/>
        </w:rPr>
        <w:t xml:space="preserve"> [GC]</w:t>
      </w:r>
      <w:r w:rsidRPr="002D305B">
        <w:rPr>
          <w:rFonts w:ascii="Arial" w:hAnsi="Arial" w:cs="Arial"/>
          <w:sz w:val="18"/>
          <w:szCs w:val="18"/>
        </w:rPr>
        <w:t xml:space="preserve">, précité, </w:t>
      </w:r>
      <w:r>
        <w:rPr>
          <w:rFonts w:ascii="Arial" w:hAnsi="Arial" w:cs="Arial"/>
          <w:sz w:val="18"/>
          <w:szCs w:val="18"/>
        </w:rPr>
        <w:t>§</w:t>
      </w:r>
      <w:r w:rsidRPr="002D305B">
        <w:rPr>
          <w:rFonts w:ascii="Arial" w:hAnsi="Arial" w:cs="Arial"/>
          <w:sz w:val="18"/>
          <w:szCs w:val="18"/>
        </w:rPr>
        <w:t xml:space="preserve"> 203 ; </w:t>
      </w:r>
      <w:hyperlink r:id="rId197" w:history="1">
        <w:r w:rsidRPr="002D305B">
          <w:rPr>
            <w:rStyle w:val="Lienhypertexte"/>
            <w:rFonts w:ascii="Arial" w:eastAsiaTheme="majorEastAsia" w:hAnsi="Arial" w:cs="Arial"/>
            <w:i/>
            <w:sz w:val="18"/>
            <w:szCs w:val="18"/>
          </w:rPr>
          <w:t>Enukidze et Girgvliani c. Géorgie</w:t>
        </w:r>
      </w:hyperlink>
      <w:r w:rsidRPr="002D305B">
        <w:rPr>
          <w:rFonts w:ascii="Arial" w:hAnsi="Arial" w:cs="Arial"/>
          <w:sz w:val="18"/>
          <w:szCs w:val="18"/>
        </w:rPr>
        <w:t xml:space="preserve">, n° 25091/07, par. 295, 26 avril 2011 ; </w:t>
      </w:r>
      <w:hyperlink r:id="rId198" w:history="1">
        <w:r w:rsidRPr="002D305B">
          <w:rPr>
            <w:rStyle w:val="Lienhypertexte"/>
            <w:rFonts w:ascii="Arial" w:eastAsiaTheme="majorEastAsia" w:hAnsi="Arial" w:cs="Arial"/>
            <w:i/>
            <w:sz w:val="18"/>
            <w:szCs w:val="18"/>
          </w:rPr>
          <w:t>Bekirski c. Bulgarie</w:t>
        </w:r>
      </w:hyperlink>
      <w:r w:rsidRPr="002D305B">
        <w:rPr>
          <w:rFonts w:ascii="Arial" w:hAnsi="Arial" w:cs="Arial"/>
          <w:sz w:val="18"/>
          <w:szCs w:val="18"/>
        </w:rPr>
        <w:t xml:space="preserve">, n° 71420/01, par. 111-13, 2 septembre 2010. </w:t>
      </w:r>
    </w:p>
  </w:footnote>
  <w:footnote w:id="136">
    <w:p w14:paraId="4E7BC0C2" w14:textId="77777777" w:rsidR="00D86968" w:rsidRPr="002D305B" w:rsidRDefault="00D86968" w:rsidP="00720D91">
      <w:pPr>
        <w:pStyle w:val="Sansinterligne"/>
        <w:jc w:val="both"/>
        <w:rPr>
          <w:rFonts w:ascii="Arial" w:hAnsi="Arial" w:cs="Arial"/>
          <w:sz w:val="18"/>
          <w:szCs w:val="18"/>
        </w:rPr>
      </w:pPr>
      <w:r w:rsidRPr="002D305B">
        <w:rPr>
          <w:rStyle w:val="Appelnotedebasdep"/>
          <w:rFonts w:ascii="Arial" w:hAnsi="Arial" w:cs="Arial"/>
          <w:sz w:val="18"/>
          <w:szCs w:val="18"/>
        </w:rPr>
        <w:footnoteRef/>
      </w:r>
      <w:r w:rsidRPr="002D305B">
        <w:t xml:space="preserve"> </w:t>
      </w:r>
      <w:hyperlink r:id="rId199" w:history="1">
        <w:r w:rsidRPr="002D305B">
          <w:rPr>
            <w:rStyle w:val="Lienhypertexte"/>
            <w:rFonts w:ascii="Arial" w:eastAsiaTheme="majorEastAsia" w:hAnsi="Arial" w:cs="Arial"/>
            <w:i/>
            <w:sz w:val="18"/>
            <w:szCs w:val="18"/>
          </w:rPr>
          <w:t>Janowiec et autres c. Russie</w:t>
        </w:r>
      </w:hyperlink>
      <w:r w:rsidRPr="002D305B">
        <w:rPr>
          <w:rStyle w:val="Lienhypertexte"/>
          <w:rFonts w:ascii="Arial" w:eastAsiaTheme="majorEastAsia" w:hAnsi="Arial" w:cs="Arial"/>
          <w:i/>
          <w:sz w:val="18"/>
          <w:szCs w:val="18"/>
        </w:rPr>
        <w:t xml:space="preserve"> [GC]</w:t>
      </w:r>
      <w:r w:rsidRPr="002D305B">
        <w:rPr>
          <w:rFonts w:ascii="Arial" w:hAnsi="Arial" w:cs="Arial"/>
          <w:sz w:val="18"/>
          <w:szCs w:val="18"/>
        </w:rPr>
        <w:t xml:space="preserve">, précité, § 203. </w:t>
      </w:r>
    </w:p>
  </w:footnote>
  <w:footnote w:id="137">
    <w:p w14:paraId="7C9EBB13" w14:textId="77777777" w:rsidR="00D86968" w:rsidRPr="002D305B" w:rsidRDefault="00D86968" w:rsidP="00720D91">
      <w:pPr>
        <w:pStyle w:val="Sansinterligne"/>
        <w:jc w:val="both"/>
        <w:rPr>
          <w:rFonts w:ascii="Arial" w:hAnsi="Arial" w:cs="Arial"/>
          <w:sz w:val="18"/>
          <w:szCs w:val="18"/>
        </w:rPr>
      </w:pPr>
      <w:r w:rsidRPr="002D305B">
        <w:rPr>
          <w:rStyle w:val="Appelnotedebasdep"/>
          <w:rFonts w:ascii="Arial" w:hAnsi="Arial" w:cs="Arial"/>
          <w:sz w:val="18"/>
          <w:szCs w:val="18"/>
        </w:rPr>
        <w:footnoteRef/>
      </w:r>
      <w:r w:rsidRPr="002D305B">
        <w:rPr>
          <w:rFonts w:ascii="Arial" w:hAnsi="Arial" w:cs="Arial"/>
          <w:sz w:val="18"/>
          <w:szCs w:val="18"/>
        </w:rPr>
        <w:t xml:space="preserve"> Ibid. § 203</w:t>
      </w:r>
    </w:p>
  </w:footnote>
  <w:footnote w:id="138">
    <w:p w14:paraId="707BB79E" w14:textId="77777777" w:rsidR="00D86968" w:rsidRPr="002D305B" w:rsidRDefault="00D86968" w:rsidP="00720D91">
      <w:pPr>
        <w:pStyle w:val="Sansinterligne"/>
        <w:jc w:val="both"/>
        <w:rPr>
          <w:rFonts w:ascii="Arial" w:hAnsi="Arial" w:cs="Arial"/>
          <w:sz w:val="18"/>
          <w:szCs w:val="18"/>
        </w:rPr>
      </w:pPr>
      <w:r w:rsidRPr="002D305B">
        <w:rPr>
          <w:rStyle w:val="Appelnotedebasdep"/>
          <w:rFonts w:ascii="Arial" w:hAnsi="Arial" w:cs="Arial"/>
          <w:sz w:val="18"/>
          <w:szCs w:val="18"/>
        </w:rPr>
        <w:footnoteRef/>
      </w:r>
      <w:r w:rsidRPr="002D305B">
        <w:rPr>
          <w:rFonts w:ascii="Arial" w:hAnsi="Arial" w:cs="Arial"/>
          <w:sz w:val="18"/>
          <w:szCs w:val="18"/>
        </w:rPr>
        <w:t xml:space="preserve"> Voir par exemple </w:t>
      </w:r>
      <w:hyperlink r:id="rId200" w:anchor="{&quot;tabview&quot;:[&quot;document&quot;],&quot;itemid&quot;:[&quot;001-81908&quot;]}" w:history="1">
        <w:r w:rsidRPr="002D305B">
          <w:rPr>
            <w:rStyle w:val="Lienhypertexte"/>
            <w:rFonts w:ascii="Arial" w:eastAsiaTheme="majorEastAsia" w:hAnsi="Arial" w:cs="Arial"/>
            <w:i/>
            <w:sz w:val="18"/>
            <w:szCs w:val="18"/>
          </w:rPr>
          <w:t>Moussaïev et autres c. Russie</w:t>
        </w:r>
      </w:hyperlink>
      <w:r w:rsidRPr="002D305B">
        <w:rPr>
          <w:rFonts w:ascii="Arial" w:hAnsi="Arial" w:cs="Arial"/>
          <w:sz w:val="18"/>
          <w:szCs w:val="18"/>
        </w:rPr>
        <w:t>, n° 57941/00, 58699/00 et 60403/00, par</w:t>
      </w:r>
      <w:r>
        <w:rPr>
          <w:rFonts w:ascii="Arial" w:hAnsi="Arial" w:cs="Arial"/>
          <w:sz w:val="18"/>
          <w:szCs w:val="18"/>
        </w:rPr>
        <w:t>a</w:t>
      </w:r>
      <w:r w:rsidRPr="002D305B">
        <w:rPr>
          <w:rFonts w:ascii="Arial" w:hAnsi="Arial" w:cs="Arial"/>
          <w:sz w:val="18"/>
          <w:szCs w:val="18"/>
        </w:rPr>
        <w:t xml:space="preserve">. 183, 26 juillet 2007. </w:t>
      </w:r>
    </w:p>
  </w:footnote>
  <w:footnote w:id="139">
    <w:p w14:paraId="55402202" w14:textId="77777777" w:rsidR="00D86968" w:rsidRPr="00720D91" w:rsidRDefault="00D86968" w:rsidP="00720D91">
      <w:pPr>
        <w:pStyle w:val="SingleTxtG"/>
        <w:spacing w:after="0" w:line="180" w:lineRule="exact"/>
        <w:ind w:left="0" w:right="0"/>
        <w:rPr>
          <w:rFonts w:ascii="Arial" w:hAnsi="Arial" w:cs="Arial"/>
          <w:sz w:val="18"/>
          <w:szCs w:val="18"/>
          <w:lang w:val="fr-FR"/>
        </w:rPr>
      </w:pPr>
      <w:r w:rsidRPr="00560F13">
        <w:rPr>
          <w:rStyle w:val="Appelnotedebasdep"/>
          <w:rFonts w:ascii="Arial" w:hAnsi="Arial" w:cs="Arial"/>
          <w:sz w:val="18"/>
          <w:szCs w:val="18"/>
        </w:rPr>
        <w:footnoteRef/>
      </w:r>
      <w:r w:rsidRPr="00720D91">
        <w:rPr>
          <w:rFonts w:ascii="Arial" w:hAnsi="Arial" w:cs="Arial"/>
          <w:sz w:val="18"/>
          <w:szCs w:val="18"/>
          <w:lang w:val="fr-FR"/>
        </w:rPr>
        <w:t xml:space="preserve"> </w:t>
      </w:r>
      <w:hyperlink r:id="rId201" w:history="1">
        <w:r w:rsidRPr="00720D91">
          <w:rPr>
            <w:rStyle w:val="Lienhypertexte"/>
            <w:rFonts w:ascii="Arial" w:hAnsi="Arial" w:cs="Arial"/>
            <w:i/>
            <w:sz w:val="18"/>
            <w:szCs w:val="18"/>
            <w:lang w:val="fr-FR"/>
          </w:rPr>
          <w:t>Géorgie c. Russie</w:t>
        </w:r>
        <w:r w:rsidRPr="00720D91">
          <w:rPr>
            <w:rStyle w:val="Lienhypertexte"/>
            <w:rFonts w:ascii="Arial" w:hAnsi="Arial" w:cs="Arial"/>
            <w:sz w:val="18"/>
            <w:szCs w:val="18"/>
            <w:lang w:val="fr-FR"/>
          </w:rPr>
          <w:t xml:space="preserve"> (I)</w:t>
        </w:r>
      </w:hyperlink>
      <w:r w:rsidRPr="00720D91">
        <w:rPr>
          <w:rFonts w:ascii="Arial" w:hAnsi="Arial" w:cs="Arial"/>
          <w:sz w:val="18"/>
          <w:szCs w:val="18"/>
          <w:lang w:val="fr-FR"/>
        </w:rPr>
        <w:t xml:space="preserve"> (satisfaction équitable) précité, § 104 </w:t>
      </w:r>
    </w:p>
  </w:footnote>
  <w:footnote w:id="140">
    <w:p w14:paraId="18657913" w14:textId="77777777" w:rsidR="00D86968" w:rsidRPr="00720D91" w:rsidRDefault="00D86968" w:rsidP="00720D91">
      <w:pPr>
        <w:pStyle w:val="SingleTxtG"/>
        <w:spacing w:after="0" w:line="180" w:lineRule="exact"/>
        <w:ind w:left="0" w:right="0"/>
        <w:rPr>
          <w:rFonts w:ascii="Arial" w:hAnsi="Arial" w:cs="Arial"/>
          <w:sz w:val="18"/>
          <w:szCs w:val="18"/>
          <w:lang w:val="fr-FR"/>
        </w:rPr>
      </w:pPr>
      <w:r w:rsidRPr="00560F13">
        <w:rPr>
          <w:rStyle w:val="Appelnotedebasdep"/>
          <w:rFonts w:ascii="Arial" w:hAnsi="Arial" w:cs="Arial"/>
          <w:sz w:val="18"/>
          <w:szCs w:val="18"/>
        </w:rPr>
        <w:footnoteRef/>
      </w:r>
      <w:r w:rsidRPr="00720D91">
        <w:rPr>
          <w:rFonts w:ascii="Arial" w:hAnsi="Arial" w:cs="Arial"/>
          <w:sz w:val="18"/>
          <w:szCs w:val="18"/>
          <w:lang w:val="fr-FR"/>
        </w:rPr>
        <w:t xml:space="preserve"> </w:t>
      </w:r>
      <w:hyperlink r:id="rId202" w:history="1">
        <w:r w:rsidRPr="00720D91">
          <w:rPr>
            <w:rStyle w:val="Lienhypertexte"/>
            <w:rFonts w:ascii="Arial" w:hAnsi="Arial" w:cs="Arial"/>
            <w:i/>
            <w:sz w:val="18"/>
            <w:szCs w:val="18"/>
            <w:lang w:val="fr-FR"/>
          </w:rPr>
          <w:t>Timurtaş c. Turquie</w:t>
        </w:r>
      </w:hyperlink>
      <w:r w:rsidRPr="00720D91">
        <w:rPr>
          <w:rFonts w:ascii="Arial" w:hAnsi="Arial" w:cs="Arial"/>
          <w:sz w:val="18"/>
          <w:szCs w:val="18"/>
          <w:lang w:val="fr-FR"/>
        </w:rPr>
        <w:t xml:space="preserve">, n° 23531/94, §§ 66 et 70. </w:t>
      </w:r>
      <w:hyperlink r:id="rId203" w:history="1">
        <w:r w:rsidRPr="00720D91">
          <w:rPr>
            <w:rStyle w:val="Lienhypertexte"/>
            <w:rFonts w:ascii="Arial" w:hAnsi="Arial" w:cs="Arial"/>
            <w:i/>
            <w:iCs/>
            <w:sz w:val="18"/>
            <w:szCs w:val="18"/>
            <w:lang w:val="fr-FR"/>
          </w:rPr>
          <w:t>Tahsin Acar c. Turquie</w:t>
        </w:r>
      </w:hyperlink>
      <w:r w:rsidRPr="00720D91">
        <w:rPr>
          <w:rFonts w:ascii="Arial" w:hAnsi="Arial" w:cs="Arial"/>
          <w:i/>
          <w:iCs/>
          <w:sz w:val="18"/>
          <w:szCs w:val="18"/>
          <w:lang w:val="fr-FR"/>
        </w:rPr>
        <w:t xml:space="preserve"> </w:t>
      </w:r>
      <w:r w:rsidRPr="00720D91">
        <w:rPr>
          <w:rFonts w:ascii="Arial" w:hAnsi="Arial" w:cs="Arial"/>
          <w:sz w:val="18"/>
          <w:szCs w:val="18"/>
          <w:lang w:val="fr-FR"/>
        </w:rPr>
        <w:t xml:space="preserve">[GC], ibid., § 254; </w:t>
      </w:r>
      <w:hyperlink r:id="rId204" w:history="1">
        <w:r w:rsidRPr="00720D91">
          <w:rPr>
            <w:rStyle w:val="Lienhypertexte"/>
            <w:rFonts w:ascii="Arial" w:hAnsi="Arial" w:cs="Arial"/>
            <w:i/>
            <w:iCs/>
            <w:sz w:val="18"/>
            <w:szCs w:val="18"/>
            <w:lang w:val="fr-FR"/>
          </w:rPr>
          <w:t>Imakayeva c. Russie</w:t>
        </w:r>
      </w:hyperlink>
      <w:r w:rsidRPr="00720D91">
        <w:rPr>
          <w:rFonts w:ascii="Arial" w:hAnsi="Arial" w:cs="Arial"/>
          <w:sz w:val="18"/>
          <w:szCs w:val="18"/>
          <w:lang w:val="fr-FR"/>
        </w:rPr>
        <w:t xml:space="preserve">, n°7615/02, § 200, 9 novembre 2006; </w:t>
      </w:r>
      <w:hyperlink r:id="rId205" w:history="1">
        <w:r w:rsidRPr="00720D91">
          <w:rPr>
            <w:rStyle w:val="Lienhypertexte"/>
            <w:rFonts w:ascii="Arial" w:hAnsi="Arial" w:cs="Arial"/>
            <w:i/>
            <w:iCs/>
            <w:sz w:val="18"/>
            <w:szCs w:val="18"/>
            <w:lang w:val="fr-FR"/>
          </w:rPr>
          <w:t>Janowiec et autres c. Russie</w:t>
        </w:r>
      </w:hyperlink>
      <w:r w:rsidRPr="00720D91">
        <w:rPr>
          <w:rFonts w:ascii="Arial" w:hAnsi="Arial" w:cs="Arial"/>
          <w:i/>
          <w:iCs/>
          <w:sz w:val="18"/>
          <w:szCs w:val="18"/>
          <w:lang w:val="fr-FR"/>
        </w:rPr>
        <w:t xml:space="preserve"> </w:t>
      </w:r>
      <w:r w:rsidRPr="00720D91">
        <w:rPr>
          <w:rFonts w:ascii="Arial" w:hAnsi="Arial" w:cs="Arial"/>
          <w:sz w:val="18"/>
          <w:szCs w:val="18"/>
          <w:lang w:val="fr-FR"/>
        </w:rPr>
        <w:t xml:space="preserve">[GC], nos. 55508/07-29520/09, § 202, 21 octobre 2013; </w:t>
      </w:r>
      <w:hyperlink r:id="rId206" w:history="1">
        <w:r w:rsidRPr="00720D91">
          <w:rPr>
            <w:rStyle w:val="Lienhypertexte"/>
            <w:rFonts w:ascii="Arial" w:hAnsi="Arial" w:cs="Arial"/>
            <w:i/>
            <w:sz w:val="18"/>
            <w:szCs w:val="18"/>
            <w:lang w:val="fr-FR"/>
          </w:rPr>
          <w:t>Géorgie c. Russie</w:t>
        </w:r>
        <w:r w:rsidRPr="00720D91">
          <w:rPr>
            <w:rStyle w:val="Lienhypertexte"/>
            <w:rFonts w:ascii="Arial" w:hAnsi="Arial" w:cs="Arial"/>
            <w:sz w:val="18"/>
            <w:szCs w:val="18"/>
            <w:lang w:val="fr-FR"/>
          </w:rPr>
          <w:t xml:space="preserve"> (I)</w:t>
        </w:r>
      </w:hyperlink>
      <w:r w:rsidRPr="00720D91">
        <w:rPr>
          <w:rFonts w:ascii="Arial" w:hAnsi="Arial" w:cs="Arial"/>
          <w:sz w:val="18"/>
          <w:szCs w:val="18"/>
          <w:lang w:val="fr-FR"/>
        </w:rPr>
        <w:t xml:space="preserve">, précité, § 99. </w:t>
      </w:r>
      <w:hyperlink r:id="rId207" w:history="1">
        <w:r w:rsidRPr="00720D91">
          <w:rPr>
            <w:rStyle w:val="Lienhypertexte"/>
            <w:rFonts w:ascii="Arial" w:hAnsi="Arial" w:cs="Arial"/>
            <w:sz w:val="18"/>
            <w:szCs w:val="18"/>
            <w:lang w:val="fr-FR"/>
          </w:rPr>
          <w:t>Géorgie c. Russie</w:t>
        </w:r>
      </w:hyperlink>
      <w:r w:rsidRPr="00720D91">
        <w:rPr>
          <w:rFonts w:ascii="Arial" w:hAnsi="Arial" w:cs="Arial"/>
          <w:sz w:val="18"/>
          <w:szCs w:val="18"/>
          <w:lang w:val="fr-FR"/>
        </w:rPr>
        <w:t xml:space="preserve"> (II) (fond) [GC] n°38263/08, § 341, 21 janvier 2021. </w:t>
      </w:r>
    </w:p>
  </w:footnote>
  <w:footnote w:id="141">
    <w:p w14:paraId="07E29949" w14:textId="77777777" w:rsidR="00D86968" w:rsidRPr="00720D91" w:rsidRDefault="00D86968" w:rsidP="00720D91">
      <w:pPr>
        <w:pStyle w:val="SingleTxtG"/>
        <w:spacing w:after="0" w:line="180" w:lineRule="exact"/>
        <w:ind w:left="0" w:right="0"/>
        <w:rPr>
          <w:rFonts w:ascii="Arial" w:hAnsi="Arial" w:cs="Arial"/>
          <w:sz w:val="18"/>
          <w:szCs w:val="18"/>
          <w:lang w:val="fr-FR"/>
        </w:rPr>
      </w:pPr>
      <w:r w:rsidRPr="00560F13">
        <w:rPr>
          <w:rStyle w:val="Appelnotedebasdep"/>
          <w:rFonts w:ascii="Arial" w:hAnsi="Arial" w:cs="Arial"/>
          <w:sz w:val="18"/>
          <w:szCs w:val="18"/>
        </w:rPr>
        <w:footnoteRef/>
      </w:r>
      <w:r w:rsidRPr="00720D91">
        <w:rPr>
          <w:rFonts w:ascii="Arial" w:hAnsi="Arial" w:cs="Arial"/>
          <w:sz w:val="18"/>
          <w:szCs w:val="18"/>
          <w:lang w:val="fr-FR"/>
        </w:rPr>
        <w:t xml:space="preserve"> </w:t>
      </w:r>
      <w:hyperlink r:id="rId208" w:history="1">
        <w:r w:rsidRPr="00720D91">
          <w:rPr>
            <w:rStyle w:val="Lienhypertexte"/>
            <w:rFonts w:ascii="Arial" w:hAnsi="Arial" w:cs="Arial"/>
            <w:i/>
            <w:sz w:val="18"/>
            <w:szCs w:val="18"/>
            <w:lang w:val="fr-FR"/>
          </w:rPr>
          <w:t>Maslova et Nalbandov c. Russie</w:t>
        </w:r>
      </w:hyperlink>
      <w:r w:rsidRPr="00720D91">
        <w:rPr>
          <w:rFonts w:ascii="Arial" w:hAnsi="Arial" w:cs="Arial"/>
          <w:sz w:val="18"/>
          <w:szCs w:val="18"/>
          <w:lang w:val="fr-FR"/>
        </w:rPr>
        <w:t xml:space="preserve">, n° 839/02, par. 128-29, 24 janvier 2008.  </w:t>
      </w:r>
    </w:p>
  </w:footnote>
  <w:footnote w:id="142">
    <w:p w14:paraId="1B1F2EA8" w14:textId="77777777" w:rsidR="00D86968" w:rsidRPr="00720D91" w:rsidRDefault="00D86968" w:rsidP="00720D91">
      <w:pPr>
        <w:pStyle w:val="SingleTxtG"/>
        <w:spacing w:after="0" w:line="180" w:lineRule="exact"/>
        <w:ind w:left="0" w:right="0"/>
        <w:rPr>
          <w:rFonts w:ascii="Arial" w:hAnsi="Arial" w:cs="Arial"/>
          <w:sz w:val="18"/>
          <w:szCs w:val="18"/>
          <w:lang w:val="fr-FR"/>
        </w:rPr>
      </w:pPr>
      <w:r w:rsidRPr="00560F13">
        <w:rPr>
          <w:rStyle w:val="Appelnotedebasdep"/>
          <w:rFonts w:ascii="Arial" w:hAnsi="Arial" w:cs="Arial"/>
          <w:sz w:val="18"/>
          <w:szCs w:val="18"/>
        </w:rPr>
        <w:footnoteRef/>
      </w:r>
      <w:r w:rsidRPr="00720D91">
        <w:rPr>
          <w:rFonts w:ascii="Arial" w:hAnsi="Arial" w:cs="Arial"/>
          <w:sz w:val="18"/>
          <w:szCs w:val="18"/>
          <w:lang w:val="fr-FR"/>
        </w:rPr>
        <w:t xml:space="preserve"> </w:t>
      </w:r>
      <w:hyperlink r:id="rId209" w:history="1">
        <w:r w:rsidRPr="00720D91">
          <w:rPr>
            <w:rStyle w:val="Lienhypertexte"/>
            <w:rFonts w:ascii="Arial" w:hAnsi="Arial" w:cs="Arial"/>
            <w:i/>
            <w:sz w:val="18"/>
            <w:szCs w:val="18"/>
            <w:lang w:val="fr-FR"/>
          </w:rPr>
          <w:t>Trubnikov c. Russie</w:t>
        </w:r>
      </w:hyperlink>
      <w:r w:rsidRPr="00720D91">
        <w:rPr>
          <w:rFonts w:ascii="Arial" w:hAnsi="Arial" w:cs="Arial"/>
          <w:sz w:val="18"/>
          <w:szCs w:val="18"/>
          <w:lang w:val="fr-FR"/>
        </w:rPr>
        <w:t xml:space="preserve">, par. 50-57, juillet 2005.  </w:t>
      </w:r>
    </w:p>
  </w:footnote>
  <w:footnote w:id="143">
    <w:p w14:paraId="164DB229" w14:textId="77777777" w:rsidR="00D86968" w:rsidRPr="002D305B" w:rsidRDefault="00D86968" w:rsidP="00720D91">
      <w:pPr>
        <w:pStyle w:val="Sansinterligne"/>
        <w:jc w:val="both"/>
        <w:rPr>
          <w:rFonts w:ascii="Arial" w:hAnsi="Arial" w:cs="Arial"/>
          <w:sz w:val="18"/>
          <w:szCs w:val="18"/>
        </w:rPr>
      </w:pPr>
      <w:r w:rsidRPr="002D305B">
        <w:rPr>
          <w:rStyle w:val="Appelnotedebasdep"/>
          <w:rFonts w:ascii="Arial" w:hAnsi="Arial" w:cs="Arial"/>
          <w:sz w:val="18"/>
          <w:szCs w:val="18"/>
        </w:rPr>
        <w:footnoteRef/>
      </w:r>
      <w:hyperlink r:id="rId210" w:history="1">
        <w:r w:rsidRPr="002D305B">
          <w:rPr>
            <w:rStyle w:val="Lienhypertexte"/>
            <w:rFonts w:ascii="Arial" w:eastAsiaTheme="majorEastAsia" w:hAnsi="Arial" w:cs="Arial"/>
            <w:i/>
            <w:sz w:val="18"/>
            <w:szCs w:val="18"/>
          </w:rPr>
          <w:t>Janowiec et autres c. Russie</w:t>
        </w:r>
      </w:hyperlink>
      <w:r w:rsidRPr="002D305B">
        <w:rPr>
          <w:rStyle w:val="Lienhypertexte"/>
          <w:rFonts w:ascii="Arial" w:eastAsiaTheme="majorEastAsia" w:hAnsi="Arial" w:cs="Arial"/>
          <w:i/>
          <w:sz w:val="18"/>
          <w:szCs w:val="18"/>
        </w:rPr>
        <w:t xml:space="preserve"> [GC]</w:t>
      </w:r>
      <w:r w:rsidRPr="002D305B">
        <w:rPr>
          <w:rFonts w:ascii="Arial" w:hAnsi="Arial" w:cs="Arial"/>
          <w:sz w:val="18"/>
          <w:szCs w:val="18"/>
        </w:rPr>
        <w:t>, précité, par. 205.</w:t>
      </w:r>
    </w:p>
  </w:footnote>
  <w:footnote w:id="144">
    <w:p w14:paraId="3DB87B2D" w14:textId="77777777" w:rsidR="00D86968" w:rsidRPr="00720D91" w:rsidRDefault="00D86968" w:rsidP="00720D91">
      <w:pPr>
        <w:pStyle w:val="Notedebasdepage"/>
        <w:rPr>
          <w:lang w:val="fr-FR"/>
        </w:rPr>
      </w:pPr>
      <w:r w:rsidRPr="00644BCB">
        <w:rPr>
          <w:rStyle w:val="Appelnotedebasdep"/>
          <w:shd w:val="clear" w:color="auto" w:fill="FFFFFF" w:themeFill="background1"/>
        </w:rPr>
        <w:footnoteRef/>
      </w:r>
      <w:hyperlink r:id="rId211" w:history="1">
        <w:r w:rsidRPr="00720D91">
          <w:rPr>
            <w:rStyle w:val="Lienhypertexte"/>
            <w:rFonts w:ascii="Arial" w:hAnsi="Arial" w:cs="Arial"/>
            <w:sz w:val="18"/>
            <w:szCs w:val="18"/>
            <w:lang w:val="fr-FR"/>
          </w:rPr>
          <w:t>Géorgie c. Russie</w:t>
        </w:r>
      </w:hyperlink>
      <w:r w:rsidRPr="00720D91">
        <w:rPr>
          <w:rFonts w:ascii="Arial" w:hAnsi="Arial" w:cs="Arial"/>
          <w:sz w:val="18"/>
          <w:szCs w:val="18"/>
          <w:lang w:val="fr-FR"/>
        </w:rPr>
        <w:t xml:space="preserve"> (II) (fond) </w:t>
      </w:r>
      <w:r w:rsidRPr="00720D91">
        <w:rPr>
          <w:rFonts w:ascii="Arial" w:hAnsi="Arial" w:cs="Arial"/>
          <w:sz w:val="18"/>
          <w:szCs w:val="18"/>
          <w:shd w:val="clear" w:color="auto" w:fill="FFFFFF" w:themeFill="background1"/>
          <w:lang w:val="fr-FR"/>
        </w:rPr>
        <w:t>n° 38263/08, § 345, 21 janvier 2021.</w:t>
      </w:r>
    </w:p>
  </w:footnote>
  <w:footnote w:id="145">
    <w:p w14:paraId="695A5499" w14:textId="77777777" w:rsidR="00D86968" w:rsidRPr="002D305B" w:rsidRDefault="00D86968" w:rsidP="00720D91">
      <w:pPr>
        <w:pStyle w:val="Sansinterligne"/>
        <w:jc w:val="both"/>
        <w:rPr>
          <w:rFonts w:ascii="Arial" w:hAnsi="Arial" w:cs="Arial"/>
          <w:sz w:val="18"/>
          <w:szCs w:val="18"/>
        </w:rPr>
      </w:pPr>
      <w:r w:rsidRPr="002D305B">
        <w:rPr>
          <w:rStyle w:val="Appelnotedebasdep"/>
          <w:rFonts w:ascii="Arial" w:hAnsi="Arial" w:cs="Arial"/>
          <w:sz w:val="18"/>
          <w:szCs w:val="18"/>
        </w:rPr>
        <w:footnoteRef/>
      </w:r>
      <w:r w:rsidRPr="002D305B">
        <w:rPr>
          <w:rStyle w:val="sb8d990e2"/>
          <w:rFonts w:ascii="Arial" w:eastAsiaTheme="majorEastAsia" w:hAnsi="Arial" w:cs="Arial"/>
          <w:sz w:val="18"/>
          <w:szCs w:val="18"/>
        </w:rPr>
        <w:t xml:space="preserve"> </w:t>
      </w:r>
      <w:hyperlink r:id="rId212" w:history="1">
        <w:r w:rsidRPr="002D305B">
          <w:rPr>
            <w:rStyle w:val="Lienhypertexte"/>
            <w:rFonts w:ascii="Arial" w:eastAsiaTheme="majorEastAsia" w:hAnsi="Arial" w:cs="Arial"/>
            <w:i/>
            <w:sz w:val="18"/>
            <w:szCs w:val="18"/>
          </w:rPr>
          <w:t>Davydov et autres c. Ukraine</w:t>
        </w:r>
      </w:hyperlink>
      <w:r w:rsidRPr="002D305B">
        <w:rPr>
          <w:rStyle w:val="sb8d990e2"/>
          <w:rFonts w:ascii="Arial" w:eastAsiaTheme="majorEastAsia" w:hAnsi="Arial" w:cs="Arial"/>
          <w:sz w:val="18"/>
          <w:szCs w:val="18"/>
        </w:rPr>
        <w:t>, n° </w:t>
      </w:r>
      <w:r w:rsidRPr="002D305B">
        <w:rPr>
          <w:rFonts w:ascii="Arial" w:hAnsi="Arial" w:cs="Arial"/>
          <w:sz w:val="18"/>
          <w:szCs w:val="18"/>
        </w:rPr>
        <w:t>17674/02</w:t>
      </w:r>
      <w:r w:rsidRPr="002D305B">
        <w:rPr>
          <w:rStyle w:val="sb8d990e2"/>
          <w:rFonts w:ascii="Arial" w:eastAsiaTheme="majorEastAsia" w:hAnsi="Arial" w:cs="Arial"/>
          <w:sz w:val="18"/>
          <w:szCs w:val="18"/>
        </w:rPr>
        <w:t xml:space="preserve"> et </w:t>
      </w:r>
      <w:r w:rsidRPr="002D305B">
        <w:rPr>
          <w:rFonts w:ascii="Arial" w:hAnsi="Arial" w:cs="Arial"/>
          <w:sz w:val="18"/>
          <w:szCs w:val="18"/>
        </w:rPr>
        <w:t>39081/02</w:t>
      </w:r>
      <w:r w:rsidRPr="002D305B">
        <w:rPr>
          <w:rStyle w:val="sb8d990e2"/>
          <w:rFonts w:ascii="Arial" w:eastAsiaTheme="majorEastAsia" w:hAnsi="Arial" w:cs="Arial"/>
          <w:sz w:val="18"/>
          <w:szCs w:val="18"/>
        </w:rPr>
        <w:t>, par. 170, 1</w:t>
      </w:r>
      <w:r w:rsidRPr="002D305B">
        <w:rPr>
          <w:rStyle w:val="sb8d990e2"/>
          <w:rFonts w:ascii="Arial" w:eastAsiaTheme="majorEastAsia" w:hAnsi="Arial" w:cs="Arial"/>
          <w:sz w:val="18"/>
          <w:szCs w:val="18"/>
          <w:vertAlign w:val="superscript"/>
        </w:rPr>
        <w:t>er</w:t>
      </w:r>
      <w:r w:rsidRPr="002D305B">
        <w:rPr>
          <w:rStyle w:val="sb8d990e2"/>
          <w:rFonts w:ascii="Arial" w:eastAsiaTheme="majorEastAsia" w:hAnsi="Arial" w:cs="Arial"/>
          <w:sz w:val="18"/>
          <w:szCs w:val="18"/>
        </w:rPr>
        <w:t xml:space="preserve"> juillet 2010 ; </w:t>
      </w:r>
      <w:r>
        <w:rPr>
          <w:rFonts w:ascii="Arial" w:hAnsi="Arial" w:cs="Arial"/>
          <w:i/>
          <w:sz w:val="18"/>
          <w:szCs w:val="18"/>
        </w:rPr>
        <w:t>Nolan et K. c. Russie</w:t>
      </w:r>
      <w:r w:rsidRPr="002D305B">
        <w:rPr>
          <w:rStyle w:val="sb8d990e2"/>
          <w:rFonts w:ascii="Arial" w:eastAsiaTheme="majorEastAsia" w:hAnsi="Arial" w:cs="Arial"/>
          <w:sz w:val="18"/>
          <w:szCs w:val="18"/>
        </w:rPr>
        <w:t>, n° </w:t>
      </w:r>
      <w:r w:rsidRPr="002D305B">
        <w:rPr>
          <w:rFonts w:ascii="Arial" w:hAnsi="Arial" w:cs="Arial"/>
          <w:sz w:val="18"/>
          <w:szCs w:val="18"/>
        </w:rPr>
        <w:t>2512/04</w:t>
      </w:r>
      <w:r w:rsidRPr="002D305B">
        <w:rPr>
          <w:rStyle w:val="sb8d990e2"/>
          <w:rFonts w:ascii="Arial" w:eastAsiaTheme="majorEastAsia" w:hAnsi="Arial" w:cs="Arial"/>
          <w:sz w:val="18"/>
          <w:szCs w:val="18"/>
        </w:rPr>
        <w:t xml:space="preserve">, par. 56, 12 février 2009 ; </w:t>
      </w:r>
      <w:hyperlink r:id="rId213" w:history="1">
        <w:r w:rsidRPr="002D305B">
          <w:rPr>
            <w:rStyle w:val="Lienhypertexte"/>
            <w:rFonts w:ascii="Arial" w:eastAsiaTheme="majorEastAsia" w:hAnsi="Arial" w:cs="Arial"/>
            <w:i/>
            <w:sz w:val="18"/>
            <w:szCs w:val="18"/>
          </w:rPr>
          <w:t>Janowiec et autres</w:t>
        </w:r>
      </w:hyperlink>
      <w:r w:rsidRPr="002D305B">
        <w:rPr>
          <w:rStyle w:val="sb8d990e2"/>
          <w:rFonts w:ascii="Arial" w:eastAsiaTheme="majorEastAsia" w:hAnsi="Arial" w:cs="Arial"/>
          <w:sz w:val="18"/>
          <w:szCs w:val="18"/>
        </w:rPr>
        <w:t xml:space="preserve">, précité, par. 206. </w:t>
      </w:r>
    </w:p>
  </w:footnote>
  <w:footnote w:id="146">
    <w:p w14:paraId="496C56F6" w14:textId="77777777" w:rsidR="00D86968" w:rsidRPr="002D305B" w:rsidRDefault="00D86968" w:rsidP="00720D91">
      <w:pPr>
        <w:pStyle w:val="Sansinterligne"/>
        <w:jc w:val="both"/>
        <w:rPr>
          <w:rFonts w:ascii="Arial" w:hAnsi="Arial" w:cs="Arial"/>
          <w:sz w:val="18"/>
          <w:szCs w:val="18"/>
        </w:rPr>
      </w:pPr>
      <w:r w:rsidRPr="002D305B">
        <w:rPr>
          <w:rStyle w:val="Appelnotedebasdep"/>
          <w:rFonts w:ascii="Arial" w:hAnsi="Arial" w:cs="Arial"/>
          <w:sz w:val="18"/>
          <w:szCs w:val="18"/>
        </w:rPr>
        <w:footnoteRef/>
      </w:r>
      <w:hyperlink r:id="rId214" w:anchor="{&quot;appno&quot;:[&quot;2512/04&quot;]}" w:history="1">
        <w:r w:rsidRPr="002D305B">
          <w:rPr>
            <w:rStyle w:val="Lienhypertexte"/>
            <w:rFonts w:ascii="Arial" w:eastAsiaTheme="majorEastAsia" w:hAnsi="Arial" w:cs="Arial"/>
            <w:i/>
            <w:sz w:val="18"/>
            <w:szCs w:val="18"/>
          </w:rPr>
          <w:t>Nolan et K. c. Russie</w:t>
        </w:r>
      </w:hyperlink>
      <w:r w:rsidRPr="002D305B">
        <w:rPr>
          <w:rFonts w:ascii="Arial" w:hAnsi="Arial" w:cs="Arial"/>
          <w:sz w:val="18"/>
          <w:szCs w:val="18"/>
        </w:rPr>
        <w:t xml:space="preserve">, </w:t>
      </w:r>
      <w:r w:rsidRPr="002D305B">
        <w:rPr>
          <w:rStyle w:val="s6b621b36"/>
          <w:rFonts w:ascii="Arial" w:eastAsiaTheme="minorEastAsia" w:hAnsi="Arial" w:cs="Arial"/>
          <w:sz w:val="18"/>
          <w:szCs w:val="18"/>
        </w:rPr>
        <w:t>n° 2512/04,</w:t>
      </w:r>
      <w:r w:rsidRPr="002D305B">
        <w:rPr>
          <w:rStyle w:val="sb8d990e2"/>
          <w:rFonts w:ascii="Arial" w:eastAsiaTheme="majorEastAsia" w:hAnsi="Arial" w:cs="Arial"/>
          <w:sz w:val="18"/>
          <w:szCs w:val="18"/>
        </w:rPr>
        <w:t xml:space="preserve"> par. 56, </w:t>
      </w:r>
      <w:r w:rsidRPr="002D305B">
        <w:rPr>
          <w:rFonts w:ascii="Arial" w:hAnsi="Arial" w:cs="Arial"/>
          <w:sz w:val="18"/>
          <w:szCs w:val="18"/>
        </w:rPr>
        <w:t xml:space="preserve">12 février 2009 ; </w:t>
      </w:r>
      <w:hyperlink r:id="rId215" w:history="1">
        <w:r w:rsidRPr="002D305B">
          <w:rPr>
            <w:rStyle w:val="Lienhypertexte"/>
            <w:rFonts w:ascii="Arial" w:eastAsiaTheme="majorEastAsia" w:hAnsi="Arial" w:cs="Arial"/>
            <w:i/>
            <w:sz w:val="18"/>
            <w:szCs w:val="18"/>
          </w:rPr>
          <w:t>Janowiec et autres</w:t>
        </w:r>
      </w:hyperlink>
      <w:r w:rsidRPr="002D305B">
        <w:rPr>
          <w:rStyle w:val="sb8d990e2"/>
          <w:rFonts w:ascii="Arial" w:eastAsiaTheme="majorEastAsia" w:hAnsi="Arial" w:cs="Arial"/>
          <w:sz w:val="18"/>
          <w:szCs w:val="18"/>
        </w:rPr>
        <w:t xml:space="preserve">, précité, par. 206. </w:t>
      </w:r>
    </w:p>
  </w:footnote>
  <w:footnote w:id="147">
    <w:p w14:paraId="5C50EBFD" w14:textId="77777777" w:rsidR="00D86968" w:rsidRPr="002D305B" w:rsidRDefault="00D86968" w:rsidP="00720D91">
      <w:pPr>
        <w:pStyle w:val="Sansinterligne"/>
        <w:jc w:val="both"/>
        <w:rPr>
          <w:rFonts w:ascii="Arial" w:hAnsi="Arial" w:cs="Arial"/>
          <w:sz w:val="18"/>
          <w:szCs w:val="18"/>
        </w:rPr>
      </w:pPr>
      <w:r w:rsidRPr="002D305B">
        <w:rPr>
          <w:rStyle w:val="Appelnotedebasdep"/>
          <w:rFonts w:ascii="Arial" w:hAnsi="Arial" w:cs="Arial"/>
          <w:sz w:val="18"/>
          <w:szCs w:val="18"/>
        </w:rPr>
        <w:footnoteRef/>
      </w:r>
      <w:hyperlink r:id="rId216" w:history="1">
        <w:r w:rsidRPr="002D305B">
          <w:rPr>
            <w:rStyle w:val="Lienhypertexte"/>
            <w:rFonts w:ascii="Arial" w:eastAsiaTheme="majorEastAsia" w:hAnsi="Arial" w:cs="Arial"/>
            <w:i/>
            <w:iCs/>
            <w:sz w:val="18"/>
            <w:szCs w:val="18"/>
          </w:rPr>
          <w:t xml:space="preserve"> </w:t>
        </w:r>
      </w:hyperlink>
      <w:r w:rsidRPr="002D305B">
        <w:rPr>
          <w:rFonts w:ascii="Arial" w:hAnsi="Arial" w:cs="Arial"/>
          <w:sz w:val="18"/>
          <w:szCs w:val="18"/>
        </w:rPr>
        <w:t>Ibid</w:t>
      </w:r>
      <w:r w:rsidRPr="002D305B">
        <w:rPr>
          <w:rStyle w:val="sb8d990e2"/>
          <w:rFonts w:ascii="Arial" w:eastAsiaTheme="majorEastAsia" w:hAnsi="Arial" w:cs="Arial"/>
          <w:sz w:val="18"/>
          <w:szCs w:val="18"/>
        </w:rPr>
        <w:t xml:space="preserve">. Voir </w:t>
      </w:r>
      <w:r w:rsidRPr="002D305B">
        <w:rPr>
          <w:rFonts w:ascii="Arial" w:hAnsi="Arial" w:cs="Arial"/>
          <w:sz w:val="18"/>
          <w:szCs w:val="18"/>
        </w:rPr>
        <w:t>également</w:t>
      </w:r>
      <w:r w:rsidRPr="002D305B">
        <w:rPr>
          <w:rStyle w:val="sb8d990e2"/>
          <w:rFonts w:ascii="Arial" w:eastAsiaTheme="majorEastAsia" w:hAnsi="Arial" w:cs="Arial"/>
          <w:sz w:val="18"/>
          <w:szCs w:val="18"/>
        </w:rPr>
        <w:t xml:space="preserve"> </w:t>
      </w:r>
      <w:hyperlink r:id="rId217" w:history="1">
        <w:r w:rsidRPr="002D305B">
          <w:rPr>
            <w:rStyle w:val="Lienhypertexte"/>
            <w:rFonts w:ascii="Arial" w:eastAsiaTheme="majorEastAsia" w:hAnsi="Arial" w:cs="Arial"/>
            <w:i/>
            <w:sz w:val="18"/>
            <w:szCs w:val="18"/>
          </w:rPr>
          <w:t>Janowiec et autres c. Russie [GC]</w:t>
        </w:r>
      </w:hyperlink>
      <w:r w:rsidRPr="002D305B">
        <w:rPr>
          <w:rFonts w:ascii="Arial" w:hAnsi="Arial" w:cs="Arial"/>
          <w:sz w:val="18"/>
          <w:szCs w:val="18"/>
        </w:rPr>
        <w:t xml:space="preserve">, précité, par. 207. </w:t>
      </w:r>
    </w:p>
  </w:footnote>
  <w:footnote w:id="148">
    <w:p w14:paraId="277A33D6" w14:textId="77777777" w:rsidR="00D86968" w:rsidRPr="00405792" w:rsidRDefault="00D86968" w:rsidP="00720D91">
      <w:pPr>
        <w:pStyle w:val="Sansinterligne"/>
        <w:jc w:val="both"/>
        <w:rPr>
          <w:rFonts w:ascii="Arial" w:hAnsi="Arial" w:cs="Arial"/>
          <w:sz w:val="18"/>
          <w:szCs w:val="18"/>
        </w:rPr>
      </w:pPr>
      <w:r w:rsidRPr="002D305B">
        <w:rPr>
          <w:rStyle w:val="Appelnotedebasdep"/>
          <w:rFonts w:ascii="Arial" w:hAnsi="Arial" w:cs="Arial"/>
          <w:sz w:val="18"/>
          <w:szCs w:val="18"/>
        </w:rPr>
        <w:footnoteRef/>
      </w:r>
      <w:r w:rsidRPr="002D305B">
        <w:rPr>
          <w:rFonts w:ascii="Arial" w:hAnsi="Arial" w:cs="Arial"/>
          <w:sz w:val="18"/>
          <w:szCs w:val="18"/>
        </w:rPr>
        <w:t xml:space="preserve"> Aux termes de l’article 33 : « 1. Tous les documents déposés au greffe par les parties ou par des tiers intervenants en rapport avec une requête, à l’exception de ceux soumis dans le cadre de négociations menées en vue de parvenir à un règlement amiable comme le prévoit l’article 62 du présent règlement, sont accessibles au public, selon les modalités pratiques édictées par le greffier, à moins que le président de la chambre n’en décide autrement pour les raisons indiquées au paragraphe 2 du présent article, soit d’office, soit à la demande d’une partie ou de toute autre personne intéressée. </w:t>
      </w:r>
      <w:r w:rsidRPr="002D305B">
        <w:rPr>
          <w:rFonts w:ascii="Arial" w:eastAsiaTheme="minorHAnsi" w:hAnsi="Arial" w:cs="Arial"/>
          <w:color w:val="000000"/>
          <w:sz w:val="18"/>
          <w:szCs w:val="18"/>
          <w:lang w:eastAsia="en-US"/>
        </w:rPr>
        <w:t xml:space="preserve">2. L’accès du public à un document ou à une partie d’un document peut être restreint dans l’intérêt de la moralité, de l’ordre public ou de la sécurité nationale dans une société démocratique lorsque les intérêts des mineurs ou la protection de la vie privée des parties ou de toute personne concernée l’exigent, ou, dans la mesure jugée strictement nécessaire par le président de la chambre, lorsque, dans des circonstances spéciales, la publicité serait de nature à porter atteinte aux intérêts de la justice. 3. Toute demande de confidentialité formulée au titre du paragraphe 1 du présent article doit être motivée et préciser si elle vise tous les documents ou seulement une partie </w:t>
      </w:r>
      <w:r w:rsidRPr="00405792">
        <w:rPr>
          <w:rFonts w:ascii="Arial" w:eastAsiaTheme="minorHAnsi" w:hAnsi="Arial" w:cs="Arial"/>
          <w:color w:val="000000"/>
          <w:sz w:val="18"/>
          <w:szCs w:val="18"/>
          <w:lang w:eastAsia="en-US"/>
        </w:rPr>
        <w:t xml:space="preserve">d’entre eux ». </w:t>
      </w:r>
    </w:p>
  </w:footnote>
  <w:footnote w:id="149">
    <w:p w14:paraId="162353F0" w14:textId="77777777" w:rsidR="00D86968" w:rsidRPr="00720D91" w:rsidRDefault="00D86968" w:rsidP="00720D91">
      <w:pPr>
        <w:pStyle w:val="Notedebasdepage"/>
        <w:shd w:val="clear" w:color="auto" w:fill="FFFFFF" w:themeFill="background1"/>
        <w:rPr>
          <w:lang w:val="fr-FR"/>
        </w:rPr>
      </w:pPr>
      <w:r w:rsidRPr="00405792">
        <w:rPr>
          <w:rStyle w:val="Appelnotedebasdep"/>
          <w:shd w:val="clear" w:color="auto" w:fill="FFFFFF" w:themeFill="background1"/>
        </w:rPr>
        <w:footnoteRef/>
      </w:r>
      <w:r w:rsidRPr="00720D91">
        <w:rPr>
          <w:rFonts w:ascii="Arial" w:hAnsi="Arial" w:cs="Arial"/>
          <w:bCs/>
          <w:sz w:val="18"/>
          <w:shd w:val="clear" w:color="auto" w:fill="FFFFFF" w:themeFill="background1"/>
          <w:lang w:val="fr-FR"/>
        </w:rPr>
        <w:t xml:space="preserve"> </w:t>
      </w:r>
      <w:bookmarkStart w:id="39" w:name="_Hlk63173197"/>
      <w:bookmarkStart w:id="40" w:name="_Hlk61453973"/>
      <w:r w:rsidRPr="00405792">
        <w:rPr>
          <w:rFonts w:ascii="Arial" w:hAnsi="Arial" w:cs="Arial"/>
          <w:bCs/>
          <w:i/>
          <w:sz w:val="18"/>
          <w:shd w:val="clear" w:color="auto" w:fill="FFFFFF" w:themeFill="background1"/>
        </w:rPr>
        <w:fldChar w:fldCharType="begin"/>
      </w:r>
      <w:r w:rsidRPr="00720D91">
        <w:rPr>
          <w:rFonts w:ascii="Arial" w:hAnsi="Arial" w:cs="Arial"/>
          <w:bCs/>
          <w:i/>
          <w:sz w:val="18"/>
          <w:shd w:val="clear" w:color="auto" w:fill="FFFFFF" w:themeFill="background1"/>
          <w:lang w:val="fr-FR"/>
        </w:rPr>
        <w:instrText>HYPERLINK "http://hudoc.echr.coe.int/eng?i=001-93426"</w:instrText>
      </w:r>
      <w:r w:rsidRPr="00405792">
        <w:rPr>
          <w:rFonts w:ascii="Arial" w:hAnsi="Arial" w:cs="Arial"/>
          <w:bCs/>
          <w:i/>
          <w:sz w:val="18"/>
          <w:shd w:val="clear" w:color="auto" w:fill="FFFFFF" w:themeFill="background1"/>
        </w:rPr>
        <w:fldChar w:fldCharType="separate"/>
      </w:r>
      <w:r w:rsidRPr="00720D91">
        <w:rPr>
          <w:rStyle w:val="Lienhypertexte"/>
          <w:rFonts w:ascii="Arial" w:hAnsi="Arial" w:cs="Arial"/>
          <w:bCs/>
          <w:i/>
          <w:color w:val="auto"/>
          <w:sz w:val="18"/>
          <w:shd w:val="clear" w:color="auto" w:fill="FFFFFF" w:themeFill="background1"/>
          <w:lang w:val="fr-FR"/>
        </w:rPr>
        <w:t xml:space="preserve">Géorgie c. Russie (I) </w:t>
      </w:r>
      <w:r w:rsidRPr="00720D91">
        <w:rPr>
          <w:rStyle w:val="Lienhypertexte"/>
          <w:rFonts w:ascii="Arial" w:hAnsi="Arial" w:cs="Arial"/>
          <w:bCs/>
          <w:color w:val="auto"/>
          <w:sz w:val="18"/>
          <w:shd w:val="clear" w:color="auto" w:fill="FFFFFF" w:themeFill="background1"/>
          <w:lang w:val="fr-FR"/>
        </w:rPr>
        <w:t>(déc.)</w:t>
      </w:r>
      <w:r w:rsidRPr="00405792">
        <w:rPr>
          <w:rFonts w:ascii="Arial" w:hAnsi="Arial" w:cs="Arial"/>
          <w:bCs/>
          <w:i/>
          <w:sz w:val="18"/>
          <w:shd w:val="clear" w:color="auto" w:fill="FFFFFF" w:themeFill="background1"/>
        </w:rPr>
        <w:fldChar w:fldCharType="end"/>
      </w:r>
      <w:r w:rsidRPr="00720D91">
        <w:rPr>
          <w:rFonts w:ascii="Arial" w:hAnsi="Arial" w:cs="Arial"/>
          <w:bCs/>
          <w:sz w:val="18"/>
          <w:shd w:val="clear" w:color="auto" w:fill="FFFFFF" w:themeFill="background1"/>
          <w:lang w:val="fr-FR"/>
        </w:rPr>
        <w:t xml:space="preserve">, n° 13255/07, § 41, 30 juin 2009 </w:t>
      </w:r>
      <w:bookmarkEnd w:id="39"/>
      <w:r w:rsidRPr="00720D91">
        <w:rPr>
          <w:rFonts w:ascii="Arial" w:hAnsi="Arial" w:cs="Arial"/>
          <w:bCs/>
          <w:sz w:val="18"/>
          <w:shd w:val="clear" w:color="auto" w:fill="FFFFFF" w:themeFill="background1"/>
          <w:lang w:val="fr-FR"/>
        </w:rPr>
        <w:t xml:space="preserve">et </w:t>
      </w:r>
      <w:hyperlink r:id="rId218" w:history="1">
        <w:r w:rsidRPr="00720D91">
          <w:rPr>
            <w:rStyle w:val="Lienhypertexte"/>
            <w:rFonts w:ascii="Arial" w:hAnsi="Arial" w:cs="Arial"/>
            <w:bCs/>
            <w:i/>
            <w:color w:val="auto"/>
            <w:sz w:val="18"/>
            <w:shd w:val="clear" w:color="auto" w:fill="FFFFFF" w:themeFill="background1"/>
            <w:lang w:val="fr-FR"/>
          </w:rPr>
          <w:t xml:space="preserve">Géorgie c. Russie (II) </w:t>
        </w:r>
        <w:r w:rsidRPr="00720D91">
          <w:rPr>
            <w:rStyle w:val="Lienhypertexte"/>
            <w:rFonts w:ascii="Arial" w:hAnsi="Arial" w:cs="Arial"/>
            <w:bCs/>
            <w:color w:val="auto"/>
            <w:sz w:val="18"/>
            <w:shd w:val="clear" w:color="auto" w:fill="FFFFFF" w:themeFill="background1"/>
            <w:lang w:val="fr-FR"/>
          </w:rPr>
          <w:t>(déc.),</w:t>
        </w:r>
      </w:hyperlink>
      <w:r w:rsidRPr="00720D91">
        <w:rPr>
          <w:rFonts w:ascii="Arial" w:hAnsi="Arial" w:cs="Arial"/>
          <w:bCs/>
          <w:sz w:val="18"/>
          <w:shd w:val="clear" w:color="auto" w:fill="FFFFFF" w:themeFill="background1"/>
          <w:lang w:val="fr-FR"/>
        </w:rPr>
        <w:t xml:space="preserve"> 38263/08, § 86, 13 décembre 2011</w:t>
      </w:r>
      <w:bookmarkEnd w:id="40"/>
      <w:r w:rsidRPr="00720D91">
        <w:rPr>
          <w:rFonts w:ascii="Arial" w:hAnsi="Arial" w:cs="Arial"/>
          <w:bCs/>
          <w:sz w:val="18"/>
          <w:shd w:val="clear" w:color="auto" w:fill="FFFFFF" w:themeFill="background1"/>
          <w:lang w:val="fr-FR"/>
        </w:rPr>
        <w:t xml:space="preserve">. </w:t>
      </w:r>
      <w:hyperlink r:id="rId219" w:history="1">
        <w:r w:rsidRPr="00720D91">
          <w:rPr>
            <w:rStyle w:val="Lienhypertexte"/>
            <w:rFonts w:ascii="Arial" w:hAnsi="Arial" w:cs="Arial"/>
            <w:bCs/>
            <w:i/>
            <w:iCs/>
            <w:color w:val="auto"/>
            <w:sz w:val="18"/>
            <w:szCs w:val="18"/>
            <w:shd w:val="clear" w:color="auto" w:fill="FFFFFF" w:themeFill="background1"/>
            <w:lang w:val="fr-FR"/>
          </w:rPr>
          <w:t xml:space="preserve">Ukraine c. Russie </w:t>
        </w:r>
      </w:hyperlink>
      <w:r w:rsidRPr="00720D91">
        <w:rPr>
          <w:rFonts w:ascii="Arial" w:hAnsi="Arial" w:cs="Arial"/>
          <w:bCs/>
          <w:i/>
          <w:iCs/>
          <w:sz w:val="18"/>
          <w:szCs w:val="18"/>
          <w:shd w:val="clear" w:color="auto" w:fill="FFFFFF" w:themeFill="background1"/>
          <w:lang w:val="fr-FR"/>
        </w:rPr>
        <w:t>(déc.) [GC]</w:t>
      </w:r>
      <w:r w:rsidRPr="00720D91">
        <w:rPr>
          <w:rFonts w:ascii="Arial" w:hAnsi="Arial" w:cs="Arial"/>
          <w:bCs/>
          <w:sz w:val="18"/>
          <w:szCs w:val="18"/>
          <w:shd w:val="clear" w:color="auto" w:fill="FFFFFF" w:themeFill="background1"/>
          <w:lang w:val="fr-FR"/>
        </w:rPr>
        <w:t>, nos 20958/14 et 38334/18 § 263, 16 décembre 2020.</w:t>
      </w:r>
    </w:p>
  </w:footnote>
  <w:footnote w:id="150">
    <w:p w14:paraId="6457E4B1" w14:textId="77777777" w:rsidR="00D86968" w:rsidRPr="00720D91" w:rsidRDefault="00D86968" w:rsidP="00720D91">
      <w:pPr>
        <w:pStyle w:val="Notedebasdepage"/>
        <w:rPr>
          <w:bCs/>
          <w:lang w:val="fr-FR"/>
        </w:rPr>
      </w:pPr>
      <w:r w:rsidRPr="00405792">
        <w:rPr>
          <w:rStyle w:val="Appelnotedebasdep"/>
          <w:shd w:val="clear" w:color="auto" w:fill="FFFFFF" w:themeFill="background1"/>
        </w:rPr>
        <w:footnoteRef/>
      </w:r>
      <w:r w:rsidRPr="00720D91">
        <w:rPr>
          <w:rFonts w:ascii="Arial" w:hAnsi="Arial" w:cs="Arial"/>
          <w:bCs/>
          <w:sz w:val="18"/>
          <w:szCs w:val="18"/>
          <w:shd w:val="clear" w:color="auto" w:fill="FFFFFF" w:themeFill="background1"/>
          <w:lang w:val="fr-FR"/>
        </w:rPr>
        <w:t xml:space="preserve"> </w:t>
      </w:r>
      <w:hyperlink r:id="rId220" w:history="1">
        <w:r w:rsidRPr="00720D91">
          <w:rPr>
            <w:rStyle w:val="Lienhypertexte"/>
            <w:rFonts w:ascii="Arial" w:hAnsi="Arial" w:cs="Arial"/>
            <w:bCs/>
            <w:i/>
            <w:iCs/>
            <w:color w:val="auto"/>
            <w:sz w:val="18"/>
            <w:szCs w:val="18"/>
            <w:shd w:val="clear" w:color="auto" w:fill="FFFFFF" w:themeFill="background1"/>
            <w:lang w:val="fr-FR"/>
          </w:rPr>
          <w:t xml:space="preserve">Ukraine c. Russie </w:t>
        </w:r>
      </w:hyperlink>
      <w:r w:rsidRPr="00720D91">
        <w:rPr>
          <w:rFonts w:ascii="Arial" w:hAnsi="Arial" w:cs="Arial"/>
          <w:bCs/>
          <w:i/>
          <w:iCs/>
          <w:sz w:val="18"/>
          <w:szCs w:val="18"/>
          <w:shd w:val="clear" w:color="auto" w:fill="FFFFFF" w:themeFill="background1"/>
          <w:lang w:val="fr-FR"/>
        </w:rPr>
        <w:t>(déc) [GC]</w:t>
      </w:r>
      <w:r w:rsidRPr="00720D91">
        <w:rPr>
          <w:rFonts w:ascii="Arial" w:hAnsi="Arial" w:cs="Arial"/>
          <w:bCs/>
          <w:sz w:val="18"/>
          <w:szCs w:val="18"/>
          <w:shd w:val="clear" w:color="auto" w:fill="FFFFFF" w:themeFill="background1"/>
          <w:lang w:val="fr-FR"/>
        </w:rPr>
        <w:t>, nos 20958/14 et 38334/18, § 363, 16 décembre 2020.</w:t>
      </w:r>
    </w:p>
  </w:footnote>
  <w:footnote w:id="151">
    <w:p w14:paraId="1AED5795" w14:textId="77777777" w:rsidR="00D86968" w:rsidRPr="00720D91" w:rsidRDefault="00D86968" w:rsidP="00720D91">
      <w:pPr>
        <w:pStyle w:val="Notedebasdepage"/>
        <w:shd w:val="clear" w:color="auto" w:fill="FFFFFF" w:themeFill="background1"/>
        <w:rPr>
          <w:lang w:val="fr-FR"/>
        </w:rPr>
      </w:pPr>
      <w:r w:rsidRPr="00405792">
        <w:rPr>
          <w:rStyle w:val="Appelnotedebasdep"/>
          <w:shd w:val="clear" w:color="auto" w:fill="FFFFFF" w:themeFill="background1"/>
        </w:rPr>
        <w:footnoteRef/>
      </w:r>
      <w:r w:rsidRPr="00720D91">
        <w:rPr>
          <w:rFonts w:ascii="Arial" w:hAnsi="Arial" w:cs="Arial"/>
          <w:bCs/>
          <w:sz w:val="18"/>
          <w:szCs w:val="18"/>
          <w:shd w:val="clear" w:color="auto" w:fill="FFFFFF" w:themeFill="background1"/>
          <w:lang w:val="fr-FR"/>
        </w:rPr>
        <w:t xml:space="preserve"> </w:t>
      </w:r>
      <w:hyperlink r:id="rId221" w:history="1">
        <w:r w:rsidRPr="00720D91">
          <w:rPr>
            <w:rStyle w:val="Lienhypertexte"/>
            <w:rFonts w:ascii="Arial" w:hAnsi="Arial" w:cs="Arial"/>
            <w:bCs/>
            <w:i/>
            <w:iCs/>
            <w:color w:val="auto"/>
            <w:sz w:val="18"/>
            <w:szCs w:val="18"/>
            <w:shd w:val="clear" w:color="auto" w:fill="FFFFFF" w:themeFill="background1"/>
            <w:lang w:val="fr-FR"/>
          </w:rPr>
          <w:t xml:space="preserve">Ukraine c. Russie </w:t>
        </w:r>
      </w:hyperlink>
      <w:r w:rsidRPr="00720D91">
        <w:rPr>
          <w:rFonts w:ascii="Arial" w:hAnsi="Arial" w:cs="Arial"/>
          <w:bCs/>
          <w:i/>
          <w:iCs/>
          <w:sz w:val="18"/>
          <w:szCs w:val="18"/>
          <w:shd w:val="clear" w:color="auto" w:fill="FFFFFF" w:themeFill="background1"/>
          <w:lang w:val="fr-FR"/>
        </w:rPr>
        <w:t>(déc) [GC]</w:t>
      </w:r>
      <w:r w:rsidRPr="00720D91">
        <w:rPr>
          <w:rFonts w:ascii="Arial" w:hAnsi="Arial" w:cs="Arial"/>
          <w:bCs/>
          <w:sz w:val="18"/>
          <w:szCs w:val="18"/>
          <w:shd w:val="clear" w:color="auto" w:fill="FFFFFF" w:themeFill="background1"/>
          <w:lang w:val="fr-FR"/>
        </w:rPr>
        <w:t>, nos 20958/14 et 38334/18, § 368, 16 décembre 2020.</w:t>
      </w:r>
    </w:p>
  </w:footnote>
  <w:footnote w:id="152">
    <w:p w14:paraId="1E45BD95" w14:textId="77777777" w:rsidR="00D86968" w:rsidRPr="00720D91" w:rsidRDefault="00D86968" w:rsidP="00720D91">
      <w:pPr>
        <w:pStyle w:val="Notedebasdepage"/>
        <w:shd w:val="clear" w:color="auto" w:fill="FFFFFF" w:themeFill="background1"/>
        <w:rPr>
          <w:lang w:val="fr-FR"/>
        </w:rPr>
      </w:pPr>
      <w:r w:rsidRPr="00405792">
        <w:rPr>
          <w:rStyle w:val="Appelnotedebasdep"/>
          <w:shd w:val="clear" w:color="auto" w:fill="FFFFFF" w:themeFill="background1"/>
        </w:rPr>
        <w:footnoteRef/>
      </w:r>
      <w:r w:rsidRPr="00720D91">
        <w:rPr>
          <w:rFonts w:ascii="Arial" w:hAnsi="Arial" w:cs="Arial"/>
          <w:bCs/>
          <w:sz w:val="18"/>
          <w:szCs w:val="18"/>
          <w:shd w:val="clear" w:color="auto" w:fill="FFFFFF" w:themeFill="background1"/>
          <w:lang w:val="fr-FR"/>
        </w:rPr>
        <w:t xml:space="preserve"> </w:t>
      </w:r>
      <w:hyperlink r:id="rId222" w:history="1">
        <w:r w:rsidRPr="00720D91">
          <w:rPr>
            <w:rStyle w:val="Lienhypertexte"/>
            <w:rFonts w:ascii="Arial" w:hAnsi="Arial" w:cs="Arial"/>
            <w:bCs/>
            <w:i/>
            <w:iCs/>
            <w:color w:val="auto"/>
            <w:sz w:val="18"/>
            <w:szCs w:val="18"/>
            <w:shd w:val="clear" w:color="auto" w:fill="FFFFFF" w:themeFill="background1"/>
            <w:lang w:val="fr-FR"/>
          </w:rPr>
          <w:t xml:space="preserve">Ukraine c. Russie </w:t>
        </w:r>
      </w:hyperlink>
      <w:r w:rsidRPr="00720D91">
        <w:rPr>
          <w:rFonts w:ascii="Arial" w:hAnsi="Arial" w:cs="Arial"/>
          <w:bCs/>
          <w:i/>
          <w:iCs/>
          <w:sz w:val="18"/>
          <w:szCs w:val="18"/>
          <w:shd w:val="clear" w:color="auto" w:fill="FFFFFF" w:themeFill="background1"/>
          <w:lang w:val="fr-FR"/>
        </w:rPr>
        <w:t>(déc) [GC]</w:t>
      </w:r>
      <w:r w:rsidRPr="00720D91">
        <w:rPr>
          <w:rFonts w:ascii="Arial" w:hAnsi="Arial" w:cs="Arial"/>
          <w:bCs/>
          <w:sz w:val="18"/>
          <w:szCs w:val="18"/>
          <w:shd w:val="clear" w:color="auto" w:fill="FFFFFF" w:themeFill="background1"/>
          <w:lang w:val="fr-FR"/>
        </w:rPr>
        <w:t>, nos 20958/14 et 38334/18, § 265, 16 décembre 2020.</w:t>
      </w:r>
    </w:p>
  </w:footnote>
  <w:footnote w:id="153">
    <w:p w14:paraId="7486B76C" w14:textId="77777777" w:rsidR="00D86968" w:rsidRPr="00720D91" w:rsidRDefault="00D86968" w:rsidP="00720D91">
      <w:pPr>
        <w:pStyle w:val="Notedebasdepage"/>
        <w:shd w:val="clear" w:color="auto" w:fill="FFFFFF" w:themeFill="background1"/>
        <w:rPr>
          <w:lang w:val="fr-FR"/>
        </w:rPr>
      </w:pPr>
      <w:r w:rsidRPr="00405792">
        <w:rPr>
          <w:rStyle w:val="Appelnotedebasdep"/>
          <w:shd w:val="clear" w:color="auto" w:fill="FFFFFF" w:themeFill="background1"/>
        </w:rPr>
        <w:footnoteRef/>
      </w:r>
      <w:r w:rsidRPr="00720D91">
        <w:rPr>
          <w:rFonts w:ascii="Arial" w:hAnsi="Arial" w:cs="Arial"/>
          <w:bCs/>
          <w:sz w:val="18"/>
          <w:szCs w:val="18"/>
          <w:shd w:val="clear" w:color="auto" w:fill="FFFFFF" w:themeFill="background1"/>
          <w:lang w:val="fr-FR"/>
        </w:rPr>
        <w:t xml:space="preserve"> </w:t>
      </w:r>
      <w:hyperlink r:id="rId223" w:history="1">
        <w:r w:rsidRPr="00720D91">
          <w:rPr>
            <w:rStyle w:val="Lienhypertexte"/>
            <w:rFonts w:ascii="Arial" w:hAnsi="Arial" w:cs="Arial"/>
            <w:bCs/>
            <w:i/>
            <w:iCs/>
            <w:color w:val="auto"/>
            <w:sz w:val="18"/>
            <w:szCs w:val="18"/>
            <w:shd w:val="clear" w:color="auto" w:fill="FFFFFF" w:themeFill="background1"/>
            <w:lang w:val="fr-FR"/>
          </w:rPr>
          <w:t xml:space="preserve">Ukraine c. Russie </w:t>
        </w:r>
      </w:hyperlink>
      <w:r w:rsidRPr="00720D91">
        <w:rPr>
          <w:rFonts w:ascii="Arial" w:hAnsi="Arial" w:cs="Arial"/>
          <w:bCs/>
          <w:i/>
          <w:iCs/>
          <w:sz w:val="18"/>
          <w:szCs w:val="18"/>
          <w:shd w:val="clear" w:color="auto" w:fill="FFFFFF" w:themeFill="background1"/>
          <w:lang w:val="fr-FR"/>
        </w:rPr>
        <w:t>(déc) [GC]</w:t>
      </w:r>
      <w:r w:rsidRPr="00720D91">
        <w:rPr>
          <w:rFonts w:ascii="Arial" w:hAnsi="Arial" w:cs="Arial"/>
          <w:bCs/>
          <w:sz w:val="18"/>
          <w:szCs w:val="18"/>
          <w:shd w:val="clear" w:color="auto" w:fill="FFFFFF" w:themeFill="background1"/>
          <w:lang w:val="fr-FR"/>
        </w:rPr>
        <w:t>, nos 20958/14 et 38334/18, § 265, 16 décembre 2020.</w:t>
      </w:r>
    </w:p>
  </w:footnote>
  <w:footnote w:id="154">
    <w:p w14:paraId="6F379036" w14:textId="77777777" w:rsidR="00D86968" w:rsidRPr="00720D91" w:rsidRDefault="00D86968" w:rsidP="00720D91">
      <w:pPr>
        <w:pStyle w:val="Notedebasdepage"/>
        <w:shd w:val="clear" w:color="auto" w:fill="FFFFFF" w:themeFill="background1"/>
        <w:rPr>
          <w:lang w:val="fr-FR"/>
        </w:rPr>
      </w:pPr>
      <w:r w:rsidRPr="00405792">
        <w:rPr>
          <w:rStyle w:val="Appelnotedebasdep"/>
          <w:shd w:val="clear" w:color="auto" w:fill="FFFFFF" w:themeFill="background1"/>
        </w:rPr>
        <w:footnoteRef/>
      </w:r>
      <w:r w:rsidRPr="00720D91">
        <w:rPr>
          <w:rFonts w:ascii="Arial" w:hAnsi="Arial" w:cs="Arial"/>
          <w:bCs/>
          <w:sz w:val="18"/>
          <w:szCs w:val="18"/>
          <w:shd w:val="clear" w:color="auto" w:fill="FFFFFF" w:themeFill="background1"/>
          <w:lang w:val="fr-FR"/>
        </w:rPr>
        <w:t xml:space="preserve"> </w:t>
      </w:r>
      <w:hyperlink r:id="rId224" w:history="1">
        <w:r w:rsidRPr="00720D91">
          <w:rPr>
            <w:rStyle w:val="Lienhypertexte"/>
            <w:rFonts w:ascii="Arial" w:hAnsi="Arial" w:cs="Arial"/>
            <w:bCs/>
            <w:i/>
            <w:iCs/>
            <w:color w:val="auto"/>
            <w:sz w:val="18"/>
            <w:szCs w:val="18"/>
            <w:shd w:val="clear" w:color="auto" w:fill="FFFFFF" w:themeFill="background1"/>
            <w:lang w:val="fr-FR"/>
          </w:rPr>
          <w:t xml:space="preserve">Ukraine c. Russie </w:t>
        </w:r>
      </w:hyperlink>
      <w:r w:rsidRPr="00720D91">
        <w:rPr>
          <w:rFonts w:ascii="Arial" w:hAnsi="Arial" w:cs="Arial"/>
          <w:bCs/>
          <w:i/>
          <w:iCs/>
          <w:sz w:val="18"/>
          <w:szCs w:val="18"/>
          <w:shd w:val="clear" w:color="auto" w:fill="FFFFFF" w:themeFill="background1"/>
          <w:lang w:val="fr-FR"/>
        </w:rPr>
        <w:t>(déc) [GC]</w:t>
      </w:r>
      <w:r w:rsidRPr="00720D91">
        <w:rPr>
          <w:rFonts w:ascii="Arial" w:hAnsi="Arial" w:cs="Arial"/>
          <w:bCs/>
          <w:sz w:val="18"/>
          <w:szCs w:val="18"/>
          <w:shd w:val="clear" w:color="auto" w:fill="FFFFFF" w:themeFill="background1"/>
          <w:lang w:val="fr-FR"/>
        </w:rPr>
        <w:t>, nos 20958/14 et 38334/18, § 266, 16 décembre 2020.</w:t>
      </w:r>
    </w:p>
  </w:footnote>
  <w:footnote w:id="155">
    <w:p w14:paraId="41A449B3" w14:textId="77777777" w:rsidR="00D86968" w:rsidRPr="00720D91" w:rsidRDefault="00D86968" w:rsidP="00720D91">
      <w:pPr>
        <w:pStyle w:val="Notedebasdepage"/>
        <w:shd w:val="clear" w:color="auto" w:fill="FFFFFF" w:themeFill="background1"/>
        <w:jc w:val="both"/>
        <w:rPr>
          <w:lang w:val="fr-FR"/>
        </w:rPr>
      </w:pPr>
      <w:r w:rsidRPr="00405792">
        <w:rPr>
          <w:rStyle w:val="Appelnotedebasdep"/>
          <w:shd w:val="clear" w:color="auto" w:fill="FFFFFF" w:themeFill="background1"/>
        </w:rPr>
        <w:footnoteRef/>
      </w:r>
      <w:r w:rsidRPr="00720D91">
        <w:rPr>
          <w:rFonts w:ascii="Arial" w:hAnsi="Arial" w:cs="Arial"/>
          <w:bCs/>
          <w:sz w:val="18"/>
          <w:szCs w:val="18"/>
          <w:shd w:val="clear" w:color="auto" w:fill="FFFFFF" w:themeFill="background1"/>
          <w:lang w:val="fr-FR"/>
        </w:rPr>
        <w:t xml:space="preserve"> </w:t>
      </w:r>
      <w:hyperlink r:id="rId225" w:history="1">
        <w:r w:rsidRPr="00720D91">
          <w:rPr>
            <w:rStyle w:val="Lienhypertexte"/>
            <w:rFonts w:ascii="Arial" w:hAnsi="Arial" w:cs="Arial"/>
            <w:bCs/>
            <w:i/>
            <w:iCs/>
            <w:color w:val="auto"/>
            <w:sz w:val="18"/>
            <w:szCs w:val="18"/>
            <w:shd w:val="clear" w:color="auto" w:fill="FFFFFF" w:themeFill="background1"/>
            <w:lang w:val="fr-FR"/>
          </w:rPr>
          <w:t xml:space="preserve">Ukraine c. Russie </w:t>
        </w:r>
      </w:hyperlink>
      <w:r w:rsidRPr="00720D91">
        <w:rPr>
          <w:rFonts w:ascii="Arial" w:hAnsi="Arial" w:cs="Arial"/>
          <w:bCs/>
          <w:i/>
          <w:iCs/>
          <w:sz w:val="18"/>
          <w:szCs w:val="18"/>
          <w:shd w:val="clear" w:color="auto" w:fill="FFFFFF" w:themeFill="background1"/>
          <w:lang w:val="fr-FR"/>
        </w:rPr>
        <w:t>(déc) [GC]</w:t>
      </w:r>
      <w:r w:rsidRPr="00720D91">
        <w:rPr>
          <w:rFonts w:ascii="Arial" w:hAnsi="Arial" w:cs="Arial"/>
          <w:bCs/>
          <w:sz w:val="18"/>
          <w:szCs w:val="18"/>
          <w:shd w:val="clear" w:color="auto" w:fill="FFFFFF" w:themeFill="background1"/>
          <w:lang w:val="fr-FR"/>
        </w:rPr>
        <w:t xml:space="preserve">, nos 20958/14 et 38334/18, § 352, 16 décembre 2020 : </w:t>
      </w:r>
      <w:hyperlink r:id="rId226" w:history="1">
        <w:r w:rsidRPr="00720D91">
          <w:rPr>
            <w:rStyle w:val="Lienhypertexte"/>
            <w:rFonts w:ascii="Arial" w:hAnsi="Arial" w:cs="Arial"/>
            <w:bCs/>
            <w:i/>
            <w:iCs/>
            <w:color w:val="auto"/>
            <w:sz w:val="18"/>
            <w:szCs w:val="18"/>
            <w:shd w:val="clear" w:color="auto" w:fill="FFFFFF" w:themeFill="background1"/>
            <w:lang w:val="fr-FR"/>
          </w:rPr>
          <w:t xml:space="preserve">Géorgie c. Russie </w:t>
        </w:r>
      </w:hyperlink>
      <w:r w:rsidRPr="00720D91">
        <w:rPr>
          <w:rFonts w:ascii="Arial" w:hAnsi="Arial" w:cs="Arial"/>
          <w:bCs/>
          <w:sz w:val="18"/>
          <w:szCs w:val="18"/>
          <w:shd w:val="clear" w:color="auto" w:fill="FFFFFF" w:themeFill="background1"/>
          <w:lang w:val="fr-FR"/>
        </w:rPr>
        <w:t>(II) (fond) n° 38263/08, § 162, 21 janvier 2021.</w:t>
      </w:r>
    </w:p>
  </w:footnote>
  <w:footnote w:id="156">
    <w:p w14:paraId="56AC2906" w14:textId="77777777" w:rsidR="00D86968" w:rsidRPr="00720D91" w:rsidRDefault="00D86968" w:rsidP="00720D91">
      <w:pPr>
        <w:pStyle w:val="Notedebasdepage"/>
        <w:shd w:val="clear" w:color="auto" w:fill="FFFFFF" w:themeFill="background1"/>
        <w:rPr>
          <w:rFonts w:ascii="Arial" w:hAnsi="Arial" w:cs="Arial"/>
          <w:b/>
          <w:bCs/>
          <w:sz w:val="18"/>
          <w:szCs w:val="18"/>
          <w:lang w:val="fr-FR"/>
        </w:rPr>
      </w:pPr>
      <w:r w:rsidRPr="00405792">
        <w:rPr>
          <w:rStyle w:val="Appelnotedebasdep"/>
          <w:rFonts w:ascii="Arial" w:hAnsi="Arial" w:cs="Arial"/>
          <w:bCs/>
          <w:sz w:val="18"/>
          <w:szCs w:val="18"/>
          <w:shd w:val="clear" w:color="auto" w:fill="FFFFFF" w:themeFill="background1"/>
        </w:rPr>
        <w:footnoteRef/>
      </w:r>
      <w:r w:rsidRPr="00720D91">
        <w:rPr>
          <w:rFonts w:ascii="Arial" w:hAnsi="Arial" w:cs="Arial"/>
          <w:bCs/>
          <w:sz w:val="18"/>
          <w:szCs w:val="18"/>
          <w:shd w:val="clear" w:color="auto" w:fill="FFFFFF" w:themeFill="background1"/>
          <w:lang w:val="fr-FR"/>
        </w:rPr>
        <w:t xml:space="preserve"> </w:t>
      </w:r>
      <w:hyperlink r:id="rId227" w:anchor="{%22itemid%22:[%22001-62064%22]}" w:history="1">
        <w:r w:rsidRPr="00720D91">
          <w:rPr>
            <w:rStyle w:val="Lienhypertexte"/>
            <w:rFonts w:ascii="Arial" w:hAnsi="Arial" w:cs="Arial"/>
            <w:bCs/>
            <w:i/>
            <w:color w:val="auto"/>
            <w:sz w:val="18"/>
            <w:szCs w:val="18"/>
            <w:shd w:val="clear" w:color="auto" w:fill="FFFFFF" w:themeFill="background1"/>
            <w:lang w:val="fr-FR"/>
          </w:rPr>
          <w:t>Irlande c. Royaume-Uni</w:t>
        </w:r>
      </w:hyperlink>
      <w:r w:rsidRPr="00720D91">
        <w:rPr>
          <w:rFonts w:ascii="Arial" w:hAnsi="Arial" w:cs="Arial"/>
          <w:bCs/>
          <w:sz w:val="18"/>
          <w:szCs w:val="18"/>
          <w:shd w:val="clear" w:color="auto" w:fill="FFFFFF" w:themeFill="background1"/>
          <w:lang w:val="fr-FR"/>
        </w:rPr>
        <w:t xml:space="preserve">, 18 janvier 1978, § 161, : </w:t>
      </w:r>
      <w:bookmarkStart w:id="41" w:name="File12"/>
      <w:r w:rsidRPr="00405792">
        <w:rPr>
          <w:rFonts w:ascii="Arial" w:hAnsi="Arial" w:cs="Arial"/>
          <w:bCs/>
          <w:i/>
          <w:sz w:val="18"/>
          <w:szCs w:val="18"/>
          <w:shd w:val="clear" w:color="auto" w:fill="FFFFFF" w:themeFill="background1"/>
        </w:rPr>
        <w:fldChar w:fldCharType="begin"/>
      </w:r>
      <w:r w:rsidRPr="00720D91">
        <w:rPr>
          <w:rFonts w:ascii="Arial" w:hAnsi="Arial" w:cs="Arial"/>
          <w:bCs/>
          <w:i/>
          <w:sz w:val="18"/>
          <w:szCs w:val="18"/>
          <w:shd w:val="clear" w:color="auto" w:fill="FFFFFF" w:themeFill="background1"/>
          <w:lang w:val="fr-FR"/>
        </w:rPr>
        <w:instrText xml:space="preserve"> HYPERLINK "https://hudoc.echr.coe.int/eng#{%22itemid%22:[%22001-64012%22]}" </w:instrText>
      </w:r>
      <w:r w:rsidRPr="00405792">
        <w:rPr>
          <w:rFonts w:ascii="Arial" w:hAnsi="Arial" w:cs="Arial"/>
          <w:bCs/>
          <w:i/>
          <w:sz w:val="18"/>
          <w:szCs w:val="18"/>
          <w:shd w:val="clear" w:color="auto" w:fill="FFFFFF" w:themeFill="background1"/>
        </w:rPr>
        <w:fldChar w:fldCharType="separate"/>
      </w:r>
      <w:r w:rsidRPr="00720D91">
        <w:rPr>
          <w:rStyle w:val="Lienhypertexte"/>
          <w:rFonts w:ascii="Arial" w:hAnsi="Arial" w:cs="Arial"/>
          <w:bCs/>
          <w:i/>
          <w:color w:val="auto"/>
          <w:sz w:val="18"/>
          <w:szCs w:val="18"/>
          <w:shd w:val="clear" w:color="auto" w:fill="FFFFFF" w:themeFill="background1"/>
          <w:lang w:val="fr-FR"/>
        </w:rPr>
        <w:t>Chypre</w:t>
      </w:r>
      <w:bookmarkEnd w:id="41"/>
      <w:r w:rsidRPr="00720D91">
        <w:rPr>
          <w:rStyle w:val="Lienhypertexte"/>
          <w:rFonts w:ascii="Arial" w:hAnsi="Arial" w:cs="Arial"/>
          <w:bCs/>
          <w:i/>
          <w:color w:val="auto"/>
          <w:sz w:val="18"/>
          <w:szCs w:val="18"/>
          <w:shd w:val="clear" w:color="auto" w:fill="FFFFFF" w:themeFill="background1"/>
          <w:lang w:val="fr-FR"/>
        </w:rPr>
        <w:t xml:space="preserve"> c. Turquie</w:t>
      </w:r>
      <w:r w:rsidRPr="00405792">
        <w:rPr>
          <w:rFonts w:ascii="Arial" w:hAnsi="Arial" w:cs="Arial"/>
          <w:bCs/>
          <w:i/>
          <w:sz w:val="18"/>
          <w:szCs w:val="18"/>
          <w:shd w:val="clear" w:color="auto" w:fill="FFFFFF" w:themeFill="background1"/>
        </w:rPr>
        <w:fldChar w:fldCharType="end"/>
      </w:r>
      <w:r w:rsidRPr="00720D91">
        <w:rPr>
          <w:rFonts w:ascii="Arial" w:hAnsi="Arial" w:cs="Arial"/>
          <w:bCs/>
          <w:i/>
          <w:sz w:val="18"/>
          <w:szCs w:val="18"/>
          <w:shd w:val="clear" w:color="auto" w:fill="FFFFFF" w:themeFill="background1"/>
          <w:lang w:val="fr-FR"/>
        </w:rPr>
        <w:t xml:space="preserve"> </w:t>
      </w:r>
      <w:r w:rsidRPr="00720D91">
        <w:rPr>
          <w:rFonts w:ascii="Arial" w:hAnsi="Arial" w:cs="Arial"/>
          <w:bCs/>
          <w:sz w:val="18"/>
          <w:szCs w:val="18"/>
          <w:shd w:val="clear" w:color="auto" w:fill="FFFFFF" w:themeFill="background1"/>
          <w:lang w:val="fr-FR"/>
        </w:rPr>
        <w:t xml:space="preserve">[GC], n° 25781/94, § 113 ; </w:t>
      </w:r>
      <w:hyperlink r:id="rId228" w:history="1">
        <w:r w:rsidRPr="00720D91">
          <w:rPr>
            <w:rStyle w:val="Lienhypertexte"/>
            <w:rFonts w:ascii="Arial" w:hAnsi="Arial" w:cs="Arial"/>
            <w:bCs/>
            <w:i/>
            <w:color w:val="auto"/>
            <w:sz w:val="18"/>
            <w:szCs w:val="18"/>
            <w:shd w:val="clear" w:color="auto" w:fill="FFFFFF" w:themeFill="background1"/>
            <w:lang w:val="fr-FR"/>
          </w:rPr>
          <w:t xml:space="preserve">Géorgie c. Russie </w:t>
        </w:r>
        <w:r w:rsidRPr="00720D91">
          <w:rPr>
            <w:rStyle w:val="Lienhypertexte"/>
            <w:rFonts w:ascii="Arial" w:hAnsi="Arial" w:cs="Arial"/>
            <w:bCs/>
            <w:color w:val="auto"/>
            <w:sz w:val="18"/>
            <w:szCs w:val="18"/>
            <w:shd w:val="clear" w:color="auto" w:fill="FFFFFF" w:themeFill="background1"/>
            <w:lang w:val="fr-FR"/>
          </w:rPr>
          <w:t>(I)</w:t>
        </w:r>
      </w:hyperlink>
      <w:r w:rsidRPr="00720D91">
        <w:rPr>
          <w:rFonts w:ascii="Arial" w:hAnsi="Arial" w:cs="Arial"/>
          <w:bCs/>
          <w:sz w:val="18"/>
          <w:szCs w:val="18"/>
          <w:shd w:val="clear" w:color="auto" w:fill="FFFFFF" w:themeFill="background1"/>
          <w:lang w:val="fr-FR"/>
        </w:rPr>
        <w:t xml:space="preserve">, précité, § 94 ; </w:t>
      </w:r>
      <w:hyperlink r:id="rId229" w:history="1">
        <w:r w:rsidRPr="00720D91">
          <w:rPr>
            <w:rStyle w:val="Lienhypertexte"/>
            <w:rFonts w:ascii="Arial" w:hAnsi="Arial" w:cs="Arial"/>
            <w:bCs/>
            <w:i/>
            <w:iCs/>
            <w:color w:val="auto"/>
            <w:sz w:val="18"/>
            <w:szCs w:val="18"/>
            <w:shd w:val="clear" w:color="auto" w:fill="FFFFFF" w:themeFill="background1"/>
            <w:lang w:val="fr-FR"/>
          </w:rPr>
          <w:t xml:space="preserve">Géorgie c. Russie </w:t>
        </w:r>
      </w:hyperlink>
      <w:r w:rsidRPr="00720D91">
        <w:rPr>
          <w:rFonts w:ascii="Arial" w:hAnsi="Arial" w:cs="Arial"/>
          <w:bCs/>
          <w:sz w:val="18"/>
          <w:szCs w:val="18"/>
          <w:shd w:val="clear" w:color="auto" w:fill="FFFFFF" w:themeFill="background1"/>
          <w:lang w:val="fr-FR"/>
        </w:rPr>
        <w:t>(II) (fond) [GC] n° 38263/08, § 59, 21 janvier 2021.</w:t>
      </w:r>
    </w:p>
  </w:footnote>
  <w:footnote w:id="157">
    <w:p w14:paraId="25AEB295" w14:textId="77777777" w:rsidR="00D86968" w:rsidRPr="00720D91" w:rsidRDefault="00D86968" w:rsidP="00720D91">
      <w:pPr>
        <w:pStyle w:val="Notedebasdepage"/>
        <w:rPr>
          <w:rFonts w:ascii="Arial" w:hAnsi="Arial" w:cs="Arial"/>
          <w:sz w:val="18"/>
          <w:szCs w:val="18"/>
          <w:lang w:val="fr-FR"/>
        </w:rPr>
      </w:pPr>
      <w:r w:rsidRPr="002D305B">
        <w:rPr>
          <w:rStyle w:val="Appelnotedebasdep"/>
          <w:rFonts w:ascii="Arial" w:hAnsi="Arial" w:cs="Arial"/>
          <w:sz w:val="18"/>
          <w:szCs w:val="18"/>
        </w:rPr>
        <w:footnoteRef/>
      </w:r>
      <w:r w:rsidRPr="00720D91">
        <w:rPr>
          <w:rFonts w:ascii="Arial" w:hAnsi="Arial" w:cs="Arial"/>
          <w:sz w:val="18"/>
          <w:szCs w:val="18"/>
          <w:lang w:val="fr-FR"/>
        </w:rPr>
        <w:t xml:space="preserve"> Voir en détail : Seibert-Fohr, Journal du droit des droits de l'homme, 38 (2018) 8 (12).</w:t>
      </w:r>
    </w:p>
  </w:footnote>
  <w:footnote w:id="158">
    <w:p w14:paraId="3A05CB15" w14:textId="77777777" w:rsidR="00D86968" w:rsidRPr="00720D91" w:rsidRDefault="00D86968" w:rsidP="00720D91">
      <w:pPr>
        <w:pStyle w:val="Notedebasdepage"/>
        <w:rPr>
          <w:lang w:val="fr-FR"/>
        </w:rPr>
      </w:pPr>
      <w:r w:rsidRPr="0022321E">
        <w:rPr>
          <w:rStyle w:val="Appelnotedebasdep"/>
          <w:shd w:val="clear" w:color="auto" w:fill="FFFFFF" w:themeFill="background1"/>
        </w:rPr>
        <w:footnoteRef/>
      </w:r>
      <w:r w:rsidRPr="00720D91">
        <w:rPr>
          <w:rFonts w:ascii="Arial" w:hAnsi="Arial" w:cs="Arial"/>
          <w:sz w:val="18"/>
          <w:szCs w:val="18"/>
          <w:shd w:val="clear" w:color="auto" w:fill="FFFFFF" w:themeFill="background1"/>
          <w:lang w:val="fr-FR"/>
        </w:rPr>
        <w:t xml:space="preserve"> </w:t>
      </w:r>
      <w:hyperlink r:id="rId230" w:history="1">
        <w:r w:rsidRPr="00720D91">
          <w:rPr>
            <w:rStyle w:val="Lienhypertexte"/>
            <w:rFonts w:ascii="Arial" w:hAnsi="Arial" w:cs="Arial"/>
            <w:i/>
            <w:color w:val="auto"/>
            <w:sz w:val="18"/>
            <w:szCs w:val="18"/>
            <w:shd w:val="clear" w:color="auto" w:fill="FFFFFF" w:themeFill="background1"/>
            <w:lang w:val="fr-FR"/>
          </w:rPr>
          <w:t xml:space="preserve">Géorgie c. Russie </w:t>
        </w:r>
        <w:r w:rsidRPr="00720D91">
          <w:rPr>
            <w:rStyle w:val="Lienhypertexte"/>
            <w:rFonts w:ascii="Arial" w:hAnsi="Arial" w:cs="Arial"/>
            <w:color w:val="auto"/>
            <w:sz w:val="18"/>
            <w:szCs w:val="18"/>
            <w:shd w:val="clear" w:color="auto" w:fill="FFFFFF" w:themeFill="background1"/>
            <w:lang w:val="fr-FR"/>
          </w:rPr>
          <w:t>(I)</w:t>
        </w:r>
      </w:hyperlink>
      <w:r w:rsidRPr="00720D91">
        <w:rPr>
          <w:rFonts w:ascii="Arial" w:hAnsi="Arial" w:cs="Arial"/>
          <w:sz w:val="18"/>
          <w:szCs w:val="18"/>
          <w:shd w:val="clear" w:color="auto" w:fill="FFFFFF" w:themeFill="background1"/>
          <w:lang w:val="fr-FR"/>
        </w:rPr>
        <w:t xml:space="preserve">, précité, § 94 ; </w:t>
      </w:r>
      <w:hyperlink r:id="rId231" w:history="1">
        <w:r w:rsidRPr="00720D91">
          <w:rPr>
            <w:rStyle w:val="Lienhypertexte"/>
            <w:rFonts w:ascii="Arial" w:hAnsi="Arial" w:cs="Arial"/>
            <w:i/>
            <w:iCs/>
            <w:color w:val="auto"/>
            <w:sz w:val="18"/>
            <w:szCs w:val="18"/>
            <w:shd w:val="clear" w:color="auto" w:fill="FFFFFF" w:themeFill="background1"/>
            <w:lang w:val="fr-FR"/>
          </w:rPr>
          <w:t xml:space="preserve">Géorgie c. Russie </w:t>
        </w:r>
      </w:hyperlink>
      <w:r w:rsidRPr="00720D91">
        <w:rPr>
          <w:rFonts w:ascii="Arial" w:hAnsi="Arial" w:cs="Arial"/>
          <w:sz w:val="18"/>
          <w:szCs w:val="18"/>
          <w:shd w:val="clear" w:color="auto" w:fill="FFFFFF" w:themeFill="background1"/>
          <w:lang w:val="fr-FR"/>
        </w:rPr>
        <w:t>(II) (fond) [GC] no. 38263/08, § 59, 21 janvier 2021.</w:t>
      </w:r>
    </w:p>
  </w:footnote>
  <w:footnote w:id="159">
    <w:p w14:paraId="0B4CAD03" w14:textId="77777777" w:rsidR="00D86968" w:rsidRPr="0022321E" w:rsidRDefault="00D86968" w:rsidP="00720D91">
      <w:pPr>
        <w:pStyle w:val="Sansinterligne"/>
        <w:shd w:val="clear" w:color="auto" w:fill="FFFFFF" w:themeFill="background1"/>
        <w:jc w:val="both"/>
        <w:rPr>
          <w:rFonts w:ascii="Arial" w:hAnsi="Arial" w:cs="Arial"/>
          <w:sz w:val="18"/>
          <w:szCs w:val="18"/>
        </w:rPr>
      </w:pPr>
      <w:r w:rsidRPr="002D305B">
        <w:rPr>
          <w:rStyle w:val="Appelnotedebasdep"/>
          <w:rFonts w:ascii="Arial" w:hAnsi="Arial" w:cs="Arial"/>
          <w:sz w:val="18"/>
          <w:szCs w:val="18"/>
        </w:rPr>
        <w:footnoteRef/>
      </w:r>
      <w:hyperlink r:id="rId232" w:history="1">
        <w:r w:rsidRPr="002D305B">
          <w:rPr>
            <w:rStyle w:val="Lienhypertexte"/>
            <w:rFonts w:ascii="Arial" w:eastAsiaTheme="majorEastAsia" w:hAnsi="Arial" w:cs="Arial"/>
            <w:i/>
            <w:sz w:val="18"/>
            <w:szCs w:val="18"/>
          </w:rPr>
          <w:t xml:space="preserve"> Nachova et autres c. Bulgarie</w:t>
        </w:r>
      </w:hyperlink>
      <w:r w:rsidRPr="002D305B">
        <w:rPr>
          <w:rFonts w:ascii="Arial" w:hAnsi="Arial" w:cs="Arial"/>
          <w:sz w:val="18"/>
          <w:szCs w:val="18"/>
        </w:rPr>
        <w:t>, nos 43577/98 et 43579/</w:t>
      </w:r>
      <w:r w:rsidRPr="0022321E">
        <w:rPr>
          <w:rFonts w:ascii="Arial" w:hAnsi="Arial" w:cs="Arial"/>
          <w:sz w:val="18"/>
          <w:szCs w:val="18"/>
        </w:rPr>
        <w:t xml:space="preserve">98, § 147, 6 juillet 2005, CEDH 2005-VII ; </w:t>
      </w:r>
      <w:hyperlink r:id="rId233" w:history="1">
        <w:r w:rsidRPr="0022321E">
          <w:rPr>
            <w:rStyle w:val="Lienhypertexte"/>
            <w:rFonts w:ascii="Arial" w:eastAsiaTheme="majorEastAsia" w:hAnsi="Arial" w:cs="Arial"/>
            <w:i/>
            <w:color w:val="auto"/>
            <w:sz w:val="18"/>
            <w:szCs w:val="18"/>
          </w:rPr>
          <w:t xml:space="preserve">Géorgie c. Russie </w:t>
        </w:r>
        <w:r w:rsidRPr="0022321E">
          <w:rPr>
            <w:rStyle w:val="Lienhypertexte"/>
            <w:rFonts w:ascii="Arial" w:eastAsiaTheme="majorEastAsia" w:hAnsi="Arial" w:cs="Arial"/>
            <w:color w:val="auto"/>
            <w:sz w:val="18"/>
            <w:szCs w:val="18"/>
          </w:rPr>
          <w:t>(I)</w:t>
        </w:r>
      </w:hyperlink>
      <w:r w:rsidRPr="0022321E">
        <w:rPr>
          <w:rFonts w:ascii="Arial" w:hAnsi="Arial" w:cs="Arial"/>
          <w:sz w:val="18"/>
          <w:szCs w:val="18"/>
        </w:rPr>
        <w:t xml:space="preserve">, précité, § 94. </w:t>
      </w:r>
      <w:hyperlink r:id="rId234" w:history="1">
        <w:r w:rsidRPr="0022321E">
          <w:rPr>
            <w:rStyle w:val="Lienhypertexte"/>
            <w:rFonts w:ascii="Arial" w:eastAsiaTheme="majorEastAsia" w:hAnsi="Arial" w:cs="Arial"/>
            <w:i/>
            <w:iCs/>
            <w:color w:val="auto"/>
            <w:sz w:val="18"/>
            <w:szCs w:val="18"/>
          </w:rPr>
          <w:t xml:space="preserve">Géorgie c. Russie </w:t>
        </w:r>
      </w:hyperlink>
      <w:r w:rsidRPr="0022321E">
        <w:rPr>
          <w:rFonts w:ascii="Arial" w:hAnsi="Arial" w:cs="Arial"/>
          <w:sz w:val="18"/>
          <w:szCs w:val="18"/>
        </w:rPr>
        <w:t xml:space="preserve">(II) </w:t>
      </w:r>
      <w:r w:rsidRPr="0022321E">
        <w:rPr>
          <w:rFonts w:ascii="Arial" w:hAnsi="Arial" w:cs="Arial"/>
          <w:sz w:val="18"/>
          <w:szCs w:val="18"/>
          <w:shd w:val="clear" w:color="auto" w:fill="FFFFFF" w:themeFill="background1"/>
        </w:rPr>
        <w:t>(fond) no. 38263/08, § 59, 21 janvier 2021.</w:t>
      </w:r>
    </w:p>
  </w:footnote>
  <w:footnote w:id="160">
    <w:p w14:paraId="17961167" w14:textId="77777777" w:rsidR="00D86968" w:rsidRPr="00720D91" w:rsidRDefault="00D86968" w:rsidP="00720D91">
      <w:pPr>
        <w:pStyle w:val="Notedebasdepage"/>
        <w:shd w:val="clear" w:color="auto" w:fill="FFFFFF" w:themeFill="background1"/>
        <w:rPr>
          <w:rFonts w:ascii="Arial" w:hAnsi="Arial" w:cs="Arial"/>
          <w:sz w:val="18"/>
          <w:szCs w:val="18"/>
          <w:shd w:val="clear" w:color="auto" w:fill="FFFFFF" w:themeFill="background1"/>
          <w:lang w:val="fr-FR"/>
        </w:rPr>
      </w:pPr>
      <w:r w:rsidRPr="0022321E">
        <w:rPr>
          <w:rStyle w:val="Appelnotedebasdep"/>
          <w:shd w:val="clear" w:color="auto" w:fill="FFFFFF" w:themeFill="background1"/>
        </w:rPr>
        <w:footnoteRef/>
      </w:r>
      <w:r w:rsidRPr="00720D91">
        <w:rPr>
          <w:rFonts w:ascii="Arial" w:hAnsi="Arial" w:cs="Arial"/>
          <w:sz w:val="18"/>
          <w:szCs w:val="18"/>
          <w:shd w:val="clear" w:color="auto" w:fill="FFFFFF" w:themeFill="background1"/>
          <w:lang w:val="fr-FR"/>
        </w:rPr>
        <w:t xml:space="preserve"> </w:t>
      </w:r>
      <w:hyperlink r:id="rId235" w:history="1">
        <w:r w:rsidRPr="00720D91">
          <w:rPr>
            <w:rStyle w:val="Lienhypertexte"/>
            <w:rFonts w:ascii="Arial" w:hAnsi="Arial" w:cs="Arial"/>
            <w:i/>
            <w:iCs/>
            <w:color w:val="auto"/>
            <w:sz w:val="18"/>
            <w:szCs w:val="18"/>
            <w:shd w:val="clear" w:color="auto" w:fill="FFFFFF" w:themeFill="background1"/>
            <w:lang w:val="fr-FR"/>
          </w:rPr>
          <w:t xml:space="preserve">Ukraine c. Russie </w:t>
        </w:r>
      </w:hyperlink>
      <w:r w:rsidRPr="00720D91">
        <w:rPr>
          <w:rFonts w:ascii="Arial" w:hAnsi="Arial" w:cs="Arial"/>
          <w:i/>
          <w:iCs/>
          <w:sz w:val="18"/>
          <w:szCs w:val="18"/>
          <w:shd w:val="clear" w:color="auto" w:fill="FFFFFF" w:themeFill="background1"/>
          <w:lang w:val="fr-FR"/>
        </w:rPr>
        <w:t>(déc) [GC]</w:t>
      </w:r>
      <w:r w:rsidRPr="00720D91">
        <w:rPr>
          <w:rFonts w:ascii="Arial" w:hAnsi="Arial" w:cs="Arial"/>
          <w:sz w:val="18"/>
          <w:szCs w:val="18"/>
          <w:shd w:val="clear" w:color="auto" w:fill="FFFFFF" w:themeFill="background1"/>
          <w:lang w:val="fr-FR"/>
        </w:rPr>
        <w:t>, nos 20958/14 et 38334/18, § 255, 16 décembre 2020.</w:t>
      </w:r>
    </w:p>
  </w:footnote>
  <w:footnote w:id="161">
    <w:p w14:paraId="73265091" w14:textId="77777777" w:rsidR="00D86968" w:rsidRPr="00720D91" w:rsidRDefault="00D86968" w:rsidP="00720D91">
      <w:pPr>
        <w:pStyle w:val="Notedebasdepage"/>
        <w:shd w:val="clear" w:color="auto" w:fill="FFFFFF" w:themeFill="background1"/>
        <w:rPr>
          <w:lang w:val="fr-FR"/>
        </w:rPr>
      </w:pPr>
      <w:r w:rsidRPr="0022321E">
        <w:rPr>
          <w:rStyle w:val="Appelnotedebasdep"/>
          <w:shd w:val="clear" w:color="auto" w:fill="FFFFFF" w:themeFill="background1"/>
        </w:rPr>
        <w:footnoteRef/>
      </w:r>
      <w:r w:rsidRPr="00720D91">
        <w:rPr>
          <w:rFonts w:ascii="Arial" w:hAnsi="Arial" w:cs="Arial"/>
          <w:sz w:val="18"/>
          <w:szCs w:val="18"/>
          <w:shd w:val="clear" w:color="auto" w:fill="FFFFFF" w:themeFill="background1"/>
          <w:lang w:val="fr-FR"/>
        </w:rPr>
        <w:t xml:space="preserve"> </w:t>
      </w:r>
      <w:hyperlink r:id="rId236" w:history="1">
        <w:r w:rsidRPr="00720D91">
          <w:rPr>
            <w:rStyle w:val="Lienhypertexte"/>
            <w:rFonts w:ascii="Arial" w:hAnsi="Arial" w:cs="Arial"/>
            <w:i/>
            <w:iCs/>
            <w:color w:val="auto"/>
            <w:sz w:val="18"/>
            <w:szCs w:val="18"/>
            <w:shd w:val="clear" w:color="auto" w:fill="FFFFFF" w:themeFill="background1"/>
            <w:lang w:val="fr-FR"/>
          </w:rPr>
          <w:t xml:space="preserve">Ukraine c. Russie </w:t>
        </w:r>
      </w:hyperlink>
      <w:r w:rsidRPr="00720D91">
        <w:rPr>
          <w:rFonts w:ascii="Arial" w:hAnsi="Arial" w:cs="Arial"/>
          <w:i/>
          <w:iCs/>
          <w:sz w:val="18"/>
          <w:szCs w:val="18"/>
          <w:shd w:val="clear" w:color="auto" w:fill="FFFFFF" w:themeFill="background1"/>
          <w:lang w:val="fr-FR"/>
        </w:rPr>
        <w:t>(déc) [GC]</w:t>
      </w:r>
      <w:r w:rsidRPr="00720D91">
        <w:rPr>
          <w:rFonts w:ascii="Arial" w:hAnsi="Arial" w:cs="Arial"/>
          <w:sz w:val="18"/>
          <w:szCs w:val="18"/>
          <w:shd w:val="clear" w:color="auto" w:fill="FFFFFF" w:themeFill="background1"/>
          <w:lang w:val="fr-FR"/>
        </w:rPr>
        <w:t>, nos 20958/14 et 38334/18, § 256, 16 décembre 2020.</w:t>
      </w:r>
    </w:p>
  </w:footnote>
  <w:footnote w:id="162">
    <w:p w14:paraId="1FEDB4B4" w14:textId="77777777" w:rsidR="00D86968" w:rsidRPr="00720D91" w:rsidRDefault="00D86968" w:rsidP="00720D91">
      <w:pPr>
        <w:pStyle w:val="Notedebasdepage"/>
        <w:shd w:val="clear" w:color="auto" w:fill="FFFFFF" w:themeFill="background1"/>
        <w:rPr>
          <w:lang w:val="fr-FR"/>
        </w:rPr>
      </w:pPr>
      <w:r w:rsidRPr="0022321E">
        <w:rPr>
          <w:rStyle w:val="Appelnotedebasdep"/>
          <w:shd w:val="clear" w:color="auto" w:fill="FFFFFF" w:themeFill="background1"/>
        </w:rPr>
        <w:footnoteRef/>
      </w:r>
      <w:r w:rsidRPr="00720D91">
        <w:rPr>
          <w:rFonts w:ascii="Arial" w:hAnsi="Arial" w:cs="Arial"/>
          <w:sz w:val="18"/>
          <w:szCs w:val="18"/>
          <w:shd w:val="clear" w:color="auto" w:fill="FFFFFF" w:themeFill="background1"/>
          <w:lang w:val="fr-FR"/>
        </w:rPr>
        <w:t xml:space="preserve"> </w:t>
      </w:r>
      <w:hyperlink r:id="rId237" w:history="1">
        <w:r w:rsidRPr="00720D91">
          <w:rPr>
            <w:rStyle w:val="Lienhypertexte"/>
            <w:rFonts w:ascii="Arial" w:hAnsi="Arial" w:cs="Arial"/>
            <w:i/>
            <w:iCs/>
            <w:color w:val="auto"/>
            <w:sz w:val="18"/>
            <w:szCs w:val="18"/>
            <w:shd w:val="clear" w:color="auto" w:fill="FFFFFF" w:themeFill="background1"/>
            <w:lang w:val="fr-FR"/>
          </w:rPr>
          <w:t xml:space="preserve">Ukraine c. Russie </w:t>
        </w:r>
      </w:hyperlink>
      <w:r w:rsidRPr="00720D91">
        <w:rPr>
          <w:rFonts w:ascii="Arial" w:hAnsi="Arial" w:cs="Arial"/>
          <w:i/>
          <w:iCs/>
          <w:sz w:val="18"/>
          <w:szCs w:val="18"/>
          <w:shd w:val="clear" w:color="auto" w:fill="FFFFFF" w:themeFill="background1"/>
          <w:lang w:val="fr-FR"/>
        </w:rPr>
        <w:t>(déc) [GC]</w:t>
      </w:r>
      <w:r w:rsidRPr="00720D91">
        <w:rPr>
          <w:rFonts w:ascii="Arial" w:hAnsi="Arial" w:cs="Arial"/>
          <w:sz w:val="18"/>
          <w:szCs w:val="18"/>
          <w:shd w:val="clear" w:color="auto" w:fill="FFFFFF" w:themeFill="background1"/>
          <w:lang w:val="fr-FR"/>
        </w:rPr>
        <w:t>, nos 20958/14 et 38334/18, § 256, 16 décembre 2020.</w:t>
      </w:r>
    </w:p>
  </w:footnote>
  <w:footnote w:id="163">
    <w:p w14:paraId="7D3A11C3" w14:textId="77777777" w:rsidR="00D86968" w:rsidRPr="00720D91" w:rsidRDefault="00D86968" w:rsidP="00720D91">
      <w:pPr>
        <w:pStyle w:val="Notedebasdepage"/>
        <w:shd w:val="clear" w:color="auto" w:fill="FFFFFF" w:themeFill="background1"/>
        <w:rPr>
          <w:lang w:val="fr-FR"/>
        </w:rPr>
      </w:pPr>
      <w:r w:rsidRPr="0022321E">
        <w:rPr>
          <w:rStyle w:val="Appelnotedebasdep"/>
          <w:shd w:val="clear" w:color="auto" w:fill="FFFFFF" w:themeFill="background1"/>
        </w:rPr>
        <w:footnoteRef/>
      </w:r>
      <w:r w:rsidRPr="00720D91">
        <w:rPr>
          <w:rFonts w:ascii="Arial" w:hAnsi="Arial" w:cs="Arial"/>
          <w:sz w:val="18"/>
          <w:szCs w:val="18"/>
          <w:shd w:val="clear" w:color="auto" w:fill="FFFFFF" w:themeFill="background1"/>
          <w:lang w:val="fr-FR"/>
        </w:rPr>
        <w:t xml:space="preserve"> </w:t>
      </w:r>
      <w:hyperlink r:id="rId238" w:history="1">
        <w:r w:rsidRPr="00720D91">
          <w:rPr>
            <w:rStyle w:val="Lienhypertexte"/>
            <w:rFonts w:ascii="Arial" w:hAnsi="Arial" w:cs="Arial"/>
            <w:i/>
            <w:iCs/>
            <w:color w:val="auto"/>
            <w:sz w:val="18"/>
            <w:szCs w:val="18"/>
            <w:shd w:val="clear" w:color="auto" w:fill="FFFFFF" w:themeFill="background1"/>
            <w:lang w:val="fr-FR"/>
          </w:rPr>
          <w:t xml:space="preserve">Ukraine c. Russie </w:t>
        </w:r>
      </w:hyperlink>
      <w:r w:rsidRPr="00720D91">
        <w:rPr>
          <w:rFonts w:ascii="Arial" w:hAnsi="Arial" w:cs="Arial"/>
          <w:i/>
          <w:iCs/>
          <w:sz w:val="18"/>
          <w:szCs w:val="18"/>
          <w:shd w:val="clear" w:color="auto" w:fill="FFFFFF" w:themeFill="background1"/>
          <w:lang w:val="fr-FR"/>
        </w:rPr>
        <w:t>(déc) [GC]</w:t>
      </w:r>
      <w:r w:rsidRPr="00720D91">
        <w:rPr>
          <w:rFonts w:ascii="Arial" w:hAnsi="Arial" w:cs="Arial"/>
          <w:sz w:val="18"/>
          <w:szCs w:val="18"/>
          <w:shd w:val="clear" w:color="auto" w:fill="FFFFFF" w:themeFill="background1"/>
          <w:lang w:val="fr-FR"/>
        </w:rPr>
        <w:t>, nos 20958/14 et 38334/18, § 256, 16 décembre 2020.</w:t>
      </w:r>
    </w:p>
  </w:footnote>
  <w:footnote w:id="164">
    <w:p w14:paraId="37C864C5" w14:textId="77777777" w:rsidR="00D86968" w:rsidRPr="00720D91" w:rsidRDefault="00D86968" w:rsidP="00720D91">
      <w:pPr>
        <w:pStyle w:val="Notedebasdepage"/>
        <w:shd w:val="clear" w:color="auto" w:fill="FFFFFF" w:themeFill="background1"/>
        <w:jc w:val="both"/>
        <w:rPr>
          <w:lang w:val="fr-FR"/>
        </w:rPr>
      </w:pPr>
      <w:r w:rsidRPr="0022321E">
        <w:rPr>
          <w:rStyle w:val="Appelnotedebasdep"/>
          <w:shd w:val="clear" w:color="auto" w:fill="FFFFFF" w:themeFill="background1"/>
        </w:rPr>
        <w:footnoteRef/>
      </w:r>
      <w:r w:rsidRPr="00720D91">
        <w:rPr>
          <w:rFonts w:ascii="Arial" w:hAnsi="Arial" w:cs="Arial"/>
          <w:sz w:val="18"/>
          <w:szCs w:val="18"/>
          <w:shd w:val="clear" w:color="auto" w:fill="FFFFFF" w:themeFill="background1"/>
          <w:lang w:val="fr-FR"/>
        </w:rPr>
        <w:t xml:space="preserve"> </w:t>
      </w:r>
      <w:hyperlink r:id="rId239" w:history="1">
        <w:r w:rsidRPr="00720D91">
          <w:rPr>
            <w:rStyle w:val="Lienhypertexte"/>
            <w:rFonts w:ascii="Arial" w:hAnsi="Arial" w:cs="Arial"/>
            <w:i/>
            <w:iCs/>
            <w:color w:val="auto"/>
            <w:sz w:val="18"/>
            <w:szCs w:val="18"/>
            <w:shd w:val="clear" w:color="auto" w:fill="FFFFFF" w:themeFill="background1"/>
            <w:lang w:val="fr-FR"/>
          </w:rPr>
          <w:t>Géorgie c. Russie (I),</w:t>
        </w:r>
      </w:hyperlink>
      <w:r w:rsidRPr="00720D91">
        <w:rPr>
          <w:sz w:val="18"/>
          <w:szCs w:val="18"/>
          <w:shd w:val="clear" w:color="auto" w:fill="FFFFFF" w:themeFill="background1"/>
          <w:lang w:val="fr-FR"/>
        </w:rPr>
        <w:t xml:space="preserve"> </w:t>
      </w:r>
      <w:r w:rsidRPr="00720D91">
        <w:rPr>
          <w:rFonts w:ascii="Arial" w:hAnsi="Arial" w:cs="Arial"/>
          <w:sz w:val="18"/>
          <w:szCs w:val="18"/>
          <w:shd w:val="clear" w:color="auto" w:fill="FFFFFF" w:themeFill="background1"/>
          <w:lang w:val="fr-FR"/>
        </w:rPr>
        <w:t xml:space="preserve">précité, § 94 ; </w:t>
      </w:r>
      <w:hyperlink r:id="rId240" w:history="1">
        <w:r w:rsidRPr="00720D91">
          <w:rPr>
            <w:rStyle w:val="Lienhypertexte"/>
            <w:rFonts w:ascii="Arial" w:hAnsi="Arial" w:cs="Arial"/>
            <w:i/>
            <w:iCs/>
            <w:color w:val="auto"/>
            <w:sz w:val="18"/>
            <w:szCs w:val="18"/>
            <w:shd w:val="clear" w:color="auto" w:fill="FFFFFF" w:themeFill="background1"/>
            <w:lang w:val="fr-FR"/>
          </w:rPr>
          <w:t xml:space="preserve">Ukraine c. Russie </w:t>
        </w:r>
      </w:hyperlink>
      <w:r w:rsidRPr="00720D91">
        <w:rPr>
          <w:rFonts w:ascii="Arial" w:hAnsi="Arial" w:cs="Arial"/>
          <w:i/>
          <w:iCs/>
          <w:sz w:val="18"/>
          <w:szCs w:val="18"/>
          <w:shd w:val="clear" w:color="auto" w:fill="FFFFFF" w:themeFill="background1"/>
          <w:lang w:val="fr-FR"/>
        </w:rPr>
        <w:t>(déc) [GC]</w:t>
      </w:r>
      <w:r w:rsidRPr="00720D91">
        <w:rPr>
          <w:rFonts w:ascii="Arial" w:hAnsi="Arial" w:cs="Arial"/>
          <w:sz w:val="18"/>
          <w:szCs w:val="18"/>
          <w:shd w:val="clear" w:color="auto" w:fill="FFFFFF" w:themeFill="background1"/>
          <w:lang w:val="fr-FR"/>
        </w:rPr>
        <w:t>, nos 20958/14 et 38334/18, § 257, 16 décembre 2020.</w:t>
      </w:r>
    </w:p>
  </w:footnote>
  <w:footnote w:id="165">
    <w:p w14:paraId="1DCEA805" w14:textId="77777777" w:rsidR="00D86968" w:rsidRPr="00720D91" w:rsidRDefault="00D86968" w:rsidP="00720D91">
      <w:pPr>
        <w:pStyle w:val="Notedebasdepage"/>
        <w:shd w:val="clear" w:color="auto" w:fill="FFFFFF" w:themeFill="background1"/>
        <w:rPr>
          <w:lang w:val="fr-FR"/>
        </w:rPr>
      </w:pPr>
      <w:r w:rsidRPr="0022321E">
        <w:rPr>
          <w:rStyle w:val="Appelnotedebasdep"/>
          <w:shd w:val="clear" w:color="auto" w:fill="FFFFFF" w:themeFill="background1"/>
        </w:rPr>
        <w:footnoteRef/>
      </w:r>
      <w:r w:rsidRPr="00720D91">
        <w:rPr>
          <w:rFonts w:ascii="Arial" w:hAnsi="Arial" w:cs="Arial"/>
          <w:sz w:val="18"/>
          <w:szCs w:val="18"/>
          <w:shd w:val="clear" w:color="auto" w:fill="FFFFFF" w:themeFill="background1"/>
          <w:lang w:val="fr-FR"/>
        </w:rPr>
        <w:t xml:space="preserve"> </w:t>
      </w:r>
      <w:hyperlink r:id="rId241" w:history="1">
        <w:r w:rsidRPr="00720D91">
          <w:rPr>
            <w:rStyle w:val="Lienhypertexte"/>
            <w:rFonts w:ascii="Arial" w:hAnsi="Arial" w:cs="Arial"/>
            <w:i/>
            <w:iCs/>
            <w:color w:val="auto"/>
            <w:sz w:val="18"/>
            <w:szCs w:val="18"/>
            <w:shd w:val="clear" w:color="auto" w:fill="FFFFFF" w:themeFill="background1"/>
            <w:lang w:val="fr-FR"/>
          </w:rPr>
          <w:t xml:space="preserve">Ukraine c. Russie </w:t>
        </w:r>
      </w:hyperlink>
      <w:r w:rsidRPr="00720D91">
        <w:rPr>
          <w:rFonts w:ascii="Arial" w:hAnsi="Arial" w:cs="Arial"/>
          <w:i/>
          <w:iCs/>
          <w:sz w:val="18"/>
          <w:szCs w:val="18"/>
          <w:shd w:val="clear" w:color="auto" w:fill="FFFFFF" w:themeFill="background1"/>
          <w:lang w:val="fr-FR"/>
        </w:rPr>
        <w:t>(déc)</w:t>
      </w:r>
      <w:r w:rsidRPr="00720D91">
        <w:rPr>
          <w:rFonts w:ascii="Arial" w:hAnsi="Arial" w:cs="Arial"/>
          <w:sz w:val="18"/>
          <w:szCs w:val="18"/>
          <w:shd w:val="clear" w:color="auto" w:fill="FFFFFF" w:themeFill="background1"/>
          <w:lang w:val="fr-FR"/>
        </w:rPr>
        <w:t>, nos 20958/14 et 38334/18 § 257, 16 décembre 2020.</w:t>
      </w:r>
    </w:p>
  </w:footnote>
  <w:footnote w:id="166">
    <w:p w14:paraId="1C10821D" w14:textId="77777777" w:rsidR="00D86968" w:rsidRPr="00720D91" w:rsidRDefault="00D86968" w:rsidP="00720D91">
      <w:pPr>
        <w:pStyle w:val="Notedebasdepage"/>
        <w:shd w:val="clear" w:color="auto" w:fill="FFFFFF" w:themeFill="background1"/>
        <w:jc w:val="both"/>
        <w:rPr>
          <w:lang w:val="fr-FR"/>
        </w:rPr>
      </w:pPr>
      <w:r w:rsidRPr="0022321E">
        <w:rPr>
          <w:rStyle w:val="Appelnotedebasdep"/>
          <w:rFonts w:ascii="Arial" w:hAnsi="Arial" w:cs="Arial"/>
          <w:sz w:val="18"/>
          <w:szCs w:val="18"/>
          <w:shd w:val="clear" w:color="auto" w:fill="FFFFFF" w:themeFill="background1"/>
        </w:rPr>
        <w:footnoteRef/>
      </w:r>
      <w:r w:rsidRPr="00720D91">
        <w:rPr>
          <w:rFonts w:ascii="Arial" w:hAnsi="Arial" w:cs="Arial"/>
          <w:sz w:val="18"/>
          <w:szCs w:val="18"/>
          <w:shd w:val="clear" w:color="auto" w:fill="FFFFFF" w:themeFill="background1"/>
          <w:lang w:val="fr-FR"/>
        </w:rPr>
        <w:t xml:space="preserve"> </w:t>
      </w:r>
      <w:hyperlink r:id="rId242" w:anchor="{%22itemid%22:[%22001-62064%22]}" w:history="1">
        <w:r w:rsidRPr="00720D91">
          <w:rPr>
            <w:rStyle w:val="Lienhypertexte"/>
            <w:rFonts w:ascii="Arial" w:hAnsi="Arial" w:cs="Arial"/>
            <w:i/>
            <w:color w:val="auto"/>
            <w:sz w:val="18"/>
            <w:szCs w:val="18"/>
            <w:shd w:val="clear" w:color="auto" w:fill="FFFFFF" w:themeFill="background1"/>
            <w:lang w:val="fr-FR"/>
          </w:rPr>
          <w:t>Irlande c. Royaume-Uni</w:t>
        </w:r>
      </w:hyperlink>
      <w:r w:rsidRPr="00720D91">
        <w:rPr>
          <w:rFonts w:ascii="Arial" w:hAnsi="Arial" w:cs="Arial"/>
          <w:sz w:val="18"/>
          <w:szCs w:val="18"/>
          <w:shd w:val="clear" w:color="auto" w:fill="FFFFFF" w:themeFill="background1"/>
          <w:lang w:val="fr-FR"/>
        </w:rPr>
        <w:t xml:space="preserve">, 18 janvier 1978, § 161 ; </w:t>
      </w:r>
      <w:hyperlink r:id="rId243" w:anchor="{%22itemid%22:[%22001-64012%22]}" w:history="1">
        <w:r w:rsidRPr="00720D91">
          <w:rPr>
            <w:rStyle w:val="Lienhypertexte"/>
            <w:rFonts w:ascii="Arial" w:hAnsi="Arial" w:cs="Arial"/>
            <w:i/>
            <w:color w:val="auto"/>
            <w:sz w:val="18"/>
            <w:szCs w:val="18"/>
            <w:shd w:val="clear" w:color="auto" w:fill="FFFFFF" w:themeFill="background1"/>
            <w:lang w:val="fr-FR"/>
          </w:rPr>
          <w:t>Chypre c. Turquie</w:t>
        </w:r>
      </w:hyperlink>
      <w:r w:rsidRPr="00720D91">
        <w:rPr>
          <w:rFonts w:ascii="Arial" w:hAnsi="Arial" w:cs="Arial"/>
          <w:i/>
          <w:sz w:val="18"/>
          <w:szCs w:val="18"/>
          <w:shd w:val="clear" w:color="auto" w:fill="FFFFFF" w:themeFill="background1"/>
          <w:lang w:val="fr-FR"/>
        </w:rPr>
        <w:t xml:space="preserve"> </w:t>
      </w:r>
      <w:r w:rsidRPr="00720D91">
        <w:rPr>
          <w:rFonts w:ascii="Arial" w:hAnsi="Arial" w:cs="Arial"/>
          <w:sz w:val="18"/>
          <w:szCs w:val="18"/>
          <w:shd w:val="clear" w:color="auto" w:fill="FFFFFF" w:themeFill="background1"/>
          <w:lang w:val="fr-FR"/>
        </w:rPr>
        <w:t xml:space="preserve">[GC], n° 25781/94, § 113 ; </w:t>
      </w:r>
      <w:hyperlink r:id="rId244" w:history="1">
        <w:r w:rsidRPr="00720D91">
          <w:rPr>
            <w:rStyle w:val="Lienhypertexte"/>
            <w:rFonts w:ascii="Arial" w:hAnsi="Arial" w:cs="Arial"/>
            <w:i/>
            <w:color w:val="auto"/>
            <w:sz w:val="18"/>
            <w:szCs w:val="18"/>
            <w:shd w:val="clear" w:color="auto" w:fill="FFFFFF" w:themeFill="background1"/>
            <w:lang w:val="fr-FR"/>
          </w:rPr>
          <w:t xml:space="preserve">Géorgie c. Russie </w:t>
        </w:r>
        <w:r w:rsidRPr="00720D91">
          <w:rPr>
            <w:rStyle w:val="Lienhypertexte"/>
            <w:rFonts w:ascii="Arial" w:hAnsi="Arial" w:cs="Arial"/>
            <w:color w:val="auto"/>
            <w:sz w:val="18"/>
            <w:szCs w:val="18"/>
            <w:shd w:val="clear" w:color="auto" w:fill="FFFFFF" w:themeFill="background1"/>
            <w:lang w:val="fr-FR"/>
          </w:rPr>
          <w:t>(I)</w:t>
        </w:r>
      </w:hyperlink>
      <w:r w:rsidRPr="00720D91">
        <w:rPr>
          <w:rFonts w:ascii="Arial" w:hAnsi="Arial" w:cs="Arial"/>
          <w:sz w:val="18"/>
          <w:szCs w:val="18"/>
          <w:shd w:val="clear" w:color="auto" w:fill="FFFFFF" w:themeFill="background1"/>
          <w:lang w:val="fr-FR"/>
        </w:rPr>
        <w:t xml:space="preserve">, précité, § 95 ; </w:t>
      </w:r>
      <w:hyperlink r:id="rId245" w:history="1">
        <w:r w:rsidRPr="00720D91">
          <w:rPr>
            <w:rStyle w:val="Lienhypertexte"/>
            <w:rFonts w:ascii="Arial" w:hAnsi="Arial" w:cs="Arial"/>
            <w:i/>
            <w:iCs/>
            <w:color w:val="auto"/>
            <w:sz w:val="18"/>
            <w:szCs w:val="18"/>
            <w:shd w:val="clear" w:color="auto" w:fill="FFFFFF" w:themeFill="background1"/>
            <w:lang w:val="fr-FR"/>
          </w:rPr>
          <w:t xml:space="preserve">Géorgie c. Russie </w:t>
        </w:r>
      </w:hyperlink>
      <w:r w:rsidRPr="00720D91">
        <w:rPr>
          <w:rFonts w:ascii="Arial" w:hAnsi="Arial" w:cs="Arial"/>
          <w:sz w:val="18"/>
          <w:szCs w:val="18"/>
          <w:shd w:val="clear" w:color="auto" w:fill="FFFFFF" w:themeFill="background1"/>
          <w:lang w:val="fr-FR"/>
        </w:rPr>
        <w:t>(II) (fond) n° 38263/08, § 59, 21 janvier 2021.</w:t>
      </w:r>
    </w:p>
  </w:footnote>
  <w:footnote w:id="167">
    <w:p w14:paraId="405C5226" w14:textId="77777777" w:rsidR="00D86968" w:rsidRPr="00720D91" w:rsidRDefault="00D86968" w:rsidP="00720D91">
      <w:pPr>
        <w:pStyle w:val="Notedebasdepage"/>
        <w:shd w:val="clear" w:color="auto" w:fill="FFFFFF" w:themeFill="background1"/>
        <w:jc w:val="both"/>
        <w:rPr>
          <w:lang w:val="fr-FR"/>
        </w:rPr>
      </w:pPr>
      <w:r w:rsidRPr="0022321E">
        <w:rPr>
          <w:rStyle w:val="Appelnotedebasdep"/>
          <w:shd w:val="clear" w:color="auto" w:fill="FFFFFF" w:themeFill="background1"/>
        </w:rPr>
        <w:footnoteRef/>
      </w:r>
      <w:r w:rsidRPr="00720D91">
        <w:rPr>
          <w:rFonts w:ascii="Arial" w:hAnsi="Arial" w:cs="Arial"/>
          <w:sz w:val="18"/>
          <w:szCs w:val="18"/>
          <w:shd w:val="clear" w:color="auto" w:fill="FFFFFF" w:themeFill="background1"/>
          <w:lang w:val="fr-FR"/>
        </w:rPr>
        <w:t xml:space="preserve"> </w:t>
      </w:r>
      <w:hyperlink r:id="rId246" w:anchor="{&quot;tabview&quot;:[&quot;document&quot;],&quot;itemid&quot;:[&quot;001-57506&quot;]}" w:history="1">
        <w:r w:rsidRPr="00720D91">
          <w:rPr>
            <w:rStyle w:val="Lienhypertexte"/>
            <w:rFonts w:ascii="Arial" w:hAnsi="Arial" w:cs="Arial"/>
            <w:i/>
            <w:color w:val="auto"/>
            <w:sz w:val="18"/>
            <w:szCs w:val="18"/>
            <w:shd w:val="clear" w:color="auto" w:fill="FFFFFF" w:themeFill="background1"/>
            <w:lang w:val="fr-FR"/>
          </w:rPr>
          <w:t>Irlande c. Royaume-Uni</w:t>
        </w:r>
      </w:hyperlink>
      <w:r w:rsidRPr="00720D91">
        <w:rPr>
          <w:rFonts w:ascii="Arial" w:hAnsi="Arial" w:cs="Arial"/>
          <w:sz w:val="18"/>
          <w:szCs w:val="18"/>
          <w:shd w:val="clear" w:color="auto" w:fill="FFFFFF" w:themeFill="background1"/>
          <w:lang w:val="fr-FR"/>
        </w:rPr>
        <w:t xml:space="preserve">, no. 5310/71, § 161, 18 janvier 1978 ; </w:t>
      </w:r>
      <w:hyperlink r:id="rId247" w:history="1">
        <w:r w:rsidRPr="00720D91">
          <w:rPr>
            <w:rStyle w:val="Lienhypertexte"/>
            <w:rFonts w:ascii="Arial" w:hAnsi="Arial" w:cs="Arial"/>
            <w:i/>
            <w:color w:val="auto"/>
            <w:sz w:val="18"/>
            <w:szCs w:val="18"/>
            <w:shd w:val="clear" w:color="auto" w:fill="FFFFFF" w:themeFill="background1"/>
            <w:lang w:val="fr-FR"/>
          </w:rPr>
          <w:t xml:space="preserve">Géorgie c. Russie </w:t>
        </w:r>
        <w:r w:rsidRPr="00720D91">
          <w:rPr>
            <w:rStyle w:val="Lienhypertexte"/>
            <w:rFonts w:ascii="Arial" w:hAnsi="Arial" w:cs="Arial"/>
            <w:color w:val="auto"/>
            <w:sz w:val="18"/>
            <w:szCs w:val="18"/>
            <w:shd w:val="clear" w:color="auto" w:fill="FFFFFF" w:themeFill="background1"/>
            <w:lang w:val="fr-FR"/>
          </w:rPr>
          <w:t>(I)</w:t>
        </w:r>
      </w:hyperlink>
      <w:r w:rsidRPr="00720D91">
        <w:rPr>
          <w:rFonts w:ascii="Arial" w:hAnsi="Arial" w:cs="Arial"/>
          <w:sz w:val="18"/>
          <w:szCs w:val="18"/>
          <w:shd w:val="clear" w:color="auto" w:fill="FFFFFF" w:themeFill="background1"/>
          <w:lang w:val="fr-FR"/>
        </w:rPr>
        <w:t xml:space="preserve">, précité, § 95 ; </w:t>
      </w:r>
      <w:hyperlink r:id="rId248" w:history="1">
        <w:r w:rsidRPr="00720D91">
          <w:rPr>
            <w:rFonts w:ascii="Arial" w:hAnsi="Arial" w:cs="Arial"/>
            <w:i/>
            <w:iCs/>
            <w:sz w:val="18"/>
            <w:szCs w:val="18"/>
            <w:u w:val="single"/>
            <w:shd w:val="clear" w:color="auto" w:fill="FFFFFF" w:themeFill="background1"/>
            <w:lang w:val="fr-FR"/>
          </w:rPr>
          <w:t xml:space="preserve">Géorgie c. Russie </w:t>
        </w:r>
      </w:hyperlink>
      <w:r w:rsidRPr="00720D91">
        <w:rPr>
          <w:rFonts w:ascii="Arial" w:hAnsi="Arial" w:cs="Arial"/>
          <w:sz w:val="18"/>
          <w:szCs w:val="18"/>
          <w:u w:val="single"/>
          <w:shd w:val="clear" w:color="auto" w:fill="FFFFFF" w:themeFill="background1"/>
          <w:lang w:val="fr-FR"/>
        </w:rPr>
        <w:t xml:space="preserve">(II) (fond) </w:t>
      </w:r>
      <w:r w:rsidRPr="00720D91">
        <w:rPr>
          <w:rFonts w:ascii="Arial" w:hAnsi="Arial" w:cs="Arial"/>
          <w:sz w:val="18"/>
          <w:szCs w:val="18"/>
          <w:shd w:val="clear" w:color="auto" w:fill="FFFFFF" w:themeFill="background1"/>
          <w:lang w:val="fr-FR"/>
        </w:rPr>
        <w:t>n° 38263/08, § 59, 21 janvier 2021.</w:t>
      </w:r>
    </w:p>
  </w:footnote>
  <w:footnote w:id="168">
    <w:p w14:paraId="30C85DD0" w14:textId="77777777" w:rsidR="00D86968" w:rsidRPr="00720D91" w:rsidRDefault="00D86968" w:rsidP="00720D91">
      <w:pPr>
        <w:pStyle w:val="Notedebasdepage"/>
        <w:shd w:val="clear" w:color="auto" w:fill="FFFFFF" w:themeFill="background1"/>
        <w:rPr>
          <w:lang w:val="fr-FR"/>
        </w:rPr>
      </w:pPr>
      <w:r w:rsidRPr="0022321E">
        <w:rPr>
          <w:rStyle w:val="Appelnotedebasdep"/>
          <w:shd w:val="clear" w:color="auto" w:fill="FFFFFF" w:themeFill="background1"/>
        </w:rPr>
        <w:footnoteRef/>
      </w:r>
      <w:r w:rsidRPr="00720D91">
        <w:rPr>
          <w:rFonts w:ascii="Arial" w:hAnsi="Arial" w:cs="Arial"/>
          <w:sz w:val="18"/>
          <w:szCs w:val="18"/>
          <w:shd w:val="clear" w:color="auto" w:fill="FFFFFF" w:themeFill="background1"/>
          <w:lang w:val="fr-FR"/>
        </w:rPr>
        <w:t xml:space="preserve"> Chypre c. Turquie (fond) [GC], n° 25781/94, § 116.</w:t>
      </w:r>
      <w:r w:rsidRPr="00720D91">
        <w:rPr>
          <w:rFonts w:ascii="Arial" w:hAnsi="Arial" w:cs="Arial"/>
          <w:b/>
          <w:bCs/>
          <w:sz w:val="18"/>
          <w:szCs w:val="18"/>
          <w:shd w:val="clear" w:color="auto" w:fill="D9D9D9" w:themeFill="background1" w:themeFillShade="D9"/>
          <w:lang w:val="fr-FR"/>
        </w:rPr>
        <w:t xml:space="preserve"> </w:t>
      </w:r>
    </w:p>
  </w:footnote>
  <w:footnote w:id="169">
    <w:p w14:paraId="11C3BE85" w14:textId="77777777" w:rsidR="00D86968" w:rsidRPr="00405792" w:rsidRDefault="00D86968" w:rsidP="00720D91">
      <w:pPr>
        <w:pStyle w:val="Sansinterligne"/>
        <w:shd w:val="clear" w:color="auto" w:fill="FFFFFF" w:themeFill="background1"/>
        <w:jc w:val="both"/>
        <w:rPr>
          <w:rFonts w:ascii="Arial" w:hAnsi="Arial" w:cs="Arial"/>
          <w:bCs/>
          <w:sz w:val="18"/>
          <w:szCs w:val="18"/>
        </w:rPr>
      </w:pPr>
      <w:r w:rsidRPr="00405792">
        <w:rPr>
          <w:rStyle w:val="Appelnotedebasdep"/>
          <w:rFonts w:ascii="Arial" w:hAnsi="Arial" w:cs="Arial"/>
          <w:bCs/>
          <w:sz w:val="18"/>
          <w:szCs w:val="18"/>
        </w:rPr>
        <w:footnoteRef/>
      </w:r>
      <w:r w:rsidRPr="00405792">
        <w:rPr>
          <w:rFonts w:ascii="Arial" w:hAnsi="Arial" w:cs="Arial"/>
          <w:bCs/>
          <w:sz w:val="18"/>
          <w:szCs w:val="18"/>
        </w:rPr>
        <w:t xml:space="preserve"> </w:t>
      </w:r>
      <w:bookmarkStart w:id="44" w:name="_Hlk67308998"/>
      <w:r w:rsidRPr="00405792">
        <w:rPr>
          <w:rFonts w:ascii="Arial" w:hAnsi="Arial" w:cs="Arial"/>
          <w:bCs/>
          <w:i/>
          <w:sz w:val="18"/>
          <w:szCs w:val="18"/>
          <w:u w:val="single"/>
        </w:rPr>
        <w:fldChar w:fldCharType="begin"/>
      </w:r>
      <w:r>
        <w:rPr>
          <w:rFonts w:ascii="Arial" w:hAnsi="Arial" w:cs="Arial"/>
          <w:bCs/>
          <w:i/>
          <w:sz w:val="18"/>
          <w:szCs w:val="18"/>
          <w:u w:val="single"/>
        </w:rPr>
        <w:instrText>HYPERLINK</w:instrText>
      </w:r>
      <w:r w:rsidRPr="00405792">
        <w:rPr>
          <w:rFonts w:ascii="Arial" w:hAnsi="Arial" w:cs="Arial"/>
          <w:bCs/>
          <w:i/>
          <w:sz w:val="18"/>
          <w:szCs w:val="18"/>
          <w:u w:val="single"/>
        </w:rPr>
        <w:instrText xml:space="preserve"> "http://hudoc.echr.coe.int/eng?i=001-93426"</w:instrText>
      </w:r>
      <w:r w:rsidRPr="00405792">
        <w:rPr>
          <w:rFonts w:ascii="Arial" w:hAnsi="Arial" w:cs="Arial"/>
          <w:bCs/>
          <w:i/>
          <w:sz w:val="18"/>
          <w:szCs w:val="18"/>
          <w:u w:val="single"/>
        </w:rPr>
        <w:fldChar w:fldCharType="separate"/>
      </w:r>
      <w:r w:rsidRPr="00405792">
        <w:rPr>
          <w:rStyle w:val="Lienhypertexte"/>
          <w:rFonts w:ascii="Arial" w:eastAsiaTheme="majorEastAsia" w:hAnsi="Arial" w:cs="Arial"/>
          <w:bCs/>
          <w:i/>
          <w:color w:val="auto"/>
          <w:sz w:val="18"/>
          <w:szCs w:val="18"/>
        </w:rPr>
        <w:t>Géorgie c. Russie (I)</w:t>
      </w:r>
      <w:r w:rsidRPr="00405792">
        <w:rPr>
          <w:rFonts w:ascii="Arial" w:hAnsi="Arial" w:cs="Arial"/>
          <w:bCs/>
          <w:i/>
          <w:sz w:val="18"/>
          <w:szCs w:val="18"/>
          <w:u w:val="single"/>
        </w:rPr>
        <w:fldChar w:fldCharType="end"/>
      </w:r>
      <w:r w:rsidRPr="00405792">
        <w:rPr>
          <w:rFonts w:ascii="Arial" w:hAnsi="Arial" w:cs="Arial"/>
          <w:bCs/>
          <w:i/>
          <w:sz w:val="18"/>
          <w:szCs w:val="18"/>
          <w:u w:val="single"/>
        </w:rPr>
        <w:t xml:space="preserve"> </w:t>
      </w:r>
      <w:r w:rsidRPr="00405792">
        <w:rPr>
          <w:rFonts w:ascii="Arial" w:hAnsi="Arial" w:cs="Arial"/>
          <w:bCs/>
          <w:i/>
          <w:sz w:val="18"/>
          <w:szCs w:val="18"/>
        </w:rPr>
        <w:t xml:space="preserve">(déc.), </w:t>
      </w:r>
      <w:r w:rsidRPr="00405792">
        <w:rPr>
          <w:rFonts w:ascii="Arial" w:hAnsi="Arial" w:cs="Arial"/>
          <w:bCs/>
          <w:sz w:val="18"/>
          <w:szCs w:val="18"/>
        </w:rPr>
        <w:t xml:space="preserve">no 13255/07, § 48, 30 juin 2009 </w:t>
      </w:r>
      <w:bookmarkEnd w:id="44"/>
      <w:r w:rsidRPr="00405792">
        <w:rPr>
          <w:rFonts w:ascii="Arial" w:hAnsi="Arial" w:cs="Arial"/>
          <w:bCs/>
          <w:sz w:val="18"/>
          <w:szCs w:val="18"/>
        </w:rPr>
        <w:t xml:space="preserve">; </w:t>
      </w:r>
      <w:hyperlink r:id="rId249" w:history="1">
        <w:r w:rsidRPr="00405792">
          <w:rPr>
            <w:rStyle w:val="Lienhypertexte"/>
            <w:rFonts w:ascii="Arial" w:eastAsiaTheme="majorEastAsia" w:hAnsi="Arial" w:cs="Arial"/>
            <w:i/>
            <w:color w:val="auto"/>
            <w:sz w:val="18"/>
            <w:szCs w:val="18"/>
          </w:rPr>
          <w:t>Géorgie c. Russie</w:t>
        </w:r>
        <w:r w:rsidRPr="00405792">
          <w:rPr>
            <w:rStyle w:val="Lienhypertexte"/>
            <w:rFonts w:ascii="Arial" w:eastAsiaTheme="majorEastAsia" w:hAnsi="Arial" w:cs="Arial"/>
            <w:color w:val="auto"/>
            <w:sz w:val="18"/>
            <w:szCs w:val="18"/>
          </w:rPr>
          <w:t xml:space="preserve"> (II) (dec)</w:t>
        </w:r>
      </w:hyperlink>
      <w:r w:rsidRPr="00405792">
        <w:rPr>
          <w:rStyle w:val="Lienhypertexte"/>
          <w:rFonts w:ascii="Arial" w:eastAsiaTheme="majorEastAsia" w:hAnsi="Arial" w:cs="Arial"/>
          <w:color w:val="auto"/>
          <w:sz w:val="18"/>
          <w:szCs w:val="18"/>
        </w:rPr>
        <w:t>,</w:t>
      </w:r>
      <w:r w:rsidRPr="00405792">
        <w:rPr>
          <w:rFonts w:ascii="Arial" w:hAnsi="Arial" w:cs="Arial"/>
          <w:bCs/>
          <w:sz w:val="18"/>
          <w:szCs w:val="18"/>
        </w:rPr>
        <w:t xml:space="preserve"> n° 38263/08, §91.</w:t>
      </w:r>
    </w:p>
  </w:footnote>
  <w:footnote w:id="170">
    <w:p w14:paraId="1D70B282" w14:textId="77777777" w:rsidR="00D86968" w:rsidRPr="00405792" w:rsidRDefault="00D86968" w:rsidP="00720D91">
      <w:pPr>
        <w:pStyle w:val="Sansinterligne"/>
        <w:shd w:val="clear" w:color="auto" w:fill="FFFFFF" w:themeFill="background1"/>
        <w:jc w:val="both"/>
        <w:rPr>
          <w:rFonts w:ascii="Arial" w:hAnsi="Arial" w:cs="Arial"/>
          <w:bCs/>
          <w:sz w:val="18"/>
          <w:szCs w:val="18"/>
        </w:rPr>
      </w:pPr>
      <w:r w:rsidRPr="00405792">
        <w:rPr>
          <w:rStyle w:val="Appelnotedebasdep"/>
          <w:rFonts w:ascii="Arial" w:hAnsi="Arial" w:cs="Arial"/>
          <w:bCs/>
          <w:sz w:val="18"/>
          <w:szCs w:val="18"/>
        </w:rPr>
        <w:footnoteRef/>
      </w:r>
      <w:r w:rsidRPr="00405792">
        <w:rPr>
          <w:rFonts w:ascii="Arial" w:hAnsi="Arial" w:cs="Arial"/>
          <w:bCs/>
          <w:sz w:val="18"/>
          <w:szCs w:val="18"/>
        </w:rPr>
        <w:t xml:space="preserve"> </w:t>
      </w:r>
      <w:hyperlink r:id="rId250" w:history="1">
        <w:r w:rsidRPr="00405792">
          <w:rPr>
            <w:rStyle w:val="Lienhypertexte"/>
            <w:rFonts w:ascii="Arial" w:eastAsiaTheme="majorEastAsia" w:hAnsi="Arial" w:cs="Arial"/>
            <w:bCs/>
            <w:i/>
            <w:color w:val="auto"/>
            <w:sz w:val="18"/>
            <w:szCs w:val="18"/>
          </w:rPr>
          <w:t>Géorgie c. Russie (I)</w:t>
        </w:r>
      </w:hyperlink>
      <w:r w:rsidRPr="00405792">
        <w:rPr>
          <w:rFonts w:ascii="Arial" w:hAnsi="Arial" w:cs="Arial"/>
          <w:bCs/>
          <w:i/>
          <w:sz w:val="18"/>
          <w:szCs w:val="18"/>
          <w:u w:val="single"/>
        </w:rPr>
        <w:t xml:space="preserve"> </w:t>
      </w:r>
      <w:r w:rsidRPr="00405792">
        <w:rPr>
          <w:rFonts w:ascii="Arial" w:hAnsi="Arial" w:cs="Arial"/>
          <w:bCs/>
          <w:i/>
          <w:sz w:val="18"/>
          <w:szCs w:val="18"/>
        </w:rPr>
        <w:t xml:space="preserve">(déc.), </w:t>
      </w:r>
      <w:r w:rsidRPr="00405792">
        <w:rPr>
          <w:rFonts w:ascii="Arial" w:hAnsi="Arial" w:cs="Arial"/>
          <w:bCs/>
          <w:sz w:val="18"/>
          <w:szCs w:val="18"/>
        </w:rPr>
        <w:t xml:space="preserve">no 13255/07, § 48, 30 juin 2009 ; </w:t>
      </w:r>
      <w:hyperlink r:id="rId251" w:history="1">
        <w:r w:rsidRPr="00405792">
          <w:rPr>
            <w:rStyle w:val="Lienhypertexte"/>
            <w:rFonts w:ascii="Arial" w:eastAsiaTheme="majorEastAsia" w:hAnsi="Arial" w:cs="Arial"/>
            <w:i/>
            <w:color w:val="auto"/>
            <w:sz w:val="18"/>
            <w:szCs w:val="18"/>
          </w:rPr>
          <w:t>Géorgie c. Russie</w:t>
        </w:r>
        <w:r w:rsidRPr="00405792">
          <w:rPr>
            <w:rStyle w:val="Lienhypertexte"/>
            <w:rFonts w:ascii="Arial" w:eastAsiaTheme="majorEastAsia" w:hAnsi="Arial" w:cs="Arial"/>
            <w:color w:val="auto"/>
            <w:sz w:val="18"/>
            <w:szCs w:val="18"/>
          </w:rPr>
          <w:t xml:space="preserve"> (II) (dec)</w:t>
        </w:r>
      </w:hyperlink>
      <w:r w:rsidRPr="00405792">
        <w:rPr>
          <w:rStyle w:val="Lienhypertexte"/>
          <w:rFonts w:ascii="Arial" w:eastAsiaTheme="majorEastAsia" w:hAnsi="Arial" w:cs="Arial"/>
          <w:color w:val="auto"/>
          <w:sz w:val="18"/>
          <w:szCs w:val="18"/>
        </w:rPr>
        <w:t xml:space="preserve">, </w:t>
      </w:r>
      <w:r w:rsidRPr="00405792">
        <w:rPr>
          <w:rFonts w:ascii="Arial" w:hAnsi="Arial" w:cs="Arial"/>
          <w:bCs/>
          <w:sz w:val="18"/>
          <w:szCs w:val="18"/>
        </w:rPr>
        <w:t>n° 38263/08, §91.</w:t>
      </w:r>
    </w:p>
  </w:footnote>
  <w:footnote w:id="171">
    <w:p w14:paraId="077CF5EE" w14:textId="77777777" w:rsidR="00D86968" w:rsidRPr="00405792" w:rsidRDefault="00D86968" w:rsidP="00720D91">
      <w:pPr>
        <w:pStyle w:val="Sansinterligne"/>
        <w:shd w:val="clear" w:color="auto" w:fill="FFFFFF" w:themeFill="background1"/>
        <w:rPr>
          <w:rFonts w:ascii="Arial" w:hAnsi="Arial" w:cs="Arial"/>
          <w:bCs/>
          <w:sz w:val="18"/>
          <w:szCs w:val="18"/>
        </w:rPr>
      </w:pPr>
      <w:r w:rsidRPr="00405792">
        <w:rPr>
          <w:rStyle w:val="Appelnotedebasdep"/>
          <w:rFonts w:ascii="Arial" w:hAnsi="Arial" w:cs="Arial"/>
          <w:bCs/>
          <w:sz w:val="18"/>
          <w:szCs w:val="18"/>
        </w:rPr>
        <w:footnoteRef/>
      </w:r>
      <w:r w:rsidRPr="00405792">
        <w:rPr>
          <w:rFonts w:ascii="Arial" w:hAnsi="Arial" w:cs="Arial"/>
          <w:bCs/>
          <w:i/>
          <w:sz w:val="18"/>
          <w:szCs w:val="18"/>
          <w:u w:val="single"/>
        </w:rPr>
        <w:t xml:space="preserve"> Chypre c. Turquie (fond) [GC], </w:t>
      </w:r>
      <w:r w:rsidRPr="00405792">
        <w:rPr>
          <w:rFonts w:ascii="Arial" w:hAnsi="Arial" w:cs="Arial"/>
          <w:bCs/>
          <w:sz w:val="18"/>
          <w:szCs w:val="18"/>
        </w:rPr>
        <w:t>n° 25781/94, § 116.</w:t>
      </w:r>
    </w:p>
  </w:footnote>
  <w:footnote w:id="172">
    <w:p w14:paraId="5FF350A0" w14:textId="77777777" w:rsidR="00D86968" w:rsidRPr="00405792" w:rsidRDefault="00D86968" w:rsidP="00720D91">
      <w:pPr>
        <w:pStyle w:val="Sansinterligne"/>
        <w:shd w:val="clear" w:color="auto" w:fill="FFFFFF" w:themeFill="background1"/>
        <w:jc w:val="both"/>
        <w:rPr>
          <w:rFonts w:ascii="Arial" w:hAnsi="Arial" w:cs="Arial"/>
          <w:bCs/>
          <w:i/>
          <w:sz w:val="18"/>
          <w:szCs w:val="18"/>
        </w:rPr>
      </w:pPr>
      <w:r w:rsidRPr="00405792">
        <w:rPr>
          <w:rStyle w:val="Appelnotedebasdep"/>
          <w:rFonts w:ascii="Arial" w:hAnsi="Arial" w:cs="Arial"/>
          <w:bCs/>
          <w:sz w:val="18"/>
          <w:szCs w:val="18"/>
        </w:rPr>
        <w:footnoteRef/>
      </w:r>
      <w:r w:rsidRPr="00405792">
        <w:rPr>
          <w:rFonts w:ascii="Arial" w:hAnsi="Arial" w:cs="Arial"/>
          <w:bCs/>
          <w:sz w:val="18"/>
          <w:szCs w:val="18"/>
        </w:rPr>
        <w:t xml:space="preserve"> </w:t>
      </w:r>
      <w:hyperlink r:id="rId252" w:history="1">
        <w:r w:rsidRPr="00405792">
          <w:rPr>
            <w:rStyle w:val="Lienhypertexte"/>
            <w:rFonts w:ascii="Arial" w:eastAsiaTheme="majorEastAsia" w:hAnsi="Arial" w:cs="Arial"/>
            <w:bCs/>
            <w:i/>
            <w:color w:val="auto"/>
            <w:sz w:val="18"/>
            <w:szCs w:val="18"/>
          </w:rPr>
          <w:t>Géorgie c. Russie (I)</w:t>
        </w:r>
      </w:hyperlink>
      <w:r w:rsidRPr="00405792">
        <w:rPr>
          <w:rFonts w:ascii="Arial" w:hAnsi="Arial" w:cs="Arial"/>
          <w:bCs/>
          <w:i/>
          <w:sz w:val="18"/>
          <w:szCs w:val="18"/>
          <w:u w:val="single"/>
        </w:rPr>
        <w:t xml:space="preserve"> </w:t>
      </w:r>
      <w:r w:rsidRPr="00405792">
        <w:rPr>
          <w:rFonts w:ascii="Arial" w:hAnsi="Arial" w:cs="Arial"/>
          <w:bCs/>
          <w:i/>
          <w:sz w:val="18"/>
          <w:szCs w:val="18"/>
        </w:rPr>
        <w:t xml:space="preserve">(déc.), </w:t>
      </w:r>
      <w:r w:rsidRPr="00405792">
        <w:rPr>
          <w:rFonts w:ascii="Arial" w:hAnsi="Arial" w:cs="Arial"/>
          <w:bCs/>
          <w:sz w:val="18"/>
          <w:szCs w:val="18"/>
        </w:rPr>
        <w:t xml:space="preserve">n° 13255/07, § 48, 30 juin 2009 ; </w:t>
      </w:r>
      <w:hyperlink r:id="rId253" w:history="1">
        <w:r w:rsidRPr="00405792">
          <w:rPr>
            <w:rStyle w:val="Lienhypertexte"/>
            <w:rFonts w:ascii="Arial" w:eastAsiaTheme="majorEastAsia" w:hAnsi="Arial" w:cs="Arial"/>
            <w:i/>
            <w:color w:val="auto"/>
            <w:sz w:val="18"/>
            <w:szCs w:val="18"/>
          </w:rPr>
          <w:t>Géorgie c. Russie</w:t>
        </w:r>
        <w:r w:rsidRPr="00405792">
          <w:rPr>
            <w:rStyle w:val="Lienhypertexte"/>
            <w:rFonts w:ascii="Arial" w:eastAsiaTheme="majorEastAsia" w:hAnsi="Arial" w:cs="Arial"/>
            <w:color w:val="auto"/>
            <w:sz w:val="18"/>
            <w:szCs w:val="18"/>
          </w:rPr>
          <w:t xml:space="preserve"> (II) (dec)</w:t>
        </w:r>
      </w:hyperlink>
      <w:r w:rsidRPr="00405792">
        <w:rPr>
          <w:rFonts w:ascii="Arial" w:hAnsi="Arial" w:cs="Arial"/>
          <w:sz w:val="18"/>
          <w:szCs w:val="18"/>
        </w:rPr>
        <w:t xml:space="preserve">, </w:t>
      </w:r>
      <w:r w:rsidRPr="00405792">
        <w:rPr>
          <w:rFonts w:ascii="Arial" w:hAnsi="Arial" w:cs="Arial"/>
          <w:bCs/>
          <w:sz w:val="18"/>
          <w:szCs w:val="18"/>
        </w:rPr>
        <w:t>n° 38263/08, §91.</w:t>
      </w:r>
    </w:p>
  </w:footnote>
  <w:footnote w:id="173">
    <w:p w14:paraId="1468E790" w14:textId="77777777" w:rsidR="00D86968" w:rsidRPr="00405792" w:rsidRDefault="00D86968" w:rsidP="00720D91">
      <w:pPr>
        <w:pStyle w:val="Sansinterligne"/>
        <w:shd w:val="clear" w:color="auto" w:fill="FFFFFF" w:themeFill="background1"/>
        <w:rPr>
          <w:rFonts w:ascii="Arial" w:hAnsi="Arial" w:cs="Arial"/>
          <w:bCs/>
          <w:sz w:val="18"/>
          <w:szCs w:val="18"/>
        </w:rPr>
      </w:pPr>
      <w:r w:rsidRPr="00405792">
        <w:rPr>
          <w:rStyle w:val="Appelnotedebasdep"/>
          <w:rFonts w:ascii="Arial" w:hAnsi="Arial" w:cs="Arial"/>
          <w:bCs/>
          <w:sz w:val="18"/>
          <w:szCs w:val="18"/>
        </w:rPr>
        <w:footnoteRef/>
      </w:r>
      <w:r w:rsidRPr="00405792">
        <w:rPr>
          <w:rFonts w:ascii="Arial" w:hAnsi="Arial" w:cs="Arial"/>
          <w:bCs/>
          <w:i/>
          <w:sz w:val="18"/>
          <w:szCs w:val="18"/>
          <w:u w:val="single"/>
        </w:rPr>
        <w:t xml:space="preserve"> Chypre c. Turquie (fond) [GC], </w:t>
      </w:r>
      <w:r w:rsidRPr="00405792">
        <w:rPr>
          <w:rFonts w:ascii="Arial" w:hAnsi="Arial" w:cs="Arial"/>
          <w:bCs/>
          <w:sz w:val="18"/>
          <w:szCs w:val="18"/>
        </w:rPr>
        <w:t>n° 25781/94, § 116.</w:t>
      </w:r>
    </w:p>
  </w:footnote>
  <w:footnote w:id="174">
    <w:p w14:paraId="17884633" w14:textId="77777777" w:rsidR="00D86968" w:rsidRPr="004A17D4" w:rsidRDefault="00D86968" w:rsidP="00720D91">
      <w:pPr>
        <w:pStyle w:val="Sansinterligne"/>
        <w:shd w:val="clear" w:color="auto" w:fill="FFFFFF" w:themeFill="background1"/>
      </w:pPr>
      <w:r w:rsidRPr="00405792">
        <w:rPr>
          <w:rStyle w:val="Appelnotedebasdep"/>
          <w:rFonts w:ascii="Arial" w:hAnsi="Arial" w:cs="Arial"/>
          <w:bCs/>
          <w:sz w:val="18"/>
          <w:szCs w:val="18"/>
        </w:rPr>
        <w:footnoteRef/>
      </w:r>
      <w:r w:rsidRPr="00405792">
        <w:rPr>
          <w:rFonts w:ascii="Arial" w:hAnsi="Arial" w:cs="Arial"/>
          <w:bCs/>
          <w:i/>
          <w:sz w:val="18"/>
          <w:szCs w:val="18"/>
          <w:u w:val="single"/>
        </w:rPr>
        <w:t xml:space="preserve"> Chypre c. Turquie (fond) [GC], </w:t>
      </w:r>
      <w:r w:rsidRPr="00405792">
        <w:rPr>
          <w:rFonts w:ascii="Arial" w:hAnsi="Arial" w:cs="Arial"/>
          <w:bCs/>
          <w:sz w:val="18"/>
          <w:szCs w:val="18"/>
        </w:rPr>
        <w:t>n° 25781/94, § 116.</w:t>
      </w:r>
    </w:p>
  </w:footnote>
  <w:footnote w:id="175">
    <w:p w14:paraId="61F9BF8F" w14:textId="77777777" w:rsidR="00D86968" w:rsidRPr="00720D91" w:rsidRDefault="00D86968" w:rsidP="00720D91">
      <w:pPr>
        <w:pStyle w:val="Notedebasdepage"/>
        <w:shd w:val="clear" w:color="auto" w:fill="FFFFFF" w:themeFill="background1"/>
        <w:rPr>
          <w:bCs/>
          <w:lang w:val="fr-FR"/>
        </w:rPr>
      </w:pPr>
      <w:r w:rsidRPr="00405792">
        <w:rPr>
          <w:rStyle w:val="Appelnotedebasdep"/>
          <w:bCs/>
        </w:rPr>
        <w:footnoteRef/>
      </w:r>
      <w:r w:rsidRPr="00720D91">
        <w:rPr>
          <w:rFonts w:ascii="Arial" w:hAnsi="Arial" w:cs="Arial"/>
          <w:bCs/>
          <w:sz w:val="18"/>
          <w:szCs w:val="18"/>
          <w:lang w:val="fr-FR"/>
        </w:rPr>
        <w:t xml:space="preserve"> </w:t>
      </w:r>
      <w:bookmarkStart w:id="45" w:name="_Hlk67309303"/>
      <w:r w:rsidRPr="00405792">
        <w:fldChar w:fldCharType="begin"/>
      </w:r>
      <w:r w:rsidRPr="00720D91">
        <w:rPr>
          <w:lang w:val="fr-FR"/>
        </w:rPr>
        <w:instrText>HYPERLINK "http://hudoc.echr.coe.int/eng?i=001-189852"</w:instrText>
      </w:r>
      <w:r w:rsidRPr="00405792">
        <w:fldChar w:fldCharType="separate"/>
      </w:r>
      <w:r w:rsidRPr="00720D91">
        <w:rPr>
          <w:rStyle w:val="Lienhypertexte"/>
          <w:rFonts w:ascii="Arial" w:hAnsi="Arial" w:cs="Arial"/>
          <w:bCs/>
          <w:i/>
          <w:color w:val="auto"/>
          <w:sz w:val="18"/>
          <w:szCs w:val="18"/>
          <w:lang w:val="fr-FR"/>
        </w:rPr>
        <w:t xml:space="preserve">Géorgie c. Russie </w:t>
      </w:r>
      <w:r w:rsidRPr="00720D91">
        <w:rPr>
          <w:rStyle w:val="Lienhypertexte"/>
          <w:rFonts w:ascii="Arial" w:hAnsi="Arial" w:cs="Arial"/>
          <w:bCs/>
          <w:color w:val="auto"/>
          <w:sz w:val="18"/>
          <w:szCs w:val="18"/>
          <w:lang w:val="fr-FR"/>
        </w:rPr>
        <w:t>(I) (satisfaction équitable)</w:t>
      </w:r>
      <w:r w:rsidRPr="00405792">
        <w:rPr>
          <w:rStyle w:val="Lienhypertexte"/>
          <w:rFonts w:ascii="Arial" w:hAnsi="Arial" w:cs="Arial"/>
          <w:bCs/>
          <w:color w:val="auto"/>
          <w:sz w:val="18"/>
          <w:szCs w:val="18"/>
        </w:rPr>
        <w:fldChar w:fldCharType="end"/>
      </w:r>
      <w:r w:rsidRPr="00720D91">
        <w:rPr>
          <w:rFonts w:ascii="Arial" w:hAnsi="Arial" w:cs="Arial"/>
          <w:bCs/>
          <w:sz w:val="18"/>
          <w:szCs w:val="18"/>
          <w:lang w:val="fr-FR"/>
        </w:rPr>
        <w:t>, n° 13255/07, § 69, 31 janvier 2019.</w:t>
      </w:r>
      <w:bookmarkEnd w:id="45"/>
    </w:p>
  </w:footnote>
  <w:footnote w:id="176">
    <w:p w14:paraId="4536B128" w14:textId="77777777" w:rsidR="00D86968" w:rsidRPr="00486B14" w:rsidRDefault="00D86968" w:rsidP="00720D91">
      <w:pPr>
        <w:pStyle w:val="Notedebasdepage"/>
        <w:shd w:val="clear" w:color="auto" w:fill="FFFFFF" w:themeFill="background1"/>
        <w:jc w:val="both"/>
        <w:rPr>
          <w:rFonts w:ascii="Arial" w:hAnsi="Arial" w:cs="Arial"/>
          <w:bCs/>
          <w:color w:val="FF0000"/>
          <w:sz w:val="18"/>
          <w:szCs w:val="18"/>
          <w:shd w:val="clear" w:color="auto" w:fill="D9D9D9" w:themeFill="background1" w:themeFillShade="D9"/>
          <w:lang w:val="en-US"/>
        </w:rPr>
      </w:pPr>
      <w:r w:rsidRPr="00405792">
        <w:rPr>
          <w:rStyle w:val="Appelnotedebasdep"/>
          <w:rFonts w:ascii="Arial" w:hAnsi="Arial" w:cs="Arial"/>
          <w:sz w:val="18"/>
          <w:szCs w:val="18"/>
        </w:rPr>
        <w:footnoteRef/>
      </w:r>
      <w:r w:rsidRPr="00720D91">
        <w:rPr>
          <w:rFonts w:ascii="Arial" w:hAnsi="Arial" w:cs="Arial"/>
          <w:bCs/>
          <w:sz w:val="18"/>
          <w:szCs w:val="18"/>
          <w:shd w:val="clear" w:color="auto" w:fill="D9D9D9" w:themeFill="background1" w:themeFillShade="D9"/>
          <w:lang w:val="fr-FR"/>
        </w:rPr>
        <w:t xml:space="preserve"> </w:t>
      </w:r>
      <w:hyperlink r:id="rId254" w:history="1">
        <w:r w:rsidRPr="00720D91">
          <w:rPr>
            <w:rStyle w:val="Lienhypertexte"/>
            <w:rFonts w:ascii="Arial" w:hAnsi="Arial" w:cs="Arial"/>
            <w:i/>
            <w:color w:val="auto"/>
            <w:sz w:val="18"/>
            <w:szCs w:val="18"/>
            <w:lang w:val="fr-FR"/>
          </w:rPr>
          <w:t xml:space="preserve">Géorgie c. Russie </w:t>
        </w:r>
        <w:r w:rsidRPr="00720D91">
          <w:rPr>
            <w:rStyle w:val="Lienhypertexte"/>
            <w:rFonts w:ascii="Arial" w:hAnsi="Arial" w:cs="Arial"/>
            <w:color w:val="auto"/>
            <w:sz w:val="18"/>
            <w:szCs w:val="18"/>
            <w:lang w:val="fr-FR"/>
          </w:rPr>
          <w:t>(I)</w:t>
        </w:r>
      </w:hyperlink>
      <w:r w:rsidRPr="00720D91">
        <w:rPr>
          <w:rFonts w:ascii="Arial" w:hAnsi="Arial" w:cs="Arial"/>
          <w:sz w:val="18"/>
          <w:szCs w:val="18"/>
          <w:lang w:val="fr-FR"/>
        </w:rPr>
        <w:t>, précité, §§ 83-84</w:t>
      </w:r>
      <w:r w:rsidRPr="00720D91">
        <w:rPr>
          <w:rFonts w:ascii="Arial" w:hAnsi="Arial" w:cs="Arial"/>
          <w:sz w:val="18"/>
          <w:szCs w:val="18"/>
          <w:shd w:val="clear" w:color="auto" w:fill="FFFFFF" w:themeFill="background1"/>
          <w:lang w:val="fr-FR"/>
        </w:rPr>
        <w:t>.</w:t>
      </w:r>
      <w:bookmarkStart w:id="49" w:name="_Hlk63238899"/>
      <w:r w:rsidRPr="00720D91">
        <w:rPr>
          <w:rFonts w:ascii="Arial" w:hAnsi="Arial" w:cs="Arial"/>
          <w:bCs/>
          <w:sz w:val="18"/>
          <w:szCs w:val="18"/>
          <w:shd w:val="clear" w:color="auto" w:fill="FFFFFF" w:themeFill="background1"/>
          <w:lang w:val="fr-FR"/>
        </w:rPr>
        <w:t xml:space="preserve"> </w:t>
      </w:r>
      <w:hyperlink r:id="rId255" w:history="1">
        <w:r w:rsidRPr="00486B14">
          <w:rPr>
            <w:rStyle w:val="Lienhypertexte"/>
            <w:rFonts w:ascii="Arial" w:hAnsi="Arial" w:cs="Arial"/>
            <w:bCs/>
            <w:i/>
            <w:iCs/>
            <w:color w:val="auto"/>
            <w:sz w:val="18"/>
            <w:szCs w:val="18"/>
            <w:shd w:val="clear" w:color="auto" w:fill="FFFFFF" w:themeFill="background1"/>
            <w:lang w:val="en-US"/>
          </w:rPr>
          <w:t xml:space="preserve">Géorgie c. Russie </w:t>
        </w:r>
      </w:hyperlink>
      <w:r w:rsidRPr="00486B14">
        <w:rPr>
          <w:rFonts w:ascii="Arial" w:hAnsi="Arial" w:cs="Arial"/>
          <w:bCs/>
          <w:sz w:val="18"/>
          <w:szCs w:val="18"/>
          <w:shd w:val="clear" w:color="auto" w:fill="FFFFFF" w:themeFill="background1"/>
          <w:lang w:val="en-US"/>
        </w:rPr>
        <w:t>(II) (fond) n° 38263/08, §§ 63-66, 21 janvier 2021.</w:t>
      </w:r>
      <w:r w:rsidRPr="00486B14">
        <w:rPr>
          <w:rFonts w:ascii="Arial" w:hAnsi="Arial" w:cs="Arial"/>
          <w:bCs/>
          <w:sz w:val="18"/>
          <w:szCs w:val="18"/>
          <w:shd w:val="clear" w:color="auto" w:fill="D9D9D9" w:themeFill="background1" w:themeFillShade="D9"/>
          <w:lang w:val="en-US"/>
        </w:rPr>
        <w:t xml:space="preserve"> </w:t>
      </w:r>
      <w:bookmarkEnd w:id="49"/>
    </w:p>
  </w:footnote>
  <w:footnote w:id="177">
    <w:p w14:paraId="5E372E0F" w14:textId="77777777" w:rsidR="00D86968" w:rsidRPr="00720D91" w:rsidRDefault="00D86968" w:rsidP="00720D91">
      <w:pPr>
        <w:pStyle w:val="Sansinterligne"/>
        <w:jc w:val="both"/>
        <w:rPr>
          <w:rFonts w:ascii="Arial" w:hAnsi="Arial" w:cs="Arial"/>
          <w:sz w:val="18"/>
          <w:szCs w:val="18"/>
          <w:lang w:val="en-US"/>
        </w:rPr>
      </w:pPr>
      <w:r w:rsidRPr="00405792">
        <w:rPr>
          <w:rStyle w:val="Appelnotedebasdep"/>
          <w:rFonts w:ascii="Arial" w:hAnsi="Arial" w:cs="Arial"/>
          <w:sz w:val="18"/>
          <w:szCs w:val="18"/>
        </w:rPr>
        <w:footnoteRef/>
      </w:r>
      <w:r w:rsidRPr="00720D91">
        <w:rPr>
          <w:rFonts w:ascii="Arial" w:hAnsi="Arial" w:cs="Arial"/>
          <w:sz w:val="18"/>
          <w:szCs w:val="18"/>
          <w:lang w:val="en-US"/>
        </w:rPr>
        <w:t xml:space="preserve"> Voir Philip Leach, Costas Paraskeva, Gordana Uzelac, International Human Rights and Fact-Finding; An Analysis of the fact-finding missions conducted by the European Commission and the European Court of Human Rights, Human Rights and Social Justice, Research Institute, February 2009, pg 45.</w:t>
      </w:r>
    </w:p>
  </w:footnote>
  <w:footnote w:id="178">
    <w:p w14:paraId="05EEF030" w14:textId="77777777" w:rsidR="00D86968" w:rsidRPr="002D305B" w:rsidRDefault="00D86968" w:rsidP="00720D91">
      <w:pPr>
        <w:pStyle w:val="Sansinterligne"/>
        <w:jc w:val="both"/>
        <w:rPr>
          <w:rFonts w:ascii="Arial" w:hAnsi="Arial" w:cs="Arial"/>
          <w:sz w:val="18"/>
          <w:szCs w:val="18"/>
        </w:rPr>
      </w:pPr>
      <w:r w:rsidRPr="002D305B">
        <w:rPr>
          <w:rStyle w:val="Appelnotedebasdep"/>
          <w:rFonts w:ascii="Arial" w:hAnsi="Arial" w:cs="Arial"/>
          <w:sz w:val="18"/>
          <w:szCs w:val="18"/>
        </w:rPr>
        <w:footnoteRef/>
      </w:r>
      <w:r w:rsidRPr="002D305B">
        <w:rPr>
          <w:rFonts w:ascii="Arial" w:hAnsi="Arial" w:cs="Arial"/>
          <w:sz w:val="18"/>
          <w:szCs w:val="18"/>
        </w:rPr>
        <w:t xml:space="preserve"> Ibid.</w:t>
      </w:r>
    </w:p>
  </w:footnote>
  <w:footnote w:id="179">
    <w:p w14:paraId="3A8102C8" w14:textId="77777777" w:rsidR="00D86968" w:rsidRPr="002D305B" w:rsidRDefault="00D86968" w:rsidP="00720D91">
      <w:pPr>
        <w:pStyle w:val="Sansinterligne"/>
        <w:jc w:val="both"/>
        <w:rPr>
          <w:rFonts w:ascii="Arial" w:hAnsi="Arial" w:cs="Arial"/>
          <w:sz w:val="18"/>
          <w:szCs w:val="18"/>
        </w:rPr>
      </w:pPr>
      <w:r w:rsidRPr="002D305B">
        <w:rPr>
          <w:rStyle w:val="Appelnotedebasdep"/>
          <w:rFonts w:ascii="Arial" w:hAnsi="Arial" w:cs="Arial"/>
          <w:sz w:val="18"/>
          <w:szCs w:val="18"/>
        </w:rPr>
        <w:footnoteRef/>
      </w:r>
      <w:r w:rsidRPr="002D305B">
        <w:rPr>
          <w:rFonts w:ascii="Arial" w:hAnsi="Arial" w:cs="Arial"/>
          <w:sz w:val="18"/>
          <w:szCs w:val="18"/>
        </w:rPr>
        <w:t xml:space="preserve"> Ibid.</w:t>
      </w:r>
    </w:p>
  </w:footnote>
  <w:footnote w:id="180">
    <w:p w14:paraId="025485FB" w14:textId="77777777" w:rsidR="00D86968" w:rsidRPr="002D305B" w:rsidRDefault="00D86968" w:rsidP="00720D91">
      <w:pPr>
        <w:pStyle w:val="Sansinterligne"/>
        <w:jc w:val="both"/>
        <w:rPr>
          <w:rFonts w:ascii="Arial" w:hAnsi="Arial" w:cs="Arial"/>
          <w:sz w:val="18"/>
          <w:szCs w:val="18"/>
        </w:rPr>
      </w:pPr>
      <w:r w:rsidRPr="002D305B">
        <w:rPr>
          <w:rStyle w:val="Appelnotedebasdep"/>
          <w:rFonts w:ascii="Arial" w:hAnsi="Arial" w:cs="Arial"/>
          <w:sz w:val="18"/>
          <w:szCs w:val="18"/>
        </w:rPr>
        <w:footnoteRef/>
      </w:r>
      <w:hyperlink r:id="rId256" w:history="1">
        <w:r w:rsidRPr="002D305B">
          <w:rPr>
            <w:rStyle w:val="Lienhypertexte"/>
            <w:rFonts w:ascii="Arial" w:eastAsiaTheme="majorEastAsia" w:hAnsi="Arial" w:cs="Arial"/>
            <w:sz w:val="18"/>
            <w:szCs w:val="18"/>
          </w:rPr>
          <w:t xml:space="preserve"> </w:t>
        </w:r>
      </w:hyperlink>
      <w:r w:rsidRPr="002D305B">
        <w:rPr>
          <w:rFonts w:ascii="Arial" w:hAnsi="Arial" w:cs="Arial"/>
          <w:sz w:val="18"/>
          <w:szCs w:val="18"/>
        </w:rPr>
        <w:t xml:space="preserve">Annexe au </w:t>
      </w:r>
      <w:hyperlink r:id="rId257" w:history="1">
        <w:r w:rsidRPr="002D305B">
          <w:rPr>
            <w:rStyle w:val="Lienhypertexte"/>
            <w:rFonts w:ascii="Arial" w:eastAsiaTheme="majorEastAsia" w:hAnsi="Arial" w:cs="Arial"/>
            <w:sz w:val="18"/>
            <w:szCs w:val="18"/>
          </w:rPr>
          <w:t>Règlement de la Cour</w:t>
        </w:r>
      </w:hyperlink>
      <w:r w:rsidRPr="002D305B">
        <w:rPr>
          <w:rFonts w:ascii="Arial" w:hAnsi="Arial" w:cs="Arial"/>
          <w:sz w:val="18"/>
          <w:szCs w:val="18"/>
        </w:rPr>
        <w:t xml:space="preserve">, article A1 3). </w:t>
      </w:r>
    </w:p>
  </w:footnote>
  <w:footnote w:id="181">
    <w:p w14:paraId="7FA4A10E" w14:textId="77777777" w:rsidR="00D86968" w:rsidRPr="002D305B" w:rsidRDefault="00D86968" w:rsidP="00720D91">
      <w:pPr>
        <w:pStyle w:val="Sansinterligne"/>
        <w:jc w:val="both"/>
        <w:rPr>
          <w:rFonts w:ascii="Arial" w:hAnsi="Arial" w:cs="Arial"/>
          <w:sz w:val="18"/>
          <w:szCs w:val="18"/>
        </w:rPr>
      </w:pPr>
      <w:r w:rsidRPr="002D305B">
        <w:rPr>
          <w:rStyle w:val="Appelnotedebasdep"/>
          <w:rFonts w:ascii="Arial" w:hAnsi="Arial" w:cs="Arial"/>
          <w:sz w:val="18"/>
          <w:szCs w:val="18"/>
        </w:rPr>
        <w:footnoteRef/>
      </w:r>
      <w:r w:rsidRPr="002D305B">
        <w:rPr>
          <w:rFonts w:ascii="Arial" w:hAnsi="Arial" w:cs="Arial"/>
          <w:sz w:val="18"/>
          <w:szCs w:val="18"/>
        </w:rPr>
        <w:t xml:space="preserve"> Annexe au </w:t>
      </w:r>
      <w:hyperlink r:id="rId258" w:history="1">
        <w:r w:rsidRPr="002D305B">
          <w:rPr>
            <w:rStyle w:val="Lienhypertexte"/>
            <w:rFonts w:ascii="Arial" w:eastAsiaTheme="majorEastAsia" w:hAnsi="Arial" w:cs="Arial"/>
            <w:sz w:val="18"/>
            <w:szCs w:val="18"/>
          </w:rPr>
          <w:t>Règlement de la Cour</w:t>
        </w:r>
      </w:hyperlink>
      <w:r w:rsidRPr="002D305B">
        <w:rPr>
          <w:rStyle w:val="Lienhypertexte"/>
          <w:rFonts w:ascii="Arial" w:eastAsiaTheme="majorEastAsia" w:hAnsi="Arial" w:cs="Arial"/>
          <w:sz w:val="18"/>
          <w:szCs w:val="18"/>
        </w:rPr>
        <w:t>, article A1 3).</w:t>
      </w:r>
    </w:p>
  </w:footnote>
  <w:footnote w:id="182">
    <w:p w14:paraId="69C3A31A" w14:textId="77777777" w:rsidR="00D86968" w:rsidRPr="00486B14" w:rsidRDefault="00D86968" w:rsidP="00720D91">
      <w:pPr>
        <w:pStyle w:val="SingleTxtG"/>
        <w:spacing w:after="0" w:line="180" w:lineRule="exact"/>
        <w:ind w:left="0" w:right="0"/>
        <w:rPr>
          <w:rFonts w:ascii="Arial" w:hAnsi="Arial" w:cs="Arial"/>
          <w:color w:val="FF0000"/>
          <w:sz w:val="18"/>
          <w:szCs w:val="18"/>
          <w:shd w:val="clear" w:color="auto" w:fill="D9D9D9" w:themeFill="background1" w:themeFillShade="D9"/>
          <w:lang w:val="en-US"/>
        </w:rPr>
      </w:pPr>
      <w:r w:rsidRPr="00560F13">
        <w:rPr>
          <w:rStyle w:val="Appelnotedebasdep"/>
          <w:rFonts w:ascii="Arial" w:hAnsi="Arial" w:cs="Arial"/>
          <w:sz w:val="18"/>
          <w:szCs w:val="18"/>
        </w:rPr>
        <w:footnoteRef/>
      </w:r>
      <w:r w:rsidRPr="00486B14">
        <w:rPr>
          <w:rFonts w:ascii="Arial" w:hAnsi="Arial" w:cs="Arial"/>
          <w:sz w:val="18"/>
          <w:szCs w:val="18"/>
          <w:lang w:val="en-US"/>
        </w:rPr>
        <w:t xml:space="preserve"> </w:t>
      </w:r>
      <w:hyperlink r:id="rId259" w:history="1">
        <w:r w:rsidRPr="00486B14">
          <w:rPr>
            <w:rFonts w:ascii="Arial" w:hAnsi="Arial" w:cs="Arial"/>
            <w:i/>
            <w:iCs/>
            <w:sz w:val="18"/>
            <w:szCs w:val="18"/>
            <w:u w:val="single"/>
            <w:lang w:val="en-US"/>
          </w:rPr>
          <w:t>Georgia v. Russia</w:t>
        </w:r>
      </w:hyperlink>
      <w:r w:rsidRPr="00486B14">
        <w:rPr>
          <w:rFonts w:ascii="Arial" w:hAnsi="Arial" w:cs="Arial"/>
          <w:sz w:val="18"/>
          <w:szCs w:val="18"/>
          <w:u w:val="single"/>
          <w:lang w:val="en-US"/>
        </w:rPr>
        <w:t xml:space="preserve"> (II) (merits)</w:t>
      </w:r>
      <w:r w:rsidRPr="00486B14">
        <w:rPr>
          <w:rFonts w:ascii="Arial" w:hAnsi="Arial" w:cs="Arial"/>
          <w:sz w:val="18"/>
          <w:szCs w:val="18"/>
          <w:lang w:val="en-US"/>
        </w:rPr>
        <w:t xml:space="preserve"> no. 38263/08, § 74, 21 January 2021.</w:t>
      </w:r>
    </w:p>
  </w:footnote>
  <w:footnote w:id="183">
    <w:p w14:paraId="11550785" w14:textId="77777777" w:rsidR="00D86968" w:rsidRPr="002D305B" w:rsidRDefault="00D86968" w:rsidP="00720D91">
      <w:pPr>
        <w:pStyle w:val="Sansinterligne"/>
        <w:jc w:val="both"/>
        <w:rPr>
          <w:rFonts w:ascii="Arial" w:hAnsi="Arial" w:cs="Arial"/>
          <w:sz w:val="18"/>
          <w:szCs w:val="18"/>
        </w:rPr>
      </w:pPr>
      <w:r w:rsidRPr="002D305B">
        <w:rPr>
          <w:rStyle w:val="Appelnotedebasdep"/>
          <w:rFonts w:ascii="Arial" w:hAnsi="Arial" w:cs="Arial"/>
          <w:sz w:val="18"/>
          <w:szCs w:val="18"/>
        </w:rPr>
        <w:footnoteRef/>
      </w:r>
      <w:r w:rsidRPr="002D305B">
        <w:rPr>
          <w:rFonts w:ascii="Arial" w:hAnsi="Arial" w:cs="Arial"/>
          <w:sz w:val="18"/>
          <w:szCs w:val="18"/>
        </w:rPr>
        <w:t xml:space="preserve"> Ibid, Règle A5 § 1 ; la même règle s'applique également aux experts et aux autres personnes. </w:t>
      </w:r>
    </w:p>
  </w:footnote>
  <w:footnote w:id="184">
    <w:p w14:paraId="060E4273" w14:textId="77777777" w:rsidR="00D86968" w:rsidRPr="002D305B" w:rsidRDefault="00D86968" w:rsidP="00720D91">
      <w:pPr>
        <w:pStyle w:val="Sansinterligne"/>
        <w:jc w:val="both"/>
        <w:rPr>
          <w:rFonts w:ascii="Arial" w:hAnsi="Arial" w:cs="Arial"/>
          <w:sz w:val="18"/>
          <w:szCs w:val="18"/>
        </w:rPr>
      </w:pPr>
      <w:r w:rsidRPr="002D305B">
        <w:rPr>
          <w:rStyle w:val="Appelnotedebasdep"/>
          <w:rFonts w:ascii="Arial" w:hAnsi="Arial" w:cs="Arial"/>
          <w:sz w:val="18"/>
          <w:szCs w:val="18"/>
        </w:rPr>
        <w:footnoteRef/>
      </w:r>
      <w:r w:rsidRPr="002D305B">
        <w:rPr>
          <w:rFonts w:ascii="Arial" w:hAnsi="Arial" w:cs="Arial"/>
          <w:sz w:val="18"/>
          <w:szCs w:val="18"/>
        </w:rPr>
        <w:t xml:space="preserve"> Voir le </w:t>
      </w:r>
      <w:hyperlink r:id="rId260" w:history="1">
        <w:r w:rsidRPr="002D305B">
          <w:rPr>
            <w:rStyle w:val="Lienhypertexte"/>
            <w:rFonts w:ascii="Arial" w:eastAsiaTheme="majorEastAsia" w:hAnsi="Arial" w:cs="Arial"/>
            <w:sz w:val="18"/>
            <w:szCs w:val="18"/>
          </w:rPr>
          <w:t>Règlement de la Cour</w:t>
        </w:r>
      </w:hyperlink>
      <w:r w:rsidRPr="002D305B">
        <w:rPr>
          <w:rFonts w:ascii="Arial" w:hAnsi="Arial" w:cs="Arial"/>
          <w:sz w:val="18"/>
          <w:szCs w:val="18"/>
        </w:rPr>
        <w:t xml:space="preserve">, articles 37 § 2 et A5 § 4 de l’annexe. </w:t>
      </w:r>
    </w:p>
  </w:footnote>
  <w:footnote w:id="185">
    <w:p w14:paraId="6C17F40A" w14:textId="77777777" w:rsidR="00D86968" w:rsidRPr="002D305B" w:rsidRDefault="00D86968" w:rsidP="00720D91">
      <w:pPr>
        <w:pStyle w:val="Sansinterligne"/>
        <w:jc w:val="both"/>
        <w:rPr>
          <w:rFonts w:ascii="Arial" w:hAnsi="Arial" w:cs="Arial"/>
          <w:sz w:val="18"/>
          <w:szCs w:val="18"/>
        </w:rPr>
      </w:pPr>
      <w:r w:rsidRPr="002D305B">
        <w:rPr>
          <w:rStyle w:val="Appelnotedebasdep"/>
          <w:rFonts w:ascii="Arial" w:hAnsi="Arial" w:cs="Arial"/>
          <w:sz w:val="18"/>
          <w:szCs w:val="18"/>
        </w:rPr>
        <w:footnoteRef/>
      </w:r>
      <w:r w:rsidRPr="002D305B">
        <w:rPr>
          <w:rFonts w:ascii="Arial" w:hAnsi="Arial" w:cs="Arial"/>
          <w:sz w:val="18"/>
          <w:szCs w:val="18"/>
        </w:rPr>
        <w:t xml:space="preserve"> Ibid, Article A4 § 2 de l'Annexe.</w:t>
      </w:r>
    </w:p>
  </w:footnote>
  <w:footnote w:id="186">
    <w:p w14:paraId="6DFA21A9" w14:textId="77777777" w:rsidR="00D86968" w:rsidRPr="002D305B" w:rsidRDefault="00D86968" w:rsidP="00720D91">
      <w:pPr>
        <w:pStyle w:val="Sansinterligne"/>
        <w:jc w:val="both"/>
        <w:rPr>
          <w:rFonts w:ascii="Arial" w:hAnsi="Arial" w:cs="Arial"/>
          <w:sz w:val="18"/>
          <w:szCs w:val="18"/>
        </w:rPr>
      </w:pPr>
      <w:r w:rsidRPr="002D305B">
        <w:rPr>
          <w:rStyle w:val="Appelnotedebasdep"/>
          <w:rFonts w:ascii="Arial" w:hAnsi="Arial" w:cs="Arial"/>
          <w:sz w:val="18"/>
          <w:szCs w:val="18"/>
        </w:rPr>
        <w:footnoteRef/>
      </w:r>
      <w:r w:rsidRPr="002D305B">
        <w:rPr>
          <w:rFonts w:ascii="Arial" w:hAnsi="Arial" w:cs="Arial"/>
          <w:sz w:val="18"/>
          <w:szCs w:val="18"/>
        </w:rPr>
        <w:t xml:space="preserve"> </w:t>
      </w:r>
      <w:hyperlink r:id="rId261" w:history="1">
        <w:r w:rsidRPr="002D305B">
          <w:rPr>
            <w:rStyle w:val="Lienhypertexte"/>
            <w:rFonts w:ascii="Arial" w:eastAsiaTheme="majorEastAsia" w:hAnsi="Arial" w:cs="Arial"/>
            <w:i/>
            <w:sz w:val="18"/>
            <w:szCs w:val="18"/>
          </w:rPr>
          <w:t>Chypre c. Turquie</w:t>
        </w:r>
      </w:hyperlink>
      <w:r w:rsidRPr="002D305B">
        <w:rPr>
          <w:rStyle w:val="Lienhypertexte"/>
          <w:rFonts w:ascii="Arial" w:eastAsiaTheme="majorEastAsia" w:hAnsi="Arial" w:cs="Arial"/>
          <w:i/>
          <w:sz w:val="18"/>
          <w:szCs w:val="18"/>
        </w:rPr>
        <w:t xml:space="preserve"> [GC]</w:t>
      </w:r>
      <w:r w:rsidRPr="002D305B">
        <w:rPr>
          <w:rFonts w:ascii="Arial" w:hAnsi="Arial" w:cs="Arial"/>
          <w:sz w:val="18"/>
          <w:szCs w:val="18"/>
        </w:rPr>
        <w:t xml:space="preserve">, précité, §§ 110 et 339.  </w:t>
      </w:r>
    </w:p>
  </w:footnote>
  <w:footnote w:id="187">
    <w:p w14:paraId="2FEA3E51" w14:textId="77777777" w:rsidR="00D86968" w:rsidRPr="00720D91" w:rsidRDefault="00D86968" w:rsidP="00720D91">
      <w:pPr>
        <w:pStyle w:val="Notedebasdepage"/>
        <w:jc w:val="both"/>
        <w:rPr>
          <w:lang w:val="fr-FR"/>
        </w:rPr>
      </w:pPr>
      <w:r w:rsidRPr="00F54CE3">
        <w:rPr>
          <w:rStyle w:val="Appelnotedebasdep"/>
          <w:shd w:val="clear" w:color="auto" w:fill="FFFFFF" w:themeFill="background1"/>
        </w:rPr>
        <w:footnoteRef/>
      </w:r>
      <w:r w:rsidRPr="00720D91">
        <w:rPr>
          <w:rFonts w:ascii="Arial" w:hAnsi="Arial" w:cs="Arial"/>
          <w:sz w:val="18"/>
          <w:szCs w:val="18"/>
          <w:shd w:val="clear" w:color="auto" w:fill="FFFFFF" w:themeFill="background1"/>
          <w:lang w:val="fr-FR"/>
        </w:rPr>
        <w:t xml:space="preserve"> Dans l'affaire </w:t>
      </w:r>
      <w:hyperlink r:id="rId262" w:history="1">
        <w:r w:rsidRPr="00720D91">
          <w:rPr>
            <w:rStyle w:val="Lienhypertexte"/>
            <w:rFonts w:ascii="Arial" w:hAnsi="Arial" w:cs="Arial"/>
            <w:i/>
            <w:iCs/>
            <w:color w:val="auto"/>
            <w:sz w:val="18"/>
            <w:szCs w:val="18"/>
            <w:shd w:val="clear" w:color="auto" w:fill="FFFFFF" w:themeFill="background1"/>
            <w:lang w:val="fr-FR"/>
          </w:rPr>
          <w:t xml:space="preserve">Géorgie c. Russie </w:t>
        </w:r>
      </w:hyperlink>
      <w:r w:rsidRPr="00720D91">
        <w:rPr>
          <w:rFonts w:ascii="Arial" w:hAnsi="Arial" w:cs="Arial"/>
          <w:sz w:val="18"/>
          <w:szCs w:val="18"/>
          <w:shd w:val="clear" w:color="auto" w:fill="FFFFFF" w:themeFill="background1"/>
          <w:lang w:val="fr-FR"/>
        </w:rPr>
        <w:t xml:space="preserve">(II) (fond) la Cour a entendu un total de 33 témoins ; 15 avaient été cités par le gouvernement requérant, 12 par le gouvernement défendeur et 6 directement par la Cour. </w:t>
      </w:r>
      <w:hyperlink r:id="rId263" w:history="1">
        <w:r w:rsidRPr="00720D91">
          <w:rPr>
            <w:rFonts w:ascii="Arial" w:hAnsi="Arial" w:cs="Arial"/>
            <w:i/>
            <w:iCs/>
            <w:sz w:val="18"/>
            <w:szCs w:val="18"/>
            <w:shd w:val="clear" w:color="auto" w:fill="FFFFFF" w:themeFill="background1"/>
            <w:lang w:val="fr-FR"/>
          </w:rPr>
          <w:t xml:space="preserve">Géorgie c. Russie </w:t>
        </w:r>
      </w:hyperlink>
      <w:r w:rsidRPr="00720D91">
        <w:rPr>
          <w:rFonts w:ascii="Arial" w:hAnsi="Arial" w:cs="Arial"/>
          <w:sz w:val="18"/>
          <w:szCs w:val="18"/>
          <w:shd w:val="clear" w:color="auto" w:fill="FFFFFF" w:themeFill="background1"/>
          <w:lang w:val="fr-FR"/>
        </w:rPr>
        <w:t>(II) (fond) n° 38263/08, § 74, 21 janvier 2021.</w:t>
      </w:r>
    </w:p>
  </w:footnote>
  <w:footnote w:id="188">
    <w:p w14:paraId="48656EE2" w14:textId="77777777" w:rsidR="00D86968" w:rsidRPr="002D305B" w:rsidRDefault="00D86968" w:rsidP="00720D91">
      <w:pPr>
        <w:pStyle w:val="Sansinterligne"/>
        <w:jc w:val="both"/>
        <w:rPr>
          <w:rFonts w:ascii="Arial" w:hAnsi="Arial" w:cs="Arial"/>
          <w:sz w:val="18"/>
          <w:szCs w:val="18"/>
        </w:rPr>
      </w:pPr>
      <w:r w:rsidRPr="002D305B">
        <w:rPr>
          <w:rStyle w:val="Appelnotedebasdep"/>
          <w:rFonts w:ascii="Arial" w:hAnsi="Arial" w:cs="Arial"/>
          <w:sz w:val="18"/>
          <w:szCs w:val="18"/>
        </w:rPr>
        <w:footnoteRef/>
      </w:r>
      <w:r w:rsidRPr="002D305B">
        <w:rPr>
          <w:rFonts w:ascii="Arial" w:hAnsi="Arial" w:cs="Arial"/>
          <w:sz w:val="18"/>
          <w:szCs w:val="18"/>
        </w:rPr>
        <w:t xml:space="preserve"> Voir </w:t>
      </w:r>
      <w:r w:rsidRPr="002D305B">
        <w:rPr>
          <w:rStyle w:val="Lienhypertexte"/>
          <w:rFonts w:ascii="Arial" w:eastAsiaTheme="majorEastAsia" w:hAnsi="Arial" w:cs="Arial"/>
          <w:sz w:val="18"/>
          <w:szCs w:val="18"/>
        </w:rPr>
        <w:t>article A5 § 6</w:t>
      </w:r>
      <w:r w:rsidRPr="002D305B">
        <w:rPr>
          <w:rFonts w:ascii="Arial" w:hAnsi="Arial" w:cs="Arial"/>
          <w:sz w:val="18"/>
          <w:szCs w:val="18"/>
        </w:rPr>
        <w:t xml:space="preserve"> de l’annexe au </w:t>
      </w:r>
      <w:hyperlink r:id="rId264" w:history="1">
        <w:r w:rsidRPr="002D305B">
          <w:rPr>
            <w:rStyle w:val="Lienhypertexte"/>
            <w:rFonts w:ascii="Arial" w:eastAsiaTheme="majorEastAsia" w:hAnsi="Arial" w:cs="Arial"/>
            <w:sz w:val="18"/>
            <w:szCs w:val="18"/>
          </w:rPr>
          <w:t>Règlement de la Cour</w:t>
        </w:r>
      </w:hyperlink>
      <w:r w:rsidRPr="002D305B">
        <w:rPr>
          <w:rStyle w:val="Lienhypertexte"/>
          <w:rFonts w:ascii="Arial" w:eastAsiaTheme="majorEastAsia" w:hAnsi="Arial" w:cs="Arial"/>
          <w:sz w:val="18"/>
          <w:szCs w:val="18"/>
        </w:rPr>
        <w:t xml:space="preserve">. </w:t>
      </w:r>
    </w:p>
  </w:footnote>
  <w:footnote w:id="189">
    <w:p w14:paraId="765BBC8C" w14:textId="77777777" w:rsidR="00D86968" w:rsidRPr="002D305B" w:rsidRDefault="00D86968" w:rsidP="00720D91">
      <w:pPr>
        <w:pStyle w:val="Sansinterligne"/>
        <w:jc w:val="both"/>
        <w:rPr>
          <w:rFonts w:ascii="Arial" w:hAnsi="Arial" w:cs="Arial"/>
          <w:sz w:val="18"/>
          <w:szCs w:val="18"/>
        </w:rPr>
      </w:pPr>
      <w:r w:rsidRPr="002D305B">
        <w:rPr>
          <w:rStyle w:val="Appelnotedebasdep"/>
          <w:rFonts w:ascii="Arial" w:hAnsi="Arial" w:cs="Arial"/>
          <w:sz w:val="18"/>
          <w:szCs w:val="18"/>
        </w:rPr>
        <w:footnoteRef/>
      </w:r>
      <w:r w:rsidRPr="002D305B">
        <w:rPr>
          <w:rFonts w:ascii="Arial" w:hAnsi="Arial" w:cs="Arial"/>
          <w:sz w:val="18"/>
          <w:szCs w:val="18"/>
        </w:rPr>
        <w:t xml:space="preserve"> Ibid, article A2 § 2.</w:t>
      </w:r>
    </w:p>
  </w:footnote>
  <w:footnote w:id="190">
    <w:p w14:paraId="385D4F01" w14:textId="77777777" w:rsidR="00D86968" w:rsidRPr="002D305B" w:rsidRDefault="00D86968" w:rsidP="00720D91">
      <w:pPr>
        <w:pStyle w:val="Sansinterligne"/>
        <w:jc w:val="both"/>
        <w:rPr>
          <w:rFonts w:ascii="Arial" w:hAnsi="Arial" w:cs="Arial"/>
          <w:sz w:val="18"/>
          <w:szCs w:val="18"/>
        </w:rPr>
      </w:pPr>
      <w:r w:rsidRPr="002D305B">
        <w:rPr>
          <w:rStyle w:val="Appelnotedebasdep"/>
          <w:rFonts w:ascii="Arial" w:hAnsi="Arial" w:cs="Arial"/>
          <w:sz w:val="18"/>
          <w:szCs w:val="18"/>
        </w:rPr>
        <w:footnoteRef/>
      </w:r>
      <w:r w:rsidRPr="002D305B">
        <w:rPr>
          <w:rFonts w:ascii="Arial" w:hAnsi="Arial" w:cs="Arial"/>
          <w:sz w:val="18"/>
          <w:szCs w:val="18"/>
        </w:rPr>
        <w:t xml:space="preserve"> Voir les commentaires de Chypre contenus dans le document </w:t>
      </w:r>
      <w:hyperlink r:id="rId265" w:history="1">
        <w:r w:rsidRPr="002D305B">
          <w:rPr>
            <w:rStyle w:val="Lienhypertexte"/>
            <w:rFonts w:ascii="Arial" w:eastAsiaTheme="majorEastAsia" w:hAnsi="Arial" w:cs="Arial"/>
            <w:sz w:val="18"/>
            <w:szCs w:val="18"/>
          </w:rPr>
          <w:t>CDDH(2019)12</w:t>
        </w:r>
      </w:hyperlink>
      <w:r w:rsidRPr="002D305B">
        <w:rPr>
          <w:rStyle w:val="Lienhypertexte"/>
          <w:rFonts w:ascii="Arial" w:eastAsiaTheme="majorEastAsia" w:hAnsi="Arial" w:cs="Arial"/>
          <w:sz w:val="18"/>
          <w:szCs w:val="18"/>
        </w:rPr>
        <w:t xml:space="preserve">. </w:t>
      </w:r>
      <w:r w:rsidRPr="002D305B">
        <w:rPr>
          <w:rFonts w:ascii="Arial" w:hAnsi="Arial" w:cs="Arial"/>
          <w:sz w:val="18"/>
          <w:szCs w:val="18"/>
        </w:rPr>
        <w:t xml:space="preserve">La </w:t>
      </w:r>
      <w:hyperlink r:id="rId266" w:history="1">
        <w:r w:rsidRPr="002D305B">
          <w:rPr>
            <w:rStyle w:val="Lienhypertexte"/>
            <w:rFonts w:ascii="Arial" w:eastAsiaTheme="majorEastAsia" w:hAnsi="Arial" w:cs="Arial"/>
            <w:sz w:val="18"/>
            <w:szCs w:val="18"/>
          </w:rPr>
          <w:t>Résolution 1571 (2007)</w:t>
        </w:r>
      </w:hyperlink>
      <w:r w:rsidRPr="002D305B">
        <w:rPr>
          <w:rFonts w:ascii="Arial" w:hAnsi="Arial" w:cs="Arial"/>
          <w:sz w:val="18"/>
          <w:szCs w:val="18"/>
        </w:rPr>
        <w:t xml:space="preserve"> de l'Assemblée parlementaire, « Devoir des États membres de coopérer avec la Cour européenne des droits de l’homme », appelle tous les États membres à prendre des mesures positives pour protéger les requérants, leurs avocats ou les membres de leur famille de représailles de la part d’individus ou de groupes et notamment, s’il y a lieu, à permettre aux requérants de prendre part à des programmes de protection des témoins, de leur accorder une protection policière spéciale ou d’accorder aux individus et aux membres de leur famille qui sont l’objet de menaces une protection temporaire ou l’asile politique de manière non bureaucratique, voir par. 17 § 2. </w:t>
      </w:r>
    </w:p>
  </w:footnote>
  <w:footnote w:id="191">
    <w:p w14:paraId="6EACB4D9" w14:textId="77777777" w:rsidR="00D86968" w:rsidRPr="002D305B" w:rsidRDefault="00D86968" w:rsidP="00720D91">
      <w:pPr>
        <w:pStyle w:val="Sansinterligne"/>
        <w:jc w:val="both"/>
        <w:rPr>
          <w:rFonts w:ascii="Arial" w:hAnsi="Arial" w:cs="Arial"/>
          <w:sz w:val="18"/>
          <w:szCs w:val="18"/>
        </w:rPr>
      </w:pPr>
      <w:r w:rsidRPr="002D305B">
        <w:rPr>
          <w:rStyle w:val="Appelnotedebasdep"/>
          <w:rFonts w:ascii="Arial" w:hAnsi="Arial" w:cs="Arial"/>
          <w:sz w:val="18"/>
          <w:szCs w:val="18"/>
        </w:rPr>
        <w:footnoteRef/>
      </w:r>
      <w:r w:rsidRPr="002D305B">
        <w:rPr>
          <w:rFonts w:ascii="Arial" w:hAnsi="Arial" w:cs="Arial"/>
          <w:sz w:val="18"/>
          <w:szCs w:val="18"/>
        </w:rPr>
        <w:t xml:space="preserve"> </w:t>
      </w:r>
      <w:r w:rsidRPr="002D305B">
        <w:rPr>
          <w:rStyle w:val="Lienhypertexte"/>
          <w:rFonts w:ascii="Arial" w:eastAsiaTheme="majorEastAsia" w:hAnsi="Arial" w:cs="Arial"/>
          <w:sz w:val="18"/>
          <w:szCs w:val="18"/>
        </w:rPr>
        <w:t>Article A7 § 4 de l’a</w:t>
      </w:r>
      <w:r w:rsidRPr="002D305B">
        <w:rPr>
          <w:rFonts w:ascii="Arial" w:hAnsi="Arial" w:cs="Arial"/>
          <w:sz w:val="18"/>
          <w:szCs w:val="18"/>
        </w:rPr>
        <w:t xml:space="preserve">nnexe au </w:t>
      </w:r>
      <w:hyperlink r:id="rId267" w:history="1">
        <w:r w:rsidRPr="002D305B">
          <w:rPr>
            <w:rStyle w:val="Lienhypertexte"/>
            <w:rFonts w:ascii="Arial" w:eastAsiaTheme="majorEastAsia" w:hAnsi="Arial" w:cs="Arial"/>
            <w:sz w:val="18"/>
            <w:szCs w:val="18"/>
          </w:rPr>
          <w:t>Règlement de la Cour</w:t>
        </w:r>
      </w:hyperlink>
      <w:r w:rsidRPr="002D305B">
        <w:rPr>
          <w:rStyle w:val="Lienhypertexte"/>
          <w:rFonts w:ascii="Arial" w:eastAsiaTheme="majorEastAsia" w:hAnsi="Arial" w:cs="Arial"/>
          <w:sz w:val="18"/>
          <w:szCs w:val="18"/>
        </w:rPr>
        <w:t>.</w:t>
      </w:r>
    </w:p>
  </w:footnote>
  <w:footnote w:id="192">
    <w:p w14:paraId="72A2E0B7" w14:textId="77777777" w:rsidR="00D86968" w:rsidRPr="002D305B" w:rsidRDefault="00D86968" w:rsidP="00720D91">
      <w:pPr>
        <w:pStyle w:val="Sansinterligne"/>
        <w:jc w:val="both"/>
        <w:rPr>
          <w:rFonts w:ascii="Arial" w:hAnsi="Arial" w:cs="Arial"/>
          <w:sz w:val="18"/>
          <w:szCs w:val="18"/>
        </w:rPr>
      </w:pPr>
      <w:r w:rsidRPr="002D305B">
        <w:rPr>
          <w:rStyle w:val="Appelnotedebasdep"/>
          <w:rFonts w:ascii="Arial" w:hAnsi="Arial" w:cs="Arial"/>
          <w:sz w:val="18"/>
          <w:szCs w:val="18"/>
        </w:rPr>
        <w:footnoteRef/>
      </w:r>
      <w:r w:rsidRPr="002D305B">
        <w:rPr>
          <w:rFonts w:ascii="Arial" w:hAnsi="Arial" w:cs="Arial"/>
          <w:sz w:val="18"/>
          <w:szCs w:val="18"/>
        </w:rPr>
        <w:t xml:space="preserve"> Voir le </w:t>
      </w:r>
      <w:hyperlink r:id="rId268" w:history="1">
        <w:r w:rsidRPr="002D305B">
          <w:rPr>
            <w:rStyle w:val="Lienhypertexte"/>
            <w:rFonts w:ascii="Arial" w:eastAsiaTheme="majorEastAsia" w:hAnsi="Arial" w:cs="Arial"/>
            <w:sz w:val="18"/>
            <w:szCs w:val="18"/>
          </w:rPr>
          <w:t>rapport de la Commission</w:t>
        </w:r>
      </w:hyperlink>
      <w:r w:rsidRPr="002D305B">
        <w:rPr>
          <w:rFonts w:ascii="Arial" w:hAnsi="Arial" w:cs="Arial"/>
          <w:sz w:val="18"/>
          <w:szCs w:val="18"/>
        </w:rPr>
        <w:t xml:space="preserve"> dans l'affaire </w:t>
      </w:r>
      <w:r w:rsidRPr="002D305B">
        <w:rPr>
          <w:rFonts w:ascii="Arial" w:hAnsi="Arial" w:cs="Arial"/>
          <w:i/>
          <w:sz w:val="18"/>
          <w:szCs w:val="18"/>
        </w:rPr>
        <w:t>Chypre c. Turquie</w:t>
      </w:r>
      <w:r w:rsidRPr="002D305B">
        <w:rPr>
          <w:rFonts w:ascii="Arial" w:hAnsi="Arial" w:cs="Arial"/>
          <w:sz w:val="18"/>
          <w:szCs w:val="18"/>
        </w:rPr>
        <w:t xml:space="preserve">, §§ 33-47 et l'arrêt dans la même affaire, §§ </w:t>
      </w:r>
      <w:r w:rsidRPr="002D305B">
        <w:rPr>
          <w:rStyle w:val="column"/>
          <w:rFonts w:ascii="Arial" w:eastAsiaTheme="majorEastAsia" w:hAnsi="Arial" w:cs="Arial"/>
          <w:sz w:val="18"/>
          <w:szCs w:val="18"/>
        </w:rPr>
        <w:t>105-118.</w:t>
      </w:r>
    </w:p>
  </w:footnote>
  <w:footnote w:id="193">
    <w:p w14:paraId="6D93BE4B" w14:textId="77777777" w:rsidR="00D86968" w:rsidRPr="002D305B" w:rsidRDefault="00D86968" w:rsidP="00720D91">
      <w:pPr>
        <w:pStyle w:val="Sansinterligne"/>
        <w:jc w:val="both"/>
        <w:rPr>
          <w:rFonts w:ascii="Arial" w:hAnsi="Arial" w:cs="Arial"/>
          <w:sz w:val="18"/>
          <w:szCs w:val="18"/>
        </w:rPr>
      </w:pPr>
      <w:r w:rsidRPr="002D305B">
        <w:rPr>
          <w:rStyle w:val="Appelnotedebasdep"/>
          <w:rFonts w:ascii="Arial" w:hAnsi="Arial" w:cs="Arial"/>
          <w:sz w:val="18"/>
          <w:szCs w:val="18"/>
        </w:rPr>
        <w:footnoteRef/>
      </w:r>
      <w:r w:rsidRPr="002D305B">
        <w:rPr>
          <w:rFonts w:ascii="Arial" w:hAnsi="Arial" w:cs="Arial"/>
          <w:sz w:val="18"/>
          <w:szCs w:val="18"/>
        </w:rPr>
        <w:t xml:space="preserve"> </w:t>
      </w:r>
      <w:hyperlink r:id="rId269" w:anchor="{%22itemid%22:[%22001-145552%22]}" w:history="1">
        <w:r w:rsidRPr="002D305B">
          <w:rPr>
            <w:rStyle w:val="Lienhypertexte"/>
            <w:rFonts w:ascii="Arial" w:eastAsiaTheme="majorEastAsia" w:hAnsi="Arial" w:cs="Arial"/>
            <w:i/>
            <w:sz w:val="18"/>
            <w:szCs w:val="18"/>
          </w:rPr>
          <w:t>Géorgie c. Russie</w:t>
        </w:r>
        <w:r w:rsidRPr="002D305B">
          <w:rPr>
            <w:rStyle w:val="Lienhypertexte"/>
            <w:rFonts w:ascii="Arial" w:eastAsiaTheme="majorEastAsia" w:hAnsi="Arial" w:cs="Arial"/>
            <w:sz w:val="18"/>
            <w:szCs w:val="18"/>
          </w:rPr>
          <w:t xml:space="preserve"> </w:t>
        </w:r>
        <w:r w:rsidRPr="002D305B">
          <w:rPr>
            <w:rStyle w:val="Lienhypertexte"/>
            <w:rFonts w:ascii="Arial" w:eastAsiaTheme="majorEastAsia" w:hAnsi="Arial" w:cs="Arial"/>
            <w:i/>
            <w:sz w:val="18"/>
            <w:szCs w:val="18"/>
          </w:rPr>
          <w:t>(I)</w:t>
        </w:r>
      </w:hyperlink>
      <w:r w:rsidRPr="002D305B">
        <w:rPr>
          <w:rFonts w:ascii="Arial" w:hAnsi="Arial" w:cs="Arial"/>
          <w:sz w:val="18"/>
          <w:szCs w:val="18"/>
        </w:rPr>
        <w:t>, précité, §§ 90-92.</w:t>
      </w:r>
    </w:p>
  </w:footnote>
  <w:footnote w:id="194">
    <w:p w14:paraId="57F84027" w14:textId="77777777" w:rsidR="00D86968" w:rsidRPr="00486B14" w:rsidRDefault="00D86968" w:rsidP="00720D91">
      <w:pPr>
        <w:pStyle w:val="Notedebasdepage"/>
        <w:jc w:val="both"/>
        <w:rPr>
          <w:lang w:val="en-US"/>
        </w:rPr>
      </w:pPr>
      <w:r w:rsidRPr="002D305B">
        <w:rPr>
          <w:rStyle w:val="Appelnotedebasdep"/>
        </w:rPr>
        <w:footnoteRef/>
      </w:r>
      <w:r w:rsidRPr="00486B14">
        <w:rPr>
          <w:rFonts w:ascii="Arial" w:hAnsi="Arial" w:cs="Arial"/>
          <w:sz w:val="18"/>
          <w:szCs w:val="18"/>
          <w:lang w:val="en-US"/>
        </w:rPr>
        <w:t xml:space="preserve"> Voir Philip Leach, Costas Paraskeva, Gordana Uzelac, International Human Rights and Fact-Finding ; An Analysis of the fact-finding missions conducted by the European Commission and the European Court of Human Rights, Human Rights and Social Justice, Research Institute, February 2009, pg 82.</w:t>
      </w:r>
    </w:p>
  </w:footnote>
  <w:footnote w:id="195">
    <w:p w14:paraId="69C1EA36" w14:textId="77777777" w:rsidR="00D86968" w:rsidRPr="002D305B" w:rsidRDefault="00D86968" w:rsidP="00720D91">
      <w:pPr>
        <w:pStyle w:val="Sansinterligne"/>
        <w:jc w:val="both"/>
        <w:rPr>
          <w:rFonts w:ascii="Arial" w:hAnsi="Arial" w:cs="Arial"/>
          <w:sz w:val="18"/>
          <w:szCs w:val="18"/>
        </w:rPr>
      </w:pPr>
      <w:r w:rsidRPr="002D305B">
        <w:rPr>
          <w:rStyle w:val="Appelnotedebasdep"/>
          <w:rFonts w:ascii="Arial" w:hAnsi="Arial" w:cs="Arial"/>
          <w:sz w:val="18"/>
          <w:szCs w:val="18"/>
        </w:rPr>
        <w:footnoteRef/>
      </w:r>
      <w:r w:rsidRPr="002D305B">
        <w:rPr>
          <w:rFonts w:ascii="Arial" w:eastAsiaTheme="minorHAnsi" w:hAnsi="Arial" w:cs="Arial"/>
          <w:color w:val="231F20"/>
          <w:sz w:val="18"/>
          <w:szCs w:val="18"/>
          <w:lang w:eastAsia="en-US"/>
        </w:rPr>
        <w:t xml:space="preserve"> </w:t>
      </w:r>
      <w:hyperlink r:id="rId270" w:history="1">
        <w:r w:rsidRPr="002D305B">
          <w:rPr>
            <w:rStyle w:val="Lienhypertexte"/>
            <w:rFonts w:ascii="Arial" w:eastAsiaTheme="majorEastAsia" w:hAnsi="Arial" w:cs="Arial"/>
            <w:i/>
            <w:sz w:val="18"/>
            <w:szCs w:val="18"/>
          </w:rPr>
          <w:t>Taş c. Turquie</w:t>
        </w:r>
      </w:hyperlink>
      <w:r w:rsidRPr="002D305B">
        <w:rPr>
          <w:rFonts w:ascii="Arial" w:hAnsi="Arial" w:cs="Arial"/>
          <w:sz w:val="18"/>
          <w:szCs w:val="18"/>
        </w:rPr>
        <w:t>, précité</w:t>
      </w:r>
      <w:r w:rsidRPr="002D305B">
        <w:rPr>
          <w:rFonts w:ascii="Arial" w:eastAsiaTheme="minorHAnsi" w:hAnsi="Arial" w:cs="Arial"/>
          <w:color w:val="231F20"/>
          <w:sz w:val="18"/>
          <w:szCs w:val="18"/>
          <w:lang w:eastAsia="en-US"/>
        </w:rPr>
        <w:t>, § 54.</w:t>
      </w:r>
    </w:p>
  </w:footnote>
  <w:footnote w:id="196">
    <w:p w14:paraId="4F4315D9" w14:textId="77777777" w:rsidR="00D86968" w:rsidRPr="002D305B" w:rsidRDefault="00D86968" w:rsidP="00720D91">
      <w:pPr>
        <w:pStyle w:val="Sansinterligne"/>
        <w:jc w:val="both"/>
        <w:rPr>
          <w:rFonts w:ascii="Arial" w:eastAsiaTheme="minorHAnsi" w:hAnsi="Arial" w:cs="Arial"/>
          <w:color w:val="231F20"/>
          <w:sz w:val="18"/>
          <w:szCs w:val="18"/>
          <w:lang w:eastAsia="en-US"/>
        </w:rPr>
      </w:pPr>
      <w:r w:rsidRPr="002D305B">
        <w:rPr>
          <w:rStyle w:val="Appelnotedebasdep"/>
          <w:rFonts w:ascii="Arial" w:hAnsi="Arial" w:cs="Arial"/>
          <w:sz w:val="18"/>
          <w:szCs w:val="18"/>
        </w:rPr>
        <w:footnoteRef/>
      </w:r>
      <w:r w:rsidRPr="002D305B">
        <w:rPr>
          <w:rFonts w:ascii="Arial" w:eastAsiaTheme="minorHAnsi" w:hAnsi="Arial" w:cs="Arial"/>
          <w:color w:val="231F20"/>
          <w:sz w:val="18"/>
          <w:szCs w:val="18"/>
          <w:lang w:eastAsia="en-US"/>
        </w:rPr>
        <w:t xml:space="preserve"> </w:t>
      </w:r>
      <w:r w:rsidRPr="002D305B">
        <w:rPr>
          <w:rFonts w:ascii="Arial" w:hAnsi="Arial" w:cs="Arial"/>
          <w:sz w:val="18"/>
          <w:szCs w:val="18"/>
        </w:rPr>
        <w:t>Ibid.</w:t>
      </w:r>
      <w:r w:rsidRPr="002D305B">
        <w:rPr>
          <w:rFonts w:ascii="Arial" w:eastAsiaTheme="minorHAnsi" w:hAnsi="Arial" w:cs="Arial"/>
          <w:color w:val="231F20"/>
          <w:sz w:val="18"/>
          <w:szCs w:val="18"/>
          <w:lang w:eastAsia="en-US"/>
        </w:rPr>
        <w:t xml:space="preserve"> La Cour a conclu que l’État défendeur avait manqué à son obligation de fournir toutes facilités nécessaires en vertu de l’article 38 de la Convention en présentant tardivement des informations demandées à plusieurs reprises par la Commission, ce qui a privé cette dernière de la possibilité de convoquer des témoins qui auraient pu apporter des preuves importantes. </w:t>
      </w:r>
    </w:p>
  </w:footnote>
  <w:footnote w:id="197">
    <w:p w14:paraId="5BAA05D0" w14:textId="77777777" w:rsidR="00D86968" w:rsidRPr="002D305B" w:rsidRDefault="00D86968" w:rsidP="00720D91">
      <w:pPr>
        <w:pStyle w:val="Sansinterligne"/>
        <w:jc w:val="both"/>
        <w:rPr>
          <w:rFonts w:ascii="Arial" w:hAnsi="Arial" w:cs="Arial"/>
          <w:sz w:val="18"/>
          <w:szCs w:val="18"/>
        </w:rPr>
      </w:pPr>
      <w:r w:rsidRPr="002D305B">
        <w:rPr>
          <w:rStyle w:val="Appelnotedebasdep"/>
          <w:rFonts w:ascii="Arial" w:hAnsi="Arial" w:cs="Arial"/>
          <w:sz w:val="18"/>
          <w:szCs w:val="18"/>
        </w:rPr>
        <w:footnoteRef/>
      </w:r>
      <w:r w:rsidRPr="002D305B">
        <w:rPr>
          <w:rFonts w:ascii="Arial" w:eastAsiaTheme="minorHAnsi" w:hAnsi="Arial" w:cs="Arial"/>
          <w:color w:val="231F20"/>
          <w:sz w:val="18"/>
          <w:szCs w:val="18"/>
          <w:lang w:eastAsia="en-US"/>
        </w:rPr>
        <w:t xml:space="preserve"> </w:t>
      </w:r>
      <w:hyperlink r:id="rId271" w:history="1">
        <w:r w:rsidRPr="002D305B">
          <w:rPr>
            <w:rStyle w:val="Lienhypertexte"/>
            <w:rFonts w:ascii="Arial" w:eastAsiaTheme="majorEastAsia" w:hAnsi="Arial" w:cs="Arial"/>
            <w:i/>
            <w:sz w:val="18"/>
            <w:szCs w:val="18"/>
          </w:rPr>
          <w:t>Orhan c. Turquie</w:t>
        </w:r>
      </w:hyperlink>
      <w:r w:rsidRPr="002D305B">
        <w:rPr>
          <w:rFonts w:ascii="Arial" w:hAnsi="Arial" w:cs="Arial"/>
          <w:sz w:val="18"/>
          <w:szCs w:val="18"/>
        </w:rPr>
        <w:t xml:space="preserve">, </w:t>
      </w:r>
      <w:r w:rsidRPr="002D305B">
        <w:rPr>
          <w:rFonts w:ascii="Arial" w:eastAsiaTheme="minorHAnsi" w:hAnsi="Arial" w:cs="Arial"/>
          <w:color w:val="231F20"/>
          <w:sz w:val="18"/>
          <w:szCs w:val="18"/>
          <w:lang w:eastAsia="en-US"/>
        </w:rPr>
        <w:t xml:space="preserve">n° 25656/94, </w:t>
      </w:r>
      <w:r w:rsidRPr="002D305B">
        <w:rPr>
          <w:rFonts w:ascii="Arial" w:hAnsi="Arial" w:cs="Arial"/>
          <w:sz w:val="18"/>
          <w:szCs w:val="18"/>
        </w:rPr>
        <w:t xml:space="preserve">§ </w:t>
      </w:r>
      <w:r w:rsidRPr="002D305B">
        <w:rPr>
          <w:rFonts w:ascii="Arial" w:eastAsiaTheme="minorHAnsi" w:hAnsi="Arial" w:cs="Arial"/>
          <w:color w:val="231F20"/>
          <w:sz w:val="18"/>
          <w:szCs w:val="18"/>
          <w:lang w:eastAsia="en-US"/>
        </w:rPr>
        <w:t xml:space="preserve">274, 18 juin 2002. </w:t>
      </w:r>
    </w:p>
  </w:footnote>
  <w:footnote w:id="198">
    <w:p w14:paraId="24ADF08E" w14:textId="77777777" w:rsidR="00D86968" w:rsidRPr="002D305B" w:rsidRDefault="00D86968" w:rsidP="00720D91">
      <w:pPr>
        <w:pStyle w:val="Sansinterligne"/>
        <w:jc w:val="both"/>
        <w:rPr>
          <w:rFonts w:ascii="Arial" w:hAnsi="Arial" w:cs="Arial"/>
          <w:sz w:val="18"/>
          <w:szCs w:val="18"/>
        </w:rPr>
      </w:pPr>
      <w:r w:rsidRPr="002D305B">
        <w:rPr>
          <w:rStyle w:val="Appelnotedebasdep"/>
          <w:rFonts w:ascii="Arial" w:hAnsi="Arial" w:cs="Arial"/>
          <w:sz w:val="18"/>
          <w:szCs w:val="18"/>
        </w:rPr>
        <w:footnoteRef/>
      </w:r>
      <w:r w:rsidRPr="002D305B">
        <w:rPr>
          <w:rFonts w:ascii="Arial" w:hAnsi="Arial" w:cs="Arial"/>
          <w:sz w:val="18"/>
          <w:szCs w:val="18"/>
        </w:rPr>
        <w:t xml:space="preserve"> Article 44 C inséré par la Cour le 13 décembre 2004.</w:t>
      </w:r>
    </w:p>
  </w:footnote>
  <w:footnote w:id="199">
    <w:p w14:paraId="3FF231F5" w14:textId="77777777" w:rsidR="00D86968" w:rsidRPr="00720D91" w:rsidRDefault="00D86968" w:rsidP="00720D91">
      <w:pPr>
        <w:pStyle w:val="SingleTxtG"/>
        <w:spacing w:after="0" w:line="180" w:lineRule="exact"/>
        <w:ind w:left="0" w:right="0"/>
        <w:rPr>
          <w:rFonts w:ascii="Arial" w:hAnsi="Arial" w:cs="Arial"/>
          <w:sz w:val="18"/>
          <w:szCs w:val="18"/>
          <w:lang w:val="fr-FR"/>
        </w:rPr>
      </w:pPr>
      <w:r w:rsidRPr="00560F13">
        <w:rPr>
          <w:rStyle w:val="Appelnotedebasdep"/>
          <w:rFonts w:ascii="Arial" w:hAnsi="Arial" w:cs="Arial"/>
          <w:sz w:val="18"/>
          <w:szCs w:val="18"/>
        </w:rPr>
        <w:footnoteRef/>
      </w:r>
      <w:r w:rsidRPr="00720D91">
        <w:rPr>
          <w:rFonts w:ascii="Arial" w:hAnsi="Arial" w:cs="Arial"/>
          <w:sz w:val="18"/>
          <w:szCs w:val="18"/>
          <w:lang w:val="fr-FR"/>
        </w:rPr>
        <w:t xml:space="preserve"> </w:t>
      </w:r>
      <w:hyperlink r:id="rId272" w:history="1">
        <w:r w:rsidRPr="00720D91">
          <w:rPr>
            <w:rStyle w:val="Lienhypertexte"/>
            <w:rFonts w:ascii="Arial" w:eastAsiaTheme="minorHAnsi" w:hAnsi="Arial" w:cs="Arial"/>
            <w:i/>
            <w:iCs/>
            <w:sz w:val="18"/>
            <w:szCs w:val="18"/>
            <w:lang w:val="fr-FR" w:eastAsia="en-US"/>
          </w:rPr>
          <w:t>Danemark, Norvège, Suède et Pays-Bas contre Grèce</w:t>
        </w:r>
      </w:hyperlink>
      <w:r w:rsidRPr="00720D91">
        <w:rPr>
          <w:rStyle w:val="Lienhypertexte"/>
          <w:rFonts w:ascii="Arial" w:eastAsiaTheme="minorHAnsi" w:hAnsi="Arial" w:cs="Arial"/>
          <w:sz w:val="18"/>
          <w:szCs w:val="18"/>
          <w:lang w:val="fr-FR" w:eastAsia="en-US"/>
        </w:rPr>
        <w:t xml:space="preserve">, </w:t>
      </w:r>
      <w:r w:rsidRPr="00720D91">
        <w:rPr>
          <w:rFonts w:ascii="Arial" w:hAnsi="Arial" w:cs="Arial"/>
          <w:sz w:val="18"/>
          <w:szCs w:val="18"/>
          <w:lang w:val="fr-FR"/>
        </w:rPr>
        <w:t xml:space="preserve">précité. </w:t>
      </w:r>
    </w:p>
  </w:footnote>
  <w:footnote w:id="200">
    <w:p w14:paraId="49734A96" w14:textId="77777777" w:rsidR="00D86968" w:rsidRPr="00486B14" w:rsidRDefault="00D86968" w:rsidP="00720D91">
      <w:pPr>
        <w:pStyle w:val="SingleTxtG"/>
        <w:spacing w:after="0" w:line="180" w:lineRule="exact"/>
        <w:ind w:left="0" w:right="0"/>
        <w:rPr>
          <w:rFonts w:ascii="Arial" w:hAnsi="Arial" w:cs="Arial"/>
          <w:sz w:val="18"/>
          <w:szCs w:val="18"/>
          <w:lang w:val="en-US"/>
        </w:rPr>
      </w:pPr>
      <w:r w:rsidRPr="00560F13">
        <w:rPr>
          <w:rStyle w:val="Appelnotedebasdep"/>
          <w:rFonts w:ascii="Arial" w:hAnsi="Arial" w:cs="Arial"/>
          <w:sz w:val="18"/>
          <w:szCs w:val="18"/>
        </w:rPr>
        <w:footnoteRef/>
      </w:r>
      <w:r w:rsidRPr="00720D91">
        <w:rPr>
          <w:rFonts w:ascii="Arial" w:hAnsi="Arial" w:cs="Arial"/>
          <w:sz w:val="18"/>
          <w:szCs w:val="18"/>
          <w:lang w:val="fr-FR"/>
        </w:rPr>
        <w:t xml:space="preserve"> </w:t>
      </w:r>
      <w:hyperlink r:id="rId273" w:history="1">
        <w:r w:rsidRPr="00720D91">
          <w:rPr>
            <w:rStyle w:val="Lienhypertexte"/>
            <w:rFonts w:ascii="Arial" w:hAnsi="Arial" w:cs="Arial"/>
            <w:i/>
            <w:sz w:val="18"/>
            <w:szCs w:val="18"/>
            <w:lang w:val="fr-FR"/>
          </w:rPr>
          <w:t>Chypre c. Turquie</w:t>
        </w:r>
      </w:hyperlink>
      <w:r w:rsidRPr="00720D91">
        <w:rPr>
          <w:rFonts w:ascii="Arial" w:hAnsi="Arial" w:cs="Arial"/>
          <w:sz w:val="18"/>
          <w:szCs w:val="18"/>
          <w:lang w:val="fr-FR"/>
        </w:rPr>
        <w:t xml:space="preserve">, </w:t>
      </w:r>
      <w:r w:rsidRPr="00720D91">
        <w:rPr>
          <w:rFonts w:ascii="Arial" w:eastAsiaTheme="minorHAnsi" w:hAnsi="Arial" w:cs="Arial"/>
          <w:color w:val="231F20"/>
          <w:sz w:val="18"/>
          <w:szCs w:val="18"/>
          <w:lang w:val="fr-FR" w:eastAsia="en-US"/>
        </w:rPr>
        <w:t>n° 6780/74 et 6950/75, 26.5.75 et suivants</w:t>
      </w:r>
      <w:r w:rsidRPr="00720D91">
        <w:rPr>
          <w:rFonts w:ascii="Arial" w:eastAsiaTheme="minorHAnsi" w:hAnsi="Arial" w:cs="Arial"/>
          <w:i/>
          <w:iCs/>
          <w:color w:val="231F20"/>
          <w:sz w:val="18"/>
          <w:szCs w:val="18"/>
          <w:lang w:val="fr-FR" w:eastAsia="en-US"/>
        </w:rPr>
        <w:t xml:space="preserve">. </w:t>
      </w:r>
      <w:r w:rsidRPr="00486B14">
        <w:rPr>
          <w:rFonts w:ascii="Arial" w:eastAsiaTheme="minorHAnsi" w:hAnsi="Arial" w:cs="Arial"/>
          <w:color w:val="231F20"/>
          <w:sz w:val="18"/>
          <w:szCs w:val="18"/>
          <w:lang w:val="en-US" w:eastAsia="en-US"/>
        </w:rPr>
        <w:t xml:space="preserve">Rapport de la Commission du 10.07.76. </w:t>
      </w:r>
    </w:p>
  </w:footnote>
  <w:footnote w:id="201">
    <w:p w14:paraId="67013A60" w14:textId="77777777" w:rsidR="00D86968" w:rsidRPr="00486B14" w:rsidRDefault="00D86968" w:rsidP="00720D91">
      <w:pPr>
        <w:pStyle w:val="SingleTxtG"/>
        <w:spacing w:after="0" w:line="180" w:lineRule="exact"/>
        <w:ind w:left="0" w:right="0"/>
        <w:rPr>
          <w:rFonts w:ascii="Arial" w:hAnsi="Arial" w:cs="Arial"/>
          <w:sz w:val="18"/>
          <w:szCs w:val="18"/>
          <w:lang w:val="en-US"/>
        </w:rPr>
      </w:pPr>
      <w:r w:rsidRPr="00560F13">
        <w:rPr>
          <w:rStyle w:val="Appelnotedebasdep"/>
          <w:rFonts w:ascii="Arial" w:hAnsi="Arial" w:cs="Arial"/>
          <w:sz w:val="18"/>
          <w:szCs w:val="18"/>
        </w:rPr>
        <w:footnoteRef/>
      </w:r>
      <w:r w:rsidRPr="00486B14">
        <w:rPr>
          <w:rFonts w:ascii="Arial" w:hAnsi="Arial" w:cs="Arial"/>
          <w:sz w:val="18"/>
          <w:szCs w:val="18"/>
          <w:lang w:val="en-US"/>
        </w:rPr>
        <w:t xml:space="preserve"> Voir Philip Leach, Costas Paraskeva, Gordana Uzelac, International Human Rights and Fact-Finding; An Analysis of the fact-finding missions conducted by the European Commission and the European Court of Human Rights, Human Rights and Social Justice, Research Institute, February 2009, page 45.</w:t>
      </w:r>
    </w:p>
  </w:footnote>
  <w:footnote w:id="202">
    <w:p w14:paraId="35296591" w14:textId="77777777" w:rsidR="00D86968" w:rsidRPr="002D305B" w:rsidRDefault="00D86968" w:rsidP="00720D91">
      <w:pPr>
        <w:pStyle w:val="Sansinterligne"/>
        <w:jc w:val="both"/>
        <w:rPr>
          <w:rFonts w:ascii="Arial" w:hAnsi="Arial" w:cs="Arial"/>
          <w:sz w:val="18"/>
          <w:szCs w:val="18"/>
        </w:rPr>
      </w:pPr>
      <w:r w:rsidRPr="002D305B">
        <w:rPr>
          <w:rStyle w:val="Appelnotedebasdep"/>
          <w:rFonts w:ascii="Arial" w:hAnsi="Arial" w:cs="Arial"/>
          <w:sz w:val="18"/>
          <w:szCs w:val="18"/>
        </w:rPr>
        <w:footnoteRef/>
      </w:r>
      <w:r w:rsidRPr="002D305B">
        <w:rPr>
          <w:rFonts w:ascii="Arial" w:eastAsiaTheme="minorHAnsi" w:hAnsi="Arial" w:cs="Arial"/>
          <w:color w:val="231F20"/>
          <w:sz w:val="18"/>
          <w:szCs w:val="18"/>
          <w:lang w:eastAsia="en-US"/>
        </w:rPr>
        <w:t xml:space="preserve"> </w:t>
      </w:r>
      <w:hyperlink r:id="rId274" w:history="1">
        <w:r w:rsidRPr="002D305B">
          <w:rPr>
            <w:rStyle w:val="Lienhypertexte"/>
            <w:rFonts w:ascii="Arial" w:eastAsiaTheme="majorEastAsia" w:hAnsi="Arial" w:cs="Arial"/>
            <w:i/>
            <w:sz w:val="18"/>
            <w:szCs w:val="18"/>
          </w:rPr>
          <w:t>Chypre c. Turquie</w:t>
        </w:r>
      </w:hyperlink>
      <w:r w:rsidRPr="002D305B">
        <w:rPr>
          <w:rFonts w:ascii="Arial" w:hAnsi="Arial" w:cs="Arial"/>
          <w:sz w:val="18"/>
          <w:szCs w:val="18"/>
        </w:rPr>
        <w:t xml:space="preserve">, </w:t>
      </w:r>
      <w:r w:rsidRPr="002D305B">
        <w:rPr>
          <w:rFonts w:ascii="Arial" w:eastAsiaTheme="minorHAnsi" w:hAnsi="Arial" w:cs="Arial"/>
          <w:color w:val="231F20"/>
          <w:sz w:val="18"/>
          <w:szCs w:val="18"/>
          <w:lang w:eastAsia="en-US"/>
        </w:rPr>
        <w:t>n° 6780/74 et 6950/75, 26.5.75 et suivants</w:t>
      </w:r>
      <w:r w:rsidRPr="002D305B">
        <w:rPr>
          <w:rFonts w:ascii="Arial" w:eastAsiaTheme="minorHAnsi" w:hAnsi="Arial" w:cs="Arial"/>
          <w:i/>
          <w:iCs/>
          <w:color w:val="231F20"/>
          <w:sz w:val="18"/>
          <w:szCs w:val="18"/>
          <w:lang w:eastAsia="en-US"/>
        </w:rPr>
        <w:t xml:space="preserve">. </w:t>
      </w:r>
      <w:r w:rsidRPr="002D305B">
        <w:rPr>
          <w:rFonts w:ascii="Arial" w:eastAsiaTheme="minorHAnsi" w:hAnsi="Arial" w:cs="Arial"/>
          <w:color w:val="231F20"/>
          <w:sz w:val="18"/>
          <w:szCs w:val="18"/>
          <w:lang w:eastAsia="en-US"/>
        </w:rPr>
        <w:t>Rapport de la Commission du 10.07.76.</w:t>
      </w:r>
    </w:p>
  </w:footnote>
  <w:footnote w:id="203">
    <w:p w14:paraId="102A4CB6" w14:textId="77777777" w:rsidR="00D86968" w:rsidRPr="002D305B" w:rsidRDefault="00D86968" w:rsidP="00720D91">
      <w:pPr>
        <w:autoSpaceDE w:val="0"/>
        <w:autoSpaceDN w:val="0"/>
        <w:adjustRightInd w:val="0"/>
        <w:jc w:val="both"/>
        <w:rPr>
          <w:rFonts w:ascii="Arial" w:hAnsi="Arial" w:cs="Arial"/>
          <w:sz w:val="18"/>
          <w:szCs w:val="18"/>
        </w:rPr>
      </w:pPr>
      <w:r w:rsidRPr="002D305B">
        <w:rPr>
          <w:rStyle w:val="Appelnotedebasdep"/>
          <w:rFonts w:ascii="Arial" w:hAnsi="Arial" w:cs="Arial"/>
          <w:sz w:val="18"/>
          <w:szCs w:val="18"/>
        </w:rPr>
        <w:footnoteRef/>
      </w:r>
      <w:r w:rsidRPr="002D305B">
        <w:rPr>
          <w:rFonts w:ascii="Arial" w:hAnsi="Arial" w:cs="Arial"/>
          <w:i/>
          <w:iCs/>
          <w:sz w:val="18"/>
          <w:szCs w:val="18"/>
          <w:lang w:eastAsia="en-US"/>
        </w:rPr>
        <w:t xml:space="preserve"> </w:t>
      </w:r>
      <w:r w:rsidRPr="002D305B">
        <w:rPr>
          <w:rFonts w:ascii="Arial" w:hAnsi="Arial" w:cs="Arial"/>
          <w:sz w:val="18"/>
          <w:szCs w:val="18"/>
        </w:rPr>
        <w:t xml:space="preserve">Rapport de la Commission dans l'affaire </w:t>
      </w:r>
      <w:hyperlink r:id="rId275" w:history="1">
        <w:r w:rsidRPr="002D305B">
          <w:rPr>
            <w:rStyle w:val="Lienhypertexte"/>
            <w:rFonts w:ascii="Arial" w:eastAsiaTheme="majorEastAsia" w:hAnsi="Arial" w:cs="Arial"/>
            <w:i/>
            <w:iCs/>
            <w:sz w:val="18"/>
            <w:szCs w:val="18"/>
            <w:lang w:eastAsia="en-US"/>
          </w:rPr>
          <w:t>Danemark, Norvège, Suède et Pays-Bas contre Grèce</w:t>
        </w:r>
      </w:hyperlink>
      <w:r w:rsidRPr="002D305B">
        <w:rPr>
          <w:rStyle w:val="Lienhypertexte"/>
          <w:rFonts w:ascii="Arial" w:eastAsiaTheme="majorEastAsia" w:hAnsi="Arial" w:cs="Arial"/>
          <w:sz w:val="18"/>
          <w:szCs w:val="18"/>
          <w:lang w:eastAsia="en-US"/>
        </w:rPr>
        <w:t xml:space="preserve">, </w:t>
      </w:r>
      <w:r w:rsidRPr="002D305B">
        <w:rPr>
          <w:rFonts w:ascii="Arial" w:hAnsi="Arial" w:cs="Arial"/>
          <w:sz w:val="18"/>
          <w:szCs w:val="18"/>
        </w:rPr>
        <w:t>n° 3321/67, n° 3322/67, n° 3323/67, n° 3344/67, 5 novembre 1969.</w:t>
      </w:r>
    </w:p>
  </w:footnote>
  <w:footnote w:id="204">
    <w:p w14:paraId="41CD9E36" w14:textId="77777777" w:rsidR="00D86968" w:rsidRPr="002D305B" w:rsidRDefault="00D86968" w:rsidP="00720D91">
      <w:pPr>
        <w:pStyle w:val="Sansinterligne"/>
        <w:jc w:val="both"/>
        <w:rPr>
          <w:rFonts w:ascii="Arial" w:eastAsiaTheme="minorHAnsi" w:hAnsi="Arial" w:cs="Arial"/>
          <w:color w:val="231F20"/>
          <w:sz w:val="18"/>
          <w:szCs w:val="18"/>
          <w:lang w:eastAsia="en-US"/>
        </w:rPr>
      </w:pPr>
      <w:r w:rsidRPr="002D305B">
        <w:rPr>
          <w:rStyle w:val="Appelnotedebasdep"/>
          <w:rFonts w:ascii="Arial" w:hAnsi="Arial" w:cs="Arial"/>
          <w:sz w:val="18"/>
          <w:szCs w:val="18"/>
        </w:rPr>
        <w:footnoteRef/>
      </w:r>
      <w:hyperlink r:id="rId276" w:history="1">
        <w:r w:rsidRPr="002D305B">
          <w:rPr>
            <w:rStyle w:val="Lienhypertexte"/>
            <w:rFonts w:ascii="Arial" w:eastAsiaTheme="majorEastAsia" w:hAnsi="Arial" w:cs="Arial"/>
            <w:i/>
            <w:sz w:val="18"/>
            <w:szCs w:val="18"/>
          </w:rPr>
          <w:t>Chamaïev et autres c. Géorgie et Russie</w:t>
        </w:r>
      </w:hyperlink>
      <w:r w:rsidRPr="002D305B">
        <w:rPr>
          <w:rFonts w:ascii="Arial" w:hAnsi="Arial" w:cs="Arial"/>
          <w:sz w:val="18"/>
          <w:szCs w:val="18"/>
        </w:rPr>
        <w:t xml:space="preserve">, </w:t>
      </w:r>
      <w:r w:rsidRPr="002D305B">
        <w:rPr>
          <w:rFonts w:ascii="Arial" w:eastAsiaTheme="minorHAnsi" w:hAnsi="Arial" w:cs="Arial"/>
          <w:color w:val="231F20"/>
          <w:sz w:val="18"/>
          <w:szCs w:val="18"/>
          <w:lang w:eastAsia="en-US"/>
        </w:rPr>
        <w:t xml:space="preserve">n° 36378/02, </w:t>
      </w:r>
      <w:r w:rsidRPr="002D305B">
        <w:rPr>
          <w:rFonts w:ascii="Arial" w:hAnsi="Arial" w:cs="Arial"/>
          <w:sz w:val="18"/>
          <w:szCs w:val="18"/>
        </w:rPr>
        <w:t xml:space="preserve">§§ </w:t>
      </w:r>
      <w:r w:rsidRPr="002D305B">
        <w:rPr>
          <w:rFonts w:ascii="Arial" w:eastAsiaTheme="minorHAnsi" w:hAnsi="Arial" w:cs="Arial"/>
          <w:color w:val="231F20"/>
          <w:sz w:val="18"/>
          <w:szCs w:val="18"/>
          <w:lang w:eastAsia="en-US"/>
        </w:rPr>
        <w:t xml:space="preserve">26-49, 12 avril 2005. </w:t>
      </w:r>
    </w:p>
  </w:footnote>
  <w:footnote w:id="205">
    <w:p w14:paraId="083B4B06" w14:textId="77777777" w:rsidR="00D86968" w:rsidRPr="002D305B" w:rsidRDefault="00D86968" w:rsidP="00720D91">
      <w:pPr>
        <w:pStyle w:val="Sansinterligne"/>
        <w:jc w:val="both"/>
        <w:rPr>
          <w:rFonts w:ascii="Arial" w:hAnsi="Arial" w:cs="Arial"/>
          <w:sz w:val="18"/>
          <w:szCs w:val="18"/>
        </w:rPr>
      </w:pPr>
      <w:r w:rsidRPr="002D305B">
        <w:rPr>
          <w:rStyle w:val="Appelnotedebasdep"/>
          <w:rFonts w:ascii="Arial" w:hAnsi="Arial" w:cs="Arial"/>
          <w:sz w:val="18"/>
          <w:szCs w:val="18"/>
        </w:rPr>
        <w:footnoteRef/>
      </w:r>
      <w:r w:rsidRPr="002D305B">
        <w:t xml:space="preserve"> </w:t>
      </w:r>
      <w:hyperlink r:id="rId277" w:history="1">
        <w:r w:rsidRPr="002D305B">
          <w:rPr>
            <w:rStyle w:val="Lienhypertexte"/>
            <w:rFonts w:ascii="Arial" w:eastAsiaTheme="majorEastAsia" w:hAnsi="Arial" w:cs="Arial"/>
            <w:i/>
            <w:sz w:val="18"/>
            <w:szCs w:val="18"/>
          </w:rPr>
          <w:t>Chypre c. Turquie (satisfaction équitable) [GC]</w:t>
        </w:r>
      </w:hyperlink>
      <w:r w:rsidRPr="002D305B">
        <w:rPr>
          <w:rFonts w:ascii="Arial" w:hAnsi="Arial" w:cs="Arial"/>
          <w:sz w:val="18"/>
          <w:szCs w:val="18"/>
        </w:rPr>
        <w:t xml:space="preserve">, n° 25781/94, 12 mai 2014. </w:t>
      </w:r>
    </w:p>
  </w:footnote>
  <w:footnote w:id="206">
    <w:p w14:paraId="65B9CAA4" w14:textId="77777777" w:rsidR="00D86968" w:rsidRPr="00720D91" w:rsidRDefault="00D86968" w:rsidP="00720D91">
      <w:pPr>
        <w:pStyle w:val="Notedebasdepage"/>
        <w:rPr>
          <w:lang w:val="fr-FR"/>
        </w:rPr>
      </w:pPr>
      <w:r w:rsidRPr="002D305B">
        <w:rPr>
          <w:rStyle w:val="Appelnotedebasdep"/>
        </w:rPr>
        <w:footnoteRef/>
      </w:r>
      <w:r w:rsidRPr="00720D91">
        <w:rPr>
          <w:rFonts w:ascii="Arial" w:hAnsi="Arial" w:cs="Arial"/>
          <w:sz w:val="18"/>
          <w:szCs w:val="18"/>
          <w:lang w:val="fr-FR"/>
        </w:rPr>
        <w:t xml:space="preserve"> Ibid, §§ 40-46.</w:t>
      </w:r>
    </w:p>
  </w:footnote>
  <w:footnote w:id="207">
    <w:p w14:paraId="239FEEE4" w14:textId="77777777" w:rsidR="00D86968" w:rsidRPr="002D305B" w:rsidRDefault="00D86968" w:rsidP="00720D91">
      <w:pPr>
        <w:pStyle w:val="Sansinterligne"/>
        <w:jc w:val="both"/>
        <w:rPr>
          <w:rFonts w:ascii="Arial" w:hAnsi="Arial" w:cs="Arial"/>
          <w:sz w:val="18"/>
          <w:szCs w:val="18"/>
        </w:rPr>
      </w:pPr>
      <w:r w:rsidRPr="002D305B">
        <w:rPr>
          <w:rStyle w:val="Appelnotedebasdep"/>
          <w:rFonts w:ascii="Arial" w:hAnsi="Arial" w:cs="Arial"/>
          <w:sz w:val="18"/>
          <w:szCs w:val="18"/>
        </w:rPr>
        <w:footnoteRef/>
      </w:r>
      <w:r w:rsidRPr="002074A1">
        <w:rPr>
          <w:rFonts w:ascii="Arial" w:hAnsi="Arial" w:cs="Arial"/>
          <w:sz w:val="18"/>
          <w:szCs w:val="18"/>
        </w:rPr>
        <w:t xml:space="preserve"> </w:t>
      </w:r>
      <w:hyperlink r:id="rId278" w:history="1">
        <w:r w:rsidRPr="002D305B">
          <w:rPr>
            <w:rStyle w:val="Lienhypertexte"/>
            <w:rFonts w:ascii="Arial" w:eastAsiaTheme="majorEastAsia" w:hAnsi="Arial" w:cs="Arial"/>
            <w:i/>
            <w:sz w:val="18"/>
            <w:szCs w:val="18"/>
          </w:rPr>
          <w:t>Chypre c. Turquie (satisfaction équitable) [GC]</w:t>
        </w:r>
      </w:hyperlink>
      <w:r>
        <w:rPr>
          <w:rFonts w:ascii="Arial" w:hAnsi="Arial" w:cs="Arial"/>
          <w:sz w:val="18"/>
          <w:szCs w:val="18"/>
        </w:rPr>
        <w:t>, n° 25781/94,</w:t>
      </w:r>
      <w:r w:rsidRPr="002D305B">
        <w:rPr>
          <w:rFonts w:ascii="Arial" w:hAnsi="Arial" w:cs="Arial"/>
          <w:sz w:val="18"/>
          <w:szCs w:val="18"/>
        </w:rPr>
        <w:t xml:space="preserve"> §§ 43-45. Voir aussi </w:t>
      </w:r>
      <w:hyperlink r:id="rId279" w:history="1">
        <w:r w:rsidRPr="002D305B">
          <w:rPr>
            <w:rStyle w:val="Lienhypertexte"/>
            <w:rFonts w:ascii="Arial" w:eastAsiaTheme="majorEastAsia" w:hAnsi="Arial" w:cs="Arial"/>
            <w:i/>
            <w:sz w:val="18"/>
            <w:szCs w:val="18"/>
          </w:rPr>
          <w:t>Géorgie c. Russie (I)</w:t>
        </w:r>
        <w:r w:rsidRPr="002D305B">
          <w:rPr>
            <w:rStyle w:val="Lienhypertexte"/>
            <w:rFonts w:ascii="Arial" w:eastAsiaTheme="majorEastAsia" w:hAnsi="Arial" w:cs="Arial"/>
            <w:sz w:val="18"/>
            <w:szCs w:val="18"/>
          </w:rPr>
          <w:t xml:space="preserve"> (satisfaction équitable)</w:t>
        </w:r>
      </w:hyperlink>
      <w:r w:rsidRPr="002D305B">
        <w:rPr>
          <w:rFonts w:ascii="Arial" w:hAnsi="Arial" w:cs="Arial"/>
          <w:sz w:val="18"/>
          <w:szCs w:val="18"/>
        </w:rPr>
        <w:t>, n° 13255/07, par</w:t>
      </w:r>
      <w:r>
        <w:rPr>
          <w:rFonts w:ascii="Arial" w:hAnsi="Arial" w:cs="Arial"/>
          <w:sz w:val="18"/>
          <w:szCs w:val="18"/>
        </w:rPr>
        <w:t>a</w:t>
      </w:r>
      <w:r w:rsidRPr="002D305B">
        <w:rPr>
          <w:rFonts w:ascii="Arial" w:hAnsi="Arial" w:cs="Arial"/>
          <w:sz w:val="18"/>
          <w:szCs w:val="18"/>
        </w:rPr>
        <w:t xml:space="preserve">. 22, 31 janvier 2019. </w:t>
      </w:r>
    </w:p>
  </w:footnote>
  <w:footnote w:id="208">
    <w:p w14:paraId="499C573A" w14:textId="77777777" w:rsidR="00D86968" w:rsidRPr="002D305B" w:rsidRDefault="00D86968" w:rsidP="00720D91">
      <w:pPr>
        <w:pStyle w:val="Sansinterligne"/>
        <w:jc w:val="both"/>
        <w:rPr>
          <w:rFonts w:ascii="Arial" w:hAnsi="Arial" w:cs="Arial"/>
          <w:sz w:val="18"/>
          <w:szCs w:val="18"/>
        </w:rPr>
      </w:pPr>
      <w:r w:rsidRPr="002D305B">
        <w:rPr>
          <w:rStyle w:val="Appelnotedebasdep"/>
          <w:rFonts w:ascii="Arial" w:hAnsi="Arial" w:cs="Arial"/>
          <w:sz w:val="18"/>
          <w:szCs w:val="18"/>
        </w:rPr>
        <w:footnoteRef/>
      </w:r>
      <w:r w:rsidRPr="002D305B">
        <w:rPr>
          <w:rStyle w:val="sb8d990e2"/>
          <w:rFonts w:ascii="Arial" w:eastAsiaTheme="majorEastAsia" w:hAnsi="Arial" w:cs="Arial"/>
          <w:sz w:val="18"/>
          <w:szCs w:val="18"/>
        </w:rPr>
        <w:t xml:space="preserve"> Article 46 (e).</w:t>
      </w:r>
    </w:p>
  </w:footnote>
  <w:footnote w:id="209">
    <w:p w14:paraId="0DCB20F8" w14:textId="77777777" w:rsidR="00D86968" w:rsidRPr="002D305B" w:rsidRDefault="00D86968" w:rsidP="00720D91">
      <w:pPr>
        <w:pStyle w:val="Sansinterligne"/>
        <w:jc w:val="both"/>
        <w:rPr>
          <w:rFonts w:ascii="Arial" w:hAnsi="Arial" w:cs="Arial"/>
          <w:sz w:val="18"/>
          <w:szCs w:val="18"/>
        </w:rPr>
      </w:pPr>
      <w:r w:rsidRPr="002D305B">
        <w:rPr>
          <w:rStyle w:val="Appelnotedebasdep"/>
          <w:rFonts w:ascii="Arial" w:hAnsi="Arial" w:cs="Arial"/>
          <w:sz w:val="18"/>
          <w:szCs w:val="18"/>
        </w:rPr>
        <w:footnoteRef/>
      </w:r>
      <w:r w:rsidRPr="002D305B">
        <w:rPr>
          <w:rFonts w:ascii="Arial" w:hAnsi="Arial" w:cs="Arial"/>
          <w:sz w:val="18"/>
          <w:szCs w:val="18"/>
        </w:rPr>
        <w:t xml:space="preserve"> Article 60 tel que modifié par la Cour le 13 décembre 2004.</w:t>
      </w:r>
    </w:p>
  </w:footnote>
  <w:footnote w:id="210">
    <w:p w14:paraId="44BC75DA" w14:textId="77777777" w:rsidR="00D86968" w:rsidRPr="00720D91" w:rsidRDefault="00D86968" w:rsidP="00720D91">
      <w:pPr>
        <w:pStyle w:val="Notedebasdepage"/>
        <w:jc w:val="both"/>
        <w:rPr>
          <w:rFonts w:ascii="Arial" w:hAnsi="Arial" w:cs="Arial"/>
          <w:sz w:val="18"/>
          <w:szCs w:val="18"/>
          <w:lang w:val="fr-FR"/>
        </w:rPr>
      </w:pPr>
      <w:r w:rsidRPr="009E5B2F">
        <w:rPr>
          <w:rStyle w:val="Appelnotedebasdep"/>
          <w:shd w:val="clear" w:color="auto" w:fill="FFFFFF" w:themeFill="background1"/>
        </w:rPr>
        <w:footnoteRef/>
      </w:r>
      <w:r w:rsidRPr="00720D91">
        <w:rPr>
          <w:rFonts w:ascii="Arial" w:hAnsi="Arial" w:cs="Arial"/>
          <w:sz w:val="18"/>
          <w:szCs w:val="18"/>
          <w:shd w:val="clear" w:color="auto" w:fill="FFFFFF" w:themeFill="background1"/>
          <w:lang w:val="fr-FR"/>
        </w:rPr>
        <w:t xml:space="preserve"> </w:t>
      </w:r>
      <w:hyperlink r:id="rId280" w:history="1">
        <w:r w:rsidRPr="00720D91">
          <w:rPr>
            <w:rStyle w:val="Lienhypertexte"/>
            <w:rFonts w:ascii="Arial" w:hAnsi="Arial" w:cs="Arial"/>
            <w:i/>
            <w:color w:val="auto"/>
            <w:sz w:val="18"/>
            <w:szCs w:val="18"/>
            <w:shd w:val="clear" w:color="auto" w:fill="FFFFFF" w:themeFill="background1"/>
            <w:lang w:val="fr-FR"/>
          </w:rPr>
          <w:t>Chypre c. Turquie (satisfaction équitable) [GC]</w:t>
        </w:r>
      </w:hyperlink>
      <w:r w:rsidRPr="00720D91">
        <w:rPr>
          <w:rFonts w:ascii="Arial" w:hAnsi="Arial" w:cs="Arial"/>
          <w:sz w:val="18"/>
          <w:szCs w:val="18"/>
          <w:shd w:val="clear" w:color="auto" w:fill="FFFFFF" w:themeFill="background1"/>
          <w:lang w:val="fr-FR"/>
        </w:rPr>
        <w:t xml:space="preserve">, n° 25781/94, § 43, 12 mai 2014 ; </w:t>
      </w:r>
      <w:hyperlink r:id="rId281" w:history="1">
        <w:r w:rsidRPr="00720D91">
          <w:rPr>
            <w:rStyle w:val="Lienhypertexte"/>
            <w:rFonts w:ascii="Arial" w:hAnsi="Arial" w:cs="Arial"/>
            <w:i/>
            <w:color w:val="auto"/>
            <w:sz w:val="18"/>
            <w:szCs w:val="18"/>
            <w:shd w:val="clear" w:color="auto" w:fill="FFFFFF" w:themeFill="background1"/>
            <w:lang w:val="fr-FR"/>
          </w:rPr>
          <w:t xml:space="preserve">Géorgie c. Russie (I) </w:t>
        </w:r>
        <w:r w:rsidRPr="00720D91">
          <w:rPr>
            <w:rStyle w:val="Lienhypertexte"/>
            <w:rFonts w:ascii="Arial" w:hAnsi="Arial" w:cs="Arial"/>
            <w:color w:val="auto"/>
            <w:sz w:val="18"/>
            <w:szCs w:val="18"/>
            <w:shd w:val="clear" w:color="auto" w:fill="FFFFFF" w:themeFill="background1"/>
            <w:lang w:val="fr-FR"/>
          </w:rPr>
          <w:t>(satisfaction équitable)</w:t>
        </w:r>
      </w:hyperlink>
      <w:r w:rsidRPr="00720D91">
        <w:rPr>
          <w:rFonts w:ascii="Arial" w:hAnsi="Arial" w:cs="Arial"/>
          <w:sz w:val="18"/>
          <w:szCs w:val="18"/>
          <w:shd w:val="clear" w:color="auto" w:fill="FFFFFF" w:themeFill="background1"/>
          <w:lang w:val="fr-FR"/>
        </w:rPr>
        <w:t xml:space="preserve"> [GC], n° 13255/07, § 20, 29 janvier 2019 ; </w:t>
      </w:r>
      <w:hyperlink r:id="rId282" w:history="1">
        <w:r w:rsidRPr="00720D91">
          <w:rPr>
            <w:rStyle w:val="Lienhypertexte"/>
            <w:rFonts w:ascii="Arial" w:hAnsi="Arial" w:cs="Arial"/>
            <w:i/>
            <w:iCs/>
            <w:color w:val="auto"/>
            <w:sz w:val="18"/>
            <w:szCs w:val="18"/>
            <w:shd w:val="clear" w:color="auto" w:fill="FFFFFF" w:themeFill="background1"/>
            <w:lang w:val="fr-FR"/>
          </w:rPr>
          <w:t xml:space="preserve">Géorgie c. Russie </w:t>
        </w:r>
      </w:hyperlink>
      <w:r w:rsidRPr="00720D91">
        <w:rPr>
          <w:rFonts w:ascii="Arial" w:hAnsi="Arial" w:cs="Arial"/>
          <w:sz w:val="18"/>
          <w:szCs w:val="18"/>
          <w:shd w:val="clear" w:color="auto" w:fill="FFFFFF" w:themeFill="background1"/>
          <w:lang w:val="fr-FR"/>
        </w:rPr>
        <w:t>(II) (fond) n° 38263/08, § 350, 21 janvier 2021.</w:t>
      </w:r>
    </w:p>
  </w:footnote>
  <w:footnote w:id="211">
    <w:p w14:paraId="0D020909" w14:textId="77777777" w:rsidR="00D86968" w:rsidRPr="002D305B" w:rsidRDefault="00D86968" w:rsidP="00720D91">
      <w:pPr>
        <w:pStyle w:val="Sansinterligne"/>
        <w:jc w:val="both"/>
        <w:rPr>
          <w:rFonts w:ascii="Arial" w:hAnsi="Arial" w:cs="Arial"/>
          <w:sz w:val="18"/>
          <w:szCs w:val="18"/>
        </w:rPr>
      </w:pPr>
      <w:r w:rsidRPr="002D305B">
        <w:rPr>
          <w:rStyle w:val="Appelnotedebasdep"/>
          <w:rFonts w:ascii="Arial" w:hAnsi="Arial" w:cs="Arial"/>
          <w:sz w:val="18"/>
          <w:szCs w:val="18"/>
        </w:rPr>
        <w:footnoteRef/>
      </w:r>
      <w:r w:rsidRPr="002D305B">
        <w:rPr>
          <w:rFonts w:ascii="Arial" w:hAnsi="Arial" w:cs="Arial"/>
          <w:sz w:val="18"/>
          <w:szCs w:val="18"/>
        </w:rPr>
        <w:t xml:space="preserve"> Ibid, §§ 43. Voir aussi </w:t>
      </w:r>
      <w:hyperlink r:id="rId283" w:history="1">
        <w:r w:rsidRPr="002D305B">
          <w:rPr>
            <w:rStyle w:val="Lienhypertexte"/>
            <w:rFonts w:ascii="Arial" w:eastAsiaTheme="majorEastAsia" w:hAnsi="Arial" w:cs="Arial"/>
            <w:i/>
            <w:sz w:val="18"/>
            <w:szCs w:val="18"/>
          </w:rPr>
          <w:t xml:space="preserve">Géorgie c. Russie </w:t>
        </w:r>
        <w:r w:rsidRPr="002D305B">
          <w:rPr>
            <w:rStyle w:val="Lienhypertexte"/>
            <w:rFonts w:ascii="Arial" w:eastAsiaTheme="majorEastAsia" w:hAnsi="Arial" w:cs="Arial"/>
            <w:sz w:val="18"/>
            <w:szCs w:val="18"/>
          </w:rPr>
          <w:t>(I) (satisfaction équitable)</w:t>
        </w:r>
      </w:hyperlink>
      <w:r w:rsidRPr="002D305B">
        <w:rPr>
          <w:rFonts w:ascii="Arial" w:hAnsi="Arial" w:cs="Arial"/>
          <w:sz w:val="18"/>
          <w:szCs w:val="18"/>
        </w:rPr>
        <w:t>, n° 13255/07, § 22, 31 janvier 2019.</w:t>
      </w:r>
    </w:p>
  </w:footnote>
  <w:footnote w:id="212">
    <w:p w14:paraId="222153C5" w14:textId="77777777" w:rsidR="00D86968" w:rsidRPr="00720D91" w:rsidRDefault="00D86968" w:rsidP="00720D91">
      <w:pPr>
        <w:pStyle w:val="Notedebasdepage"/>
        <w:jc w:val="both"/>
        <w:rPr>
          <w:lang w:val="fr-FR"/>
        </w:rPr>
      </w:pPr>
      <w:r w:rsidRPr="009E5B2F">
        <w:rPr>
          <w:rStyle w:val="Appelnotedebasdep"/>
          <w:shd w:val="clear" w:color="auto" w:fill="FFFFFF" w:themeFill="background1"/>
        </w:rPr>
        <w:footnoteRef/>
      </w:r>
      <w:r w:rsidRPr="00720D91">
        <w:rPr>
          <w:rFonts w:ascii="Arial" w:hAnsi="Arial" w:cs="Arial"/>
          <w:sz w:val="18"/>
          <w:szCs w:val="18"/>
          <w:shd w:val="clear" w:color="auto" w:fill="FFFFFF" w:themeFill="background1"/>
          <w:lang w:val="fr-FR"/>
        </w:rPr>
        <w:t xml:space="preserve"> </w:t>
      </w:r>
      <w:hyperlink r:id="rId284" w:history="1">
        <w:r w:rsidRPr="00720D91">
          <w:rPr>
            <w:rStyle w:val="Lienhypertexte"/>
            <w:rFonts w:ascii="Arial" w:hAnsi="Arial" w:cs="Arial"/>
            <w:i/>
            <w:color w:val="auto"/>
            <w:sz w:val="18"/>
            <w:szCs w:val="18"/>
            <w:shd w:val="clear" w:color="auto" w:fill="FFFFFF" w:themeFill="background1"/>
            <w:lang w:val="fr-FR"/>
          </w:rPr>
          <w:t xml:space="preserve">Géorgie c. Russie </w:t>
        </w:r>
        <w:r w:rsidRPr="00720D91">
          <w:rPr>
            <w:rStyle w:val="Lienhypertexte"/>
            <w:rFonts w:ascii="Arial" w:hAnsi="Arial" w:cs="Arial"/>
            <w:color w:val="auto"/>
            <w:sz w:val="18"/>
            <w:szCs w:val="18"/>
            <w:shd w:val="clear" w:color="auto" w:fill="FFFFFF" w:themeFill="background1"/>
            <w:lang w:val="fr-FR"/>
          </w:rPr>
          <w:t>(I) (satisfaction équitable)</w:t>
        </w:r>
      </w:hyperlink>
      <w:r w:rsidRPr="00720D91">
        <w:rPr>
          <w:rFonts w:ascii="Arial" w:hAnsi="Arial" w:cs="Arial"/>
          <w:sz w:val="18"/>
          <w:szCs w:val="18"/>
          <w:shd w:val="clear" w:color="auto" w:fill="FFFFFF" w:themeFill="background1"/>
          <w:lang w:val="fr-FR"/>
        </w:rPr>
        <w:t>, n° 13255/07, § 55, 31 janvier 2019.</w:t>
      </w:r>
    </w:p>
  </w:footnote>
  <w:footnote w:id="213">
    <w:p w14:paraId="73977A90" w14:textId="77777777" w:rsidR="00D86968" w:rsidRPr="002D305B" w:rsidRDefault="00D86968" w:rsidP="00720D91">
      <w:pPr>
        <w:pStyle w:val="Sansinterligne"/>
        <w:jc w:val="both"/>
        <w:rPr>
          <w:rFonts w:ascii="Arial" w:hAnsi="Arial" w:cs="Arial"/>
          <w:sz w:val="18"/>
          <w:szCs w:val="18"/>
        </w:rPr>
      </w:pPr>
      <w:r w:rsidRPr="002D305B">
        <w:rPr>
          <w:rStyle w:val="Appelnotedebasdep"/>
          <w:rFonts w:ascii="Arial" w:hAnsi="Arial" w:cs="Arial"/>
          <w:sz w:val="18"/>
          <w:szCs w:val="18"/>
        </w:rPr>
        <w:footnoteRef/>
      </w:r>
      <w:r w:rsidRPr="002D305B">
        <w:rPr>
          <w:rFonts w:ascii="Arial" w:hAnsi="Arial" w:cs="Arial"/>
          <w:sz w:val="18"/>
          <w:szCs w:val="18"/>
        </w:rPr>
        <w:t xml:space="preserve"> Ibid. § 28.</w:t>
      </w:r>
    </w:p>
  </w:footnote>
  <w:footnote w:id="214">
    <w:p w14:paraId="1545E9E4" w14:textId="77777777" w:rsidR="00D86968" w:rsidRPr="00720D91" w:rsidRDefault="00D86968" w:rsidP="00720D91">
      <w:pPr>
        <w:pStyle w:val="Notedebasdepage"/>
        <w:rPr>
          <w:lang w:val="fr-FR"/>
        </w:rPr>
      </w:pPr>
      <w:r w:rsidRPr="009E5B2F">
        <w:rPr>
          <w:rStyle w:val="Appelnotedebasdep"/>
          <w:shd w:val="clear" w:color="auto" w:fill="FFFFFF" w:themeFill="background1"/>
        </w:rPr>
        <w:footnoteRef/>
      </w:r>
      <w:hyperlink r:id="rId285" w:history="1">
        <w:r w:rsidRPr="00720D91">
          <w:rPr>
            <w:rStyle w:val="Lienhypertexte"/>
            <w:rFonts w:ascii="Arial" w:hAnsi="Arial" w:cs="Arial"/>
            <w:color w:val="auto"/>
            <w:sz w:val="18"/>
            <w:szCs w:val="18"/>
            <w:shd w:val="clear" w:color="auto" w:fill="FFFFFF" w:themeFill="background1"/>
            <w:lang w:val="fr-FR"/>
          </w:rPr>
          <w:t xml:space="preserve"> </w:t>
        </w:r>
        <w:r w:rsidRPr="00720D91">
          <w:rPr>
            <w:rStyle w:val="Lienhypertexte"/>
            <w:rFonts w:ascii="Arial" w:hAnsi="Arial" w:cs="Arial"/>
            <w:i/>
            <w:color w:val="auto"/>
            <w:sz w:val="18"/>
            <w:szCs w:val="18"/>
            <w:shd w:val="clear" w:color="auto" w:fill="FFFFFF" w:themeFill="background1"/>
            <w:lang w:val="fr-FR"/>
          </w:rPr>
          <w:t xml:space="preserve">Géorgie c. Russie </w:t>
        </w:r>
        <w:r w:rsidRPr="00720D91">
          <w:rPr>
            <w:rStyle w:val="Lienhypertexte"/>
            <w:rFonts w:ascii="Arial" w:hAnsi="Arial" w:cs="Arial"/>
            <w:color w:val="auto"/>
            <w:sz w:val="18"/>
            <w:szCs w:val="18"/>
            <w:shd w:val="clear" w:color="auto" w:fill="FFFFFF" w:themeFill="background1"/>
            <w:lang w:val="fr-FR"/>
          </w:rPr>
          <w:t>(I) (satisfaction équitable)</w:t>
        </w:r>
      </w:hyperlink>
      <w:r w:rsidRPr="00720D91">
        <w:rPr>
          <w:rFonts w:ascii="Arial" w:hAnsi="Arial" w:cs="Arial"/>
          <w:sz w:val="18"/>
          <w:szCs w:val="18"/>
          <w:shd w:val="clear" w:color="auto" w:fill="FFFFFF" w:themeFill="background1"/>
          <w:lang w:val="fr-FR"/>
        </w:rPr>
        <w:t>, n° 13255/07, §§ 56, 57, 31 janvier 2019.</w:t>
      </w:r>
    </w:p>
  </w:footnote>
  <w:footnote w:id="215">
    <w:p w14:paraId="362A81CE" w14:textId="77777777" w:rsidR="00D86968" w:rsidRPr="00720D91" w:rsidRDefault="00D86968" w:rsidP="00720D91">
      <w:pPr>
        <w:pStyle w:val="Notedebasdepage"/>
        <w:jc w:val="both"/>
        <w:rPr>
          <w:lang w:val="fr-FR"/>
        </w:rPr>
      </w:pPr>
      <w:r w:rsidRPr="002D305B">
        <w:rPr>
          <w:rStyle w:val="Appelnotedebasdep"/>
        </w:rPr>
        <w:footnoteRef/>
      </w:r>
      <w:r w:rsidRPr="00720D91">
        <w:rPr>
          <w:rStyle w:val="sb8d990e2"/>
          <w:rFonts w:ascii="Arial" w:hAnsi="Arial" w:cs="Arial"/>
          <w:color w:val="000000"/>
          <w:sz w:val="18"/>
          <w:szCs w:val="18"/>
          <w:lang w:val="fr-FR"/>
        </w:rPr>
        <w:t xml:space="preserve"> Dans l'arrêt principal, la Cour a estimé qu'à l'automne 2006, une « politique coordonnée d'arrestation, de détention et d'expulsion de ressortissants géorgiens " avait été mise en place dans la Fédération de Russie » qui s'apparentait à une pratique administrative aux fins de la jurisprudence de la Convention </w:t>
      </w:r>
      <w:r w:rsidRPr="00720D91">
        <w:rPr>
          <w:rStyle w:val="sb8d990e2"/>
          <w:rFonts w:ascii="Arial" w:hAnsi="Arial" w:cs="Arial"/>
          <w:color w:val="000000"/>
          <w:sz w:val="18"/>
          <w:szCs w:val="18"/>
          <w:lang w:val="fr-FR"/>
        </w:rPr>
        <w:noBreakHyphen/>
        <w:t xml:space="preserve">", voir </w:t>
      </w:r>
      <w:hyperlink r:id="rId286" w:history="1">
        <w:r w:rsidRPr="00720D91">
          <w:rPr>
            <w:rStyle w:val="Lienhypertexte"/>
            <w:rFonts w:ascii="Arial" w:hAnsi="Arial" w:cs="Arial"/>
            <w:i/>
            <w:iCs/>
            <w:sz w:val="18"/>
            <w:szCs w:val="18"/>
            <w:lang w:val="fr-FR"/>
          </w:rPr>
          <w:t>Géorgie c. Russie (I)</w:t>
        </w:r>
      </w:hyperlink>
      <w:r w:rsidRPr="00720D91">
        <w:rPr>
          <w:rStyle w:val="s6b621b36"/>
          <w:rFonts w:ascii="Arial" w:hAnsi="Arial" w:cs="Arial"/>
          <w:i/>
          <w:iCs/>
          <w:color w:val="000000"/>
          <w:sz w:val="18"/>
          <w:szCs w:val="18"/>
          <w:lang w:val="fr-FR"/>
        </w:rPr>
        <w:t xml:space="preserve">, </w:t>
      </w:r>
      <w:r w:rsidRPr="00720D91">
        <w:rPr>
          <w:rStyle w:val="sb8d990e2"/>
          <w:rFonts w:ascii="Arial" w:hAnsi="Arial" w:cs="Arial"/>
          <w:color w:val="000000"/>
          <w:sz w:val="18"/>
          <w:szCs w:val="18"/>
          <w:lang w:val="fr-FR"/>
        </w:rPr>
        <w:t>précité, § 159.</w:t>
      </w:r>
    </w:p>
  </w:footnote>
  <w:footnote w:id="216">
    <w:p w14:paraId="17C29B99" w14:textId="77777777" w:rsidR="00D86968" w:rsidRPr="00720D91" w:rsidRDefault="00D86968" w:rsidP="00720D91">
      <w:pPr>
        <w:pStyle w:val="Notedebasdepage"/>
        <w:rPr>
          <w:lang w:val="fr-FR"/>
        </w:rPr>
      </w:pPr>
      <w:r w:rsidRPr="002D305B">
        <w:rPr>
          <w:rStyle w:val="Appelnotedebasdep"/>
        </w:rPr>
        <w:footnoteRef/>
      </w:r>
      <w:hyperlink r:id="rId287" w:history="1">
        <w:r w:rsidRPr="00720D91">
          <w:rPr>
            <w:rStyle w:val="Lienhypertexte"/>
            <w:rFonts w:ascii="Arial" w:hAnsi="Arial" w:cs="Arial"/>
            <w:sz w:val="18"/>
            <w:szCs w:val="18"/>
            <w:lang w:val="fr-FR"/>
          </w:rPr>
          <w:t xml:space="preserve"> </w:t>
        </w:r>
        <w:r w:rsidRPr="00720D91">
          <w:rPr>
            <w:rStyle w:val="Lienhypertexte"/>
            <w:rFonts w:ascii="Arial" w:hAnsi="Arial" w:cs="Arial"/>
            <w:i/>
            <w:sz w:val="18"/>
            <w:szCs w:val="18"/>
            <w:lang w:val="fr-FR"/>
          </w:rPr>
          <w:t xml:space="preserve">Géorgie c. Russie </w:t>
        </w:r>
        <w:r w:rsidRPr="00720D91">
          <w:rPr>
            <w:rStyle w:val="Lienhypertexte"/>
            <w:rFonts w:ascii="Arial" w:hAnsi="Arial" w:cs="Arial"/>
            <w:sz w:val="18"/>
            <w:szCs w:val="18"/>
            <w:lang w:val="fr-FR"/>
          </w:rPr>
          <w:t>(I) (satisfaction équitable)</w:t>
        </w:r>
      </w:hyperlink>
      <w:r w:rsidRPr="00720D91">
        <w:rPr>
          <w:rFonts w:ascii="Arial" w:hAnsi="Arial" w:cs="Arial"/>
          <w:sz w:val="18"/>
          <w:szCs w:val="18"/>
          <w:lang w:val="fr-FR"/>
        </w:rPr>
        <w:t>, cité ci-dessus § 58.</w:t>
      </w:r>
    </w:p>
  </w:footnote>
  <w:footnote w:id="217">
    <w:p w14:paraId="1FD7F54E" w14:textId="77777777" w:rsidR="00D86968" w:rsidRPr="00720D91" w:rsidRDefault="00D86968" w:rsidP="00720D91">
      <w:pPr>
        <w:pStyle w:val="Notedebasdepage"/>
        <w:rPr>
          <w:lang w:val="fr-FR"/>
        </w:rPr>
      </w:pPr>
      <w:r w:rsidRPr="002D305B">
        <w:rPr>
          <w:rStyle w:val="Appelnotedebasdep"/>
        </w:rPr>
        <w:footnoteRef/>
      </w:r>
      <w:r w:rsidRPr="00720D91">
        <w:rPr>
          <w:lang w:val="fr-FR"/>
        </w:rPr>
        <w:t xml:space="preserve"> </w:t>
      </w:r>
      <w:r w:rsidRPr="00720D91">
        <w:rPr>
          <w:rFonts w:ascii="Arial" w:hAnsi="Arial" w:cs="Arial"/>
          <w:sz w:val="18"/>
          <w:szCs w:val="18"/>
          <w:lang w:val="fr-FR"/>
        </w:rPr>
        <w:t>Ibid., §§63-65.</w:t>
      </w:r>
    </w:p>
  </w:footnote>
  <w:footnote w:id="218">
    <w:p w14:paraId="3AEA7812" w14:textId="77777777" w:rsidR="00D86968" w:rsidRPr="009E5B2F" w:rsidRDefault="00D86968" w:rsidP="00720D91">
      <w:pPr>
        <w:pStyle w:val="s746c8714"/>
        <w:shd w:val="clear" w:color="auto" w:fill="FFFFFF" w:themeFill="background1"/>
        <w:spacing w:after="0"/>
        <w:jc w:val="both"/>
        <w:rPr>
          <w:rFonts w:ascii="Arial" w:hAnsi="Arial" w:cs="Arial"/>
          <w:sz w:val="18"/>
          <w:szCs w:val="18"/>
        </w:rPr>
      </w:pPr>
      <w:r w:rsidRPr="009E5B2F">
        <w:rPr>
          <w:rStyle w:val="Appelnotedebasdep"/>
          <w:rFonts w:ascii="Arial" w:eastAsiaTheme="majorEastAsia" w:hAnsi="Arial" w:cs="Arial"/>
          <w:sz w:val="18"/>
          <w:szCs w:val="18"/>
          <w:shd w:val="clear" w:color="auto" w:fill="FFFFFF" w:themeFill="background1"/>
        </w:rPr>
        <w:footnoteRef/>
      </w:r>
      <w:r w:rsidRPr="009E5B2F">
        <w:rPr>
          <w:rStyle w:val="sfbbfee58"/>
          <w:rFonts w:ascii="Arial" w:eastAsiaTheme="majorEastAsia" w:hAnsi="Arial" w:cs="Arial"/>
          <w:sz w:val="18"/>
          <w:szCs w:val="18"/>
          <w:shd w:val="clear" w:color="auto" w:fill="FFFFFF" w:themeFill="background1"/>
        </w:rPr>
        <w:t xml:space="preserve"> </w:t>
      </w:r>
      <w:hyperlink r:id="rId288" w:history="1">
        <w:r w:rsidRPr="009E5B2F">
          <w:rPr>
            <w:rStyle w:val="Lienhypertexte"/>
            <w:rFonts w:ascii="Arial" w:eastAsiaTheme="majorEastAsia" w:hAnsi="Arial" w:cs="Arial"/>
            <w:i/>
            <w:color w:val="auto"/>
            <w:sz w:val="18"/>
            <w:szCs w:val="18"/>
            <w:shd w:val="clear" w:color="auto" w:fill="FFFFFF" w:themeFill="background1"/>
          </w:rPr>
          <w:t xml:space="preserve">Géorgie c. Russie </w:t>
        </w:r>
        <w:r w:rsidRPr="009E5B2F">
          <w:rPr>
            <w:rStyle w:val="Lienhypertexte"/>
            <w:rFonts w:ascii="Arial" w:eastAsiaTheme="majorEastAsia" w:hAnsi="Arial" w:cs="Arial"/>
            <w:color w:val="auto"/>
            <w:sz w:val="18"/>
            <w:szCs w:val="18"/>
            <w:shd w:val="clear" w:color="auto" w:fill="FFFFFF" w:themeFill="background1"/>
          </w:rPr>
          <w:t>(I) (satisfaction équitable)</w:t>
        </w:r>
      </w:hyperlink>
      <w:r w:rsidRPr="009E5B2F">
        <w:rPr>
          <w:rFonts w:ascii="Arial" w:hAnsi="Arial" w:cs="Arial"/>
          <w:sz w:val="18"/>
          <w:szCs w:val="18"/>
          <w:shd w:val="clear" w:color="auto" w:fill="FFFFFF" w:themeFill="background1"/>
        </w:rPr>
        <w:t>, précité § 70, note 3 : « </w:t>
      </w:r>
      <w:r w:rsidRPr="009E5B2F">
        <w:rPr>
          <w:rStyle w:val="sfbbfee58"/>
          <w:rFonts w:ascii="Arial" w:eastAsiaTheme="majorEastAsia" w:hAnsi="Arial" w:cs="Arial"/>
          <w:sz w:val="18"/>
          <w:szCs w:val="18"/>
          <w:shd w:val="clear" w:color="auto" w:fill="FFFFFF" w:themeFill="background1"/>
        </w:rPr>
        <w:t xml:space="preserve">23 requérants ont introduit 10 requêtes individuelles relatives à l'affaire </w:t>
      </w:r>
      <w:r w:rsidRPr="009E5B2F">
        <w:rPr>
          <w:rStyle w:val="s1a844bc0"/>
          <w:rFonts w:ascii="Arial" w:eastAsiaTheme="minorEastAsia" w:hAnsi="Arial" w:cs="Arial"/>
          <w:i/>
          <w:iCs/>
          <w:sz w:val="18"/>
          <w:szCs w:val="18"/>
          <w:shd w:val="clear" w:color="auto" w:fill="FFFFFF" w:themeFill="background1"/>
        </w:rPr>
        <w:t xml:space="preserve">Géorgie c. Russie </w:t>
      </w:r>
      <w:r w:rsidRPr="009E5B2F">
        <w:rPr>
          <w:rStyle w:val="sfbbfee58"/>
          <w:rFonts w:ascii="Arial" w:eastAsiaTheme="majorEastAsia" w:hAnsi="Arial" w:cs="Arial"/>
          <w:sz w:val="18"/>
          <w:szCs w:val="18"/>
          <w:shd w:val="clear" w:color="auto" w:fill="FFFFFF" w:themeFill="background1"/>
        </w:rPr>
        <w:t xml:space="preserve">(I) devant la Cour, qui a statué comme suit : - Par un arrêt du 3 mai 2016, la Cour a rayé du rôle la requête introduite par MM. Shakhi Kvaratskhelia et Shakhi Kvaratskhelia (n° </w:t>
      </w:r>
      <w:hyperlink r:id="rId289" w:anchor="{%22appno%22:[%2214985/07%22]}" w:tgtFrame="_blank" w:history="1">
        <w:r w:rsidRPr="009E5B2F">
          <w:rPr>
            <w:rStyle w:val="Lienhypertexte"/>
            <w:rFonts w:ascii="Arial" w:eastAsiaTheme="minorEastAsia" w:hAnsi="Arial" w:cs="Arial"/>
            <w:color w:val="auto"/>
            <w:sz w:val="18"/>
            <w:szCs w:val="18"/>
            <w:shd w:val="clear" w:color="auto" w:fill="FFFFFF" w:themeFill="background1"/>
          </w:rPr>
          <w:t>14985/07)</w:t>
        </w:r>
      </w:hyperlink>
      <w:r w:rsidRPr="009E5B2F">
        <w:rPr>
          <w:rStyle w:val="sfbbfee58"/>
          <w:rFonts w:ascii="Arial" w:eastAsiaTheme="majorEastAsia" w:hAnsi="Arial" w:cs="Arial"/>
          <w:sz w:val="18"/>
          <w:szCs w:val="18"/>
          <w:shd w:val="clear" w:color="auto" w:fill="FFFFFF" w:themeFill="background1"/>
        </w:rPr>
        <w:t xml:space="preserve">, respectivement père et fils de Mme Manana Jabelia, suite à un règlement amiable intervenu entre les requérants et le gouvernement défendeur ; - Par un arrêt du 20 décembre 2016, la Cour a dit qu'il y avait eu violation des articles 2 et 3 de la Convention, ainsi que de l'article 13 combiné avec l'article 3, et a accordé 40 000 euros de satisfaction équitable concernant la requête introduite par Mme Nino Dzidzava (n° </w:t>
      </w:r>
      <w:hyperlink r:id="rId290" w:anchor="{%22appno%22:[%2216363/07%22]}" w:tgtFrame="_blank" w:history="1">
        <w:r w:rsidRPr="009E5B2F">
          <w:rPr>
            <w:rStyle w:val="Lienhypertexte"/>
            <w:rFonts w:ascii="Arial" w:eastAsiaTheme="minorEastAsia" w:hAnsi="Arial" w:cs="Arial"/>
            <w:color w:val="auto"/>
            <w:sz w:val="18"/>
            <w:szCs w:val="18"/>
            <w:shd w:val="clear" w:color="auto" w:fill="FFFFFF" w:themeFill="background1"/>
          </w:rPr>
          <w:t>16363/07)</w:t>
        </w:r>
      </w:hyperlink>
      <w:r w:rsidRPr="009E5B2F">
        <w:rPr>
          <w:rStyle w:val="sfbbfee58"/>
          <w:rFonts w:ascii="Arial" w:eastAsiaTheme="majorEastAsia" w:hAnsi="Arial" w:cs="Arial"/>
          <w:sz w:val="18"/>
          <w:szCs w:val="18"/>
          <w:shd w:val="clear" w:color="auto" w:fill="FFFFFF" w:themeFill="background1"/>
        </w:rPr>
        <w:t xml:space="preserve">, épouse de M. Tengiz Togonidze. </w:t>
      </w:r>
      <w:r w:rsidRPr="009E5B2F">
        <w:rPr>
          <w:rStyle w:val="sfbbfee58"/>
          <w:rFonts w:ascii="Arial" w:hAnsi="Arial" w:cs="Arial"/>
          <w:sz w:val="18"/>
          <w:szCs w:val="18"/>
          <w:shd w:val="clear" w:color="auto" w:fill="FFFFFF" w:themeFill="background1"/>
        </w:rPr>
        <w:t>- S'agissant des autres requêtes, la Cour les a regroupées et a rendu un arrêt sur le fond (</w:t>
      </w:r>
      <w:r w:rsidRPr="009E5B2F">
        <w:rPr>
          <w:rStyle w:val="s1a844bc0"/>
          <w:rFonts w:ascii="Arial" w:hAnsi="Arial" w:cs="Arial"/>
          <w:i/>
          <w:iCs/>
          <w:sz w:val="18"/>
          <w:szCs w:val="18"/>
          <w:shd w:val="clear" w:color="auto" w:fill="FFFFFF" w:themeFill="background1"/>
        </w:rPr>
        <w:t>Berdzenishvili et autres</w:t>
      </w:r>
      <w:r w:rsidRPr="009E5B2F">
        <w:rPr>
          <w:rStyle w:val="sfbbfee58"/>
          <w:rFonts w:ascii="Arial" w:hAnsi="Arial" w:cs="Arial"/>
          <w:sz w:val="18"/>
          <w:szCs w:val="18"/>
          <w:shd w:val="clear" w:color="auto" w:fill="FFFFFF" w:themeFill="background1"/>
        </w:rPr>
        <w:t xml:space="preserve">, n° </w:t>
      </w:r>
      <w:hyperlink r:id="rId291" w:anchor="{%22appno%22:[%2214594/07%22]}" w:tgtFrame="_blank" w:history="1">
        <w:r w:rsidRPr="009E5B2F">
          <w:rPr>
            <w:rStyle w:val="Lienhypertexte"/>
            <w:rFonts w:ascii="Arial" w:eastAsiaTheme="majorEastAsia" w:hAnsi="Arial" w:cs="Arial"/>
            <w:color w:val="auto"/>
            <w:sz w:val="18"/>
            <w:szCs w:val="18"/>
            <w:shd w:val="clear" w:color="auto" w:fill="FFFFFF" w:themeFill="background1"/>
          </w:rPr>
          <w:t>14594/07</w:t>
        </w:r>
      </w:hyperlink>
      <w:r w:rsidRPr="009E5B2F">
        <w:rPr>
          <w:rStyle w:val="sfbbfee58"/>
          <w:rFonts w:ascii="Arial" w:hAnsi="Arial" w:cs="Arial"/>
          <w:sz w:val="18"/>
          <w:szCs w:val="18"/>
          <w:shd w:val="clear" w:color="auto" w:fill="FFFFFF" w:themeFill="background1"/>
        </w:rPr>
        <w:t xml:space="preserve">) le 20 décembre 2016. Dans cet arrêt, elle a dit qu'il n'y avait pas eu violation des articles de la Convention invoqués par Mme Nato Shavshishvili au motif que ses griefs n'étaient pas suffisamment étayés. En ce qui concerne les requêtes pour lesquelles la Cour a constaté une violation de la Convention, elle a réservé la question de l'application de l'article 41 en attendant l'adoption du présent arrêt de satisfaction équitable." Dans l'arrêt sur la satisfaction équitable dans l'affaire </w:t>
      </w:r>
      <w:r w:rsidRPr="009E5B2F">
        <w:rPr>
          <w:rStyle w:val="s1a844bc0"/>
          <w:rFonts w:ascii="Arial" w:hAnsi="Arial" w:cs="Arial"/>
          <w:i/>
          <w:iCs/>
          <w:sz w:val="18"/>
          <w:szCs w:val="18"/>
          <w:shd w:val="clear" w:color="auto" w:fill="FFFFFF" w:themeFill="background1"/>
        </w:rPr>
        <w:t>Berdzenishvili et autres</w:t>
      </w:r>
      <w:r w:rsidRPr="009E5B2F">
        <w:rPr>
          <w:rStyle w:val="s1a844bc0"/>
          <w:rFonts w:ascii="Arial" w:hAnsi="Arial" w:cs="Arial"/>
          <w:sz w:val="18"/>
          <w:szCs w:val="18"/>
          <w:shd w:val="clear" w:color="auto" w:fill="FFFFFF" w:themeFill="background1"/>
        </w:rPr>
        <w:t xml:space="preserve">, la Cour a </w:t>
      </w:r>
      <w:r w:rsidRPr="009E5B2F">
        <w:rPr>
          <w:rStyle w:val="sb8d990e2"/>
          <w:rFonts w:ascii="Arial" w:eastAsiaTheme="majorEastAsia" w:hAnsi="Arial" w:cs="Arial"/>
          <w:sz w:val="18"/>
          <w:szCs w:val="18"/>
          <w:shd w:val="clear" w:color="auto" w:fill="FFFFFF" w:themeFill="background1"/>
        </w:rPr>
        <w:t>précisé « que, pour le calcul du montant forfaitaire qu'elle avait accordé dans l'affaire interétatique concernant la satisfaction équitable (</w:t>
      </w:r>
      <w:r w:rsidRPr="009E5B2F">
        <w:rPr>
          <w:rStyle w:val="s6b621b36"/>
          <w:rFonts w:ascii="Arial" w:eastAsiaTheme="minorEastAsia" w:hAnsi="Arial" w:cs="Arial"/>
          <w:i/>
          <w:iCs/>
          <w:sz w:val="18"/>
          <w:szCs w:val="18"/>
          <w:shd w:val="clear" w:color="auto" w:fill="FFFFFF" w:themeFill="background1"/>
        </w:rPr>
        <w:t xml:space="preserve">Géorgie c. Russie (I), </w:t>
      </w:r>
      <w:r w:rsidRPr="009E5B2F">
        <w:rPr>
          <w:rStyle w:val="sb8d990e2"/>
          <w:rFonts w:ascii="Arial" w:eastAsiaTheme="majorEastAsia" w:hAnsi="Arial" w:cs="Arial"/>
          <w:sz w:val="18"/>
          <w:szCs w:val="18"/>
          <w:shd w:val="clear" w:color="auto" w:fill="FFFFFF" w:themeFill="background1"/>
        </w:rPr>
        <w:t xml:space="preserve">elle avait exclu de la liste des victimes, </w:t>
      </w:r>
      <w:r w:rsidRPr="009E5B2F">
        <w:rPr>
          <w:rStyle w:val="s6b621b36"/>
          <w:rFonts w:ascii="Arial" w:eastAsiaTheme="minorEastAsia" w:hAnsi="Arial" w:cs="Arial"/>
          <w:i/>
          <w:iCs/>
          <w:sz w:val="18"/>
          <w:szCs w:val="18"/>
          <w:shd w:val="clear" w:color="auto" w:fill="FFFFFF" w:themeFill="background1"/>
        </w:rPr>
        <w:t xml:space="preserve">entre autres, </w:t>
      </w:r>
      <w:r w:rsidRPr="009E5B2F">
        <w:rPr>
          <w:rStyle w:val="sb8d990e2"/>
          <w:rFonts w:ascii="Arial" w:eastAsiaTheme="majorEastAsia" w:hAnsi="Arial" w:cs="Arial"/>
          <w:sz w:val="18"/>
          <w:szCs w:val="18"/>
          <w:shd w:val="clear" w:color="auto" w:fill="FFFFFF" w:themeFill="background1"/>
        </w:rPr>
        <w:t xml:space="preserve">tous les individus qui avaient introduit des requêtes individuelles contre la Russie concernant l'application de la pratique administrative susmentionnée à l'automne 2006 (ibid., § 70) ». Voir </w:t>
      </w:r>
      <w:hyperlink r:id="rId292" w:anchor="{%22itemid%22:[%22001-191926%22]}" w:history="1">
        <w:r w:rsidRPr="009E5B2F">
          <w:rPr>
            <w:rStyle w:val="Lienhypertexte"/>
            <w:rFonts w:ascii="Arial" w:eastAsiaTheme="majorEastAsia" w:hAnsi="Arial" w:cs="Arial"/>
            <w:i/>
            <w:color w:val="auto"/>
            <w:sz w:val="18"/>
            <w:szCs w:val="18"/>
            <w:shd w:val="clear" w:color="auto" w:fill="FFFFFF" w:themeFill="background1"/>
          </w:rPr>
          <w:t xml:space="preserve">Berdzenishvili et autres c. Russie </w:t>
        </w:r>
      </w:hyperlink>
      <w:r w:rsidRPr="009E5B2F">
        <w:rPr>
          <w:rFonts w:ascii="Arial" w:hAnsi="Arial" w:cs="Arial"/>
          <w:i/>
          <w:sz w:val="18"/>
          <w:szCs w:val="18"/>
        </w:rPr>
        <w:t>(satisfaction équitable)</w:t>
      </w:r>
      <w:r w:rsidRPr="009E5B2F">
        <w:rPr>
          <w:rFonts w:ascii="Arial" w:hAnsi="Arial" w:cs="Arial"/>
          <w:sz w:val="18"/>
          <w:szCs w:val="18"/>
        </w:rPr>
        <w:t xml:space="preserve">, § 7, nos 14594/07 et 6 autres, 26 juin 2019. </w:t>
      </w:r>
    </w:p>
  </w:footnote>
  <w:footnote w:id="219">
    <w:p w14:paraId="500D0FFF" w14:textId="77777777" w:rsidR="00D86968" w:rsidRPr="002D305B" w:rsidRDefault="00D86968" w:rsidP="00720D91">
      <w:pPr>
        <w:pStyle w:val="Sansinterligne"/>
        <w:shd w:val="clear" w:color="auto" w:fill="FFFFFF" w:themeFill="background1"/>
        <w:jc w:val="both"/>
        <w:rPr>
          <w:rFonts w:ascii="Arial" w:hAnsi="Arial" w:cs="Arial"/>
          <w:sz w:val="18"/>
          <w:szCs w:val="18"/>
        </w:rPr>
      </w:pPr>
      <w:r w:rsidRPr="002D305B">
        <w:rPr>
          <w:rStyle w:val="Appelnotedebasdep"/>
          <w:rFonts w:ascii="Arial" w:hAnsi="Arial" w:cs="Arial"/>
          <w:sz w:val="18"/>
          <w:szCs w:val="18"/>
        </w:rPr>
        <w:footnoteRef/>
      </w:r>
      <w:r w:rsidRPr="002D305B">
        <w:rPr>
          <w:rFonts w:ascii="Arial" w:hAnsi="Arial" w:cs="Arial"/>
          <w:sz w:val="18"/>
          <w:szCs w:val="18"/>
        </w:rPr>
        <w:t xml:space="preserve"> Voir le document </w:t>
      </w:r>
      <w:hyperlink r:id="rId293" w:history="1">
        <w:r w:rsidRPr="002D305B">
          <w:rPr>
            <w:rStyle w:val="Lienhypertexte"/>
            <w:rFonts w:ascii="Arial" w:eastAsiaTheme="majorEastAsia" w:hAnsi="Arial" w:cs="Arial"/>
            <w:sz w:val="18"/>
            <w:szCs w:val="18"/>
          </w:rPr>
          <w:t>CDDH(2019)22</w:t>
        </w:r>
      </w:hyperlink>
      <w:r w:rsidRPr="002D305B">
        <w:rPr>
          <w:rFonts w:ascii="Arial" w:hAnsi="Arial" w:cs="Arial"/>
          <w:sz w:val="18"/>
          <w:szCs w:val="18"/>
        </w:rPr>
        <w:t>, § 31.</w:t>
      </w:r>
    </w:p>
  </w:footnote>
  <w:footnote w:id="220">
    <w:p w14:paraId="202B9217" w14:textId="77777777" w:rsidR="00D86968" w:rsidRPr="00720D91" w:rsidRDefault="00D86968" w:rsidP="00720D91">
      <w:pPr>
        <w:pStyle w:val="Notedebasdepage"/>
        <w:shd w:val="clear" w:color="auto" w:fill="FFFFFF" w:themeFill="background1"/>
        <w:jc w:val="both"/>
        <w:rPr>
          <w:rFonts w:ascii="Arial" w:hAnsi="Arial" w:cs="Arial"/>
          <w:sz w:val="18"/>
          <w:szCs w:val="18"/>
          <w:shd w:val="clear" w:color="auto" w:fill="D9D9D9" w:themeFill="background1" w:themeFillShade="D9"/>
          <w:lang w:val="fr-FR"/>
        </w:rPr>
      </w:pPr>
      <w:r w:rsidRPr="009C51FA">
        <w:rPr>
          <w:rStyle w:val="Appelnotedebasdep"/>
          <w:shd w:val="clear" w:color="auto" w:fill="FFFFFF" w:themeFill="background1"/>
        </w:rPr>
        <w:footnoteRef/>
      </w:r>
      <w:r w:rsidRPr="00720D91">
        <w:rPr>
          <w:rFonts w:ascii="Arial" w:hAnsi="Arial" w:cs="Arial"/>
          <w:sz w:val="18"/>
          <w:szCs w:val="18"/>
          <w:shd w:val="clear" w:color="auto" w:fill="FFFFFF" w:themeFill="background1"/>
          <w:lang w:val="fr-FR"/>
        </w:rPr>
        <w:t xml:space="preserve"> </w:t>
      </w:r>
      <w:hyperlink r:id="rId294" w:history="1">
        <w:r w:rsidRPr="00720D91">
          <w:rPr>
            <w:rStyle w:val="Lienhypertexte"/>
            <w:rFonts w:ascii="Arial" w:hAnsi="Arial" w:cs="Arial"/>
            <w:i/>
            <w:color w:val="auto"/>
            <w:sz w:val="18"/>
            <w:szCs w:val="18"/>
            <w:shd w:val="clear" w:color="auto" w:fill="FFFFFF" w:themeFill="background1"/>
            <w:lang w:val="fr-FR"/>
          </w:rPr>
          <w:t xml:space="preserve">Géorgie c. Russie (I) </w:t>
        </w:r>
        <w:r w:rsidRPr="00720D91">
          <w:rPr>
            <w:rStyle w:val="Lienhypertexte"/>
            <w:rFonts w:ascii="Arial" w:hAnsi="Arial" w:cs="Arial"/>
            <w:color w:val="auto"/>
            <w:sz w:val="18"/>
            <w:szCs w:val="18"/>
            <w:shd w:val="clear" w:color="auto" w:fill="FFFFFF" w:themeFill="background1"/>
            <w:lang w:val="fr-FR"/>
          </w:rPr>
          <w:t>(satisfaction équitable)</w:t>
        </w:r>
      </w:hyperlink>
      <w:r w:rsidRPr="00720D91">
        <w:rPr>
          <w:rFonts w:ascii="Arial" w:hAnsi="Arial" w:cs="Arial"/>
          <w:sz w:val="18"/>
          <w:szCs w:val="18"/>
          <w:shd w:val="clear" w:color="auto" w:fill="FFFFFF" w:themeFill="background1"/>
          <w:lang w:val="fr-FR"/>
        </w:rPr>
        <w:t xml:space="preserve"> [GC], n° 13255/07, § 60, 29 janvier 2019 ; </w:t>
      </w:r>
      <w:hyperlink r:id="rId295" w:history="1">
        <w:r w:rsidRPr="00720D91">
          <w:rPr>
            <w:rStyle w:val="Lienhypertexte"/>
            <w:rFonts w:ascii="Arial" w:hAnsi="Arial" w:cs="Arial"/>
            <w:i/>
            <w:iCs/>
            <w:color w:val="auto"/>
            <w:sz w:val="18"/>
            <w:szCs w:val="18"/>
            <w:shd w:val="clear" w:color="auto" w:fill="FFFFFF" w:themeFill="background1"/>
            <w:lang w:val="fr-FR"/>
          </w:rPr>
          <w:t xml:space="preserve">Géorgie c. Russie </w:t>
        </w:r>
        <w:r w:rsidRPr="00720D91">
          <w:rPr>
            <w:rStyle w:val="Lienhypertexte"/>
            <w:rFonts w:ascii="Arial" w:hAnsi="Arial" w:cs="Arial"/>
            <w:color w:val="auto"/>
            <w:sz w:val="18"/>
            <w:szCs w:val="18"/>
            <w:shd w:val="clear" w:color="auto" w:fill="FFFFFF" w:themeFill="background1"/>
            <w:lang w:val="fr-FR"/>
          </w:rPr>
          <w:t>(II)</w:t>
        </w:r>
      </w:hyperlink>
      <w:r w:rsidRPr="00720D91">
        <w:rPr>
          <w:rFonts w:ascii="Arial" w:hAnsi="Arial" w:cs="Arial"/>
          <w:sz w:val="18"/>
          <w:szCs w:val="18"/>
          <w:shd w:val="clear" w:color="auto" w:fill="FFFFFF" w:themeFill="background1"/>
          <w:lang w:val="fr-FR"/>
        </w:rPr>
        <w:t xml:space="preserve"> (fond) n° 38263/08, § 351, 21 janvier 2021.</w:t>
      </w:r>
    </w:p>
  </w:footnote>
  <w:footnote w:id="221">
    <w:p w14:paraId="429037C6" w14:textId="77777777" w:rsidR="00D86968" w:rsidRPr="002D305B" w:rsidRDefault="00D86968" w:rsidP="00720D91">
      <w:pPr>
        <w:pStyle w:val="Sansinterligne"/>
        <w:shd w:val="clear" w:color="auto" w:fill="FFFFFF" w:themeFill="background1"/>
        <w:jc w:val="both"/>
        <w:rPr>
          <w:rFonts w:ascii="Arial" w:hAnsi="Arial" w:cs="Arial"/>
          <w:sz w:val="18"/>
          <w:szCs w:val="18"/>
        </w:rPr>
      </w:pPr>
      <w:r w:rsidRPr="009C51FA">
        <w:rPr>
          <w:rStyle w:val="Appelnotedebasdep"/>
          <w:rFonts w:ascii="Arial" w:hAnsi="Arial" w:cs="Arial"/>
          <w:sz w:val="18"/>
          <w:szCs w:val="18"/>
          <w:shd w:val="clear" w:color="auto" w:fill="FFFFFF" w:themeFill="background1"/>
        </w:rPr>
        <w:footnoteRef/>
      </w:r>
      <w:r w:rsidRPr="009C51FA">
        <w:rPr>
          <w:rFonts w:ascii="Arial" w:hAnsi="Arial" w:cs="Arial"/>
          <w:sz w:val="18"/>
          <w:szCs w:val="18"/>
          <w:shd w:val="clear" w:color="auto" w:fill="FFFFFF" w:themeFill="background1"/>
        </w:rPr>
        <w:t xml:space="preserve"> Voir le document </w:t>
      </w:r>
      <w:hyperlink r:id="rId296" w:history="1">
        <w:r w:rsidRPr="009C51FA">
          <w:rPr>
            <w:rStyle w:val="Lienhypertexte"/>
            <w:rFonts w:ascii="Arial" w:eastAsiaTheme="majorEastAsia" w:hAnsi="Arial" w:cs="Arial"/>
            <w:color w:val="auto"/>
            <w:sz w:val="18"/>
            <w:szCs w:val="18"/>
            <w:shd w:val="clear" w:color="auto" w:fill="FFFFFF" w:themeFill="background1"/>
          </w:rPr>
          <w:t>CDDH(2019)22</w:t>
        </w:r>
      </w:hyperlink>
      <w:r w:rsidRPr="009C51FA">
        <w:rPr>
          <w:rFonts w:ascii="Arial" w:hAnsi="Arial" w:cs="Arial"/>
          <w:sz w:val="18"/>
          <w:szCs w:val="18"/>
          <w:shd w:val="clear" w:color="auto" w:fill="FFFFFF" w:themeFill="background1"/>
        </w:rPr>
        <w:t>, § 31.</w:t>
      </w:r>
      <w:r w:rsidRPr="009C51FA">
        <w:rPr>
          <w:rFonts w:ascii="Arial" w:hAnsi="Arial" w:cs="Arial"/>
          <w:sz w:val="18"/>
          <w:szCs w:val="18"/>
          <w:shd w:val="clear" w:color="auto" w:fill="FFFFFF" w:themeFill="background1"/>
        </w:rPr>
        <w:tab/>
      </w:r>
    </w:p>
  </w:footnote>
  <w:footnote w:id="222">
    <w:p w14:paraId="31B88258" w14:textId="77777777" w:rsidR="00D86968" w:rsidRPr="00720D91" w:rsidRDefault="00D86968" w:rsidP="00720D91">
      <w:pPr>
        <w:pStyle w:val="Notedebasdepage"/>
        <w:jc w:val="both"/>
        <w:rPr>
          <w:lang w:val="fr-FR"/>
        </w:rPr>
      </w:pPr>
      <w:r w:rsidRPr="002D305B">
        <w:rPr>
          <w:rStyle w:val="Appelnotedebasdep"/>
        </w:rPr>
        <w:footnoteRef/>
      </w:r>
      <w:r w:rsidRPr="00720D91">
        <w:rPr>
          <w:rFonts w:ascii="Arial" w:eastAsia="Times New Roman" w:hAnsi="Arial" w:cs="Arial"/>
          <w:sz w:val="18"/>
          <w:szCs w:val="18"/>
          <w:lang w:val="fr-FR"/>
        </w:rPr>
        <w:t xml:space="preserve"> Il </w:t>
      </w:r>
      <w:r w:rsidRPr="00720D91">
        <w:rPr>
          <w:rFonts w:ascii="Arial" w:hAnsi="Arial" w:cs="Arial"/>
          <w:sz w:val="18"/>
          <w:szCs w:val="18"/>
          <w:lang w:val="fr-FR"/>
        </w:rPr>
        <w:t xml:space="preserve">convient de noter que dans l'affaire </w:t>
      </w:r>
      <w:r w:rsidRPr="00720D91">
        <w:rPr>
          <w:rFonts w:ascii="Arial" w:eastAsia="Times New Roman" w:hAnsi="Arial" w:cs="Arial"/>
          <w:sz w:val="18"/>
          <w:szCs w:val="18"/>
          <w:lang w:val="fr-FR"/>
        </w:rPr>
        <w:t>Chypre c. Turquie (IV), n° 25781/94, 22.11.1994 : l'arrêt sur le fond a été rendu le 10 mai 2001 tandis que l'arrêt sur la satisfaction équitable le 12 mai 2014. Dans l'affaire Géorgie c. Fédération de Russie (I), requête n° 13255/07, 26.03.2007 : l'</w:t>
      </w:r>
      <w:r w:rsidRPr="00720D91">
        <w:rPr>
          <w:rFonts w:ascii="Arial" w:eastAsia="Times New Roman" w:hAnsi="Arial" w:cs="Arial"/>
          <w:color w:val="000000" w:themeColor="text1"/>
          <w:sz w:val="18"/>
          <w:szCs w:val="18"/>
          <w:lang w:val="fr-FR"/>
        </w:rPr>
        <w:t xml:space="preserve">arrêt sur le fond a été rendu </w:t>
      </w:r>
      <w:r w:rsidRPr="00720D91">
        <w:rPr>
          <w:rFonts w:ascii="Arial" w:eastAsia="Times New Roman" w:hAnsi="Arial" w:cs="Arial"/>
          <w:sz w:val="18"/>
          <w:szCs w:val="18"/>
          <w:lang w:val="fr-FR"/>
        </w:rPr>
        <w:t>le 3 juillet 2014 et l'arrêt sur la satisfaction équitable le 31 janvier 2019.</w:t>
      </w:r>
    </w:p>
  </w:footnote>
  <w:footnote w:id="223">
    <w:p w14:paraId="0E6D3487" w14:textId="77777777" w:rsidR="00D86968" w:rsidRPr="00720D91" w:rsidRDefault="00D86968" w:rsidP="00720D91">
      <w:pPr>
        <w:pStyle w:val="Notedebasdepage"/>
        <w:rPr>
          <w:rFonts w:ascii="Arial" w:hAnsi="Arial" w:cs="Arial"/>
          <w:lang w:val="fr-FR"/>
        </w:rPr>
      </w:pPr>
      <w:r w:rsidRPr="002074A1">
        <w:rPr>
          <w:rStyle w:val="Appelnotedebasdep"/>
          <w:rFonts w:ascii="Arial" w:hAnsi="Arial" w:cs="Arial"/>
          <w:sz w:val="18"/>
        </w:rPr>
        <w:footnoteRef/>
      </w:r>
      <w:r w:rsidRPr="00720D91">
        <w:rPr>
          <w:rFonts w:ascii="Arial" w:hAnsi="Arial" w:cs="Arial"/>
          <w:sz w:val="18"/>
          <w:lang w:val="fr-FR"/>
        </w:rPr>
        <w:t xml:space="preserve"> </w:t>
      </w:r>
      <w:r w:rsidRPr="00720D91">
        <w:rPr>
          <w:rFonts w:ascii="Arial" w:hAnsi="Arial" w:cs="Arial"/>
          <w:i/>
          <w:iCs/>
          <w:sz w:val="18"/>
          <w:lang w:val="fr-FR"/>
        </w:rPr>
        <w:t>Géorgie c. Russie (II)</w:t>
      </w:r>
      <w:r w:rsidRPr="00720D91">
        <w:rPr>
          <w:rFonts w:ascii="Arial" w:hAnsi="Arial" w:cs="Arial"/>
          <w:sz w:val="18"/>
          <w:lang w:val="fr-FR"/>
        </w:rPr>
        <w:t xml:space="preserve"> (fond), n° 38263/08, §16 du dispositif, 21 janvier 2021.</w:t>
      </w:r>
    </w:p>
  </w:footnote>
  <w:footnote w:id="224">
    <w:p w14:paraId="0E84C842" w14:textId="77777777" w:rsidR="00D86968" w:rsidRPr="00720D91" w:rsidRDefault="00D86968" w:rsidP="00720D91">
      <w:pPr>
        <w:pStyle w:val="Notedebasdepage"/>
        <w:jc w:val="both"/>
        <w:rPr>
          <w:rFonts w:ascii="Arial" w:hAnsi="Arial" w:cs="Arial"/>
          <w:sz w:val="18"/>
          <w:szCs w:val="18"/>
          <w:lang w:val="fr-FR"/>
        </w:rPr>
      </w:pPr>
      <w:r w:rsidRPr="002D305B">
        <w:rPr>
          <w:rStyle w:val="Appelnotedebasdep"/>
          <w:rFonts w:ascii="Arial" w:hAnsi="Arial" w:cs="Arial"/>
          <w:sz w:val="18"/>
          <w:szCs w:val="18"/>
        </w:rPr>
        <w:footnoteRef/>
      </w:r>
      <w:r w:rsidRPr="00720D91">
        <w:rPr>
          <w:rFonts w:ascii="Arial" w:hAnsi="Arial" w:cs="Arial"/>
          <w:sz w:val="18"/>
          <w:szCs w:val="18"/>
          <w:lang w:val="fr-FR"/>
        </w:rPr>
        <w:t xml:space="preserve"> </w:t>
      </w:r>
      <w:bookmarkStart w:id="75" w:name="_Hlk42182954"/>
      <w:r w:rsidRPr="002D305B">
        <w:fldChar w:fldCharType="begin"/>
      </w:r>
      <w:r w:rsidRPr="00720D91">
        <w:rPr>
          <w:lang w:val="fr-FR"/>
        </w:rPr>
        <w:instrText xml:space="preserve"> HYPERLINK "http://hudoc.echr.coe.int/eng?i=001-144153" </w:instrText>
      </w:r>
      <w:r w:rsidRPr="002D305B">
        <w:fldChar w:fldCharType="separate"/>
      </w:r>
      <w:r w:rsidRPr="00720D91">
        <w:rPr>
          <w:rStyle w:val="Lienhypertexte"/>
          <w:rFonts w:ascii="Arial" w:hAnsi="Arial" w:cs="Arial"/>
          <w:i/>
          <w:sz w:val="18"/>
          <w:szCs w:val="18"/>
          <w:lang w:val="fr-FR"/>
        </w:rPr>
        <w:t>Chypre c. Turquie (satisfaction équitable) [GC]</w:t>
      </w:r>
      <w:r w:rsidRPr="002D305B">
        <w:rPr>
          <w:rStyle w:val="Lienhypertexte"/>
          <w:rFonts w:ascii="Arial" w:hAnsi="Arial" w:cs="Arial"/>
          <w:i/>
          <w:sz w:val="18"/>
          <w:szCs w:val="18"/>
        </w:rPr>
        <w:fldChar w:fldCharType="end"/>
      </w:r>
      <w:r w:rsidRPr="00720D91">
        <w:rPr>
          <w:rFonts w:ascii="Arial" w:hAnsi="Arial" w:cs="Arial"/>
          <w:sz w:val="18"/>
          <w:szCs w:val="18"/>
          <w:lang w:val="fr-FR"/>
        </w:rPr>
        <w:t>, précité, par. 56</w:t>
      </w:r>
      <w:bookmarkEnd w:id="75"/>
      <w:r w:rsidRPr="00720D91">
        <w:rPr>
          <w:rFonts w:ascii="Arial" w:hAnsi="Arial" w:cs="Arial"/>
          <w:sz w:val="18"/>
          <w:szCs w:val="18"/>
          <w:lang w:val="fr-FR"/>
        </w:rPr>
        <w:t xml:space="preserve">. </w:t>
      </w:r>
      <w:hyperlink r:id="rId297" w:history="1">
        <w:r w:rsidRPr="00720D91">
          <w:rPr>
            <w:rStyle w:val="Lienhypertexte"/>
            <w:rFonts w:ascii="Arial" w:hAnsi="Arial" w:cs="Arial"/>
            <w:i/>
            <w:sz w:val="18"/>
            <w:szCs w:val="18"/>
            <w:lang w:val="fr-FR"/>
          </w:rPr>
          <w:t>Géorgie c. Russie (I)</w:t>
        </w:r>
        <w:r w:rsidRPr="00720D91">
          <w:rPr>
            <w:rStyle w:val="Lienhypertexte"/>
            <w:rFonts w:ascii="Arial" w:hAnsi="Arial" w:cs="Arial"/>
            <w:sz w:val="18"/>
            <w:szCs w:val="18"/>
            <w:lang w:val="fr-FR"/>
          </w:rPr>
          <w:t xml:space="preserve"> (satisfaction équitable)</w:t>
        </w:r>
      </w:hyperlink>
      <w:r w:rsidRPr="00720D91">
        <w:rPr>
          <w:rFonts w:ascii="Arial" w:hAnsi="Arial" w:cs="Arial"/>
          <w:sz w:val="18"/>
          <w:szCs w:val="18"/>
          <w:lang w:val="fr-FR"/>
        </w:rPr>
        <w:t>, précité, par. 73.</w:t>
      </w:r>
    </w:p>
  </w:footnote>
  <w:footnote w:id="225">
    <w:p w14:paraId="17033BB5" w14:textId="77777777" w:rsidR="00D86968" w:rsidRPr="00720D91" w:rsidRDefault="00D86968" w:rsidP="00720D91">
      <w:pPr>
        <w:pStyle w:val="Notedebasdepage"/>
        <w:jc w:val="both"/>
        <w:rPr>
          <w:rFonts w:ascii="Arial" w:hAnsi="Arial" w:cs="Arial"/>
          <w:sz w:val="18"/>
          <w:szCs w:val="18"/>
          <w:lang w:val="fr-FR"/>
        </w:rPr>
      </w:pPr>
      <w:r w:rsidRPr="002D305B">
        <w:rPr>
          <w:rStyle w:val="Appelnotedebasdep"/>
          <w:rFonts w:ascii="Arial" w:hAnsi="Arial" w:cs="Arial"/>
          <w:sz w:val="18"/>
          <w:szCs w:val="18"/>
        </w:rPr>
        <w:footnoteRef/>
      </w:r>
      <w:r w:rsidRPr="00720D91">
        <w:rPr>
          <w:rFonts w:ascii="Arial" w:hAnsi="Arial" w:cs="Arial"/>
          <w:sz w:val="18"/>
          <w:szCs w:val="18"/>
          <w:lang w:val="fr-FR"/>
        </w:rPr>
        <w:t xml:space="preserve"> </w:t>
      </w:r>
      <w:hyperlink r:id="rId298" w:history="1">
        <w:r w:rsidRPr="00720D91">
          <w:rPr>
            <w:rStyle w:val="Lienhypertexte"/>
            <w:rFonts w:ascii="Arial" w:hAnsi="Arial" w:cs="Arial"/>
            <w:i/>
            <w:sz w:val="18"/>
            <w:szCs w:val="18"/>
            <w:lang w:val="fr-FR"/>
          </w:rPr>
          <w:t>Géorgie c. Russie (I)</w:t>
        </w:r>
        <w:r w:rsidRPr="00720D91">
          <w:rPr>
            <w:rStyle w:val="Lienhypertexte"/>
            <w:rFonts w:ascii="Arial" w:hAnsi="Arial" w:cs="Arial"/>
            <w:sz w:val="18"/>
            <w:szCs w:val="18"/>
            <w:lang w:val="fr-FR"/>
          </w:rPr>
          <w:t xml:space="preserve"> (satisfaction équitable)</w:t>
        </w:r>
      </w:hyperlink>
      <w:r w:rsidRPr="00720D91">
        <w:rPr>
          <w:rFonts w:ascii="Arial" w:hAnsi="Arial" w:cs="Arial"/>
          <w:sz w:val="18"/>
          <w:szCs w:val="18"/>
          <w:lang w:val="fr-FR"/>
        </w:rPr>
        <w:t xml:space="preserve">, précité, par. 73. </w:t>
      </w:r>
    </w:p>
  </w:footnote>
  <w:footnote w:id="226">
    <w:p w14:paraId="72165D47" w14:textId="77777777" w:rsidR="00D86968" w:rsidRPr="00720D91" w:rsidRDefault="00D86968" w:rsidP="00720D91">
      <w:pPr>
        <w:pStyle w:val="Notedebasdepage"/>
        <w:rPr>
          <w:lang w:val="fr-FR"/>
        </w:rPr>
      </w:pPr>
      <w:r w:rsidRPr="002D305B">
        <w:rPr>
          <w:rStyle w:val="Appelnotedebasdep"/>
        </w:rPr>
        <w:footnoteRef/>
      </w:r>
      <w:r w:rsidRPr="00720D91">
        <w:rPr>
          <w:lang w:val="fr-FR"/>
        </w:rPr>
        <w:t xml:space="preserve"> </w:t>
      </w:r>
      <w:r w:rsidRPr="00720D91">
        <w:rPr>
          <w:rFonts w:ascii="Arial" w:hAnsi="Arial" w:cs="Arial"/>
          <w:sz w:val="18"/>
          <w:szCs w:val="18"/>
          <w:lang w:val="fr-FR"/>
        </w:rPr>
        <w:t>Ibid</w:t>
      </w:r>
      <w:r w:rsidRPr="00720D91">
        <w:rPr>
          <w:lang w:val="fr-FR"/>
        </w:rPr>
        <w:t xml:space="preserve">. </w:t>
      </w:r>
      <w:r w:rsidRPr="00720D91">
        <w:rPr>
          <w:rFonts w:ascii="Arial" w:hAnsi="Arial" w:cs="Arial"/>
          <w:sz w:val="18"/>
          <w:szCs w:val="18"/>
          <w:lang w:val="fr-FR"/>
        </w:rPr>
        <w:t>§ 75.</w:t>
      </w:r>
    </w:p>
  </w:footnote>
  <w:footnote w:id="227">
    <w:p w14:paraId="5F05546B" w14:textId="77777777" w:rsidR="00D86968" w:rsidRPr="002D305B" w:rsidRDefault="00D86968" w:rsidP="00720D91">
      <w:pPr>
        <w:pStyle w:val="Sansinterligne"/>
        <w:jc w:val="both"/>
        <w:rPr>
          <w:rFonts w:ascii="Arial" w:hAnsi="Arial" w:cs="Arial"/>
          <w:color w:val="000000"/>
          <w:sz w:val="18"/>
          <w:szCs w:val="18"/>
        </w:rPr>
      </w:pPr>
      <w:r w:rsidRPr="002D305B">
        <w:rPr>
          <w:rStyle w:val="Appelnotedebasdep"/>
          <w:rFonts w:ascii="Arial" w:hAnsi="Arial" w:cs="Arial"/>
          <w:sz w:val="18"/>
          <w:szCs w:val="18"/>
        </w:rPr>
        <w:footnoteRef/>
      </w:r>
      <w:r w:rsidRPr="002D305B">
        <w:rPr>
          <w:rStyle w:val="sb8d990e2"/>
          <w:rFonts w:ascii="Arial" w:eastAsiaTheme="majorEastAsia" w:hAnsi="Arial" w:cs="Arial"/>
          <w:color w:val="000000"/>
          <w:sz w:val="18"/>
          <w:szCs w:val="18"/>
        </w:rPr>
        <w:t xml:space="preserve"> </w:t>
      </w:r>
      <w:hyperlink r:id="rId299" w:history="1">
        <w:r w:rsidRPr="002D305B">
          <w:rPr>
            <w:rStyle w:val="Lienhypertexte"/>
            <w:rFonts w:ascii="Arial" w:eastAsiaTheme="majorEastAsia" w:hAnsi="Arial" w:cs="Arial"/>
            <w:i/>
            <w:sz w:val="18"/>
            <w:szCs w:val="18"/>
          </w:rPr>
          <w:t>Konstantin Markin c. Russie</w:t>
        </w:r>
      </w:hyperlink>
      <w:r w:rsidRPr="002D305B">
        <w:rPr>
          <w:rFonts w:ascii="Arial" w:hAnsi="Arial" w:cs="Arial"/>
          <w:sz w:val="18"/>
          <w:szCs w:val="18"/>
        </w:rPr>
        <w:t>, n° 30078/06, par</w:t>
      </w:r>
      <w:r>
        <w:rPr>
          <w:rFonts w:ascii="Arial" w:hAnsi="Arial" w:cs="Arial"/>
          <w:sz w:val="18"/>
          <w:szCs w:val="18"/>
        </w:rPr>
        <w:t>a</w:t>
      </w:r>
      <w:r w:rsidRPr="002D305B">
        <w:rPr>
          <w:rFonts w:ascii="Arial" w:hAnsi="Arial" w:cs="Arial"/>
          <w:sz w:val="18"/>
          <w:szCs w:val="18"/>
        </w:rPr>
        <w:t>. 89 à 92, 22 mars</w:t>
      </w:r>
      <w:r w:rsidRPr="002D305B">
        <w:rPr>
          <w:rStyle w:val="sb8d990e2"/>
          <w:rFonts w:ascii="Arial" w:eastAsiaTheme="majorEastAsia" w:hAnsi="Arial" w:cs="Arial"/>
          <w:color w:val="000000"/>
          <w:sz w:val="18"/>
          <w:szCs w:val="18"/>
        </w:rPr>
        <w:t xml:space="preserve"> 2012. La Cour a également refusé de rayer des affaires du rôle alors que les requérants souhaitaient renoncer à leur requête, car elle jugeait que l’affaire soulevait des questions générales affectant le respect de la Convention ; voir par exemple </w:t>
      </w:r>
      <w:hyperlink r:id="rId300" w:history="1">
        <w:r w:rsidRPr="002D305B">
          <w:rPr>
            <w:rStyle w:val="Lienhypertexte"/>
            <w:rFonts w:ascii="Arial" w:eastAsiaTheme="majorEastAsia" w:hAnsi="Arial" w:cs="Arial"/>
            <w:i/>
            <w:sz w:val="18"/>
            <w:szCs w:val="18"/>
          </w:rPr>
          <w:t>Tyrer c. Royaume-Uni</w:t>
        </w:r>
      </w:hyperlink>
      <w:r w:rsidRPr="002D305B">
        <w:rPr>
          <w:rStyle w:val="sb8d990e2"/>
          <w:rFonts w:ascii="Arial" w:eastAsiaTheme="majorEastAsia" w:hAnsi="Arial" w:cs="Arial"/>
          <w:color w:val="000000"/>
          <w:sz w:val="18"/>
          <w:szCs w:val="18"/>
        </w:rPr>
        <w:t>, n° </w:t>
      </w:r>
      <w:r w:rsidRPr="002D305B">
        <w:rPr>
          <w:rFonts w:ascii="Arial" w:hAnsi="Arial" w:cs="Arial"/>
          <w:sz w:val="18"/>
          <w:szCs w:val="18"/>
        </w:rPr>
        <w:t>5856/72</w:t>
      </w:r>
      <w:r w:rsidRPr="002D305B">
        <w:rPr>
          <w:rFonts w:ascii="Arial" w:hAnsi="Arial" w:cs="Arial"/>
          <w:color w:val="000000"/>
          <w:sz w:val="18"/>
          <w:szCs w:val="18"/>
        </w:rPr>
        <w:t xml:space="preserve">, 25 avril 1978. </w:t>
      </w:r>
    </w:p>
  </w:footnote>
  <w:footnote w:id="228">
    <w:p w14:paraId="6A846ECD" w14:textId="77777777" w:rsidR="00D86968" w:rsidRPr="002D305B" w:rsidRDefault="00D86968" w:rsidP="00720D91">
      <w:pPr>
        <w:pStyle w:val="Sansinterligne"/>
        <w:jc w:val="both"/>
        <w:rPr>
          <w:rFonts w:ascii="Arial" w:hAnsi="Arial" w:cs="Arial"/>
          <w:sz w:val="18"/>
          <w:szCs w:val="18"/>
        </w:rPr>
      </w:pPr>
      <w:r w:rsidRPr="002D305B">
        <w:rPr>
          <w:rStyle w:val="Appelnotedebasdep"/>
          <w:rFonts w:ascii="Arial" w:hAnsi="Arial" w:cs="Arial"/>
          <w:sz w:val="18"/>
          <w:szCs w:val="18"/>
        </w:rPr>
        <w:footnoteRef/>
      </w:r>
      <w:r w:rsidRPr="002D305B">
        <w:rPr>
          <w:rFonts w:ascii="Arial" w:hAnsi="Arial" w:cs="Arial"/>
          <w:sz w:val="18"/>
          <w:szCs w:val="18"/>
        </w:rPr>
        <w:t xml:space="preserve"> </w:t>
      </w:r>
      <w:hyperlink r:id="rId301" w:history="1">
        <w:r w:rsidRPr="002D305B">
          <w:rPr>
            <w:rStyle w:val="Lienhypertexte"/>
            <w:rFonts w:ascii="Arial" w:eastAsiaTheme="majorEastAsia" w:hAnsi="Arial" w:cs="Arial"/>
            <w:i/>
            <w:sz w:val="18"/>
            <w:szCs w:val="18"/>
          </w:rPr>
          <w:t>Quattrini c. Italie</w:t>
        </w:r>
      </w:hyperlink>
      <w:r w:rsidRPr="002D305B">
        <w:rPr>
          <w:rFonts w:ascii="Arial" w:hAnsi="Arial" w:cs="Arial"/>
          <w:sz w:val="18"/>
          <w:szCs w:val="18"/>
        </w:rPr>
        <w:t xml:space="preserve">, n° 68189/01, 8 décembre 2005. </w:t>
      </w:r>
    </w:p>
  </w:footnote>
  <w:footnote w:id="229">
    <w:p w14:paraId="759B97D2" w14:textId="77777777" w:rsidR="00D86968" w:rsidRPr="002D305B" w:rsidRDefault="00D86968" w:rsidP="00720D91">
      <w:pPr>
        <w:pStyle w:val="Sansinterligne"/>
        <w:jc w:val="both"/>
        <w:rPr>
          <w:rFonts w:ascii="Arial" w:hAnsi="Arial" w:cs="Arial"/>
          <w:sz w:val="18"/>
          <w:szCs w:val="18"/>
        </w:rPr>
      </w:pPr>
      <w:r w:rsidRPr="002D305B">
        <w:rPr>
          <w:rStyle w:val="Appelnotedebasdep"/>
          <w:rFonts w:ascii="Arial" w:hAnsi="Arial" w:cs="Arial"/>
          <w:sz w:val="18"/>
          <w:szCs w:val="18"/>
        </w:rPr>
        <w:footnoteRef/>
      </w:r>
      <w:r w:rsidRPr="002D305B">
        <w:rPr>
          <w:rFonts w:ascii="Arial" w:hAnsi="Arial" w:cs="Arial"/>
          <w:sz w:val="18"/>
          <w:szCs w:val="18"/>
        </w:rPr>
        <w:t xml:space="preserve"> Article 62 du Règlement de la Cour, tel que modifié par la Cour le 17 juin et le 8 juillet 2002 et le 13 novembre 2006.</w:t>
      </w:r>
    </w:p>
  </w:footnote>
  <w:footnote w:id="230">
    <w:p w14:paraId="6D1C3BF6" w14:textId="77777777" w:rsidR="00D86968" w:rsidRPr="002D305B" w:rsidRDefault="00D86968" w:rsidP="00720D91">
      <w:pPr>
        <w:pStyle w:val="Sansinterligne"/>
        <w:jc w:val="both"/>
        <w:rPr>
          <w:rFonts w:ascii="Arial" w:hAnsi="Arial" w:cs="Arial"/>
          <w:sz w:val="18"/>
          <w:szCs w:val="18"/>
        </w:rPr>
      </w:pPr>
      <w:r w:rsidRPr="002D305B">
        <w:rPr>
          <w:rStyle w:val="Appelnotedebasdep"/>
          <w:rFonts w:ascii="Arial" w:hAnsi="Arial" w:cs="Arial"/>
          <w:sz w:val="18"/>
          <w:szCs w:val="18"/>
        </w:rPr>
        <w:footnoteRef/>
      </w:r>
      <w:r w:rsidRPr="002D305B">
        <w:rPr>
          <w:rFonts w:ascii="Arial" w:hAnsi="Arial" w:cs="Arial"/>
          <w:sz w:val="18"/>
          <w:szCs w:val="18"/>
        </w:rPr>
        <w:t xml:space="preserve"> Voir par exemple</w:t>
      </w:r>
      <w:r w:rsidRPr="002D305B">
        <w:rPr>
          <w:rFonts w:ascii="Arial" w:hAnsi="Arial" w:cs="Arial"/>
          <w:i/>
          <w:sz w:val="18"/>
          <w:szCs w:val="18"/>
        </w:rPr>
        <w:t xml:space="preserve"> </w:t>
      </w:r>
      <w:hyperlink r:id="rId302" w:history="1">
        <w:r w:rsidRPr="002D305B">
          <w:rPr>
            <w:rStyle w:val="Lienhypertexte"/>
            <w:rFonts w:ascii="Arial" w:eastAsiaTheme="majorEastAsia" w:hAnsi="Arial" w:cs="Arial"/>
            <w:i/>
            <w:sz w:val="18"/>
            <w:szCs w:val="18"/>
          </w:rPr>
          <w:t>Hadrabová et autres c. République tchèque</w:t>
        </w:r>
      </w:hyperlink>
      <w:r w:rsidRPr="002D305B">
        <w:rPr>
          <w:rFonts w:ascii="Arial" w:hAnsi="Arial" w:cs="Arial"/>
          <w:sz w:val="18"/>
          <w:szCs w:val="18"/>
        </w:rPr>
        <w:t xml:space="preserve"> (déc.), n° 42165/02 et 466/03, 25 septembre 2007, et </w:t>
      </w:r>
      <w:hyperlink r:id="rId303" w:history="1">
        <w:r w:rsidRPr="002D305B">
          <w:rPr>
            <w:rStyle w:val="Lienhypertexte"/>
            <w:rFonts w:ascii="Arial" w:eastAsiaTheme="majorEastAsia" w:hAnsi="Arial" w:cs="Arial"/>
            <w:i/>
            <w:sz w:val="18"/>
            <w:szCs w:val="18"/>
          </w:rPr>
          <w:t>MiroĮubovs et autres c. Lettonie</w:t>
        </w:r>
      </w:hyperlink>
      <w:r w:rsidRPr="002D305B">
        <w:rPr>
          <w:rFonts w:ascii="Arial" w:hAnsi="Arial" w:cs="Arial"/>
          <w:sz w:val="18"/>
          <w:szCs w:val="18"/>
        </w:rPr>
        <w:t xml:space="preserve">, n° 798/05, 15 septembre 2009. </w:t>
      </w:r>
    </w:p>
  </w:footnote>
  <w:footnote w:id="231">
    <w:p w14:paraId="6F354320" w14:textId="77777777" w:rsidR="00D86968" w:rsidRPr="002D305B" w:rsidRDefault="00D86968" w:rsidP="00720D91">
      <w:pPr>
        <w:pStyle w:val="Sansinterligne"/>
        <w:jc w:val="both"/>
        <w:rPr>
          <w:rFonts w:ascii="Arial" w:hAnsi="Arial" w:cs="Arial"/>
          <w:sz w:val="18"/>
          <w:szCs w:val="18"/>
        </w:rPr>
      </w:pPr>
      <w:r w:rsidRPr="002D305B">
        <w:rPr>
          <w:rStyle w:val="Appelnotedebasdep"/>
          <w:rFonts w:ascii="Arial" w:hAnsi="Arial" w:cs="Arial"/>
          <w:sz w:val="18"/>
          <w:szCs w:val="18"/>
        </w:rPr>
        <w:footnoteRef/>
      </w:r>
      <w:hyperlink r:id="rId304" w:history="1">
        <w:r w:rsidRPr="002D305B">
          <w:rPr>
            <w:rStyle w:val="Lienhypertexte"/>
            <w:rFonts w:ascii="Arial" w:eastAsiaTheme="majorEastAsia" w:hAnsi="Arial" w:cs="Arial"/>
            <w:sz w:val="18"/>
            <w:szCs w:val="18"/>
          </w:rPr>
          <w:t xml:space="preserve"> </w:t>
        </w:r>
        <w:hyperlink r:id="rId305" w:history="1">
          <w:r w:rsidRPr="002D305B">
            <w:rPr>
              <w:rStyle w:val="Lienhypertexte"/>
              <w:rFonts w:ascii="Arial" w:eastAsiaTheme="majorEastAsia" w:hAnsi="Arial" w:cs="Arial"/>
              <w:sz w:val="18"/>
              <w:szCs w:val="18"/>
            </w:rPr>
            <w:t>https://www.echr.coe.int/Documents/Stats_analysis_2019_FRA.pdf</w:t>
          </w:r>
        </w:hyperlink>
      </w:hyperlink>
    </w:p>
  </w:footnote>
  <w:footnote w:id="232">
    <w:p w14:paraId="695D1F14" w14:textId="77777777" w:rsidR="00D86968" w:rsidRPr="00720D91" w:rsidRDefault="00D86968" w:rsidP="00720D91">
      <w:pPr>
        <w:pStyle w:val="Notedebasdepage"/>
        <w:jc w:val="both"/>
        <w:rPr>
          <w:rFonts w:ascii="Arial" w:hAnsi="Arial"/>
          <w:sz w:val="18"/>
          <w:szCs w:val="18"/>
          <w:lang w:val="fr-FR"/>
        </w:rPr>
      </w:pPr>
      <w:r w:rsidRPr="002D305B">
        <w:rPr>
          <w:rStyle w:val="Appelnotedebasdep"/>
          <w:rFonts w:ascii="Arial" w:hAnsi="Arial"/>
          <w:sz w:val="18"/>
          <w:szCs w:val="18"/>
        </w:rPr>
        <w:footnoteRef/>
      </w:r>
      <w:r w:rsidRPr="00720D91">
        <w:rPr>
          <w:rFonts w:ascii="Arial" w:hAnsi="Arial" w:cs="Arial"/>
          <w:sz w:val="18"/>
          <w:szCs w:val="18"/>
          <w:lang w:val="fr-FR"/>
        </w:rPr>
        <w:t xml:space="preserve"> </w:t>
      </w:r>
      <w:r w:rsidRPr="00720D91">
        <w:rPr>
          <w:rFonts w:ascii="Arial" w:hAnsi="Arial" w:cs="Arial"/>
          <w:i/>
          <w:sz w:val="18"/>
          <w:szCs w:val="18"/>
          <w:lang w:val="fr-FR"/>
        </w:rPr>
        <w:t>Grèce c. Royaume-Uni</w:t>
      </w:r>
      <w:r w:rsidRPr="00720D91">
        <w:rPr>
          <w:rFonts w:ascii="Arial" w:hAnsi="Arial" w:cs="Arial"/>
          <w:sz w:val="18"/>
          <w:szCs w:val="18"/>
          <w:lang w:val="fr-FR"/>
        </w:rPr>
        <w:t xml:space="preserve">, n° 176/56, </w:t>
      </w:r>
      <w:hyperlink r:id="rId306" w:history="1">
        <w:r w:rsidRPr="00720D91">
          <w:rPr>
            <w:rStyle w:val="Lienhypertexte"/>
            <w:rFonts w:ascii="Arial" w:hAnsi="Arial" w:cs="Arial"/>
            <w:sz w:val="18"/>
            <w:szCs w:val="18"/>
            <w:lang w:val="fr-FR"/>
          </w:rPr>
          <w:t>Rapport de la Commission</w:t>
        </w:r>
      </w:hyperlink>
      <w:r w:rsidRPr="00720D91">
        <w:rPr>
          <w:rFonts w:ascii="Arial" w:hAnsi="Arial" w:cs="Arial"/>
          <w:sz w:val="18"/>
          <w:szCs w:val="18"/>
          <w:lang w:val="fr-FR"/>
        </w:rPr>
        <w:t xml:space="preserve"> (volume I), 26 septembre 1958, par. 68. Après plusieurs tentatives infructueuses de règlement amiable, la Commission a décidé de ne pas poursuivre ses efforts en ce sens. </w:t>
      </w:r>
    </w:p>
  </w:footnote>
  <w:footnote w:id="233">
    <w:p w14:paraId="347E373B" w14:textId="77777777" w:rsidR="00D86968" w:rsidRPr="00720D91" w:rsidRDefault="00D86968" w:rsidP="00720D91">
      <w:pPr>
        <w:pStyle w:val="Notedebasdepage"/>
        <w:jc w:val="both"/>
        <w:rPr>
          <w:rFonts w:ascii="Arial" w:hAnsi="Arial"/>
          <w:sz w:val="18"/>
          <w:szCs w:val="18"/>
          <w:lang w:val="fr-FR"/>
        </w:rPr>
      </w:pPr>
      <w:r w:rsidRPr="002D305B">
        <w:rPr>
          <w:rStyle w:val="Appelnotedebasdep"/>
          <w:rFonts w:ascii="Arial" w:hAnsi="Arial"/>
          <w:sz w:val="18"/>
          <w:szCs w:val="18"/>
        </w:rPr>
        <w:footnoteRef/>
      </w:r>
      <w:r w:rsidRPr="00720D91">
        <w:rPr>
          <w:rFonts w:ascii="Arial" w:hAnsi="Arial"/>
          <w:i/>
          <w:iCs/>
          <w:sz w:val="18"/>
          <w:szCs w:val="18"/>
          <w:lang w:val="fr-FR"/>
        </w:rPr>
        <w:t xml:space="preserve"> Ibid</w:t>
      </w:r>
      <w:r w:rsidRPr="00720D91">
        <w:rPr>
          <w:rFonts w:ascii="Arial" w:hAnsi="Arial"/>
          <w:sz w:val="18"/>
          <w:szCs w:val="18"/>
          <w:lang w:val="fr-FR"/>
        </w:rPr>
        <w:t>.</w:t>
      </w:r>
    </w:p>
  </w:footnote>
  <w:footnote w:id="234">
    <w:p w14:paraId="69199AAA" w14:textId="77777777" w:rsidR="00D86968" w:rsidRPr="00720D91" w:rsidRDefault="00D86968" w:rsidP="00720D91">
      <w:pPr>
        <w:pStyle w:val="Notedebasdepage"/>
        <w:jc w:val="both"/>
        <w:rPr>
          <w:b/>
          <w:bCs/>
          <w:lang w:val="fr-FR"/>
        </w:rPr>
      </w:pPr>
      <w:r w:rsidRPr="002D305B">
        <w:rPr>
          <w:rStyle w:val="Appelnotedebasdep"/>
          <w:rFonts w:ascii="Arial" w:hAnsi="Arial"/>
          <w:sz w:val="18"/>
          <w:szCs w:val="18"/>
        </w:rPr>
        <w:footnoteRef/>
      </w:r>
      <w:r w:rsidRPr="00720D91">
        <w:rPr>
          <w:rStyle w:val="lev"/>
          <w:rFonts w:ascii="Arial" w:hAnsi="Arial"/>
          <w:b w:val="0"/>
          <w:sz w:val="18"/>
          <w:szCs w:val="18"/>
          <w:lang w:val="fr-FR"/>
        </w:rPr>
        <w:t xml:space="preserve"> </w:t>
      </w:r>
      <w:hyperlink r:id="rId307" w:history="1">
        <w:r w:rsidRPr="00720D91">
          <w:rPr>
            <w:rStyle w:val="Lienhypertexte"/>
            <w:rFonts w:ascii="Arial" w:hAnsi="Arial" w:cs="Arial"/>
            <w:sz w:val="18"/>
            <w:szCs w:val="18"/>
            <w:lang w:val="fr-FR"/>
          </w:rPr>
          <w:t>Résolution (59) 12</w:t>
        </w:r>
      </w:hyperlink>
      <w:r w:rsidRPr="00720D91">
        <w:rPr>
          <w:rStyle w:val="lev"/>
          <w:rFonts w:ascii="Arial" w:hAnsi="Arial" w:cs="Arial"/>
          <w:b w:val="0"/>
          <w:sz w:val="18"/>
          <w:szCs w:val="18"/>
          <w:lang w:val="fr-FR"/>
        </w:rPr>
        <w:t xml:space="preserve">, adoptée par le Comité des Ministres le 20 avril 1959 (requête n° 176/56). </w:t>
      </w:r>
    </w:p>
  </w:footnote>
  <w:footnote w:id="235">
    <w:p w14:paraId="164F497F" w14:textId="77777777" w:rsidR="00D86968" w:rsidRPr="00720D91" w:rsidRDefault="00D86968" w:rsidP="00720D91">
      <w:pPr>
        <w:pStyle w:val="Notedebasdepage"/>
        <w:jc w:val="both"/>
        <w:rPr>
          <w:rFonts w:ascii="Arial" w:hAnsi="Arial" w:cs="Arial"/>
          <w:sz w:val="18"/>
          <w:szCs w:val="18"/>
          <w:lang w:val="fr-FR"/>
        </w:rPr>
      </w:pPr>
      <w:r w:rsidRPr="002D305B">
        <w:rPr>
          <w:rStyle w:val="Appelnotedebasdep"/>
          <w:sz w:val="18"/>
        </w:rPr>
        <w:footnoteRef/>
      </w:r>
      <w:r w:rsidRPr="00720D91">
        <w:rPr>
          <w:rFonts w:ascii="Arial" w:hAnsi="Arial" w:cs="Arial"/>
          <w:sz w:val="18"/>
          <w:szCs w:val="18"/>
          <w:lang w:val="fr-FR"/>
        </w:rPr>
        <w:t xml:space="preserve"> </w:t>
      </w:r>
      <w:hyperlink r:id="rId308" w:history="1">
        <w:r w:rsidRPr="00720D91">
          <w:rPr>
            <w:rStyle w:val="Lienhypertexte"/>
            <w:rFonts w:ascii="Arial" w:hAnsi="Arial" w:cs="Arial"/>
            <w:sz w:val="18"/>
            <w:szCs w:val="18"/>
            <w:lang w:val="fr-FR"/>
          </w:rPr>
          <w:t>Grèce c. Royaume-Uni (II)</w:t>
        </w:r>
      </w:hyperlink>
      <w:r w:rsidRPr="00720D91">
        <w:rPr>
          <w:rFonts w:ascii="Arial" w:hAnsi="Arial" w:cs="Arial"/>
          <w:sz w:val="18"/>
          <w:szCs w:val="18"/>
          <w:lang w:val="fr-FR"/>
        </w:rPr>
        <w:t>, no. 299/57</w:t>
      </w:r>
    </w:p>
  </w:footnote>
  <w:footnote w:id="236">
    <w:p w14:paraId="7AC34987" w14:textId="77777777" w:rsidR="00D86968" w:rsidRPr="00720D91" w:rsidRDefault="00D86968" w:rsidP="00720D91">
      <w:pPr>
        <w:pStyle w:val="Notedebasdepage"/>
        <w:jc w:val="both"/>
        <w:rPr>
          <w:rFonts w:ascii="Arial" w:hAnsi="Arial" w:cs="Arial"/>
          <w:sz w:val="18"/>
          <w:szCs w:val="18"/>
          <w:lang w:val="fr-FR"/>
        </w:rPr>
      </w:pPr>
      <w:r w:rsidRPr="002D305B">
        <w:rPr>
          <w:rStyle w:val="Appelnotedebasdep"/>
          <w:sz w:val="18"/>
        </w:rPr>
        <w:footnoteRef/>
      </w:r>
      <w:hyperlink r:id="rId309" w:history="1">
        <w:r w:rsidRPr="00720D91">
          <w:rPr>
            <w:rStyle w:val="Lienhypertexte"/>
            <w:rFonts w:ascii="Arial" w:hAnsi="Arial" w:cs="Arial"/>
            <w:sz w:val="18"/>
            <w:szCs w:val="18"/>
            <w:lang w:val="fr-FR"/>
          </w:rPr>
          <w:t xml:space="preserve"> </w:t>
        </w:r>
      </w:hyperlink>
      <w:r w:rsidRPr="00720D91">
        <w:rPr>
          <w:rFonts w:ascii="Arial" w:hAnsi="Arial" w:cs="Arial"/>
          <w:sz w:val="18"/>
          <w:szCs w:val="18"/>
          <w:lang w:val="fr-FR"/>
        </w:rPr>
        <w:t xml:space="preserve">Grèce c. Royaume-Uni (II), no. 299/57, </w:t>
      </w:r>
      <w:hyperlink r:id="rId310" w:history="1">
        <w:r w:rsidRPr="00720D91">
          <w:rPr>
            <w:rStyle w:val="Lienhypertexte"/>
            <w:rFonts w:ascii="Arial" w:hAnsi="Arial" w:cs="Arial"/>
            <w:sz w:val="18"/>
            <w:szCs w:val="18"/>
            <w:lang w:val="fr-FR"/>
          </w:rPr>
          <w:t>Rapport de la Commission</w:t>
        </w:r>
      </w:hyperlink>
      <w:r w:rsidRPr="00720D91">
        <w:rPr>
          <w:rFonts w:ascii="Arial" w:hAnsi="Arial" w:cs="Arial"/>
          <w:sz w:val="18"/>
          <w:szCs w:val="18"/>
          <w:lang w:val="fr-FR"/>
        </w:rPr>
        <w:t>, 8 juillet 1959</w:t>
      </w:r>
    </w:p>
  </w:footnote>
  <w:footnote w:id="237">
    <w:p w14:paraId="30E8A952" w14:textId="77777777" w:rsidR="00D86968" w:rsidRPr="00720D91" w:rsidRDefault="00D86968" w:rsidP="00720D91">
      <w:pPr>
        <w:pStyle w:val="Notedebasdepage"/>
        <w:jc w:val="both"/>
        <w:rPr>
          <w:rFonts w:ascii="Arial" w:hAnsi="Arial" w:cs="Arial"/>
          <w:sz w:val="18"/>
          <w:szCs w:val="18"/>
          <w:lang w:val="fr-FR"/>
        </w:rPr>
      </w:pPr>
      <w:r w:rsidRPr="002D305B">
        <w:rPr>
          <w:rStyle w:val="Appelnotedebasdep"/>
          <w:sz w:val="18"/>
        </w:rPr>
        <w:footnoteRef/>
      </w:r>
      <w:r w:rsidRPr="00720D91">
        <w:rPr>
          <w:rFonts w:ascii="Arial" w:hAnsi="Arial" w:cs="Arial"/>
          <w:sz w:val="18"/>
          <w:szCs w:val="18"/>
          <w:lang w:val="fr-FR"/>
        </w:rPr>
        <w:t xml:space="preserve"> Résolution du Comité des Ministres </w:t>
      </w:r>
      <w:hyperlink r:id="rId311" w:history="1">
        <w:r w:rsidRPr="00720D91">
          <w:rPr>
            <w:rStyle w:val="Lienhypertexte"/>
            <w:rFonts w:ascii="Arial" w:hAnsi="Arial" w:cs="Arial"/>
            <w:sz w:val="18"/>
            <w:szCs w:val="18"/>
            <w:lang w:val="fr-FR"/>
          </w:rPr>
          <w:t>ResDH(2006)24</w:t>
        </w:r>
      </w:hyperlink>
      <w:r w:rsidRPr="00720D91">
        <w:rPr>
          <w:rFonts w:ascii="Arial" w:hAnsi="Arial" w:cs="Arial"/>
          <w:sz w:val="18"/>
          <w:szCs w:val="18"/>
          <w:lang w:val="fr-FR"/>
        </w:rPr>
        <w:t xml:space="preserve">, 5 avril 2006. </w:t>
      </w:r>
    </w:p>
  </w:footnote>
  <w:footnote w:id="238">
    <w:p w14:paraId="68B46A34" w14:textId="77777777" w:rsidR="00D86968" w:rsidRPr="00720D91" w:rsidRDefault="00D86968" w:rsidP="00720D91">
      <w:pPr>
        <w:pStyle w:val="Notedebasdepage"/>
        <w:jc w:val="both"/>
        <w:rPr>
          <w:rFonts w:ascii="Arial" w:hAnsi="Arial" w:cs="Arial"/>
          <w:sz w:val="18"/>
          <w:szCs w:val="18"/>
          <w:lang w:val="fr-FR"/>
        </w:rPr>
      </w:pPr>
      <w:r w:rsidRPr="002D305B">
        <w:rPr>
          <w:rFonts w:ascii="Arial" w:hAnsi="Arial" w:cs="Arial"/>
          <w:sz w:val="18"/>
          <w:szCs w:val="18"/>
          <w:vertAlign w:val="superscript"/>
        </w:rPr>
        <w:footnoteRef/>
      </w:r>
      <w:r w:rsidRPr="00720D91">
        <w:rPr>
          <w:rFonts w:ascii="Arial" w:hAnsi="Arial" w:cs="Arial"/>
          <w:sz w:val="18"/>
          <w:szCs w:val="18"/>
          <w:vertAlign w:val="superscript"/>
          <w:lang w:val="fr-FR"/>
        </w:rPr>
        <w:t xml:space="preserve"> </w:t>
      </w:r>
      <w:hyperlink r:id="rId312" w:history="1">
        <w:r w:rsidRPr="00720D91">
          <w:rPr>
            <w:rStyle w:val="Lienhypertexte"/>
            <w:rFonts w:ascii="Arial" w:hAnsi="Arial" w:cs="Arial"/>
            <w:sz w:val="18"/>
            <w:szCs w:val="18"/>
            <w:lang w:val="fr-FR"/>
          </w:rPr>
          <w:t>Résolution (59) 32</w:t>
        </w:r>
      </w:hyperlink>
      <w:r w:rsidRPr="00720D91">
        <w:rPr>
          <w:rFonts w:ascii="Arial" w:hAnsi="Arial" w:cs="Arial"/>
          <w:sz w:val="18"/>
          <w:szCs w:val="18"/>
          <w:lang w:val="fr-FR"/>
        </w:rPr>
        <w:t xml:space="preserve">, adoptée par le Comité des Ministres le 14 décembre 1959 (requête n° 229/57). </w:t>
      </w:r>
    </w:p>
  </w:footnote>
  <w:footnote w:id="239">
    <w:p w14:paraId="6C5B4EAA" w14:textId="77777777" w:rsidR="00D86968" w:rsidRPr="00720D91" w:rsidRDefault="00D86968" w:rsidP="00720D91">
      <w:pPr>
        <w:pStyle w:val="Notedebasdepage"/>
        <w:jc w:val="both"/>
        <w:rPr>
          <w:rFonts w:ascii="Arial" w:hAnsi="Arial" w:cs="Arial"/>
          <w:sz w:val="18"/>
          <w:szCs w:val="18"/>
          <w:lang w:val="fr-FR"/>
        </w:rPr>
      </w:pPr>
      <w:r w:rsidRPr="002D305B">
        <w:rPr>
          <w:rFonts w:ascii="Arial" w:hAnsi="Arial" w:cs="Arial"/>
          <w:sz w:val="18"/>
          <w:szCs w:val="18"/>
          <w:vertAlign w:val="superscript"/>
        </w:rPr>
        <w:footnoteRef/>
      </w:r>
      <w:hyperlink r:id="rId313" w:history="1">
        <w:r w:rsidRPr="00720D91">
          <w:rPr>
            <w:rStyle w:val="Lienhypertexte"/>
            <w:rFonts w:ascii="Arial" w:hAnsi="Arial" w:cs="Arial"/>
            <w:i/>
            <w:sz w:val="18"/>
            <w:szCs w:val="18"/>
            <w:lang w:val="fr-FR"/>
          </w:rPr>
          <w:t>Danemark, Norvège et Suède c. Grèce (II)</w:t>
        </w:r>
      </w:hyperlink>
      <w:r w:rsidRPr="00720D91">
        <w:rPr>
          <w:rFonts w:ascii="Arial" w:hAnsi="Arial" w:cs="Arial"/>
          <w:sz w:val="18"/>
          <w:szCs w:val="18"/>
          <w:lang w:val="fr-FR"/>
        </w:rPr>
        <w:t xml:space="preserve">, n° 4448/70, Rapport de la Commission, 4 octobre 1976. </w:t>
      </w:r>
    </w:p>
  </w:footnote>
  <w:footnote w:id="240">
    <w:p w14:paraId="05E5C0AE" w14:textId="77777777" w:rsidR="00D86968" w:rsidRPr="00720D91" w:rsidRDefault="00D86968" w:rsidP="00720D91">
      <w:pPr>
        <w:pStyle w:val="Notedebasdepage"/>
        <w:jc w:val="both"/>
        <w:rPr>
          <w:rFonts w:ascii="Arial" w:hAnsi="Arial" w:cs="Arial"/>
          <w:sz w:val="18"/>
          <w:szCs w:val="18"/>
          <w:lang w:val="fr-FR"/>
        </w:rPr>
      </w:pPr>
      <w:r w:rsidRPr="002D305B">
        <w:rPr>
          <w:rFonts w:ascii="Arial" w:hAnsi="Arial" w:cs="Arial"/>
          <w:sz w:val="18"/>
          <w:szCs w:val="18"/>
          <w:vertAlign w:val="superscript"/>
        </w:rPr>
        <w:footnoteRef/>
      </w:r>
      <w:r w:rsidRPr="00720D91">
        <w:rPr>
          <w:rFonts w:ascii="Arial" w:hAnsi="Arial" w:cs="Arial"/>
          <w:i/>
          <w:iCs/>
          <w:sz w:val="18"/>
          <w:szCs w:val="18"/>
          <w:lang w:val="fr-FR"/>
        </w:rPr>
        <w:t xml:space="preserve"> Ibid</w:t>
      </w:r>
      <w:r w:rsidRPr="00720D91">
        <w:rPr>
          <w:rFonts w:ascii="Arial" w:hAnsi="Arial" w:cs="Arial"/>
          <w:sz w:val="18"/>
          <w:szCs w:val="18"/>
          <w:lang w:val="fr-FR"/>
        </w:rPr>
        <w:t xml:space="preserve">. </w:t>
      </w:r>
    </w:p>
  </w:footnote>
  <w:footnote w:id="241">
    <w:p w14:paraId="5A1D7C7F" w14:textId="77777777" w:rsidR="00D86968" w:rsidRPr="00720D91" w:rsidRDefault="00D86968" w:rsidP="00720D91">
      <w:pPr>
        <w:pStyle w:val="Notedebasdepage"/>
        <w:jc w:val="both"/>
        <w:rPr>
          <w:rFonts w:ascii="Arial" w:hAnsi="Arial" w:cs="Arial"/>
          <w:sz w:val="18"/>
          <w:szCs w:val="18"/>
          <w:lang w:val="fr-FR"/>
        </w:rPr>
      </w:pPr>
      <w:r w:rsidRPr="002D305B">
        <w:rPr>
          <w:rStyle w:val="Appelnotedebasdep"/>
          <w:rFonts w:ascii="Arial" w:hAnsi="Arial" w:cs="Arial"/>
          <w:sz w:val="18"/>
          <w:szCs w:val="18"/>
        </w:rPr>
        <w:footnoteRef/>
      </w:r>
      <w:r w:rsidRPr="00720D91">
        <w:rPr>
          <w:rFonts w:ascii="Arial" w:hAnsi="Arial" w:cs="Arial"/>
          <w:i/>
          <w:sz w:val="18"/>
          <w:szCs w:val="18"/>
          <w:u w:val="single"/>
          <w:lang w:val="fr-FR"/>
        </w:rPr>
        <w:t xml:space="preserve"> </w:t>
      </w:r>
      <w:hyperlink r:id="rId314" w:history="1">
        <w:r w:rsidRPr="00720D91">
          <w:rPr>
            <w:rStyle w:val="Lienhypertexte"/>
            <w:rFonts w:ascii="Arial" w:hAnsi="Arial" w:cs="Arial"/>
            <w:i/>
            <w:sz w:val="18"/>
            <w:szCs w:val="18"/>
            <w:lang w:val="fr-FR"/>
          </w:rPr>
          <w:t>Danemark, France, Norvège, Suède et Pays-Bas c. Turquie</w:t>
        </w:r>
        <w:r w:rsidRPr="00720D91">
          <w:rPr>
            <w:rStyle w:val="Lienhypertexte"/>
            <w:rFonts w:ascii="Arial" w:hAnsi="Arial" w:cs="Arial"/>
            <w:sz w:val="18"/>
            <w:szCs w:val="18"/>
            <w:lang w:val="fr-FR"/>
          </w:rPr>
          <w:t>, nos 9940-44/82</w:t>
        </w:r>
      </w:hyperlink>
      <w:r w:rsidRPr="00720D91">
        <w:rPr>
          <w:rFonts w:ascii="Arial" w:hAnsi="Arial" w:cs="Arial"/>
          <w:sz w:val="18"/>
          <w:szCs w:val="18"/>
          <w:lang w:val="fr-FR"/>
        </w:rPr>
        <w:t xml:space="preserve"> </w:t>
      </w:r>
    </w:p>
  </w:footnote>
  <w:footnote w:id="242">
    <w:p w14:paraId="383DF133" w14:textId="77777777" w:rsidR="00D86968" w:rsidRPr="00720D91" w:rsidRDefault="00D86968" w:rsidP="00720D91">
      <w:pPr>
        <w:pStyle w:val="Notedebasdepage"/>
        <w:jc w:val="both"/>
        <w:rPr>
          <w:rFonts w:ascii="Arial" w:hAnsi="Arial"/>
          <w:sz w:val="18"/>
          <w:szCs w:val="18"/>
          <w:lang w:val="fr-FR"/>
        </w:rPr>
      </w:pPr>
      <w:r w:rsidRPr="002D305B">
        <w:rPr>
          <w:rStyle w:val="Appelnotedebasdep"/>
          <w:rFonts w:ascii="Arial" w:hAnsi="Arial" w:cs="Arial"/>
          <w:sz w:val="18"/>
          <w:szCs w:val="18"/>
        </w:rPr>
        <w:footnoteRef/>
      </w:r>
      <w:r w:rsidRPr="00720D91">
        <w:rPr>
          <w:rFonts w:ascii="Arial" w:hAnsi="Arial" w:cs="Arial"/>
          <w:iCs/>
          <w:sz w:val="18"/>
          <w:szCs w:val="18"/>
          <w:lang w:val="fr-FR"/>
        </w:rPr>
        <w:t xml:space="preserve"> Danemark, France, Norvège, Suède et Pays-Bas c. Turquie, nos</w:t>
      </w:r>
      <w:r w:rsidRPr="00720D91">
        <w:rPr>
          <w:rFonts w:ascii="Arial" w:hAnsi="Arial" w:cs="Arial"/>
          <w:sz w:val="18"/>
          <w:szCs w:val="18"/>
          <w:lang w:val="fr-FR"/>
        </w:rPr>
        <w:t xml:space="preserve"> 9940-44/82, </w:t>
      </w:r>
      <w:hyperlink r:id="rId315" w:history="1">
        <w:r w:rsidRPr="00720D91">
          <w:rPr>
            <w:rStyle w:val="Lienhypertexte"/>
            <w:rFonts w:ascii="Arial" w:hAnsi="Arial" w:cs="Arial"/>
            <w:sz w:val="18"/>
            <w:szCs w:val="18"/>
            <w:lang w:val="fr-FR"/>
          </w:rPr>
          <w:t>décision de recevabilité</w:t>
        </w:r>
      </w:hyperlink>
      <w:r w:rsidRPr="00720D91">
        <w:rPr>
          <w:rFonts w:ascii="Arial" w:hAnsi="Arial" w:cs="Arial"/>
          <w:sz w:val="18"/>
          <w:szCs w:val="18"/>
          <w:lang w:val="fr-FR"/>
        </w:rPr>
        <w:t>, 6 décembre 1983</w:t>
      </w:r>
    </w:p>
  </w:footnote>
  <w:footnote w:id="243">
    <w:p w14:paraId="3B5AFBEF" w14:textId="77777777" w:rsidR="00D86968" w:rsidRPr="00720D91" w:rsidRDefault="00D86968" w:rsidP="00720D91">
      <w:pPr>
        <w:pStyle w:val="Notedebasdepage"/>
        <w:jc w:val="both"/>
        <w:rPr>
          <w:rFonts w:ascii="Arial" w:hAnsi="Arial"/>
          <w:sz w:val="18"/>
          <w:szCs w:val="18"/>
          <w:lang w:val="fr-FR"/>
        </w:rPr>
      </w:pPr>
      <w:r w:rsidRPr="002D305B">
        <w:rPr>
          <w:rStyle w:val="Appelnotedebasdep"/>
          <w:rFonts w:ascii="Arial" w:hAnsi="Arial"/>
          <w:sz w:val="18"/>
          <w:szCs w:val="18"/>
        </w:rPr>
        <w:footnoteRef/>
      </w:r>
      <w:r w:rsidRPr="00720D91">
        <w:rPr>
          <w:rFonts w:ascii="Arial" w:hAnsi="Arial" w:cs="Arial"/>
          <w:iCs/>
          <w:sz w:val="18"/>
          <w:szCs w:val="18"/>
          <w:lang w:val="fr-FR"/>
        </w:rPr>
        <w:t xml:space="preserve"> Danemark, France, Norvège, Suède et Pays-Bas c. Turquie, </w:t>
      </w:r>
      <w:r w:rsidRPr="00720D91">
        <w:rPr>
          <w:rFonts w:ascii="Arial" w:hAnsi="Arial"/>
          <w:sz w:val="18"/>
          <w:szCs w:val="18"/>
          <w:lang w:val="fr-FR"/>
        </w:rPr>
        <w:t xml:space="preserve">nos 9940-44/82, </w:t>
      </w:r>
      <w:hyperlink r:id="rId316" w:history="1">
        <w:r w:rsidRPr="00720D91">
          <w:rPr>
            <w:rStyle w:val="Lienhypertexte"/>
            <w:rFonts w:ascii="Arial" w:hAnsi="Arial"/>
            <w:sz w:val="18"/>
            <w:szCs w:val="18"/>
            <w:lang w:val="fr-FR"/>
          </w:rPr>
          <w:t>rapport de la Commission</w:t>
        </w:r>
      </w:hyperlink>
      <w:r w:rsidRPr="00720D91">
        <w:rPr>
          <w:rFonts w:ascii="Arial" w:hAnsi="Arial"/>
          <w:sz w:val="18"/>
          <w:szCs w:val="18"/>
          <w:lang w:val="fr-FR"/>
        </w:rPr>
        <w:t xml:space="preserve">, 7 décembre 1985 (règlement amiable) </w:t>
      </w:r>
    </w:p>
  </w:footnote>
  <w:footnote w:id="244">
    <w:p w14:paraId="2C7FC177" w14:textId="77777777" w:rsidR="00D86968" w:rsidRPr="00720D91" w:rsidRDefault="00D86968" w:rsidP="00720D91">
      <w:pPr>
        <w:pStyle w:val="SingleTxtG"/>
        <w:spacing w:after="0" w:line="180" w:lineRule="exact"/>
        <w:ind w:left="0" w:right="0"/>
        <w:rPr>
          <w:rFonts w:ascii="Arial" w:hAnsi="Arial" w:cs="Arial"/>
          <w:sz w:val="18"/>
          <w:szCs w:val="18"/>
          <w:lang w:val="fr-FR"/>
        </w:rPr>
      </w:pPr>
      <w:r w:rsidRPr="00560F13">
        <w:rPr>
          <w:rStyle w:val="Appelnotedebasdep"/>
          <w:rFonts w:ascii="Arial" w:hAnsi="Arial" w:cs="Arial"/>
          <w:sz w:val="18"/>
          <w:szCs w:val="18"/>
        </w:rPr>
        <w:footnoteRef/>
      </w:r>
      <w:r w:rsidRPr="00720D91">
        <w:rPr>
          <w:rFonts w:ascii="Arial" w:hAnsi="Arial" w:cs="Arial"/>
          <w:sz w:val="18"/>
          <w:szCs w:val="18"/>
          <w:lang w:val="fr-FR"/>
        </w:rPr>
        <w:t xml:space="preserve"> </w:t>
      </w:r>
      <w:hyperlink r:id="rId317" w:history="1">
        <w:r w:rsidRPr="00720D91">
          <w:rPr>
            <w:rStyle w:val="Lienhypertexte"/>
            <w:rFonts w:ascii="Arial" w:hAnsi="Arial" w:cs="Arial"/>
            <w:i/>
            <w:sz w:val="18"/>
            <w:szCs w:val="18"/>
            <w:lang w:val="fr-FR"/>
          </w:rPr>
          <w:t>Danemark c. Turquie</w:t>
        </w:r>
      </w:hyperlink>
      <w:r w:rsidRPr="00720D91">
        <w:rPr>
          <w:rFonts w:ascii="Arial" w:hAnsi="Arial" w:cs="Arial"/>
          <w:sz w:val="18"/>
          <w:szCs w:val="18"/>
          <w:lang w:val="fr-FR"/>
        </w:rPr>
        <w:t xml:space="preserve">, n° 34382/97, 5 avril 2000. </w:t>
      </w:r>
    </w:p>
  </w:footnote>
  <w:footnote w:id="245">
    <w:p w14:paraId="3C2DAA34" w14:textId="77777777" w:rsidR="00D86968" w:rsidRPr="002D305B" w:rsidRDefault="00D86968" w:rsidP="00720D91">
      <w:pPr>
        <w:pStyle w:val="Sansinterligne"/>
        <w:jc w:val="both"/>
        <w:rPr>
          <w:rFonts w:ascii="Arial" w:hAnsi="Arial" w:cs="Arial"/>
          <w:sz w:val="18"/>
          <w:szCs w:val="18"/>
        </w:rPr>
      </w:pPr>
      <w:r w:rsidRPr="002D305B">
        <w:rPr>
          <w:rStyle w:val="Appelnotedebasdep"/>
          <w:rFonts w:ascii="Arial" w:hAnsi="Arial" w:cs="Arial"/>
          <w:sz w:val="18"/>
          <w:szCs w:val="18"/>
        </w:rPr>
        <w:footnoteRef/>
      </w:r>
      <w:r w:rsidRPr="002D305B">
        <w:t xml:space="preserve"> </w:t>
      </w:r>
      <w:hyperlink r:id="rId318" w:history="1">
        <w:r w:rsidRPr="002D305B">
          <w:rPr>
            <w:rStyle w:val="Lienhypertexte"/>
            <w:rFonts w:ascii="Arial" w:eastAsiaTheme="majorEastAsia" w:hAnsi="Arial" w:cs="Arial"/>
            <w:i/>
            <w:sz w:val="18"/>
            <w:szCs w:val="18"/>
          </w:rPr>
          <w:t>Danemark c. Turquie</w:t>
        </w:r>
      </w:hyperlink>
      <w:r w:rsidRPr="002D305B">
        <w:rPr>
          <w:rFonts w:ascii="Arial" w:hAnsi="Arial" w:cs="Arial"/>
          <w:sz w:val="18"/>
          <w:szCs w:val="18"/>
        </w:rPr>
        <w:t>, n° 34382/97, 5 avril 2000.</w:t>
      </w:r>
    </w:p>
  </w:footnote>
  <w:footnote w:id="246">
    <w:p w14:paraId="3EE75AAB" w14:textId="77777777" w:rsidR="00D86968" w:rsidRPr="00486B14" w:rsidRDefault="00D86968" w:rsidP="00720D91">
      <w:pPr>
        <w:pStyle w:val="SingleTxtG"/>
        <w:spacing w:after="0" w:line="180" w:lineRule="exact"/>
        <w:ind w:left="0" w:right="0"/>
        <w:rPr>
          <w:rFonts w:ascii="Arial" w:hAnsi="Arial" w:cs="Arial"/>
          <w:sz w:val="18"/>
          <w:szCs w:val="18"/>
          <w:lang w:val="en-US"/>
        </w:rPr>
      </w:pPr>
      <w:r w:rsidRPr="00560F13">
        <w:rPr>
          <w:rStyle w:val="Appelnotedebasdep"/>
          <w:rFonts w:ascii="Arial" w:hAnsi="Arial" w:cs="Arial"/>
          <w:sz w:val="18"/>
          <w:szCs w:val="18"/>
        </w:rPr>
        <w:footnoteRef/>
      </w:r>
      <w:r w:rsidRPr="00486B14">
        <w:rPr>
          <w:rFonts w:ascii="Arial" w:hAnsi="Arial" w:cs="Arial"/>
          <w:sz w:val="18"/>
          <w:szCs w:val="18"/>
          <w:lang w:val="en-US"/>
        </w:rPr>
        <w:t xml:space="preserve"> </w:t>
      </w:r>
      <w:r w:rsidRPr="00486B14">
        <w:rPr>
          <w:rStyle w:val="author"/>
          <w:rFonts w:ascii="Arial" w:hAnsi="Arial" w:cs="Arial"/>
          <w:i/>
          <w:iCs/>
          <w:color w:val="000000"/>
          <w:sz w:val="18"/>
          <w:szCs w:val="18"/>
          <w:bdr w:val="none" w:sz="0" w:space="0" w:color="auto" w:frame="1"/>
          <w:shd w:val="clear" w:color="auto" w:fill="FFFFFF"/>
          <w:lang w:val="en-US"/>
        </w:rPr>
        <w:t>Helen Keller</w:t>
      </w:r>
      <w:r w:rsidRPr="00486B14">
        <w:rPr>
          <w:rStyle w:val="cite-authors"/>
          <w:rFonts w:ascii="Arial" w:hAnsi="Arial" w:cs="Arial"/>
          <w:i/>
          <w:iCs/>
          <w:color w:val="000000"/>
          <w:sz w:val="18"/>
          <w:szCs w:val="18"/>
          <w:bdr w:val="none" w:sz="0" w:space="0" w:color="auto" w:frame="1"/>
          <w:shd w:val="clear" w:color="auto" w:fill="FFFFFF"/>
          <w:lang w:val="en-US"/>
        </w:rPr>
        <w:t> </w:t>
      </w:r>
      <w:r w:rsidRPr="00486B14">
        <w:rPr>
          <w:rStyle w:val="author"/>
          <w:rFonts w:ascii="Arial" w:hAnsi="Arial" w:cs="Arial"/>
          <w:i/>
          <w:iCs/>
          <w:color w:val="000000"/>
          <w:sz w:val="18"/>
          <w:szCs w:val="18"/>
          <w:bdr w:val="none" w:sz="0" w:space="0" w:color="auto" w:frame="1"/>
          <w:shd w:val="clear" w:color="auto" w:fill="FFFFFF"/>
          <w:lang w:val="en-US"/>
        </w:rPr>
        <w:t>Réka Piskóty</w:t>
      </w:r>
      <w:r w:rsidRPr="00486B14">
        <w:rPr>
          <w:rStyle w:val="cite-authors"/>
          <w:rFonts w:ascii="Arial" w:hAnsi="Arial" w:cs="Arial"/>
          <w:i/>
          <w:iCs/>
          <w:color w:val="000000"/>
          <w:sz w:val="18"/>
          <w:szCs w:val="18"/>
          <w:bdr w:val="none" w:sz="0" w:space="0" w:color="auto" w:frame="1"/>
          <w:shd w:val="clear" w:color="auto" w:fill="FFFFFF"/>
          <w:lang w:val="en-US"/>
        </w:rPr>
        <w:t> </w:t>
      </w:r>
      <w:r w:rsidRPr="00486B14">
        <w:rPr>
          <w:rStyle w:val="cite-title"/>
          <w:rFonts w:ascii="Arial" w:eastAsiaTheme="majorEastAsia" w:hAnsi="Arial" w:cs="Arial"/>
          <w:color w:val="000000"/>
          <w:sz w:val="18"/>
          <w:szCs w:val="18"/>
          <w:bdr w:val="none" w:sz="0" w:space="0" w:color="auto" w:frame="1"/>
          <w:shd w:val="clear" w:color="auto" w:fill="FFFFFF"/>
          <w:lang w:val="en-US"/>
        </w:rPr>
        <w:t>Friendly Settlements as the Sleeping Beauty in Inter-State Cases: Opportunities and Risks for the European Court of Human Rights,</w:t>
      </w:r>
      <w:r w:rsidRPr="00486B14">
        <w:rPr>
          <w:rFonts w:ascii="Arial" w:hAnsi="Arial" w:cs="Arial"/>
          <w:color w:val="000000"/>
          <w:sz w:val="18"/>
          <w:szCs w:val="18"/>
          <w:shd w:val="clear" w:color="auto" w:fill="FFFFFF"/>
          <w:lang w:val="en-US"/>
        </w:rPr>
        <w:t> </w:t>
      </w:r>
      <w:r w:rsidRPr="00486B14">
        <w:rPr>
          <w:rStyle w:val="cite-blog"/>
          <w:rFonts w:ascii="Arial" w:eastAsiaTheme="majorEastAsia" w:hAnsi="Arial" w:cs="Arial"/>
          <w:i/>
          <w:iCs/>
          <w:color w:val="000000"/>
          <w:sz w:val="18"/>
          <w:szCs w:val="18"/>
          <w:bdr w:val="none" w:sz="0" w:space="0" w:color="auto" w:frame="1"/>
          <w:shd w:val="clear" w:color="auto" w:fill="FFFFFF"/>
          <w:lang w:val="en-US"/>
        </w:rPr>
        <w:t>Völkerrechtsblog,</w:t>
      </w:r>
      <w:r w:rsidRPr="00486B14">
        <w:rPr>
          <w:rFonts w:ascii="Arial" w:hAnsi="Arial" w:cs="Arial"/>
          <w:color w:val="000000"/>
          <w:sz w:val="18"/>
          <w:szCs w:val="18"/>
          <w:shd w:val="clear" w:color="auto" w:fill="FFFFFF"/>
          <w:lang w:val="en-US"/>
        </w:rPr>
        <w:t> </w:t>
      </w:r>
      <w:r w:rsidRPr="00486B14">
        <w:rPr>
          <w:rStyle w:val="cite-date"/>
          <w:rFonts w:ascii="Arial" w:eastAsiaTheme="majorEastAsia" w:hAnsi="Arial" w:cs="Arial"/>
          <w:color w:val="000000"/>
          <w:sz w:val="18"/>
          <w:szCs w:val="18"/>
          <w:bdr w:val="none" w:sz="0" w:space="0" w:color="auto" w:frame="1"/>
          <w:shd w:val="clear" w:color="auto" w:fill="FFFFFF"/>
          <w:lang w:val="en-US"/>
        </w:rPr>
        <w:t>28.04.2021</w:t>
      </w:r>
      <w:r w:rsidRPr="00486B14">
        <w:rPr>
          <w:rStyle w:val="doi"/>
          <w:rFonts w:ascii="Arial" w:eastAsiaTheme="majorEastAsia" w:hAnsi="Arial" w:cs="Arial"/>
          <w:color w:val="000000"/>
          <w:sz w:val="18"/>
          <w:szCs w:val="18"/>
          <w:bdr w:val="none" w:sz="0" w:space="0" w:color="auto" w:frame="1"/>
          <w:shd w:val="clear" w:color="auto" w:fill="FFFFFF"/>
          <w:lang w:val="en-US"/>
        </w:rPr>
        <w:t>, doi: </w:t>
      </w:r>
      <w:hyperlink r:id="rId319" w:tgtFrame="_blank" w:history="1">
        <w:r w:rsidRPr="00486B14">
          <w:rPr>
            <w:rStyle w:val="Lienhypertexte"/>
            <w:rFonts w:ascii="Arial" w:hAnsi="Arial" w:cs="Arial"/>
            <w:color w:val="000000"/>
            <w:sz w:val="18"/>
            <w:szCs w:val="18"/>
            <w:bdr w:val="none" w:sz="0" w:space="0" w:color="auto" w:frame="1"/>
            <w:shd w:val="clear" w:color="auto" w:fill="FFFFFF"/>
            <w:lang w:val="en-US"/>
          </w:rPr>
          <w:t>10.17176/20210428-181222-0</w:t>
        </w:r>
      </w:hyperlink>
      <w:r w:rsidRPr="00486B14">
        <w:rPr>
          <w:rStyle w:val="doi"/>
          <w:rFonts w:ascii="Arial" w:eastAsiaTheme="majorEastAsia" w:hAnsi="Arial" w:cs="Arial"/>
          <w:color w:val="000000"/>
          <w:sz w:val="18"/>
          <w:szCs w:val="18"/>
          <w:bdr w:val="none" w:sz="0" w:space="0" w:color="auto" w:frame="1"/>
          <w:shd w:val="clear" w:color="auto" w:fill="FFFFFF"/>
          <w:lang w:val="en-US"/>
        </w:rPr>
        <w:t xml:space="preserve"> </w:t>
      </w:r>
    </w:p>
  </w:footnote>
  <w:footnote w:id="247">
    <w:p w14:paraId="4C8E1A6D" w14:textId="77777777" w:rsidR="00D86968" w:rsidRPr="00486B14" w:rsidRDefault="00D86968" w:rsidP="00720D91">
      <w:pPr>
        <w:pStyle w:val="SingleTxtG"/>
        <w:spacing w:after="0" w:line="180" w:lineRule="exact"/>
        <w:ind w:left="0" w:right="0"/>
        <w:rPr>
          <w:rFonts w:ascii="Arial" w:hAnsi="Arial" w:cs="Arial"/>
          <w:sz w:val="18"/>
          <w:szCs w:val="18"/>
          <w:lang w:val="en-US"/>
        </w:rPr>
      </w:pPr>
      <w:r w:rsidRPr="00560F13">
        <w:rPr>
          <w:rStyle w:val="Appelnotedebasdep"/>
          <w:rFonts w:ascii="Arial" w:hAnsi="Arial" w:cs="Arial"/>
          <w:sz w:val="18"/>
          <w:szCs w:val="18"/>
        </w:rPr>
        <w:footnoteRef/>
      </w:r>
      <w:r w:rsidRPr="00486B14">
        <w:rPr>
          <w:rFonts w:ascii="Arial" w:hAnsi="Arial" w:cs="Arial"/>
          <w:sz w:val="18"/>
          <w:szCs w:val="18"/>
          <w:lang w:val="en-US"/>
        </w:rPr>
        <w:t xml:space="preserve"> </w:t>
      </w:r>
      <w:r w:rsidRPr="00486B14">
        <w:rPr>
          <w:rStyle w:val="author"/>
          <w:rFonts w:ascii="Arial" w:hAnsi="Arial" w:cs="Arial"/>
          <w:i/>
          <w:iCs/>
          <w:color w:val="000000"/>
          <w:sz w:val="18"/>
          <w:szCs w:val="18"/>
          <w:bdr w:val="none" w:sz="0" w:space="0" w:color="auto" w:frame="1"/>
          <w:shd w:val="clear" w:color="auto" w:fill="FFFFFF"/>
          <w:lang w:val="en-US"/>
        </w:rPr>
        <w:t>Helen Keller</w:t>
      </w:r>
      <w:r w:rsidRPr="00486B14">
        <w:rPr>
          <w:rStyle w:val="cite-authors"/>
          <w:rFonts w:ascii="Arial" w:hAnsi="Arial" w:cs="Arial"/>
          <w:i/>
          <w:iCs/>
          <w:color w:val="000000"/>
          <w:sz w:val="18"/>
          <w:szCs w:val="18"/>
          <w:bdr w:val="none" w:sz="0" w:space="0" w:color="auto" w:frame="1"/>
          <w:shd w:val="clear" w:color="auto" w:fill="FFFFFF"/>
          <w:lang w:val="en-US"/>
        </w:rPr>
        <w:t> </w:t>
      </w:r>
      <w:r w:rsidRPr="00486B14">
        <w:rPr>
          <w:rStyle w:val="author"/>
          <w:rFonts w:ascii="Arial" w:hAnsi="Arial" w:cs="Arial"/>
          <w:i/>
          <w:iCs/>
          <w:color w:val="000000"/>
          <w:sz w:val="18"/>
          <w:szCs w:val="18"/>
          <w:bdr w:val="none" w:sz="0" w:space="0" w:color="auto" w:frame="1"/>
          <w:shd w:val="clear" w:color="auto" w:fill="FFFFFF"/>
          <w:lang w:val="en-US"/>
        </w:rPr>
        <w:t>Réka Piskóty</w:t>
      </w:r>
      <w:r w:rsidRPr="00486B14">
        <w:rPr>
          <w:rStyle w:val="cite-authors"/>
          <w:rFonts w:ascii="Arial" w:hAnsi="Arial" w:cs="Arial"/>
          <w:i/>
          <w:iCs/>
          <w:color w:val="000000"/>
          <w:sz w:val="18"/>
          <w:szCs w:val="18"/>
          <w:bdr w:val="none" w:sz="0" w:space="0" w:color="auto" w:frame="1"/>
          <w:shd w:val="clear" w:color="auto" w:fill="FFFFFF"/>
          <w:lang w:val="en-US"/>
        </w:rPr>
        <w:t> </w:t>
      </w:r>
      <w:r w:rsidRPr="00486B14">
        <w:rPr>
          <w:rStyle w:val="cite-title"/>
          <w:rFonts w:ascii="Arial" w:eastAsiaTheme="majorEastAsia" w:hAnsi="Arial" w:cs="Arial"/>
          <w:color w:val="000000"/>
          <w:sz w:val="18"/>
          <w:szCs w:val="18"/>
          <w:bdr w:val="none" w:sz="0" w:space="0" w:color="auto" w:frame="1"/>
          <w:shd w:val="clear" w:color="auto" w:fill="FFFFFF"/>
          <w:lang w:val="en-US"/>
        </w:rPr>
        <w:t>Friendly Settlements as the Sleeping Beauty in Inter-State Cases: Opportunities and Risks for the European Court of Human Rights,</w:t>
      </w:r>
      <w:r w:rsidRPr="00486B14">
        <w:rPr>
          <w:rFonts w:ascii="Arial" w:hAnsi="Arial" w:cs="Arial"/>
          <w:color w:val="000000"/>
          <w:sz w:val="18"/>
          <w:szCs w:val="18"/>
          <w:shd w:val="clear" w:color="auto" w:fill="FFFFFF"/>
          <w:lang w:val="en-US"/>
        </w:rPr>
        <w:t> </w:t>
      </w:r>
      <w:r w:rsidRPr="00486B14">
        <w:rPr>
          <w:rStyle w:val="cite-blog"/>
          <w:rFonts w:ascii="Arial" w:eastAsiaTheme="majorEastAsia" w:hAnsi="Arial" w:cs="Arial"/>
          <w:i/>
          <w:iCs/>
          <w:color w:val="000000"/>
          <w:sz w:val="18"/>
          <w:szCs w:val="18"/>
          <w:bdr w:val="none" w:sz="0" w:space="0" w:color="auto" w:frame="1"/>
          <w:shd w:val="clear" w:color="auto" w:fill="FFFFFF"/>
          <w:lang w:val="en-US"/>
        </w:rPr>
        <w:t>Völkerrechtsblog,</w:t>
      </w:r>
      <w:r w:rsidRPr="00486B14">
        <w:rPr>
          <w:rFonts w:ascii="Arial" w:hAnsi="Arial" w:cs="Arial"/>
          <w:color w:val="000000"/>
          <w:sz w:val="18"/>
          <w:szCs w:val="18"/>
          <w:shd w:val="clear" w:color="auto" w:fill="FFFFFF"/>
          <w:lang w:val="en-US"/>
        </w:rPr>
        <w:t> </w:t>
      </w:r>
      <w:r w:rsidRPr="00486B14">
        <w:rPr>
          <w:rStyle w:val="cite-date"/>
          <w:rFonts w:ascii="Arial" w:eastAsiaTheme="majorEastAsia" w:hAnsi="Arial" w:cs="Arial"/>
          <w:color w:val="000000"/>
          <w:sz w:val="18"/>
          <w:szCs w:val="18"/>
          <w:bdr w:val="none" w:sz="0" w:space="0" w:color="auto" w:frame="1"/>
          <w:shd w:val="clear" w:color="auto" w:fill="FFFFFF"/>
          <w:lang w:val="en-US"/>
        </w:rPr>
        <w:t>28.04.2021</w:t>
      </w:r>
      <w:r w:rsidRPr="00486B14">
        <w:rPr>
          <w:rStyle w:val="doi"/>
          <w:rFonts w:ascii="Arial" w:eastAsiaTheme="majorEastAsia" w:hAnsi="Arial" w:cs="Arial"/>
          <w:color w:val="000000"/>
          <w:sz w:val="18"/>
          <w:szCs w:val="18"/>
          <w:bdr w:val="none" w:sz="0" w:space="0" w:color="auto" w:frame="1"/>
          <w:shd w:val="clear" w:color="auto" w:fill="FFFFFF"/>
          <w:lang w:val="en-US"/>
        </w:rPr>
        <w:t>, doi: </w:t>
      </w:r>
      <w:hyperlink r:id="rId320" w:tgtFrame="_blank" w:history="1">
        <w:r w:rsidRPr="00486B14">
          <w:rPr>
            <w:rStyle w:val="Lienhypertexte"/>
            <w:rFonts w:ascii="Arial" w:hAnsi="Arial" w:cs="Arial"/>
            <w:color w:val="000000"/>
            <w:sz w:val="18"/>
            <w:szCs w:val="18"/>
            <w:bdr w:val="none" w:sz="0" w:space="0" w:color="auto" w:frame="1"/>
            <w:shd w:val="clear" w:color="auto" w:fill="FFFFFF"/>
            <w:lang w:val="en-US"/>
          </w:rPr>
          <w:t>10.17176/20210428-181222-0</w:t>
        </w:r>
      </w:hyperlink>
      <w:r w:rsidRPr="00486B14">
        <w:rPr>
          <w:rStyle w:val="doi"/>
          <w:rFonts w:ascii="Arial" w:eastAsiaTheme="majorEastAsia" w:hAnsi="Arial" w:cs="Arial"/>
          <w:color w:val="000000"/>
          <w:sz w:val="18"/>
          <w:szCs w:val="18"/>
          <w:bdr w:val="none" w:sz="0" w:space="0" w:color="auto" w:frame="1"/>
          <w:shd w:val="clear" w:color="auto" w:fill="FFFFFF"/>
          <w:lang w:val="en-US"/>
        </w:rPr>
        <w:t xml:space="preserve"> </w:t>
      </w:r>
    </w:p>
  </w:footnote>
  <w:footnote w:id="248">
    <w:p w14:paraId="0298AC4E" w14:textId="77777777" w:rsidR="00D86968" w:rsidRPr="00486B14" w:rsidRDefault="00D86968" w:rsidP="00720D91">
      <w:pPr>
        <w:pStyle w:val="SingleTxtG"/>
        <w:spacing w:after="0" w:line="180" w:lineRule="exact"/>
        <w:ind w:left="0" w:right="0"/>
        <w:rPr>
          <w:rFonts w:ascii="Arial" w:hAnsi="Arial" w:cs="Arial"/>
          <w:sz w:val="18"/>
          <w:szCs w:val="18"/>
          <w:lang w:val="en-US"/>
        </w:rPr>
      </w:pPr>
      <w:r w:rsidRPr="00560F13">
        <w:rPr>
          <w:rStyle w:val="Appelnotedebasdep"/>
          <w:rFonts w:ascii="Arial" w:hAnsi="Arial" w:cs="Arial"/>
          <w:sz w:val="18"/>
          <w:szCs w:val="18"/>
        </w:rPr>
        <w:footnoteRef/>
      </w:r>
      <w:r w:rsidRPr="00486B14">
        <w:rPr>
          <w:rFonts w:ascii="Arial" w:hAnsi="Arial" w:cs="Arial"/>
          <w:sz w:val="18"/>
          <w:szCs w:val="18"/>
          <w:lang w:val="en-US"/>
        </w:rPr>
        <w:t xml:space="preserve"> </w:t>
      </w:r>
      <w:r w:rsidRPr="00486B14">
        <w:rPr>
          <w:rStyle w:val="author"/>
          <w:rFonts w:ascii="Arial" w:hAnsi="Arial" w:cs="Arial"/>
          <w:i/>
          <w:iCs/>
          <w:color w:val="000000"/>
          <w:sz w:val="18"/>
          <w:szCs w:val="18"/>
          <w:bdr w:val="none" w:sz="0" w:space="0" w:color="auto" w:frame="1"/>
          <w:shd w:val="clear" w:color="auto" w:fill="FFFFFF"/>
          <w:lang w:val="en-US"/>
        </w:rPr>
        <w:t>Helen Keller</w:t>
      </w:r>
      <w:r w:rsidRPr="00486B14">
        <w:rPr>
          <w:rStyle w:val="cite-authors"/>
          <w:rFonts w:ascii="Arial" w:hAnsi="Arial" w:cs="Arial"/>
          <w:i/>
          <w:iCs/>
          <w:color w:val="000000"/>
          <w:sz w:val="18"/>
          <w:szCs w:val="18"/>
          <w:bdr w:val="none" w:sz="0" w:space="0" w:color="auto" w:frame="1"/>
          <w:shd w:val="clear" w:color="auto" w:fill="FFFFFF"/>
          <w:lang w:val="en-US"/>
        </w:rPr>
        <w:t> </w:t>
      </w:r>
      <w:r w:rsidRPr="00486B14">
        <w:rPr>
          <w:rStyle w:val="author"/>
          <w:rFonts w:ascii="Arial" w:hAnsi="Arial" w:cs="Arial"/>
          <w:i/>
          <w:iCs/>
          <w:color w:val="000000"/>
          <w:sz w:val="18"/>
          <w:szCs w:val="18"/>
          <w:bdr w:val="none" w:sz="0" w:space="0" w:color="auto" w:frame="1"/>
          <w:shd w:val="clear" w:color="auto" w:fill="FFFFFF"/>
          <w:lang w:val="en-US"/>
        </w:rPr>
        <w:t>Réka Piskóty</w:t>
      </w:r>
      <w:r w:rsidRPr="00486B14">
        <w:rPr>
          <w:rStyle w:val="cite-authors"/>
          <w:rFonts w:ascii="Arial" w:hAnsi="Arial" w:cs="Arial"/>
          <w:i/>
          <w:iCs/>
          <w:color w:val="000000"/>
          <w:sz w:val="18"/>
          <w:szCs w:val="18"/>
          <w:bdr w:val="none" w:sz="0" w:space="0" w:color="auto" w:frame="1"/>
          <w:shd w:val="clear" w:color="auto" w:fill="FFFFFF"/>
          <w:lang w:val="en-US"/>
        </w:rPr>
        <w:t> </w:t>
      </w:r>
      <w:r w:rsidRPr="00486B14">
        <w:rPr>
          <w:rStyle w:val="cite-title"/>
          <w:rFonts w:ascii="Arial" w:eastAsiaTheme="majorEastAsia" w:hAnsi="Arial" w:cs="Arial"/>
          <w:color w:val="000000"/>
          <w:sz w:val="18"/>
          <w:szCs w:val="18"/>
          <w:bdr w:val="none" w:sz="0" w:space="0" w:color="auto" w:frame="1"/>
          <w:shd w:val="clear" w:color="auto" w:fill="FFFFFF"/>
          <w:lang w:val="en-US"/>
        </w:rPr>
        <w:t>Friendly Settlements as the Sleeping Beauty in Inter-State Cases: Opportunities and Risks for the European Court of Human Rights,</w:t>
      </w:r>
      <w:r w:rsidRPr="00486B14">
        <w:rPr>
          <w:rFonts w:ascii="Arial" w:hAnsi="Arial" w:cs="Arial"/>
          <w:color w:val="000000"/>
          <w:sz w:val="18"/>
          <w:szCs w:val="18"/>
          <w:shd w:val="clear" w:color="auto" w:fill="FFFFFF"/>
          <w:lang w:val="en-US"/>
        </w:rPr>
        <w:t> </w:t>
      </w:r>
      <w:r w:rsidRPr="00486B14">
        <w:rPr>
          <w:rStyle w:val="cite-blog"/>
          <w:rFonts w:ascii="Arial" w:eastAsiaTheme="majorEastAsia" w:hAnsi="Arial" w:cs="Arial"/>
          <w:i/>
          <w:iCs/>
          <w:color w:val="000000"/>
          <w:sz w:val="18"/>
          <w:szCs w:val="18"/>
          <w:bdr w:val="none" w:sz="0" w:space="0" w:color="auto" w:frame="1"/>
          <w:shd w:val="clear" w:color="auto" w:fill="FFFFFF"/>
          <w:lang w:val="en-US"/>
        </w:rPr>
        <w:t>Völkerrechtsblog,</w:t>
      </w:r>
      <w:r w:rsidRPr="00486B14">
        <w:rPr>
          <w:rFonts w:ascii="Arial" w:hAnsi="Arial" w:cs="Arial"/>
          <w:color w:val="000000"/>
          <w:sz w:val="18"/>
          <w:szCs w:val="18"/>
          <w:shd w:val="clear" w:color="auto" w:fill="FFFFFF"/>
          <w:lang w:val="en-US"/>
        </w:rPr>
        <w:t> </w:t>
      </w:r>
      <w:r w:rsidRPr="00486B14">
        <w:rPr>
          <w:rStyle w:val="cite-date"/>
          <w:rFonts w:ascii="Arial" w:eastAsiaTheme="majorEastAsia" w:hAnsi="Arial" w:cs="Arial"/>
          <w:color w:val="000000"/>
          <w:sz w:val="18"/>
          <w:szCs w:val="18"/>
          <w:bdr w:val="none" w:sz="0" w:space="0" w:color="auto" w:frame="1"/>
          <w:shd w:val="clear" w:color="auto" w:fill="FFFFFF"/>
          <w:lang w:val="en-US"/>
        </w:rPr>
        <w:t>28.04.2021</w:t>
      </w:r>
      <w:r w:rsidRPr="00486B14">
        <w:rPr>
          <w:rStyle w:val="doi"/>
          <w:rFonts w:ascii="Arial" w:eastAsiaTheme="majorEastAsia" w:hAnsi="Arial" w:cs="Arial"/>
          <w:color w:val="000000"/>
          <w:sz w:val="18"/>
          <w:szCs w:val="18"/>
          <w:bdr w:val="none" w:sz="0" w:space="0" w:color="auto" w:frame="1"/>
          <w:shd w:val="clear" w:color="auto" w:fill="FFFFFF"/>
          <w:lang w:val="en-US"/>
        </w:rPr>
        <w:t>, doi: </w:t>
      </w:r>
      <w:hyperlink r:id="rId321" w:tgtFrame="_blank" w:history="1">
        <w:r w:rsidRPr="00486B14">
          <w:rPr>
            <w:rStyle w:val="Lienhypertexte"/>
            <w:rFonts w:ascii="Arial" w:hAnsi="Arial" w:cs="Arial"/>
            <w:color w:val="000000"/>
            <w:sz w:val="18"/>
            <w:szCs w:val="18"/>
            <w:bdr w:val="none" w:sz="0" w:space="0" w:color="auto" w:frame="1"/>
            <w:shd w:val="clear" w:color="auto" w:fill="FFFFFF"/>
            <w:lang w:val="en-US"/>
          </w:rPr>
          <w:t>10.17176/20210428-181222-0</w:t>
        </w:r>
      </w:hyperlink>
      <w:r w:rsidRPr="00486B14">
        <w:rPr>
          <w:rStyle w:val="doi"/>
          <w:rFonts w:ascii="Arial" w:eastAsiaTheme="majorEastAsia" w:hAnsi="Arial" w:cs="Arial"/>
          <w:color w:val="000000"/>
          <w:sz w:val="18"/>
          <w:szCs w:val="18"/>
          <w:bdr w:val="none" w:sz="0" w:space="0" w:color="auto" w:frame="1"/>
          <w:shd w:val="clear" w:color="auto" w:fill="FFFFFF"/>
          <w:lang w:val="en-US"/>
        </w:rPr>
        <w:t xml:space="preserve"> </w:t>
      </w:r>
    </w:p>
  </w:footnote>
  <w:footnote w:id="249">
    <w:p w14:paraId="3616E49C" w14:textId="77777777" w:rsidR="00D86968" w:rsidRPr="00704E46" w:rsidRDefault="00D86968" w:rsidP="00720D91">
      <w:pPr>
        <w:pStyle w:val="Sansinterligne"/>
        <w:jc w:val="both"/>
        <w:rPr>
          <w:rFonts w:ascii="Arial" w:hAnsi="Arial" w:cs="Arial"/>
          <w:sz w:val="18"/>
          <w:szCs w:val="18"/>
          <w:lang w:val="es-ES"/>
        </w:rPr>
      </w:pPr>
      <w:r w:rsidRPr="002D305B">
        <w:rPr>
          <w:rStyle w:val="Appelnotedebasdep"/>
          <w:rFonts w:ascii="Arial" w:hAnsi="Arial" w:cs="Arial"/>
          <w:sz w:val="18"/>
          <w:szCs w:val="18"/>
        </w:rPr>
        <w:footnoteRef/>
      </w:r>
      <w:hyperlink r:id="rId322" w:history="1">
        <w:r w:rsidRPr="00704E46">
          <w:rPr>
            <w:rStyle w:val="Lienhypertexte"/>
            <w:rFonts w:ascii="Arial" w:eastAsiaTheme="majorEastAsia" w:hAnsi="Arial" w:cs="Arial"/>
            <w:i/>
            <w:iCs/>
            <w:sz w:val="18"/>
            <w:szCs w:val="18"/>
            <w:lang w:val="es-ES"/>
          </w:rPr>
          <w:t xml:space="preserve"> Tahsin Acar c. Turquie </w:t>
        </w:r>
      </w:hyperlink>
      <w:r w:rsidRPr="00704E46">
        <w:rPr>
          <w:rFonts w:ascii="Arial" w:hAnsi="Arial" w:cs="Arial"/>
          <w:sz w:val="18"/>
          <w:szCs w:val="18"/>
          <w:lang w:val="es-ES"/>
        </w:rPr>
        <w:t>[GC], n° 26307/95, §§ 78, 79, 83.</w:t>
      </w:r>
    </w:p>
  </w:footnote>
  <w:footnote w:id="250">
    <w:p w14:paraId="274CF7F6" w14:textId="77777777" w:rsidR="00D86968" w:rsidRPr="002D305B" w:rsidRDefault="00D86968" w:rsidP="00720D91">
      <w:pPr>
        <w:pStyle w:val="Sansinterligne"/>
        <w:jc w:val="both"/>
        <w:rPr>
          <w:rFonts w:ascii="Arial" w:hAnsi="Arial" w:cs="Arial"/>
          <w:sz w:val="18"/>
          <w:szCs w:val="18"/>
        </w:rPr>
      </w:pPr>
      <w:r w:rsidRPr="002D305B">
        <w:rPr>
          <w:rStyle w:val="Appelnotedebasdep"/>
          <w:rFonts w:ascii="Arial" w:hAnsi="Arial" w:cs="Arial"/>
          <w:sz w:val="18"/>
          <w:szCs w:val="18"/>
        </w:rPr>
        <w:footnoteRef/>
      </w:r>
      <w:r w:rsidRPr="002D305B">
        <w:rPr>
          <w:rFonts w:ascii="Arial" w:hAnsi="Arial" w:cs="Arial"/>
          <w:sz w:val="18"/>
          <w:szCs w:val="18"/>
        </w:rPr>
        <w:t xml:space="preserve"> </w:t>
      </w:r>
      <w:hyperlink r:id="rId323" w:history="1">
        <w:r w:rsidRPr="002D305B">
          <w:rPr>
            <w:rStyle w:val="Lienhypertexte"/>
            <w:rFonts w:ascii="Arial" w:eastAsiaTheme="majorEastAsia" w:hAnsi="Arial" w:cs="Arial"/>
            <w:i/>
            <w:sz w:val="18"/>
            <w:szCs w:val="18"/>
          </w:rPr>
          <w:t>Rantsev c. Chypre et Russie</w:t>
        </w:r>
      </w:hyperlink>
      <w:r w:rsidRPr="002D305B">
        <w:rPr>
          <w:rFonts w:ascii="Arial" w:hAnsi="Arial" w:cs="Arial"/>
          <w:sz w:val="18"/>
          <w:szCs w:val="18"/>
        </w:rPr>
        <w:t xml:space="preserve">, n° 25965/04, 7 janvier 2010. Dans cette affaire qui concernait le décès de la fille du requérant à Chypre, la Cour a rejeté la déclaration unilatérale proposée par le gouvernement chypriote, alors que cette déclaration reconnaissait les violations des articles 2, 3 et 4 de la Convention et proposait une indemnisation, en soulignant la gravité des allégations – il s’agissait de traite d’êtres humains – et la quasi-absence de jurisprudence sur l’article 4 CEDH. </w:t>
      </w:r>
    </w:p>
  </w:footnote>
  <w:footnote w:id="251">
    <w:p w14:paraId="4ED16731" w14:textId="77777777" w:rsidR="00D86968" w:rsidRPr="002D305B" w:rsidRDefault="00D86968" w:rsidP="00720D91">
      <w:pPr>
        <w:pStyle w:val="Sansinterligne"/>
        <w:jc w:val="both"/>
        <w:rPr>
          <w:rFonts w:ascii="Arial" w:hAnsi="Arial" w:cs="Arial"/>
          <w:sz w:val="18"/>
          <w:szCs w:val="18"/>
        </w:rPr>
      </w:pPr>
      <w:r w:rsidRPr="002D305B">
        <w:rPr>
          <w:rStyle w:val="Appelnotedebasdep"/>
          <w:rFonts w:ascii="Arial" w:hAnsi="Arial" w:cs="Arial"/>
          <w:sz w:val="18"/>
          <w:szCs w:val="18"/>
        </w:rPr>
        <w:footnoteRef/>
      </w:r>
      <w:hyperlink r:id="rId324" w:history="1">
        <w:r w:rsidRPr="002D305B">
          <w:rPr>
            <w:rStyle w:val="Lienhypertexte"/>
            <w:rFonts w:ascii="Arial" w:eastAsiaTheme="majorEastAsia" w:hAnsi="Arial" w:cs="Arial"/>
            <w:i/>
            <w:sz w:val="18"/>
            <w:szCs w:val="18"/>
          </w:rPr>
          <w:t>Tomov et autres c. Russie</w:t>
        </w:r>
      </w:hyperlink>
      <w:r w:rsidRPr="002D305B">
        <w:rPr>
          <w:rFonts w:ascii="Arial" w:hAnsi="Arial" w:cs="Arial"/>
          <w:sz w:val="18"/>
          <w:szCs w:val="18"/>
        </w:rPr>
        <w:t>, n° 18255/10 et autres, § 100, 9 avril 2019.</w:t>
      </w:r>
    </w:p>
  </w:footnote>
  <w:footnote w:id="252">
    <w:p w14:paraId="52709FF0" w14:textId="77777777" w:rsidR="00D86968" w:rsidRPr="002D305B" w:rsidRDefault="00D86968" w:rsidP="00720D91">
      <w:pPr>
        <w:pStyle w:val="Sansinterligne"/>
        <w:jc w:val="both"/>
        <w:rPr>
          <w:rFonts w:ascii="Arial" w:hAnsi="Arial" w:cs="Arial"/>
          <w:sz w:val="18"/>
          <w:szCs w:val="18"/>
        </w:rPr>
      </w:pPr>
      <w:r w:rsidRPr="002D305B">
        <w:rPr>
          <w:rStyle w:val="Appelnotedebasdep"/>
          <w:rFonts w:ascii="Arial" w:hAnsi="Arial" w:cs="Arial"/>
          <w:sz w:val="18"/>
          <w:szCs w:val="18"/>
        </w:rPr>
        <w:footnoteRef/>
      </w:r>
      <w:r w:rsidRPr="002D305B">
        <w:rPr>
          <w:rFonts w:ascii="Arial" w:hAnsi="Arial" w:cs="Arial"/>
          <w:sz w:val="18"/>
          <w:szCs w:val="18"/>
        </w:rPr>
        <w:t xml:space="preserve"> </w:t>
      </w:r>
      <w:hyperlink r:id="rId325" w:history="1">
        <w:r w:rsidRPr="002D305B">
          <w:rPr>
            <w:rStyle w:val="Lienhypertexte"/>
            <w:rFonts w:ascii="Arial" w:eastAsiaTheme="majorEastAsia" w:hAnsi="Arial" w:cs="Arial"/>
            <w:sz w:val="18"/>
            <w:szCs w:val="18"/>
          </w:rPr>
          <w:t>https://www.echr.coe.int/Documents/Stats_analysis_2019_FRA.pdf</w:t>
        </w:r>
      </w:hyperlink>
      <w:r w:rsidRPr="002D305B">
        <w:rPr>
          <w:rStyle w:val="Lienhypertexte"/>
          <w:rFonts w:ascii="Arial" w:eastAsiaTheme="majorEastAsia" w:hAnsi="Arial" w:cs="Arial"/>
          <w:sz w:val="18"/>
          <w:szCs w:val="18"/>
        </w:rPr>
        <w:t xml:space="preserve"> </w:t>
      </w:r>
      <w:r w:rsidRPr="002D305B">
        <w:rPr>
          <w:rFonts w:ascii="Arial" w:hAnsi="Arial" w:cs="Arial"/>
          <w:sz w:val="18"/>
          <w:szCs w:val="18"/>
        </w:rPr>
        <w:t>En 2015, 2 970 déclarations unilatérales ont été acceptées par la Cour. Ce nombre est tombé en 2016 à 1 766, et a de nouveau diminué de manière significative en 2017 pour atteindre 754 DU.</w:t>
      </w:r>
    </w:p>
  </w:footnote>
  <w:footnote w:id="253">
    <w:p w14:paraId="45B48B8F" w14:textId="77777777" w:rsidR="00D86968" w:rsidRPr="002D305B" w:rsidRDefault="00D86968" w:rsidP="00720D91">
      <w:pPr>
        <w:pStyle w:val="Sansinterligne"/>
        <w:jc w:val="both"/>
        <w:rPr>
          <w:rFonts w:ascii="Arial" w:hAnsi="Arial" w:cs="Arial"/>
          <w:sz w:val="18"/>
          <w:szCs w:val="18"/>
        </w:rPr>
      </w:pPr>
      <w:r w:rsidRPr="002D305B">
        <w:rPr>
          <w:rStyle w:val="Appelnotedebasdep"/>
          <w:rFonts w:ascii="Arial" w:hAnsi="Arial" w:cs="Arial"/>
          <w:sz w:val="18"/>
          <w:szCs w:val="18"/>
        </w:rPr>
        <w:footnoteRef/>
      </w:r>
      <w:r w:rsidRPr="002D305B">
        <w:rPr>
          <w:rFonts w:ascii="Arial" w:hAnsi="Arial" w:cs="Arial"/>
          <w:sz w:val="18"/>
          <w:szCs w:val="18"/>
        </w:rPr>
        <w:t xml:space="preserve"> </w:t>
      </w:r>
      <w:hyperlink r:id="rId326" w:history="1">
        <w:r w:rsidRPr="002D305B">
          <w:rPr>
            <w:rStyle w:val="Lienhypertexte"/>
            <w:rFonts w:ascii="Arial" w:eastAsiaTheme="majorEastAsia" w:hAnsi="Arial" w:cs="Arial"/>
            <w:i/>
            <w:sz w:val="18"/>
            <w:szCs w:val="18"/>
          </w:rPr>
          <w:t>Xenides-Arestis c. Turquie</w:t>
        </w:r>
      </w:hyperlink>
      <w:r w:rsidRPr="002D305B">
        <w:rPr>
          <w:rFonts w:ascii="Arial" w:hAnsi="Arial" w:cs="Arial"/>
          <w:sz w:val="18"/>
          <w:szCs w:val="18"/>
        </w:rPr>
        <w:t xml:space="preserve">, </w:t>
      </w:r>
      <w:r w:rsidRPr="002D305B">
        <w:rPr>
          <w:rFonts w:ascii="Arial" w:hAnsi="Arial" w:cs="Arial"/>
          <w:iCs/>
          <w:sz w:val="18"/>
          <w:szCs w:val="18"/>
        </w:rPr>
        <w:t>n° 46347/99, par</w:t>
      </w:r>
      <w:r>
        <w:rPr>
          <w:rFonts w:ascii="Arial" w:hAnsi="Arial" w:cs="Arial"/>
          <w:iCs/>
          <w:sz w:val="18"/>
          <w:szCs w:val="18"/>
        </w:rPr>
        <w:t>a</w:t>
      </w:r>
      <w:r w:rsidRPr="002D305B">
        <w:rPr>
          <w:rFonts w:ascii="Arial" w:hAnsi="Arial" w:cs="Arial"/>
          <w:iCs/>
          <w:sz w:val="18"/>
          <w:szCs w:val="18"/>
        </w:rPr>
        <w:t xml:space="preserve">. 39 et 40, 22 décembre </w:t>
      </w:r>
      <w:r w:rsidRPr="002D305B">
        <w:rPr>
          <w:rFonts w:ascii="Arial" w:hAnsi="Arial" w:cs="Arial"/>
          <w:sz w:val="18"/>
          <w:szCs w:val="18"/>
        </w:rPr>
        <w:t xml:space="preserve">2005. </w:t>
      </w:r>
    </w:p>
  </w:footnote>
  <w:footnote w:id="254">
    <w:p w14:paraId="3A5AD0D4" w14:textId="77777777" w:rsidR="00D86968" w:rsidRPr="002D305B" w:rsidRDefault="00D86968" w:rsidP="00720D91">
      <w:pPr>
        <w:pStyle w:val="Sansinterligne"/>
        <w:rPr>
          <w:rFonts w:ascii="Arial" w:hAnsi="Arial" w:cs="Arial"/>
          <w:sz w:val="18"/>
          <w:szCs w:val="18"/>
        </w:rPr>
      </w:pPr>
      <w:r w:rsidRPr="002D305B">
        <w:rPr>
          <w:rStyle w:val="Appelnotedebasdep"/>
          <w:rFonts w:ascii="Arial" w:hAnsi="Arial" w:cs="Arial"/>
          <w:sz w:val="18"/>
          <w:szCs w:val="18"/>
        </w:rPr>
        <w:footnoteRef/>
      </w:r>
      <w:r w:rsidRPr="002D305B">
        <w:rPr>
          <w:rFonts w:ascii="Arial" w:hAnsi="Arial" w:cs="Arial"/>
          <w:sz w:val="18"/>
          <w:szCs w:val="18"/>
        </w:rPr>
        <w:t xml:space="preserve"> </w:t>
      </w:r>
      <w:r w:rsidRPr="002D305B">
        <w:rPr>
          <w:rFonts w:ascii="Arial" w:hAnsi="Arial" w:cs="Arial"/>
          <w:i/>
          <w:iCs/>
          <w:sz w:val="18"/>
          <w:szCs w:val="18"/>
        </w:rPr>
        <w:t>Ibid</w:t>
      </w:r>
      <w:r w:rsidRPr="002D305B">
        <w:rPr>
          <w:rFonts w:ascii="Arial" w:hAnsi="Arial" w:cs="Arial"/>
          <w:sz w:val="18"/>
          <w:szCs w:val="18"/>
        </w:rPr>
        <w:t>, § 38.</w:t>
      </w:r>
    </w:p>
  </w:footnote>
  <w:footnote w:id="255">
    <w:p w14:paraId="490A33BA" w14:textId="77777777" w:rsidR="00D86968" w:rsidRPr="007510C9" w:rsidRDefault="00D86968" w:rsidP="00720D91">
      <w:pPr>
        <w:pStyle w:val="Sansinterligne"/>
        <w:rPr>
          <w:rFonts w:ascii="Arial" w:hAnsi="Arial" w:cs="Arial"/>
          <w:sz w:val="18"/>
          <w:szCs w:val="18"/>
        </w:rPr>
      </w:pPr>
      <w:r w:rsidRPr="002D305B">
        <w:rPr>
          <w:rStyle w:val="Appelnotedebasdep"/>
          <w:rFonts w:ascii="Arial" w:hAnsi="Arial" w:cs="Arial"/>
          <w:sz w:val="18"/>
          <w:szCs w:val="18"/>
        </w:rPr>
        <w:footnoteRef/>
      </w:r>
      <w:r w:rsidRPr="007510C9">
        <w:rPr>
          <w:rFonts w:ascii="Arial" w:hAnsi="Arial" w:cs="Arial"/>
          <w:i/>
          <w:iCs/>
          <w:sz w:val="18"/>
          <w:szCs w:val="18"/>
        </w:rPr>
        <w:t xml:space="preserve"> Ibid,.</w:t>
      </w:r>
    </w:p>
  </w:footnote>
  <w:footnote w:id="256">
    <w:p w14:paraId="276F30D3" w14:textId="77777777" w:rsidR="00D86968" w:rsidRPr="007510C9" w:rsidRDefault="00D86968" w:rsidP="00720D91">
      <w:pPr>
        <w:pStyle w:val="Sansinterligne"/>
        <w:rPr>
          <w:rFonts w:ascii="Arial" w:hAnsi="Arial" w:cs="Arial"/>
          <w:sz w:val="18"/>
          <w:szCs w:val="18"/>
        </w:rPr>
      </w:pPr>
      <w:r w:rsidRPr="002D305B">
        <w:rPr>
          <w:rStyle w:val="Appelnotedebasdep"/>
          <w:rFonts w:ascii="Arial" w:hAnsi="Arial" w:cs="Arial"/>
          <w:sz w:val="18"/>
          <w:szCs w:val="18"/>
        </w:rPr>
        <w:footnoteRef/>
      </w:r>
      <w:r w:rsidRPr="007510C9">
        <w:rPr>
          <w:rFonts w:ascii="Arial" w:hAnsi="Arial" w:cs="Arial"/>
          <w:sz w:val="18"/>
          <w:szCs w:val="18"/>
        </w:rPr>
        <w:t xml:space="preserve"> </w:t>
      </w:r>
      <w:r w:rsidRPr="007510C9">
        <w:rPr>
          <w:rFonts w:ascii="Arial" w:hAnsi="Arial" w:cs="Arial"/>
          <w:i/>
          <w:iCs/>
          <w:sz w:val="18"/>
          <w:szCs w:val="18"/>
        </w:rPr>
        <w:t>Ibid</w:t>
      </w:r>
      <w:r w:rsidRPr="007510C9">
        <w:rPr>
          <w:rFonts w:ascii="Arial" w:hAnsi="Arial" w:cs="Arial"/>
          <w:sz w:val="18"/>
          <w:szCs w:val="18"/>
        </w:rPr>
        <w:t>., §§ 40.</w:t>
      </w:r>
    </w:p>
  </w:footnote>
  <w:footnote w:id="257">
    <w:p w14:paraId="6FB0E8B7" w14:textId="77777777" w:rsidR="00D86968" w:rsidRPr="00720D91" w:rsidRDefault="00D86968" w:rsidP="00720D91">
      <w:pPr>
        <w:pStyle w:val="Notedebasdepage"/>
        <w:jc w:val="both"/>
        <w:rPr>
          <w:rFonts w:ascii="Arial" w:hAnsi="Arial" w:cs="Arial"/>
          <w:sz w:val="18"/>
          <w:szCs w:val="18"/>
          <w:lang w:val="fr-FR"/>
        </w:rPr>
      </w:pPr>
      <w:r w:rsidRPr="002D305B">
        <w:rPr>
          <w:rStyle w:val="Appelnotedebasdep"/>
          <w:rFonts w:ascii="Arial" w:hAnsi="Arial" w:cs="Arial"/>
          <w:sz w:val="18"/>
          <w:szCs w:val="18"/>
        </w:rPr>
        <w:footnoteRef/>
      </w:r>
      <w:hyperlink r:id="rId327" w:history="1">
        <w:r w:rsidRPr="00720D91">
          <w:rPr>
            <w:rStyle w:val="Lienhypertexte"/>
            <w:rFonts w:ascii="Arial" w:hAnsi="Arial" w:cs="Arial"/>
            <w:i/>
            <w:iCs/>
            <w:sz w:val="18"/>
            <w:szCs w:val="18"/>
            <w:lang w:val="fr-FR"/>
          </w:rPr>
          <w:t xml:space="preserve"> Demopolous et autres c. Turquie </w:t>
        </w:r>
      </w:hyperlink>
      <w:r w:rsidRPr="00720D91">
        <w:rPr>
          <w:rFonts w:ascii="Arial" w:hAnsi="Arial" w:cs="Arial"/>
          <w:sz w:val="18"/>
          <w:szCs w:val="18"/>
          <w:lang w:val="fr-FR"/>
        </w:rPr>
        <w:t xml:space="preserve">(déc) </w:t>
      </w:r>
      <w:r w:rsidRPr="00720D91">
        <w:rPr>
          <w:rStyle w:val="sb8d990e2"/>
          <w:rFonts w:ascii="Arial" w:hAnsi="Arial" w:cs="Arial"/>
          <w:color w:val="000000"/>
          <w:sz w:val="18"/>
          <w:szCs w:val="18"/>
          <w:lang w:val="fr-FR"/>
        </w:rPr>
        <w:t xml:space="preserve">nos </w:t>
      </w:r>
      <w:r w:rsidRPr="00720D91">
        <w:rPr>
          <w:rFonts w:ascii="Arial" w:hAnsi="Arial" w:cs="Arial"/>
          <w:sz w:val="18"/>
          <w:szCs w:val="18"/>
          <w:lang w:val="fr-FR"/>
        </w:rPr>
        <w:t>46113/99</w:t>
      </w:r>
      <w:r w:rsidRPr="00720D91">
        <w:rPr>
          <w:rStyle w:val="sb8d990e2"/>
          <w:rFonts w:ascii="Arial" w:hAnsi="Arial" w:cs="Arial"/>
          <w:color w:val="000000"/>
          <w:sz w:val="18"/>
          <w:szCs w:val="18"/>
          <w:lang w:val="fr-FR"/>
        </w:rPr>
        <w:t xml:space="preserve">, </w:t>
      </w:r>
      <w:r w:rsidRPr="00720D91">
        <w:rPr>
          <w:rFonts w:ascii="Arial" w:hAnsi="Arial" w:cs="Arial"/>
          <w:sz w:val="18"/>
          <w:szCs w:val="18"/>
          <w:lang w:val="fr-FR"/>
        </w:rPr>
        <w:t>3843/02</w:t>
      </w:r>
      <w:r w:rsidRPr="00720D91">
        <w:rPr>
          <w:rStyle w:val="sb8d990e2"/>
          <w:rFonts w:ascii="Arial" w:hAnsi="Arial" w:cs="Arial"/>
          <w:color w:val="000000"/>
          <w:sz w:val="18"/>
          <w:szCs w:val="18"/>
          <w:lang w:val="fr-FR"/>
        </w:rPr>
        <w:t xml:space="preserve">, </w:t>
      </w:r>
      <w:bookmarkStart w:id="82" w:name="_Hlk45891438"/>
      <w:r w:rsidRPr="00720D91">
        <w:rPr>
          <w:rFonts w:ascii="Arial" w:hAnsi="Arial" w:cs="Arial"/>
          <w:sz w:val="18"/>
          <w:szCs w:val="18"/>
          <w:lang w:val="fr-FR"/>
        </w:rPr>
        <w:t>13751/02</w:t>
      </w:r>
      <w:r w:rsidRPr="00720D91">
        <w:rPr>
          <w:rStyle w:val="sb8d990e2"/>
          <w:rFonts w:ascii="Arial" w:hAnsi="Arial" w:cs="Arial"/>
          <w:color w:val="000000"/>
          <w:sz w:val="18"/>
          <w:szCs w:val="18"/>
          <w:lang w:val="fr-FR"/>
        </w:rPr>
        <w:t xml:space="preserve">, </w:t>
      </w:r>
      <w:bookmarkEnd w:id="82"/>
      <w:r w:rsidRPr="00720D91">
        <w:rPr>
          <w:rFonts w:ascii="Arial" w:hAnsi="Arial" w:cs="Arial"/>
          <w:sz w:val="18"/>
          <w:szCs w:val="18"/>
          <w:lang w:val="fr-FR"/>
        </w:rPr>
        <w:t>13466/03</w:t>
      </w:r>
      <w:r w:rsidRPr="00720D91">
        <w:rPr>
          <w:rStyle w:val="sb8d990e2"/>
          <w:rFonts w:ascii="Arial" w:hAnsi="Arial" w:cs="Arial"/>
          <w:color w:val="000000"/>
          <w:sz w:val="18"/>
          <w:szCs w:val="18"/>
          <w:lang w:val="fr-FR"/>
        </w:rPr>
        <w:t xml:space="preserve">, </w:t>
      </w:r>
      <w:r w:rsidRPr="00720D91">
        <w:rPr>
          <w:rFonts w:ascii="Arial" w:hAnsi="Arial" w:cs="Arial"/>
          <w:sz w:val="18"/>
          <w:szCs w:val="18"/>
          <w:lang w:val="fr-FR"/>
        </w:rPr>
        <w:t>10200/04</w:t>
      </w:r>
      <w:r w:rsidRPr="00720D91">
        <w:rPr>
          <w:rStyle w:val="sb8d990e2"/>
          <w:rFonts w:ascii="Arial" w:hAnsi="Arial" w:cs="Arial"/>
          <w:color w:val="000000"/>
          <w:sz w:val="18"/>
          <w:szCs w:val="18"/>
          <w:lang w:val="fr-FR"/>
        </w:rPr>
        <w:t xml:space="preserve">, </w:t>
      </w:r>
      <w:r w:rsidRPr="00720D91">
        <w:rPr>
          <w:rFonts w:ascii="Arial" w:hAnsi="Arial" w:cs="Arial"/>
          <w:sz w:val="18"/>
          <w:szCs w:val="18"/>
          <w:lang w:val="fr-FR"/>
        </w:rPr>
        <w:t>14163/04</w:t>
      </w:r>
      <w:r w:rsidRPr="00720D91">
        <w:rPr>
          <w:rStyle w:val="sb8d990e2"/>
          <w:rFonts w:ascii="Arial" w:hAnsi="Arial" w:cs="Arial"/>
          <w:color w:val="000000"/>
          <w:sz w:val="18"/>
          <w:szCs w:val="18"/>
          <w:lang w:val="fr-FR"/>
        </w:rPr>
        <w:t xml:space="preserve">, </w:t>
      </w:r>
      <w:r w:rsidRPr="00720D91">
        <w:rPr>
          <w:rFonts w:ascii="Arial" w:hAnsi="Arial" w:cs="Arial"/>
          <w:sz w:val="18"/>
          <w:szCs w:val="18"/>
          <w:lang w:val="fr-FR"/>
        </w:rPr>
        <w:t>19993/04</w:t>
      </w:r>
      <w:r w:rsidRPr="00720D91">
        <w:rPr>
          <w:rStyle w:val="sb8d990e2"/>
          <w:rFonts w:ascii="Arial" w:hAnsi="Arial" w:cs="Arial"/>
          <w:color w:val="000000"/>
          <w:sz w:val="18"/>
          <w:szCs w:val="18"/>
          <w:lang w:val="fr-FR"/>
        </w:rPr>
        <w:t xml:space="preserve">, </w:t>
      </w:r>
      <w:r w:rsidRPr="00720D91">
        <w:rPr>
          <w:rFonts w:ascii="Arial" w:hAnsi="Arial" w:cs="Arial"/>
          <w:sz w:val="18"/>
          <w:szCs w:val="18"/>
          <w:lang w:val="fr-FR"/>
        </w:rPr>
        <w:t>21819/04</w:t>
      </w:r>
      <w:r w:rsidRPr="00720D91">
        <w:rPr>
          <w:rStyle w:val="sb8d990e2"/>
          <w:rFonts w:ascii="Arial" w:hAnsi="Arial" w:cs="Arial"/>
          <w:color w:val="000000"/>
          <w:sz w:val="18"/>
          <w:szCs w:val="18"/>
          <w:lang w:val="fr-FR"/>
        </w:rPr>
        <w:t>, §127, 1er mars 2010.</w:t>
      </w:r>
    </w:p>
  </w:footnote>
  <w:footnote w:id="258">
    <w:p w14:paraId="70DC9B0E" w14:textId="77777777" w:rsidR="00D86968" w:rsidRPr="00720D91" w:rsidRDefault="00D86968" w:rsidP="00720D91">
      <w:pPr>
        <w:pStyle w:val="Notedebasdepage"/>
        <w:jc w:val="both"/>
        <w:rPr>
          <w:lang w:val="fr-FR"/>
        </w:rPr>
      </w:pPr>
      <w:r w:rsidRPr="002D305B">
        <w:rPr>
          <w:rStyle w:val="Appelnotedebasdep"/>
        </w:rPr>
        <w:footnoteRef/>
      </w:r>
      <w:r w:rsidRPr="00720D91">
        <w:rPr>
          <w:lang w:val="fr-FR"/>
        </w:rPr>
        <w:t xml:space="preserve"> </w:t>
      </w:r>
      <w:r w:rsidRPr="00720D91">
        <w:rPr>
          <w:rFonts w:ascii="Arial" w:hAnsi="Arial" w:cs="Arial"/>
          <w:sz w:val="18"/>
          <w:szCs w:val="18"/>
          <w:lang w:val="fr-FR"/>
        </w:rPr>
        <w:t>Ibid, § 63.</w:t>
      </w:r>
    </w:p>
  </w:footnote>
  <w:footnote w:id="259">
    <w:p w14:paraId="5A355B8D" w14:textId="77777777" w:rsidR="00D86968" w:rsidRPr="00720D91" w:rsidRDefault="00D86968" w:rsidP="00720D91">
      <w:pPr>
        <w:pStyle w:val="Notedebasdepage"/>
        <w:jc w:val="both"/>
        <w:rPr>
          <w:lang w:val="fr-FR"/>
        </w:rPr>
      </w:pPr>
      <w:r>
        <w:rPr>
          <w:rStyle w:val="Appelnotedebasdep"/>
        </w:rPr>
        <w:footnoteRef/>
      </w:r>
      <w:r w:rsidRPr="00720D91">
        <w:rPr>
          <w:lang w:val="fr-FR"/>
        </w:rPr>
        <w:t xml:space="preserve"> </w:t>
      </w:r>
      <w:r w:rsidRPr="00720D91">
        <w:rPr>
          <w:rFonts w:ascii="Arial" w:hAnsi="Arial" w:cs="Arial"/>
          <w:sz w:val="18"/>
          <w:szCs w:val="18"/>
          <w:lang w:val="fr-FR"/>
        </w:rPr>
        <w:t>Règle 61§1 du Règlement de la Cour. Dans un arrêt pilote, la mission de la Cour n’est pas seulement de déterminer si une violation de la Convention a eu lieu dans l’affaire en question mais également d’identifier le problème systémique et de donner au gouvernement des indications claires sur le type de mesures correctives nécessaire pour y remédier. Une caractéristique spécifique de la procédure d’arrêt pilote est la possibilité d’ajourner, ou de « geler », les affaires connexes pour une période donnée à la condition que le gouvernement agisse rapidement pour adopter les mesures nationales requises pour se conformer à l’arrêt. La Cour peut cependant reprendre l’examen des affaires ajournées dès lors que les intérêts de la justice l’exigent.</w:t>
      </w:r>
      <w:r w:rsidRPr="00720D91">
        <w:rPr>
          <w:lang w:val="fr-FR"/>
        </w:rPr>
        <w:t xml:space="preserve">  </w:t>
      </w:r>
    </w:p>
  </w:footnote>
  <w:footnote w:id="260">
    <w:p w14:paraId="4C06069D" w14:textId="77777777" w:rsidR="00D86968" w:rsidRPr="00547F76" w:rsidRDefault="00D86968" w:rsidP="00720D91">
      <w:pPr>
        <w:pStyle w:val="Sansinterligne"/>
        <w:jc w:val="both"/>
        <w:rPr>
          <w:rFonts w:ascii="Arial" w:hAnsi="Arial" w:cs="Arial"/>
          <w:sz w:val="18"/>
          <w:szCs w:val="18"/>
          <w:lang w:val="en-US"/>
        </w:rPr>
      </w:pPr>
      <w:r>
        <w:rPr>
          <w:rStyle w:val="Appelnotedebasdep"/>
        </w:rPr>
        <w:footnoteRef/>
      </w:r>
      <w:r w:rsidRPr="00720D91">
        <w:rPr>
          <w:lang w:val="en-US"/>
        </w:rPr>
        <w:t xml:space="preserve"> </w:t>
      </w:r>
      <w:r w:rsidRPr="00486B14">
        <w:rPr>
          <w:rFonts w:ascii="Arial" w:hAnsi="Arial" w:cs="Arial"/>
          <w:sz w:val="18"/>
          <w:szCs w:val="18"/>
          <w:lang w:val="en-US"/>
        </w:rPr>
        <w:t>L. Wildhaber,</w:t>
      </w:r>
      <w:r w:rsidRPr="00720D91">
        <w:rPr>
          <w:lang w:val="en-US"/>
        </w:rPr>
        <w:t xml:space="preserve"> </w:t>
      </w:r>
      <w:r w:rsidRPr="00CE6307">
        <w:rPr>
          <w:rFonts w:ascii="Arial" w:hAnsi="Arial" w:cs="Arial"/>
          <w:i/>
          <w:iCs/>
          <w:sz w:val="18"/>
          <w:szCs w:val="18"/>
          <w:lang w:val="en-US"/>
        </w:rPr>
        <w:t>Pilot judgment in cases of structural or systemic problems on the national level</w:t>
      </w:r>
      <w:r w:rsidRPr="00547F76">
        <w:rPr>
          <w:rFonts w:ascii="Arial" w:hAnsi="Arial" w:cs="Arial"/>
          <w:sz w:val="18"/>
          <w:szCs w:val="18"/>
          <w:lang w:val="en-US"/>
        </w:rPr>
        <w:t xml:space="preserve"> in R</w:t>
      </w:r>
      <w:r>
        <w:rPr>
          <w:rFonts w:ascii="Arial" w:hAnsi="Arial" w:cs="Arial"/>
          <w:sz w:val="18"/>
          <w:szCs w:val="18"/>
          <w:lang w:val="en-US"/>
        </w:rPr>
        <w:t>.</w:t>
      </w:r>
      <w:r w:rsidRPr="00547F76">
        <w:rPr>
          <w:rFonts w:ascii="Arial" w:hAnsi="Arial" w:cs="Arial"/>
          <w:sz w:val="18"/>
          <w:szCs w:val="18"/>
          <w:lang w:val="en-US"/>
        </w:rPr>
        <w:t xml:space="preserve"> Wolfrum, U</w:t>
      </w:r>
      <w:r>
        <w:rPr>
          <w:rFonts w:ascii="Arial" w:hAnsi="Arial" w:cs="Arial"/>
          <w:sz w:val="18"/>
          <w:szCs w:val="18"/>
          <w:lang w:val="en-US"/>
        </w:rPr>
        <w:t>.</w:t>
      </w:r>
      <w:r w:rsidRPr="00547F76">
        <w:rPr>
          <w:rFonts w:ascii="Arial" w:hAnsi="Arial" w:cs="Arial"/>
          <w:sz w:val="18"/>
          <w:szCs w:val="18"/>
          <w:lang w:val="en-US"/>
        </w:rPr>
        <w:t xml:space="preserve"> Deutsch, </w:t>
      </w:r>
      <w:r w:rsidRPr="00CE6307">
        <w:rPr>
          <w:rFonts w:ascii="Arial" w:hAnsi="Arial" w:cs="Arial"/>
          <w:i/>
          <w:iCs/>
          <w:sz w:val="18"/>
          <w:szCs w:val="18"/>
          <w:lang w:val="en-US"/>
        </w:rPr>
        <w:t>The European Court of Human Rights Overwhelmed by applications: Problems and possible solutions</w:t>
      </w:r>
      <w:r w:rsidRPr="00547F76">
        <w:rPr>
          <w:rFonts w:ascii="Arial" w:hAnsi="Arial" w:cs="Arial"/>
          <w:sz w:val="18"/>
          <w:szCs w:val="18"/>
          <w:lang w:val="en-US"/>
        </w:rPr>
        <w:t>; P</w:t>
      </w:r>
      <w:r>
        <w:rPr>
          <w:rFonts w:ascii="Arial" w:hAnsi="Arial" w:cs="Arial"/>
          <w:sz w:val="18"/>
          <w:szCs w:val="18"/>
          <w:lang w:val="en-US"/>
        </w:rPr>
        <w:t>.</w:t>
      </w:r>
      <w:r w:rsidRPr="00547F76">
        <w:rPr>
          <w:rFonts w:ascii="Arial" w:hAnsi="Arial" w:cs="Arial"/>
          <w:sz w:val="18"/>
          <w:szCs w:val="18"/>
          <w:lang w:val="en-US"/>
        </w:rPr>
        <w:t xml:space="preserve"> Leach, </w:t>
      </w:r>
      <w:r w:rsidRPr="00A17384">
        <w:rPr>
          <w:rFonts w:ascii="Arial" w:hAnsi="Arial" w:cs="Arial"/>
          <w:i/>
          <w:iCs/>
          <w:sz w:val="18"/>
          <w:szCs w:val="18"/>
          <w:lang w:val="en-US"/>
        </w:rPr>
        <w:t>Responding to systemic human rights violations: an analysis of pilot judgments of the European Court of Human</w:t>
      </w:r>
      <w:r w:rsidRPr="00547F76">
        <w:rPr>
          <w:rFonts w:ascii="Arial" w:hAnsi="Arial" w:cs="Arial"/>
          <w:sz w:val="18"/>
          <w:szCs w:val="18"/>
          <w:lang w:val="en-US"/>
        </w:rPr>
        <w:t xml:space="preserve"> </w:t>
      </w:r>
      <w:r w:rsidRPr="00A17384">
        <w:rPr>
          <w:rFonts w:ascii="Arial" w:hAnsi="Arial" w:cs="Arial"/>
          <w:i/>
          <w:iCs/>
          <w:sz w:val="18"/>
          <w:szCs w:val="18"/>
          <w:lang w:val="en-US"/>
        </w:rPr>
        <w:t>Rights and their impact at national level</w:t>
      </w:r>
      <w:r w:rsidRPr="00547F76">
        <w:rPr>
          <w:rFonts w:ascii="Arial" w:hAnsi="Arial" w:cs="Arial"/>
          <w:sz w:val="18"/>
          <w:szCs w:val="18"/>
          <w:lang w:val="en-US"/>
        </w:rPr>
        <w:t xml:space="preserve">; A Buyse, </w:t>
      </w:r>
      <w:r w:rsidRPr="003B4FBB">
        <w:rPr>
          <w:rFonts w:ascii="Arial" w:hAnsi="Arial" w:cs="Arial"/>
          <w:i/>
          <w:iCs/>
          <w:sz w:val="18"/>
          <w:szCs w:val="18"/>
          <w:lang w:val="en-US"/>
        </w:rPr>
        <w:t>Airborne or Bound to Crash? The rise of pilot judgment and their appeal as a tool to deal with the aftermath of conflict</w:t>
      </w:r>
      <w:r w:rsidRPr="00547F76">
        <w:rPr>
          <w:rFonts w:ascii="Arial" w:hAnsi="Arial" w:cs="Arial"/>
          <w:sz w:val="18"/>
          <w:szCs w:val="18"/>
          <w:lang w:val="en-US"/>
        </w:rPr>
        <w:t xml:space="preserve">.  </w:t>
      </w:r>
    </w:p>
    <w:p w14:paraId="1E389F70" w14:textId="77777777" w:rsidR="00D86968" w:rsidRPr="00A17384" w:rsidRDefault="00D86968" w:rsidP="00720D91">
      <w:pPr>
        <w:pStyle w:val="Notedebasdepage"/>
        <w:rPr>
          <w:i/>
          <w:iCs/>
          <w:lang w:val="en-US"/>
        </w:rPr>
      </w:pPr>
    </w:p>
  </w:footnote>
  <w:footnote w:id="261">
    <w:p w14:paraId="7D493C76" w14:textId="77777777" w:rsidR="00D86968" w:rsidRPr="00720D91" w:rsidRDefault="00D86968" w:rsidP="00720D91">
      <w:pPr>
        <w:pStyle w:val="Notedebasdepage"/>
        <w:jc w:val="both"/>
        <w:rPr>
          <w:rFonts w:ascii="Arial" w:hAnsi="Arial" w:cs="Arial"/>
          <w:sz w:val="18"/>
          <w:szCs w:val="18"/>
          <w:lang w:val="fr-FR"/>
        </w:rPr>
      </w:pPr>
      <w:r w:rsidRPr="00E94CD0">
        <w:rPr>
          <w:rStyle w:val="Appelnotedebasdep"/>
          <w:rFonts w:ascii="Arial" w:hAnsi="Arial" w:cs="Arial"/>
          <w:sz w:val="18"/>
          <w:szCs w:val="18"/>
        </w:rPr>
        <w:footnoteRef/>
      </w:r>
      <w:r w:rsidRPr="00720D91">
        <w:rPr>
          <w:rFonts w:ascii="Arial" w:hAnsi="Arial" w:cs="Arial"/>
          <w:sz w:val="18"/>
          <w:szCs w:val="18"/>
          <w:lang w:val="fr-FR"/>
        </w:rPr>
        <w:t xml:space="preserve"> Les termes « Ossétie du Sud » et « Abkhazie » font référence aux régions de Géorgie qui sont hors du contrôle </w:t>
      </w:r>
      <w:r w:rsidRPr="00720D91">
        <w:rPr>
          <w:rFonts w:ascii="Arial" w:hAnsi="Arial" w:cs="Arial"/>
          <w:i/>
          <w:sz w:val="18"/>
          <w:szCs w:val="18"/>
          <w:lang w:val="fr-FR"/>
        </w:rPr>
        <w:t>de facto</w:t>
      </w:r>
      <w:r w:rsidRPr="00720D91">
        <w:rPr>
          <w:rFonts w:ascii="Arial" w:hAnsi="Arial" w:cs="Arial"/>
          <w:sz w:val="18"/>
          <w:szCs w:val="18"/>
          <w:lang w:val="fr-FR"/>
        </w:rPr>
        <w:t xml:space="preserve"> du gouvernement géorgien. </w:t>
      </w:r>
    </w:p>
  </w:footnote>
  <w:footnote w:id="262">
    <w:p w14:paraId="7DA18495" w14:textId="77777777" w:rsidR="00D86968" w:rsidRPr="00720D91" w:rsidRDefault="00D86968" w:rsidP="00720D91">
      <w:pPr>
        <w:pStyle w:val="Notedebasdepage"/>
        <w:jc w:val="both"/>
        <w:rPr>
          <w:rFonts w:cstheme="minorHAnsi"/>
          <w:sz w:val="18"/>
          <w:szCs w:val="18"/>
          <w:lang w:val="fr-FR"/>
        </w:rPr>
      </w:pPr>
      <w:r w:rsidRPr="00E94CD0">
        <w:rPr>
          <w:rFonts w:ascii="Arial" w:hAnsi="Arial" w:cs="Arial"/>
          <w:sz w:val="18"/>
          <w:szCs w:val="18"/>
          <w:vertAlign w:val="subscript"/>
        </w:rPr>
        <w:footnoteRef/>
      </w:r>
      <w:r w:rsidRPr="00720D91">
        <w:rPr>
          <w:rFonts w:ascii="Arial" w:hAnsi="Arial" w:cs="Arial"/>
          <w:sz w:val="18"/>
          <w:szCs w:val="18"/>
          <w:lang w:val="fr-FR"/>
        </w:rPr>
        <w:t xml:space="preserve"> Les requérants ont allégué des violations de leurs droits garantis par la Convention résultant principalement des hostilités et de l'absence d'enquêtes adéquates par les autorités de l'État.</w:t>
      </w:r>
    </w:p>
  </w:footnote>
  <w:footnote w:id="263">
    <w:p w14:paraId="386842F0" w14:textId="77777777" w:rsidR="00D86968" w:rsidRPr="00720D91" w:rsidRDefault="00D86968" w:rsidP="00720D91">
      <w:pPr>
        <w:pStyle w:val="Notedebasdepage"/>
        <w:shd w:val="clear" w:color="auto" w:fill="FFFFFF" w:themeFill="background1"/>
        <w:jc w:val="both"/>
        <w:rPr>
          <w:rFonts w:ascii="Arial" w:hAnsi="Arial" w:cs="Arial"/>
          <w:sz w:val="18"/>
          <w:szCs w:val="18"/>
          <w:lang w:val="fr-FR"/>
        </w:rPr>
      </w:pPr>
      <w:r w:rsidRPr="00E94CD0">
        <w:rPr>
          <w:rStyle w:val="Appelnotedebasdep"/>
          <w:rFonts w:ascii="Arial" w:hAnsi="Arial" w:cs="Arial"/>
          <w:sz w:val="18"/>
          <w:szCs w:val="18"/>
        </w:rPr>
        <w:footnoteRef/>
      </w:r>
      <w:r w:rsidRPr="00720D91">
        <w:rPr>
          <w:rFonts w:ascii="Arial" w:hAnsi="Arial" w:cs="Arial"/>
          <w:sz w:val="18"/>
          <w:szCs w:val="18"/>
          <w:lang w:val="fr-FR"/>
        </w:rPr>
        <w:t xml:space="preserve"> Voir </w:t>
      </w:r>
      <w:r w:rsidRPr="00720D91">
        <w:rPr>
          <w:rFonts w:ascii="Arial" w:hAnsi="Arial" w:cs="Arial"/>
          <w:i/>
          <w:sz w:val="18"/>
          <w:szCs w:val="18"/>
          <w:lang w:val="fr-FR"/>
        </w:rPr>
        <w:t>Abayeva et autres c. Géorgie</w:t>
      </w:r>
      <w:r w:rsidRPr="00720D91">
        <w:rPr>
          <w:rFonts w:ascii="Arial" w:hAnsi="Arial" w:cs="Arial"/>
          <w:sz w:val="18"/>
          <w:szCs w:val="18"/>
          <w:lang w:val="fr-FR"/>
        </w:rPr>
        <w:t xml:space="preserve"> (déc.), nos </w:t>
      </w:r>
      <w:hyperlink r:id="rId328" w:history="1">
        <w:r w:rsidRPr="00720D91">
          <w:rPr>
            <w:rStyle w:val="Lienhypertexte"/>
            <w:rFonts w:ascii="Arial" w:hAnsi="Arial" w:cs="Arial"/>
            <w:color w:val="auto"/>
            <w:sz w:val="18"/>
            <w:szCs w:val="18"/>
            <w:lang w:val="fr-FR"/>
          </w:rPr>
          <w:t>52196/08</w:t>
        </w:r>
      </w:hyperlink>
      <w:r w:rsidRPr="00720D91">
        <w:rPr>
          <w:rFonts w:ascii="Arial" w:hAnsi="Arial" w:cs="Arial"/>
          <w:sz w:val="18"/>
          <w:szCs w:val="18"/>
          <w:lang w:val="fr-FR"/>
        </w:rPr>
        <w:t xml:space="preserve">, 52200/08, 49671/08, 46657/08 et 53894/08, 23 mars 2010 ; </w:t>
      </w:r>
      <w:r w:rsidRPr="00720D91">
        <w:rPr>
          <w:rFonts w:ascii="Arial" w:hAnsi="Arial" w:cs="Arial"/>
          <w:i/>
          <w:sz w:val="18"/>
          <w:szCs w:val="18"/>
          <w:lang w:val="fr-FR"/>
        </w:rPr>
        <w:t>Khetagurova et autres c. Géorgie</w:t>
      </w:r>
      <w:r w:rsidRPr="00720D91">
        <w:rPr>
          <w:rFonts w:ascii="Arial" w:hAnsi="Arial" w:cs="Arial"/>
          <w:sz w:val="18"/>
          <w:szCs w:val="18"/>
          <w:lang w:val="fr-FR"/>
        </w:rPr>
        <w:t xml:space="preserve"> (déc.), n° </w:t>
      </w:r>
      <w:hyperlink r:id="rId329" w:history="1">
        <w:r w:rsidRPr="00720D91">
          <w:rPr>
            <w:rStyle w:val="Lienhypertexte"/>
            <w:rFonts w:ascii="Arial" w:hAnsi="Arial" w:cs="Arial"/>
            <w:color w:val="auto"/>
            <w:sz w:val="18"/>
            <w:szCs w:val="18"/>
            <w:lang w:val="fr-FR"/>
          </w:rPr>
          <w:t>43253/08</w:t>
        </w:r>
      </w:hyperlink>
      <w:r w:rsidRPr="00720D91">
        <w:rPr>
          <w:rFonts w:ascii="Arial" w:hAnsi="Arial" w:cs="Arial"/>
          <w:sz w:val="18"/>
          <w:szCs w:val="18"/>
          <w:lang w:val="fr-FR"/>
        </w:rPr>
        <w:t xml:space="preserve"> et 1548 requêtes, 14 décembre 2010</w:t>
      </w:r>
    </w:p>
  </w:footnote>
  <w:footnote w:id="264">
    <w:p w14:paraId="12DCBFF1" w14:textId="77777777" w:rsidR="00D86968" w:rsidRPr="00720D91" w:rsidRDefault="00D86968" w:rsidP="00720D91">
      <w:pPr>
        <w:pStyle w:val="Notedebasdepage"/>
        <w:shd w:val="clear" w:color="auto" w:fill="FFFFFF" w:themeFill="background1"/>
        <w:jc w:val="both"/>
        <w:rPr>
          <w:rFonts w:ascii="Arial" w:eastAsia="Times New Roman" w:hAnsi="Arial" w:cs="Arial"/>
          <w:sz w:val="18"/>
          <w:szCs w:val="18"/>
          <w:lang w:val="fr-FR"/>
        </w:rPr>
      </w:pPr>
      <w:r w:rsidRPr="00E94CD0">
        <w:rPr>
          <w:rFonts w:ascii="Arial" w:hAnsi="Arial" w:cs="Arial"/>
          <w:sz w:val="18"/>
          <w:szCs w:val="18"/>
          <w:vertAlign w:val="superscript"/>
        </w:rPr>
        <w:footnoteRef/>
      </w:r>
      <w:r w:rsidRPr="00720D91">
        <w:rPr>
          <w:rFonts w:ascii="Arial" w:hAnsi="Arial" w:cs="Arial"/>
          <w:sz w:val="18"/>
          <w:szCs w:val="18"/>
          <w:lang w:val="fr-FR"/>
        </w:rPr>
        <w:t xml:space="preserve"> Voir </w:t>
      </w:r>
      <w:r w:rsidRPr="00720D91">
        <w:rPr>
          <w:rFonts w:ascii="Arial" w:hAnsi="Arial" w:cs="Arial"/>
          <w:i/>
          <w:sz w:val="18"/>
          <w:szCs w:val="18"/>
          <w:lang w:val="fr-FR"/>
        </w:rPr>
        <w:t>Dzhioyeva et autres c. Géorgie</w:t>
      </w:r>
      <w:r w:rsidRPr="00720D91">
        <w:rPr>
          <w:rFonts w:ascii="Arial" w:hAnsi="Arial" w:cs="Arial"/>
          <w:sz w:val="18"/>
          <w:szCs w:val="18"/>
          <w:lang w:val="fr-FR"/>
        </w:rPr>
        <w:t xml:space="preserve"> (déc.), nos 24964/09, 20548/09 et 22469/09 ; </w:t>
      </w:r>
      <w:r w:rsidRPr="00720D91">
        <w:rPr>
          <w:rFonts w:ascii="Arial" w:hAnsi="Arial" w:cs="Arial"/>
          <w:i/>
          <w:sz w:val="18"/>
          <w:szCs w:val="18"/>
          <w:lang w:val="fr-FR"/>
        </w:rPr>
        <w:t>Koudoukhova et Koudoukhova c. Géorgie</w:t>
      </w:r>
      <w:r w:rsidRPr="00720D91">
        <w:rPr>
          <w:rFonts w:ascii="Arial" w:hAnsi="Arial" w:cs="Arial"/>
          <w:sz w:val="18"/>
          <w:szCs w:val="18"/>
          <w:lang w:val="fr-FR"/>
        </w:rPr>
        <w:t xml:space="preserve"> (déc.), nos 8274/09 et 8275/09 ; </w:t>
      </w:r>
      <w:r w:rsidRPr="00720D91">
        <w:rPr>
          <w:rFonts w:ascii="Arial" w:hAnsi="Arial" w:cs="Arial"/>
          <w:i/>
          <w:sz w:val="18"/>
          <w:szCs w:val="18"/>
          <w:lang w:val="fr-FR"/>
        </w:rPr>
        <w:t>Naniyeva et Bagayev c. Géorgie</w:t>
      </w:r>
      <w:r w:rsidRPr="00720D91">
        <w:rPr>
          <w:rFonts w:ascii="Arial" w:hAnsi="Arial" w:cs="Arial"/>
          <w:sz w:val="18"/>
          <w:szCs w:val="18"/>
          <w:lang w:val="fr-FR"/>
        </w:rPr>
        <w:t xml:space="preserve"> (déc.), nos 2256/09 et 2260/09</w:t>
      </w:r>
    </w:p>
  </w:footnote>
  <w:footnote w:id="265">
    <w:p w14:paraId="39BC305B" w14:textId="77777777" w:rsidR="00D86968" w:rsidRPr="00E94CD0" w:rsidRDefault="00D86968" w:rsidP="00720D91">
      <w:pPr>
        <w:shd w:val="clear" w:color="auto" w:fill="FFFFFF" w:themeFill="background1"/>
        <w:jc w:val="both"/>
        <w:rPr>
          <w:rFonts w:cstheme="minorHAnsi"/>
          <w:sz w:val="18"/>
          <w:szCs w:val="18"/>
        </w:rPr>
      </w:pPr>
      <w:r w:rsidRPr="00E94CD0">
        <w:rPr>
          <w:rStyle w:val="Appelnotedebasdep"/>
          <w:rFonts w:ascii="Arial" w:hAnsi="Arial" w:cs="Arial"/>
          <w:sz w:val="18"/>
          <w:szCs w:val="18"/>
        </w:rPr>
        <w:footnoteRef/>
      </w:r>
      <w:r w:rsidRPr="00E94CD0">
        <w:rPr>
          <w:rFonts w:ascii="Arial" w:hAnsi="Arial" w:cs="Arial"/>
          <w:sz w:val="18"/>
          <w:szCs w:val="18"/>
          <w:vertAlign w:val="superscript"/>
        </w:rPr>
        <w:t xml:space="preserve"> </w:t>
      </w:r>
      <w:r w:rsidRPr="00E94CD0">
        <w:rPr>
          <w:rFonts w:ascii="Arial" w:hAnsi="Arial" w:cs="Arial"/>
          <w:sz w:val="18"/>
          <w:szCs w:val="18"/>
        </w:rPr>
        <w:t xml:space="preserve">Voir </w:t>
      </w:r>
      <w:r w:rsidRPr="00E94CD0">
        <w:rPr>
          <w:rFonts w:ascii="Arial" w:hAnsi="Arial" w:cs="Arial"/>
          <w:i/>
          <w:sz w:val="18"/>
          <w:szCs w:val="18"/>
        </w:rPr>
        <w:t>Géorgie c. Russie</w:t>
      </w:r>
      <w:r w:rsidRPr="00E94CD0">
        <w:rPr>
          <w:rFonts w:ascii="Arial" w:hAnsi="Arial" w:cs="Arial"/>
          <w:sz w:val="18"/>
          <w:szCs w:val="18"/>
        </w:rPr>
        <w:t xml:space="preserve"> (I) [GC] (fond), 3 juillet 2014 ; arrêt sur la satisfaction équitable du 29 janvier 2019</w:t>
      </w:r>
      <w:r>
        <w:rPr>
          <w:rFonts w:ascii="Arial" w:hAnsi="Arial" w:cs="Arial"/>
          <w:sz w:val="18"/>
          <w:szCs w:val="18"/>
        </w:rPr>
        <w:t>.</w:t>
      </w:r>
    </w:p>
  </w:footnote>
  <w:footnote w:id="266">
    <w:p w14:paraId="0397E88E" w14:textId="77777777" w:rsidR="00D86968" w:rsidRPr="00720D91" w:rsidRDefault="00D86968" w:rsidP="00720D91">
      <w:pPr>
        <w:pStyle w:val="Notedebasdepage"/>
        <w:shd w:val="clear" w:color="auto" w:fill="FFFFFF" w:themeFill="background1"/>
        <w:jc w:val="both"/>
        <w:rPr>
          <w:rFonts w:ascii="Arial" w:hAnsi="Arial" w:cs="Arial"/>
          <w:iCs/>
          <w:sz w:val="18"/>
          <w:szCs w:val="18"/>
          <w:lang w:val="fr-FR"/>
        </w:rPr>
      </w:pPr>
      <w:r w:rsidRPr="00E94CD0">
        <w:rPr>
          <w:rStyle w:val="Appelnotedebasdep"/>
          <w:rFonts w:ascii="Arial" w:hAnsi="Arial" w:cs="Arial"/>
          <w:sz w:val="18"/>
          <w:szCs w:val="18"/>
        </w:rPr>
        <w:footnoteRef/>
      </w:r>
      <w:r w:rsidRPr="00720D91">
        <w:rPr>
          <w:rFonts w:ascii="Arial" w:hAnsi="Arial" w:cs="Arial"/>
          <w:sz w:val="18"/>
          <w:szCs w:val="18"/>
          <w:lang w:val="fr-FR"/>
        </w:rPr>
        <w:t xml:space="preserve"> Voir </w:t>
      </w:r>
      <w:r w:rsidRPr="00720D91">
        <w:rPr>
          <w:rFonts w:ascii="Arial" w:hAnsi="Arial" w:cs="Arial"/>
          <w:i/>
          <w:sz w:val="18"/>
          <w:szCs w:val="18"/>
          <w:lang w:val="fr-FR"/>
        </w:rPr>
        <w:t xml:space="preserve">Ukraine c. Russie (Crimée) </w:t>
      </w:r>
      <w:r w:rsidRPr="00720D91">
        <w:rPr>
          <w:rFonts w:ascii="Arial" w:hAnsi="Arial" w:cs="Arial"/>
          <w:sz w:val="18"/>
          <w:szCs w:val="18"/>
          <w:lang w:val="fr-FR"/>
        </w:rPr>
        <w:t xml:space="preserve">(dec.), </w:t>
      </w:r>
      <w:r w:rsidRPr="00720D91">
        <w:rPr>
          <w:rFonts w:ascii="Arial" w:hAnsi="Arial" w:cs="Arial"/>
          <w:iCs/>
          <w:sz w:val="18"/>
          <w:szCs w:val="18"/>
          <w:lang w:val="fr-FR"/>
        </w:rPr>
        <w:t>nos. </w:t>
      </w:r>
      <w:hyperlink r:id="rId330" w:anchor="{%22appno%22:[%2220958/14%22]}" w:tgtFrame="_blank" w:history="1">
        <w:r w:rsidRPr="00720D91">
          <w:rPr>
            <w:rStyle w:val="Lienhypertexte"/>
            <w:rFonts w:ascii="Arial" w:hAnsi="Arial" w:cs="Arial"/>
            <w:iCs/>
            <w:color w:val="auto"/>
            <w:sz w:val="18"/>
            <w:szCs w:val="18"/>
            <w:lang w:val="fr-FR"/>
          </w:rPr>
          <w:t>20958/14</w:t>
        </w:r>
      </w:hyperlink>
      <w:r w:rsidRPr="00720D91">
        <w:rPr>
          <w:rFonts w:ascii="Arial" w:hAnsi="Arial" w:cs="Arial"/>
          <w:iCs/>
          <w:sz w:val="18"/>
          <w:szCs w:val="18"/>
          <w:lang w:val="fr-FR"/>
        </w:rPr>
        <w:t> et </w:t>
      </w:r>
      <w:hyperlink r:id="rId331" w:anchor="{%22appno%22:[%2238334/18%22]}" w:tgtFrame="_blank" w:history="1">
        <w:r w:rsidRPr="00720D91">
          <w:rPr>
            <w:rStyle w:val="Lienhypertexte"/>
            <w:rFonts w:ascii="Arial" w:hAnsi="Arial" w:cs="Arial"/>
            <w:iCs/>
            <w:color w:val="auto"/>
            <w:sz w:val="18"/>
            <w:szCs w:val="18"/>
            <w:lang w:val="fr-FR"/>
          </w:rPr>
          <w:t>38334/18</w:t>
        </w:r>
      </w:hyperlink>
      <w:r w:rsidRPr="00720D91">
        <w:rPr>
          <w:rFonts w:ascii="Arial" w:hAnsi="Arial" w:cs="Arial"/>
          <w:iCs/>
          <w:sz w:val="18"/>
          <w:szCs w:val="18"/>
          <w:lang w:val="fr-FR"/>
        </w:rPr>
        <w:t>,</w:t>
      </w:r>
      <w:r w:rsidRPr="00720D91">
        <w:rPr>
          <w:rFonts w:ascii="Arial" w:hAnsi="Arial" w:cs="Arial"/>
          <w:i/>
          <w:sz w:val="18"/>
          <w:szCs w:val="18"/>
          <w:lang w:val="fr-FR"/>
        </w:rPr>
        <w:t xml:space="preserve"> </w:t>
      </w:r>
      <w:r w:rsidRPr="00720D91">
        <w:rPr>
          <w:rFonts w:ascii="Arial" w:hAnsi="Arial" w:cs="Arial"/>
          <w:iCs/>
          <w:sz w:val="18"/>
          <w:szCs w:val="18"/>
          <w:lang w:val="fr-FR"/>
        </w:rPr>
        <w:t>16 décembre 2020. La requête n°</w:t>
      </w:r>
      <w:r w:rsidRPr="00720D91">
        <w:rPr>
          <w:rFonts w:ascii="Arial" w:hAnsi="Arial" w:cs="Arial"/>
          <w:sz w:val="18"/>
          <w:szCs w:val="18"/>
          <w:lang w:val="fr-FR"/>
        </w:rPr>
        <w:t xml:space="preserve">38334/18 a été jointe à l’affaire n°20958/14 en décembre 2020. </w:t>
      </w:r>
    </w:p>
  </w:footnote>
  <w:footnote w:id="267">
    <w:p w14:paraId="75C14CB9" w14:textId="77777777" w:rsidR="00D86968" w:rsidRPr="00720D91" w:rsidRDefault="00D86968" w:rsidP="00720D91">
      <w:pPr>
        <w:pStyle w:val="Notedebasdepage"/>
        <w:shd w:val="clear" w:color="auto" w:fill="FFFFFF" w:themeFill="background1"/>
        <w:rPr>
          <w:rFonts w:ascii="Arial" w:hAnsi="Arial" w:cs="Arial"/>
          <w:color w:val="FF0000"/>
          <w:sz w:val="18"/>
          <w:szCs w:val="18"/>
          <w:lang w:val="fr-FR"/>
        </w:rPr>
      </w:pPr>
      <w:r w:rsidRPr="00E94CD0">
        <w:rPr>
          <w:rStyle w:val="Appelnotedebasdep"/>
          <w:rFonts w:ascii="Arial" w:hAnsi="Arial" w:cs="Arial"/>
          <w:sz w:val="18"/>
          <w:szCs w:val="18"/>
        </w:rPr>
        <w:footnoteRef/>
      </w:r>
      <w:r w:rsidRPr="00720D91">
        <w:rPr>
          <w:rFonts w:ascii="Arial" w:hAnsi="Arial" w:cs="Arial"/>
          <w:sz w:val="18"/>
          <w:szCs w:val="18"/>
          <w:lang w:val="fr-FR"/>
        </w:rPr>
        <w:t xml:space="preserve"> Ces requêtes ont été jointes en novembre 2020.</w:t>
      </w:r>
    </w:p>
  </w:footnote>
  <w:footnote w:id="268">
    <w:p w14:paraId="13A95DCE" w14:textId="77777777" w:rsidR="00D86968" w:rsidRPr="00E94CD0" w:rsidRDefault="00D86968" w:rsidP="00720D91">
      <w:pPr>
        <w:pStyle w:val="Default"/>
        <w:rPr>
          <w:color w:val="auto"/>
          <w:sz w:val="18"/>
          <w:szCs w:val="18"/>
        </w:rPr>
      </w:pPr>
      <w:r w:rsidRPr="00E94CD0">
        <w:rPr>
          <w:rStyle w:val="Appelnotedebasdep"/>
          <w:color w:val="auto"/>
          <w:sz w:val="18"/>
          <w:szCs w:val="18"/>
        </w:rPr>
        <w:footnoteRef/>
      </w:r>
      <w:r w:rsidRPr="00E94CD0">
        <w:rPr>
          <w:color w:val="auto"/>
          <w:sz w:val="18"/>
          <w:szCs w:val="18"/>
        </w:rPr>
        <w:t xml:space="preserve"> </w:t>
      </w:r>
      <w:r w:rsidRPr="00E94CD0">
        <w:rPr>
          <w:rFonts w:eastAsia="Times New Roman"/>
          <w:color w:val="auto"/>
          <w:sz w:val="18"/>
          <w:szCs w:val="18"/>
          <w:shd w:val="clear" w:color="auto" w:fill="FFFFFF"/>
        </w:rPr>
        <w:t xml:space="preserve">Voir </w:t>
      </w:r>
      <w:hyperlink r:id="rId332" w:history="1">
        <w:r w:rsidRPr="00E94CD0">
          <w:rPr>
            <w:rStyle w:val="Lienhypertexte"/>
            <w:rFonts w:eastAsia="Times New Roman"/>
            <w:i/>
            <w:iCs/>
            <w:color w:val="auto"/>
            <w:sz w:val="18"/>
            <w:szCs w:val="18"/>
            <w:shd w:val="clear" w:color="auto" w:fill="FFFFFF"/>
          </w:rPr>
          <w:t>Ioppa et autres c. Ukraine</w:t>
        </w:r>
      </w:hyperlink>
      <w:r w:rsidRPr="00E94CD0">
        <w:rPr>
          <w:rFonts w:eastAsia="Times New Roman"/>
          <w:color w:val="auto"/>
          <w:sz w:val="18"/>
          <w:szCs w:val="18"/>
          <w:shd w:val="clear" w:color="auto" w:fill="FFFFFF"/>
        </w:rPr>
        <w:t xml:space="preserve"> et </w:t>
      </w:r>
      <w:hyperlink r:id="rId333" w:history="1">
        <w:r w:rsidRPr="00E94CD0">
          <w:rPr>
            <w:rStyle w:val="Lienhypertexte"/>
            <w:rFonts w:eastAsia="Times New Roman"/>
            <w:i/>
            <w:iCs/>
            <w:color w:val="auto"/>
            <w:sz w:val="18"/>
            <w:szCs w:val="18"/>
            <w:shd w:val="clear" w:color="auto" w:fill="FFFFFF"/>
          </w:rPr>
          <w:t>Ayley et autres c. Russie et Angline et autres c. Russie</w:t>
        </w:r>
      </w:hyperlink>
    </w:p>
  </w:footnote>
  <w:footnote w:id="269">
    <w:p w14:paraId="63806068" w14:textId="77777777" w:rsidR="00D86968" w:rsidRPr="00E94CD0" w:rsidRDefault="00D86968" w:rsidP="00720D91">
      <w:pPr>
        <w:pStyle w:val="Default"/>
        <w:rPr>
          <w:color w:val="auto"/>
          <w:sz w:val="18"/>
          <w:szCs w:val="18"/>
        </w:rPr>
      </w:pPr>
      <w:r w:rsidRPr="00E94CD0">
        <w:rPr>
          <w:rStyle w:val="Appelnotedebasdep"/>
          <w:color w:val="auto"/>
          <w:sz w:val="18"/>
          <w:szCs w:val="18"/>
        </w:rPr>
        <w:footnoteRef/>
      </w:r>
      <w:r w:rsidRPr="00E94CD0">
        <w:rPr>
          <w:color w:val="auto"/>
          <w:sz w:val="18"/>
          <w:szCs w:val="18"/>
        </w:rPr>
        <w:t xml:space="preserve"> </w:t>
      </w:r>
      <w:r w:rsidRPr="00E94CD0">
        <w:rPr>
          <w:color w:val="auto"/>
          <w:sz w:val="18"/>
          <w:szCs w:val="18"/>
          <w:shd w:val="clear" w:color="auto" w:fill="FFFFFF"/>
        </w:rPr>
        <w:t xml:space="preserve">Voir </w:t>
      </w:r>
      <w:r w:rsidRPr="00E94CD0">
        <w:rPr>
          <w:i/>
          <w:iCs/>
          <w:color w:val="auto"/>
          <w:sz w:val="18"/>
          <w:szCs w:val="18"/>
          <w:shd w:val="clear" w:color="auto" w:fill="FFFFFF"/>
        </w:rPr>
        <w:t>Lisnyy c. Ukraine et Russie</w:t>
      </w:r>
      <w:r w:rsidRPr="00E94CD0">
        <w:rPr>
          <w:color w:val="auto"/>
          <w:sz w:val="18"/>
          <w:szCs w:val="18"/>
          <w:shd w:val="clear" w:color="auto" w:fill="FFFFFF"/>
        </w:rPr>
        <w:t xml:space="preserve"> (déc.), nos </w:t>
      </w:r>
      <w:hyperlink r:id="rId334" w:history="1">
        <w:r w:rsidRPr="00E94CD0">
          <w:rPr>
            <w:rStyle w:val="Lienhypertexte"/>
            <w:rFonts w:eastAsia="Times New Roman"/>
            <w:color w:val="auto"/>
            <w:sz w:val="18"/>
            <w:szCs w:val="18"/>
            <w:shd w:val="clear" w:color="auto" w:fill="FFFFFF"/>
          </w:rPr>
          <w:t>5355/15</w:t>
        </w:r>
      </w:hyperlink>
      <w:r w:rsidRPr="00E94CD0">
        <w:rPr>
          <w:color w:val="auto"/>
          <w:sz w:val="18"/>
          <w:szCs w:val="18"/>
          <w:shd w:val="clear" w:color="auto" w:fill="FFFFFF"/>
        </w:rPr>
        <w:t>, 44913/15 et 50853/15, 5 juillet 2016</w:t>
      </w:r>
    </w:p>
  </w:footnote>
  <w:footnote w:id="270">
    <w:p w14:paraId="4EFF54F1" w14:textId="77777777" w:rsidR="00D86968" w:rsidRPr="00720D91" w:rsidRDefault="00D86968" w:rsidP="00720D91">
      <w:pPr>
        <w:pStyle w:val="Notedebasdepage"/>
        <w:rPr>
          <w:lang w:val="fr-FR"/>
        </w:rPr>
      </w:pPr>
      <w:r w:rsidRPr="00E94CD0">
        <w:rPr>
          <w:rStyle w:val="Appelnotedebasdep"/>
        </w:rPr>
        <w:footnoteRef/>
      </w:r>
      <w:r w:rsidRPr="00720D91">
        <w:rPr>
          <w:lang w:val="fr-FR"/>
        </w:rPr>
        <w:t xml:space="preserve"> </w:t>
      </w:r>
      <w:r w:rsidRPr="00720D91">
        <w:rPr>
          <w:rFonts w:ascii="Arial" w:hAnsi="Arial" w:cs="Arial"/>
          <w:sz w:val="18"/>
          <w:szCs w:val="18"/>
          <w:lang w:val="fr-FR"/>
        </w:rPr>
        <w:t xml:space="preserve">Incluant les requêtes dans l’affaire </w:t>
      </w:r>
      <w:r w:rsidRPr="00720D91">
        <w:rPr>
          <w:rFonts w:ascii="Arial" w:hAnsi="Arial" w:cs="Arial"/>
          <w:i/>
          <w:iCs/>
          <w:sz w:val="18"/>
          <w:szCs w:val="18"/>
          <w:lang w:val="fr-FR"/>
        </w:rPr>
        <w:t>Lisnyy c. Ukraine et Russie</w:t>
      </w:r>
      <w:r w:rsidRPr="00720D91">
        <w:rPr>
          <w:rFonts w:ascii="Arial" w:hAnsi="Arial" w:cs="Arial"/>
          <w:sz w:val="18"/>
          <w:szCs w:val="18"/>
          <w:lang w:val="fr-FR"/>
        </w:rPr>
        <w:t xml:space="preserve">, cite ci-dessus. </w:t>
      </w:r>
    </w:p>
  </w:footnote>
  <w:footnote w:id="271">
    <w:p w14:paraId="346A6F41" w14:textId="77777777" w:rsidR="00D86968" w:rsidRPr="00720D91" w:rsidRDefault="00D86968" w:rsidP="00720D91">
      <w:pPr>
        <w:pStyle w:val="Notedebasdepage"/>
        <w:rPr>
          <w:lang w:val="fr-FR"/>
        </w:rPr>
      </w:pPr>
      <w:r w:rsidRPr="00E94CD0">
        <w:rPr>
          <w:rStyle w:val="Appelnotedebasdep"/>
        </w:rPr>
        <w:footnoteRef/>
      </w:r>
      <w:r w:rsidRPr="00720D91">
        <w:rPr>
          <w:lang w:val="fr-FR"/>
        </w:rPr>
        <w:t xml:space="preserve"> </w:t>
      </w:r>
      <w:r w:rsidRPr="00720D91">
        <w:rPr>
          <w:rFonts w:ascii="Arial" w:hAnsi="Arial" w:cs="Arial"/>
          <w:sz w:val="18"/>
          <w:szCs w:val="18"/>
          <w:lang w:val="fr-FR"/>
        </w:rPr>
        <w:t xml:space="preserve">Ces données ne comprennent pas l’affaire interétatique terminée. </w:t>
      </w:r>
    </w:p>
  </w:footnote>
  <w:footnote w:id="272">
    <w:p w14:paraId="723AD1F3" w14:textId="77777777" w:rsidR="00D86968" w:rsidRPr="00857D26" w:rsidRDefault="00D86968" w:rsidP="00720D91">
      <w:pPr>
        <w:pStyle w:val="Default"/>
        <w:jc w:val="both"/>
        <w:rPr>
          <w:rFonts w:cstheme="minorHAnsi"/>
        </w:rPr>
      </w:pPr>
      <w:r w:rsidRPr="00E94CD0">
        <w:rPr>
          <w:rStyle w:val="Appelnotedebasdep"/>
          <w:color w:val="auto"/>
          <w:sz w:val="18"/>
          <w:szCs w:val="18"/>
        </w:rPr>
        <w:footnoteRef/>
      </w:r>
      <w:r w:rsidRPr="00E94CD0">
        <w:rPr>
          <w:color w:val="auto"/>
          <w:sz w:val="18"/>
          <w:szCs w:val="18"/>
        </w:rPr>
        <w:t xml:space="preserve"> Voir </w:t>
      </w:r>
      <w:r w:rsidRPr="00E94CD0">
        <w:rPr>
          <w:i/>
          <w:iCs/>
          <w:color w:val="auto"/>
          <w:sz w:val="18"/>
          <w:szCs w:val="18"/>
        </w:rPr>
        <w:t>Chiragov et autres c. Arménie</w:t>
      </w:r>
      <w:r w:rsidRPr="00E94CD0">
        <w:rPr>
          <w:color w:val="auto"/>
          <w:sz w:val="18"/>
          <w:szCs w:val="18"/>
        </w:rPr>
        <w:t xml:space="preserve"> [GC], n° </w:t>
      </w:r>
      <w:hyperlink r:id="rId335" w:history="1">
        <w:r w:rsidRPr="00E94CD0">
          <w:rPr>
            <w:rStyle w:val="Lienhypertexte"/>
            <w:color w:val="auto"/>
            <w:sz w:val="18"/>
            <w:szCs w:val="18"/>
          </w:rPr>
          <w:t>13216/05</w:t>
        </w:r>
      </w:hyperlink>
      <w:r w:rsidRPr="00E94CD0">
        <w:rPr>
          <w:color w:val="auto"/>
          <w:sz w:val="18"/>
          <w:szCs w:val="18"/>
        </w:rPr>
        <w:t xml:space="preserve">, CEDH 2015 ; et </w:t>
      </w:r>
      <w:r w:rsidRPr="00E94CD0">
        <w:rPr>
          <w:i/>
          <w:iCs/>
          <w:color w:val="auto"/>
          <w:sz w:val="18"/>
          <w:szCs w:val="18"/>
        </w:rPr>
        <w:t>Sargsyan c. Azerbaïdjan</w:t>
      </w:r>
      <w:r w:rsidRPr="00E94CD0">
        <w:rPr>
          <w:color w:val="auto"/>
          <w:sz w:val="18"/>
          <w:szCs w:val="18"/>
        </w:rPr>
        <w:t xml:space="preserve"> [GC], n° </w:t>
      </w:r>
      <w:hyperlink r:id="rId336" w:history="1">
        <w:r w:rsidRPr="00E94CD0">
          <w:rPr>
            <w:rStyle w:val="Lienhypertexte"/>
            <w:color w:val="auto"/>
            <w:sz w:val="18"/>
            <w:szCs w:val="18"/>
          </w:rPr>
          <w:t>40167/06</w:t>
        </w:r>
      </w:hyperlink>
      <w:r w:rsidRPr="00E94CD0">
        <w:rPr>
          <w:color w:val="auto"/>
          <w:sz w:val="18"/>
          <w:szCs w:val="18"/>
        </w:rPr>
        <w:t>, CEDH 2015 ; les deux arrêts sur le fond en juin 2015 et sur la satisfaction équitable en décembre 2017.</w:t>
      </w:r>
    </w:p>
  </w:footnote>
  <w:footnote w:id="273">
    <w:p w14:paraId="5595401A" w14:textId="77777777" w:rsidR="00D86968" w:rsidRPr="00E94CD0" w:rsidRDefault="00D86968" w:rsidP="00720D91">
      <w:pPr>
        <w:pStyle w:val="Default"/>
        <w:jc w:val="both"/>
        <w:rPr>
          <w:rFonts w:cstheme="minorHAnsi"/>
          <w:color w:val="auto"/>
          <w:sz w:val="18"/>
          <w:szCs w:val="18"/>
        </w:rPr>
      </w:pPr>
      <w:r w:rsidRPr="00E94CD0">
        <w:rPr>
          <w:rStyle w:val="Appelnotedebasdep"/>
          <w:rFonts w:cstheme="minorHAnsi"/>
          <w:color w:val="auto"/>
          <w:sz w:val="18"/>
          <w:szCs w:val="18"/>
        </w:rPr>
        <w:footnoteRef/>
      </w:r>
      <w:r w:rsidRPr="00E94CD0">
        <w:rPr>
          <w:rFonts w:cstheme="minorHAnsi"/>
          <w:color w:val="auto"/>
          <w:sz w:val="18"/>
          <w:szCs w:val="18"/>
        </w:rPr>
        <w:t xml:space="preserve">  </w:t>
      </w:r>
      <w:r w:rsidRPr="00E94CD0">
        <w:rPr>
          <w:color w:val="auto"/>
          <w:sz w:val="18"/>
          <w:szCs w:val="18"/>
        </w:rPr>
        <w:t xml:space="preserve">Voir </w:t>
      </w:r>
      <w:r w:rsidRPr="00E94CD0">
        <w:rPr>
          <w:i/>
          <w:iCs/>
          <w:color w:val="auto"/>
          <w:sz w:val="18"/>
          <w:szCs w:val="18"/>
        </w:rPr>
        <w:t>Amrahov c. Arménie</w:t>
      </w:r>
      <w:r w:rsidRPr="00E94CD0">
        <w:rPr>
          <w:color w:val="auto"/>
          <w:sz w:val="18"/>
          <w:szCs w:val="18"/>
        </w:rPr>
        <w:t xml:space="preserve"> (déc.), n° </w:t>
      </w:r>
      <w:hyperlink r:id="rId337" w:history="1">
        <w:r w:rsidRPr="00E94CD0">
          <w:rPr>
            <w:rStyle w:val="Lienhypertexte"/>
            <w:color w:val="auto"/>
            <w:sz w:val="18"/>
            <w:szCs w:val="18"/>
          </w:rPr>
          <w:t>49169/16</w:t>
        </w:r>
      </w:hyperlink>
      <w:r w:rsidRPr="00E94CD0">
        <w:rPr>
          <w:color w:val="auto"/>
          <w:sz w:val="18"/>
          <w:szCs w:val="18"/>
        </w:rPr>
        <w:t xml:space="preserve">, 26 février 2019 ; et </w:t>
      </w:r>
      <w:r w:rsidRPr="00E94CD0">
        <w:rPr>
          <w:i/>
          <w:iCs/>
          <w:color w:val="auto"/>
          <w:sz w:val="18"/>
          <w:szCs w:val="18"/>
        </w:rPr>
        <w:t>Khudunts c. Azerbaïdjan</w:t>
      </w:r>
      <w:r w:rsidRPr="00E94CD0">
        <w:rPr>
          <w:color w:val="auto"/>
          <w:sz w:val="18"/>
          <w:szCs w:val="18"/>
        </w:rPr>
        <w:t xml:space="preserve">, n° </w:t>
      </w:r>
      <w:hyperlink r:id="rId338" w:history="1">
        <w:r w:rsidRPr="00E94CD0">
          <w:rPr>
            <w:rStyle w:val="Lienhypertexte"/>
            <w:color w:val="auto"/>
            <w:sz w:val="18"/>
            <w:szCs w:val="18"/>
          </w:rPr>
          <w:t>74628/16</w:t>
        </w:r>
      </w:hyperlink>
      <w:r w:rsidRPr="00E94CD0">
        <w:rPr>
          <w:color w:val="auto"/>
          <w:sz w:val="18"/>
          <w:szCs w:val="18"/>
        </w:rPr>
        <w:t>, 26 février 2019.</w:t>
      </w:r>
    </w:p>
  </w:footnote>
  <w:footnote w:id="274">
    <w:p w14:paraId="59C903C7" w14:textId="77777777" w:rsidR="00D86968" w:rsidRPr="00E94CD0" w:rsidRDefault="00D86968" w:rsidP="00720D91">
      <w:pPr>
        <w:pStyle w:val="Default"/>
        <w:jc w:val="both"/>
        <w:rPr>
          <w:color w:val="auto"/>
        </w:rPr>
      </w:pPr>
      <w:r w:rsidRPr="00E94CD0">
        <w:rPr>
          <w:rStyle w:val="Appelnotedebasdep"/>
          <w:color w:val="auto"/>
          <w:sz w:val="18"/>
          <w:szCs w:val="18"/>
        </w:rPr>
        <w:footnoteRef/>
      </w:r>
      <w:r w:rsidRPr="00E94CD0">
        <w:rPr>
          <w:color w:val="auto"/>
          <w:sz w:val="18"/>
          <w:szCs w:val="18"/>
        </w:rPr>
        <w:t xml:space="preserve"> La requête est toujours pendante (voir Babchin c. République de Moldova et Russie (fond) [Comité], n° 55698/14, 17 septembre 2019)</w:t>
      </w:r>
    </w:p>
  </w:footnote>
  <w:footnote w:id="275">
    <w:p w14:paraId="0FA2DD6F" w14:textId="77777777" w:rsidR="00D86968" w:rsidRPr="00857D26" w:rsidRDefault="00D86968" w:rsidP="00720D91">
      <w:pPr>
        <w:pStyle w:val="Default"/>
        <w:jc w:val="both"/>
        <w:rPr>
          <w:color w:val="FF0000"/>
          <w:sz w:val="18"/>
          <w:szCs w:val="18"/>
          <w:lang w:eastAsia="fr-FR"/>
        </w:rPr>
      </w:pPr>
      <w:r w:rsidRPr="00E94CD0">
        <w:rPr>
          <w:rStyle w:val="Appelnotedebasdep"/>
          <w:color w:val="auto"/>
          <w:sz w:val="18"/>
          <w:szCs w:val="18"/>
        </w:rPr>
        <w:footnoteRef/>
      </w:r>
      <w:r w:rsidRPr="00E94CD0">
        <w:rPr>
          <w:color w:val="auto"/>
          <w:sz w:val="18"/>
          <w:szCs w:val="18"/>
        </w:rPr>
        <w:t xml:space="preserve"> Voir Catan et autres c. République de Moldova et Russie [GC], n° </w:t>
      </w:r>
      <w:hyperlink r:id="rId339" w:history="1">
        <w:r w:rsidRPr="00E94CD0">
          <w:rPr>
            <w:rStyle w:val="Lienhypertexte"/>
            <w:color w:val="auto"/>
            <w:sz w:val="18"/>
            <w:szCs w:val="18"/>
          </w:rPr>
          <w:t>43370/04</w:t>
        </w:r>
      </w:hyperlink>
      <w:r w:rsidRPr="00E94CD0">
        <w:rPr>
          <w:color w:val="auto"/>
          <w:sz w:val="18"/>
          <w:szCs w:val="18"/>
        </w:rPr>
        <w:t xml:space="preserve"> et 2 autres, CEDH 2012 (extraits), 19 octobre 2012 ; et Mozer c. République de Moldova et Russie [GC], n° </w:t>
      </w:r>
      <w:hyperlink r:id="rId340" w:history="1">
        <w:r w:rsidRPr="00E94CD0">
          <w:rPr>
            <w:rStyle w:val="Lienhypertexte"/>
            <w:color w:val="auto"/>
            <w:sz w:val="18"/>
            <w:szCs w:val="18"/>
          </w:rPr>
          <w:t>11138/10</w:t>
        </w:r>
      </w:hyperlink>
      <w:r w:rsidRPr="00E94CD0">
        <w:rPr>
          <w:color w:val="auto"/>
          <w:sz w:val="18"/>
          <w:szCs w:val="18"/>
        </w:rPr>
        <w:t>, 23 février 2016.</w:t>
      </w:r>
    </w:p>
  </w:footnote>
  <w:footnote w:id="276">
    <w:p w14:paraId="7615B3A1" w14:textId="77777777" w:rsidR="00D86968" w:rsidRPr="00E94CD0" w:rsidRDefault="00D86968" w:rsidP="00720D91">
      <w:pPr>
        <w:pStyle w:val="Default"/>
        <w:jc w:val="both"/>
        <w:rPr>
          <w:color w:val="auto"/>
          <w:sz w:val="18"/>
          <w:szCs w:val="18"/>
        </w:rPr>
      </w:pPr>
      <w:r w:rsidRPr="00E94CD0">
        <w:rPr>
          <w:rStyle w:val="Appelnotedebasdep"/>
          <w:color w:val="auto"/>
          <w:sz w:val="18"/>
          <w:szCs w:val="18"/>
        </w:rPr>
        <w:footnoteRef/>
      </w:r>
      <w:r w:rsidRPr="00E94CD0">
        <w:rPr>
          <w:color w:val="auto"/>
          <w:sz w:val="18"/>
          <w:szCs w:val="18"/>
        </w:rPr>
        <w:t xml:space="preserve"> Voir </w:t>
      </w:r>
      <w:r w:rsidRPr="00E94CD0">
        <w:rPr>
          <w:i/>
          <w:iCs/>
          <w:color w:val="auto"/>
          <w:sz w:val="18"/>
          <w:szCs w:val="18"/>
        </w:rPr>
        <w:t>Chypre c. Turquie</w:t>
      </w:r>
      <w:r w:rsidRPr="00E94CD0">
        <w:rPr>
          <w:color w:val="auto"/>
          <w:sz w:val="18"/>
          <w:szCs w:val="18"/>
        </w:rPr>
        <w:t xml:space="preserve"> [GC], n° 25781/94, 10 mai 2001 ; arrêt sur la satisfaction equitable, 12 mai 2014</w:t>
      </w:r>
    </w:p>
  </w:footnote>
  <w:footnote w:id="277">
    <w:p w14:paraId="39990C31" w14:textId="77777777" w:rsidR="00D86968" w:rsidRPr="00E94CD0" w:rsidRDefault="00D86968" w:rsidP="00720D91">
      <w:pPr>
        <w:pStyle w:val="Default"/>
        <w:jc w:val="both"/>
        <w:rPr>
          <w:rFonts w:cstheme="minorHAnsi"/>
          <w:color w:val="auto"/>
          <w:sz w:val="18"/>
          <w:szCs w:val="18"/>
        </w:rPr>
      </w:pPr>
      <w:r w:rsidRPr="00E94CD0">
        <w:rPr>
          <w:rStyle w:val="Appelnotedebasdep"/>
          <w:color w:val="auto"/>
          <w:sz w:val="18"/>
          <w:szCs w:val="18"/>
        </w:rPr>
        <w:footnoteRef/>
      </w:r>
      <w:r w:rsidRPr="00E94CD0">
        <w:rPr>
          <w:color w:val="auto"/>
          <w:sz w:val="18"/>
          <w:szCs w:val="18"/>
        </w:rPr>
        <w:t xml:space="preserve"> Voir aussi </w:t>
      </w:r>
      <w:hyperlink r:id="rId341" w:history="1">
        <w:r w:rsidRPr="00E94CD0">
          <w:rPr>
            <w:rStyle w:val="Lienhypertexte"/>
            <w:i/>
            <w:iCs/>
            <w:color w:val="auto"/>
            <w:sz w:val="18"/>
            <w:szCs w:val="18"/>
          </w:rPr>
          <w:t>Loizidou c. Turquie</w:t>
        </w:r>
        <w:r w:rsidRPr="00E94CD0">
          <w:rPr>
            <w:rStyle w:val="Lienhypertexte"/>
            <w:color w:val="auto"/>
            <w:sz w:val="18"/>
            <w:szCs w:val="18"/>
          </w:rPr>
          <w:t xml:space="preserve"> (exceptions préliminaires),</w:t>
        </w:r>
      </w:hyperlink>
      <w:r w:rsidRPr="00E94CD0">
        <w:rPr>
          <w:color w:val="auto"/>
          <w:sz w:val="18"/>
          <w:szCs w:val="18"/>
        </w:rPr>
        <w:t xml:space="preserve"> 23 mars 1995, Série A n° 310 ; </w:t>
      </w:r>
      <w:r w:rsidRPr="00E94CD0">
        <w:rPr>
          <w:i/>
          <w:iCs/>
          <w:color w:val="auto"/>
          <w:sz w:val="18"/>
          <w:szCs w:val="18"/>
        </w:rPr>
        <w:t>Loizidou c. Turquie</w:t>
      </w:r>
      <w:r w:rsidRPr="00E94CD0">
        <w:rPr>
          <w:color w:val="auto"/>
          <w:sz w:val="18"/>
          <w:szCs w:val="18"/>
        </w:rPr>
        <w:t xml:space="preserve"> (fond), 18 décembre 1996, Recueil des arrêts et décisions 1996 VI ; </w:t>
      </w:r>
      <w:r w:rsidRPr="00E94CD0">
        <w:rPr>
          <w:i/>
          <w:iCs/>
          <w:color w:val="auto"/>
          <w:sz w:val="18"/>
          <w:szCs w:val="18"/>
        </w:rPr>
        <w:t>Loizidou c. Turquie</w:t>
      </w:r>
      <w:r w:rsidRPr="00E94CD0">
        <w:rPr>
          <w:color w:val="auto"/>
          <w:sz w:val="18"/>
          <w:szCs w:val="18"/>
        </w:rPr>
        <w:t xml:space="preserve"> (article 50), 28 juillet 1998, Recueil des arrêts et décisions 1998 IV.</w:t>
      </w:r>
    </w:p>
  </w:footnote>
  <w:footnote w:id="278">
    <w:p w14:paraId="3F759270" w14:textId="77777777" w:rsidR="00D86968" w:rsidRPr="002D305B" w:rsidRDefault="00D86968" w:rsidP="00720D91">
      <w:pPr>
        <w:pStyle w:val="Default"/>
        <w:jc w:val="both"/>
        <w:rPr>
          <w:rFonts w:eastAsia="Times New Roman"/>
          <w:lang w:eastAsia="fr-FR"/>
        </w:rPr>
      </w:pPr>
      <w:r w:rsidRPr="00E94CD0">
        <w:rPr>
          <w:rStyle w:val="Appelnotedebasdep"/>
          <w:color w:val="auto"/>
          <w:sz w:val="18"/>
          <w:szCs w:val="18"/>
        </w:rPr>
        <w:footnoteRef/>
      </w:r>
      <w:r w:rsidRPr="00E94CD0">
        <w:rPr>
          <w:color w:val="auto"/>
          <w:sz w:val="18"/>
          <w:szCs w:val="18"/>
        </w:rPr>
        <w:t xml:space="preserve"> </w:t>
      </w:r>
      <w:r w:rsidRPr="00E94CD0">
        <w:rPr>
          <w:rFonts w:eastAsia="Times New Roman"/>
          <w:color w:val="auto"/>
          <w:sz w:val="18"/>
          <w:szCs w:val="18"/>
          <w:shd w:val="clear" w:color="auto" w:fill="FFFFFF"/>
        </w:rPr>
        <w:t xml:space="preserve">Voir </w:t>
      </w:r>
      <w:r w:rsidRPr="00E94CD0">
        <w:rPr>
          <w:rFonts w:eastAsia="Times New Roman"/>
          <w:i/>
          <w:color w:val="auto"/>
          <w:sz w:val="18"/>
          <w:szCs w:val="18"/>
          <w:shd w:val="clear" w:color="auto" w:fill="FFFFFF"/>
        </w:rPr>
        <w:t>Demopoulos et autres c. Turquie</w:t>
      </w:r>
      <w:r w:rsidRPr="00E94CD0">
        <w:rPr>
          <w:rFonts w:eastAsia="Times New Roman"/>
          <w:color w:val="auto"/>
          <w:sz w:val="18"/>
          <w:szCs w:val="18"/>
          <w:shd w:val="clear" w:color="auto" w:fill="FFFFFF"/>
        </w:rPr>
        <w:t xml:space="preserve"> [GC] (déc.), no. </w:t>
      </w:r>
      <w:hyperlink r:id="rId342" w:history="1">
        <w:r w:rsidRPr="00E94CD0">
          <w:rPr>
            <w:rStyle w:val="Lienhypertexte"/>
            <w:rFonts w:eastAsia="Times New Roman"/>
            <w:color w:val="auto"/>
            <w:sz w:val="18"/>
            <w:szCs w:val="18"/>
            <w:shd w:val="clear" w:color="auto" w:fill="FFFFFF"/>
          </w:rPr>
          <w:t>46113/99</w:t>
        </w:r>
      </w:hyperlink>
      <w:r w:rsidRPr="00E94CD0">
        <w:rPr>
          <w:rFonts w:eastAsia="Times New Roman"/>
          <w:color w:val="auto"/>
          <w:sz w:val="18"/>
          <w:szCs w:val="18"/>
          <w:shd w:val="clear" w:color="auto" w:fill="FFFFFF"/>
        </w:rPr>
        <w:t xml:space="preserve"> et 7 autres, 1</w:t>
      </w:r>
      <w:r w:rsidRPr="00E94CD0">
        <w:rPr>
          <w:rFonts w:eastAsia="Times New Roman"/>
          <w:color w:val="auto"/>
          <w:sz w:val="18"/>
          <w:szCs w:val="18"/>
          <w:shd w:val="clear" w:color="auto" w:fill="FFFFFF"/>
          <w:vertAlign w:val="superscript"/>
        </w:rPr>
        <w:t>er</w:t>
      </w:r>
      <w:r w:rsidRPr="00E94CD0">
        <w:rPr>
          <w:rFonts w:eastAsia="Times New Roman"/>
          <w:color w:val="auto"/>
          <w:sz w:val="18"/>
          <w:szCs w:val="18"/>
          <w:shd w:val="clear" w:color="auto" w:fill="FFFFFF"/>
        </w:rPr>
        <w:t xml:space="preserve"> mars 2010.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EC263A" w14:textId="069F0AB5" w:rsidR="00D86968" w:rsidRPr="00706E7C" w:rsidRDefault="00D86968" w:rsidP="00706E7C">
    <w:pPr>
      <w:pStyle w:val="En-tte"/>
      <w:jc w:val="right"/>
      <w:rPr>
        <w:rFonts w:asciiTheme="minorBidi" w:hAnsiTheme="minorBidi" w:cstheme="minorBidi"/>
        <w:sz w:val="20"/>
        <w:szCs w:val="20"/>
      </w:rPr>
    </w:pPr>
    <w:r w:rsidRPr="00706E7C">
      <w:rPr>
        <w:rFonts w:asciiTheme="minorBidi" w:hAnsiTheme="minorBidi" w:cstheme="minorBidi"/>
        <w:sz w:val="20"/>
        <w:szCs w:val="20"/>
      </w:rPr>
      <w:t>DH-SYSC-IV(2021)R4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D85545" w14:textId="77777777" w:rsidR="00D86968" w:rsidRDefault="00D86968">
    <w:pPr>
      <w:pStyle w:val="En-tte"/>
    </w:pPr>
    <w:r w:rsidRPr="004F2D21">
      <w:rPr>
        <w:rFonts w:ascii="Arial" w:hAnsi="Arial"/>
        <w:b/>
        <w:smallCaps/>
        <w:noProof/>
        <w:szCs w:val="20"/>
      </w:rPr>
      <w:drawing>
        <wp:anchor distT="0" distB="0" distL="114300" distR="114300" simplePos="0" relativeHeight="251659264" behindDoc="0" locked="0" layoutInCell="1" allowOverlap="1" wp14:anchorId="520D4A84" wp14:editId="241A8C2D">
          <wp:simplePos x="0" y="0"/>
          <wp:positionH relativeFrom="column">
            <wp:posOffset>4446905</wp:posOffset>
          </wp:positionH>
          <wp:positionV relativeFrom="paragraph">
            <wp:posOffset>-391160</wp:posOffset>
          </wp:positionV>
          <wp:extent cx="1525270" cy="121920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5270" cy="1219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1"/>
    <w:multiLevelType w:val="singleLevel"/>
    <w:tmpl w:val="085AC83C"/>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216457F"/>
    <w:multiLevelType w:val="multilevel"/>
    <w:tmpl w:val="A90CC1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C04C70"/>
    <w:multiLevelType w:val="hybridMultilevel"/>
    <w:tmpl w:val="A1E412F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6F928C1"/>
    <w:multiLevelType w:val="hybridMultilevel"/>
    <w:tmpl w:val="7BD2CA70"/>
    <w:lvl w:ilvl="0" w:tplc="AF1EB208">
      <w:start w:val="30"/>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9F645F1"/>
    <w:multiLevelType w:val="hybridMultilevel"/>
    <w:tmpl w:val="59C09F7E"/>
    <w:lvl w:ilvl="0" w:tplc="676E8484">
      <w:start w:val="1"/>
      <w:numFmt w:val="decimal"/>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5" w15:restartNumberingAfterBreak="0">
    <w:nsid w:val="0B22498A"/>
    <w:multiLevelType w:val="hybridMultilevel"/>
    <w:tmpl w:val="FFC4C2E4"/>
    <w:lvl w:ilvl="0" w:tplc="850CAF8A">
      <w:start w:val="1"/>
      <w:numFmt w:val="bullet"/>
      <w:lvlText w:val="-"/>
      <w:lvlJc w:val="left"/>
      <w:pPr>
        <w:ind w:left="927" w:hanging="360"/>
      </w:pPr>
      <w:rPr>
        <w:rFonts w:ascii="Arial" w:eastAsia="Calibri" w:hAnsi="Arial" w:cs="Arial" w:hint="default"/>
      </w:rPr>
    </w:lvl>
    <w:lvl w:ilvl="1" w:tplc="08090019">
      <w:start w:val="1"/>
      <w:numFmt w:val="decimal"/>
      <w:lvlText w:val="%2."/>
      <w:lvlJc w:val="left"/>
      <w:pPr>
        <w:tabs>
          <w:tab w:val="num" w:pos="207"/>
        </w:tabs>
        <w:ind w:left="207" w:hanging="360"/>
      </w:pPr>
    </w:lvl>
    <w:lvl w:ilvl="2" w:tplc="0809001B">
      <w:start w:val="1"/>
      <w:numFmt w:val="decimal"/>
      <w:lvlText w:val="%3."/>
      <w:lvlJc w:val="left"/>
      <w:pPr>
        <w:tabs>
          <w:tab w:val="num" w:pos="927"/>
        </w:tabs>
        <w:ind w:left="927" w:hanging="360"/>
      </w:pPr>
    </w:lvl>
    <w:lvl w:ilvl="3" w:tplc="0809000F">
      <w:start w:val="1"/>
      <w:numFmt w:val="decimal"/>
      <w:lvlText w:val="%4."/>
      <w:lvlJc w:val="left"/>
      <w:pPr>
        <w:tabs>
          <w:tab w:val="num" w:pos="1647"/>
        </w:tabs>
        <w:ind w:left="1647" w:hanging="360"/>
      </w:pPr>
    </w:lvl>
    <w:lvl w:ilvl="4" w:tplc="08090019">
      <w:start w:val="1"/>
      <w:numFmt w:val="decimal"/>
      <w:lvlText w:val="%5."/>
      <w:lvlJc w:val="left"/>
      <w:pPr>
        <w:tabs>
          <w:tab w:val="num" w:pos="2367"/>
        </w:tabs>
        <w:ind w:left="2367" w:hanging="360"/>
      </w:pPr>
    </w:lvl>
    <w:lvl w:ilvl="5" w:tplc="0809001B">
      <w:start w:val="1"/>
      <w:numFmt w:val="decimal"/>
      <w:lvlText w:val="%6."/>
      <w:lvlJc w:val="left"/>
      <w:pPr>
        <w:tabs>
          <w:tab w:val="num" w:pos="3087"/>
        </w:tabs>
        <w:ind w:left="3087" w:hanging="360"/>
      </w:pPr>
    </w:lvl>
    <w:lvl w:ilvl="6" w:tplc="0809000F">
      <w:start w:val="1"/>
      <w:numFmt w:val="decimal"/>
      <w:lvlText w:val="%7."/>
      <w:lvlJc w:val="left"/>
      <w:pPr>
        <w:tabs>
          <w:tab w:val="num" w:pos="3807"/>
        </w:tabs>
        <w:ind w:left="3807" w:hanging="360"/>
      </w:pPr>
    </w:lvl>
    <w:lvl w:ilvl="7" w:tplc="08090019">
      <w:start w:val="1"/>
      <w:numFmt w:val="decimal"/>
      <w:lvlText w:val="%8."/>
      <w:lvlJc w:val="left"/>
      <w:pPr>
        <w:tabs>
          <w:tab w:val="num" w:pos="4527"/>
        </w:tabs>
        <w:ind w:left="4527" w:hanging="360"/>
      </w:pPr>
    </w:lvl>
    <w:lvl w:ilvl="8" w:tplc="0809001B">
      <w:start w:val="1"/>
      <w:numFmt w:val="decimal"/>
      <w:lvlText w:val="%9."/>
      <w:lvlJc w:val="left"/>
      <w:pPr>
        <w:tabs>
          <w:tab w:val="num" w:pos="5247"/>
        </w:tabs>
        <w:ind w:left="5247" w:hanging="360"/>
      </w:pPr>
    </w:lvl>
  </w:abstractNum>
  <w:abstractNum w:abstractNumId="6" w15:restartNumberingAfterBreak="0">
    <w:nsid w:val="0C0F5BFC"/>
    <w:multiLevelType w:val="multilevel"/>
    <w:tmpl w:val="79FEA660"/>
    <w:lvl w:ilvl="0">
      <w:start w:val="1"/>
      <w:numFmt w:val="none"/>
      <w:pStyle w:val="JuHHead"/>
      <w:suff w:val="nothing"/>
      <w:lvlText w:val="%1"/>
      <w:lvlJc w:val="left"/>
      <w:pPr>
        <w:ind w:left="0" w:firstLine="0"/>
      </w:pPr>
      <w:rPr>
        <w:rFonts w:hint="default"/>
      </w:rPr>
    </w:lvl>
    <w:lvl w:ilvl="1">
      <w:start w:val="1"/>
      <w:numFmt w:val="upperRoman"/>
      <w:pStyle w:val="JuHIRoman"/>
      <w:lvlText w:val="%2."/>
      <w:lvlJc w:val="left"/>
      <w:pPr>
        <w:ind w:left="2524" w:hanging="397"/>
      </w:pPr>
      <w:rPr>
        <w:rFonts w:hint="default"/>
      </w:rPr>
    </w:lvl>
    <w:lvl w:ilvl="2">
      <w:start w:val="1"/>
      <w:numFmt w:val="upperLetter"/>
      <w:pStyle w:val="JuHA"/>
      <w:lvlText w:val="%3."/>
      <w:lvlJc w:val="left"/>
      <w:pPr>
        <w:ind w:left="510" w:hanging="340"/>
      </w:pPr>
      <w:rPr>
        <w:rFonts w:hint="default"/>
      </w:rPr>
    </w:lvl>
    <w:lvl w:ilvl="3">
      <w:start w:val="1"/>
      <w:numFmt w:val="decimal"/>
      <w:pStyle w:val="JuH1"/>
      <w:lvlText w:val="%4."/>
      <w:lvlJc w:val="left"/>
      <w:pPr>
        <w:ind w:left="680" w:hanging="340"/>
      </w:pPr>
      <w:rPr>
        <w:rFonts w:hint="default"/>
      </w:rPr>
    </w:lvl>
    <w:lvl w:ilvl="4">
      <w:start w:val="1"/>
      <w:numFmt w:val="lowerLetter"/>
      <w:pStyle w:val="JuHa0"/>
      <w:lvlText w:val="(%5)"/>
      <w:lvlJc w:val="left"/>
      <w:pPr>
        <w:ind w:left="851" w:hanging="341"/>
      </w:pPr>
      <w:rPr>
        <w:rFonts w:hint="default"/>
      </w:rPr>
    </w:lvl>
    <w:lvl w:ilvl="5">
      <w:start w:val="1"/>
      <w:numFmt w:val="lowerRoman"/>
      <w:pStyle w:val="JuHi"/>
      <w:lvlText w:val="(%6)"/>
      <w:lvlJc w:val="left"/>
      <w:pPr>
        <w:ind w:left="1021" w:hanging="341"/>
      </w:pPr>
      <w:rPr>
        <w:rFonts w:hint="default"/>
      </w:rPr>
    </w:lvl>
    <w:lvl w:ilvl="6">
      <w:start w:val="1"/>
      <w:numFmt w:val="decimal"/>
      <w:pStyle w:val="JuHalpha"/>
      <w:lvlText w:val="(%7)"/>
      <w:lvlJc w:val="left"/>
      <w:pPr>
        <w:ind w:left="1247" w:hanging="396"/>
      </w:pPr>
      <w:rPr>
        <w:rFonts w:asciiTheme="minorHAnsi" w:hAnsiTheme="minorHAnsi" w:hint="default"/>
        <w:b w:val="0"/>
        <w:i w:val="0"/>
      </w:rPr>
    </w:lvl>
    <w:lvl w:ilvl="7">
      <w:start w:val="1"/>
      <w:numFmt w:val="bullet"/>
      <w:pStyle w:val="JuH"/>
      <w:lvlText w:val="‒"/>
      <w:lvlJc w:val="left"/>
      <w:pPr>
        <w:ind w:left="1247" w:hanging="226"/>
      </w:pPr>
      <w:rPr>
        <w:rFonts w:ascii="Times New Roman" w:hAnsi="Times New Roman" w:cs="Times New Roman" w:hint="default"/>
        <w:color w:val="auto"/>
      </w:rPr>
    </w:lvl>
    <w:lvl w:ilvl="8">
      <w:start w:val="1"/>
      <w:numFmt w:val="bullet"/>
      <w:pStyle w:val="ECHRHeading9"/>
      <w:lvlText w:val="▪"/>
      <w:lvlJc w:val="left"/>
      <w:pPr>
        <w:ind w:left="1361" w:hanging="170"/>
      </w:pPr>
      <w:rPr>
        <w:rFonts w:ascii="Times New Roman" w:hAnsi="Times New Roman" w:cs="Times New Roman" w:hint="default"/>
        <w:color w:val="auto"/>
      </w:rPr>
    </w:lvl>
  </w:abstractNum>
  <w:abstractNum w:abstractNumId="7" w15:restartNumberingAfterBreak="0">
    <w:nsid w:val="11C90334"/>
    <w:multiLevelType w:val="hybridMultilevel"/>
    <w:tmpl w:val="CD001B0E"/>
    <w:lvl w:ilvl="0" w:tplc="D09EC78C">
      <w:start w:val="4"/>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7B07F89"/>
    <w:multiLevelType w:val="hybridMultilevel"/>
    <w:tmpl w:val="DE54CB9C"/>
    <w:lvl w:ilvl="0" w:tplc="4926BDE8">
      <w:start w:val="1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326A53"/>
    <w:multiLevelType w:val="multilevel"/>
    <w:tmpl w:val="234EDD08"/>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eastAsiaTheme="minorEastAsia" w:cs="Arial" w:hint="default"/>
        <w:i w:val="0"/>
        <w:sz w:val="22"/>
      </w:rPr>
    </w:lvl>
    <w:lvl w:ilvl="2">
      <w:start w:val="1"/>
      <w:numFmt w:val="decimal"/>
      <w:isLgl/>
      <w:lvlText w:val="%1.%2.%3."/>
      <w:lvlJc w:val="left"/>
      <w:pPr>
        <w:ind w:left="1080" w:hanging="720"/>
      </w:pPr>
      <w:rPr>
        <w:rFonts w:eastAsiaTheme="minorEastAsia" w:cs="Arial" w:hint="default"/>
        <w:i w:val="0"/>
        <w:sz w:val="22"/>
      </w:rPr>
    </w:lvl>
    <w:lvl w:ilvl="3">
      <w:start w:val="1"/>
      <w:numFmt w:val="decimal"/>
      <w:isLgl/>
      <w:lvlText w:val="%1.%2.%3.%4."/>
      <w:lvlJc w:val="left"/>
      <w:pPr>
        <w:ind w:left="1440" w:hanging="1080"/>
      </w:pPr>
      <w:rPr>
        <w:rFonts w:eastAsiaTheme="minorEastAsia" w:cs="Arial" w:hint="default"/>
        <w:i w:val="0"/>
        <w:sz w:val="22"/>
      </w:rPr>
    </w:lvl>
    <w:lvl w:ilvl="4">
      <w:start w:val="1"/>
      <w:numFmt w:val="decimal"/>
      <w:isLgl/>
      <w:lvlText w:val="%1.%2.%3.%4.%5."/>
      <w:lvlJc w:val="left"/>
      <w:pPr>
        <w:ind w:left="1440" w:hanging="1080"/>
      </w:pPr>
      <w:rPr>
        <w:rFonts w:eastAsiaTheme="minorEastAsia" w:cs="Arial" w:hint="default"/>
        <w:i w:val="0"/>
        <w:sz w:val="22"/>
      </w:rPr>
    </w:lvl>
    <w:lvl w:ilvl="5">
      <w:start w:val="1"/>
      <w:numFmt w:val="decimal"/>
      <w:isLgl/>
      <w:lvlText w:val="%1.%2.%3.%4.%5.%6."/>
      <w:lvlJc w:val="left"/>
      <w:pPr>
        <w:ind w:left="1800" w:hanging="1440"/>
      </w:pPr>
      <w:rPr>
        <w:rFonts w:eastAsiaTheme="minorEastAsia" w:cs="Arial" w:hint="default"/>
        <w:i w:val="0"/>
        <w:sz w:val="22"/>
      </w:rPr>
    </w:lvl>
    <w:lvl w:ilvl="6">
      <w:start w:val="1"/>
      <w:numFmt w:val="decimal"/>
      <w:isLgl/>
      <w:lvlText w:val="%1.%2.%3.%4.%5.%6.%7."/>
      <w:lvlJc w:val="left"/>
      <w:pPr>
        <w:ind w:left="1800" w:hanging="1440"/>
      </w:pPr>
      <w:rPr>
        <w:rFonts w:eastAsiaTheme="minorEastAsia" w:cs="Arial" w:hint="default"/>
        <w:i w:val="0"/>
        <w:sz w:val="22"/>
      </w:rPr>
    </w:lvl>
    <w:lvl w:ilvl="7">
      <w:start w:val="1"/>
      <w:numFmt w:val="decimal"/>
      <w:isLgl/>
      <w:lvlText w:val="%1.%2.%3.%4.%5.%6.%7.%8."/>
      <w:lvlJc w:val="left"/>
      <w:pPr>
        <w:ind w:left="2160" w:hanging="1800"/>
      </w:pPr>
      <w:rPr>
        <w:rFonts w:eastAsiaTheme="minorEastAsia" w:cs="Arial" w:hint="default"/>
        <w:i w:val="0"/>
        <w:sz w:val="22"/>
      </w:rPr>
    </w:lvl>
    <w:lvl w:ilvl="8">
      <w:start w:val="1"/>
      <w:numFmt w:val="decimal"/>
      <w:isLgl/>
      <w:lvlText w:val="%1.%2.%3.%4.%5.%6.%7.%8.%9."/>
      <w:lvlJc w:val="left"/>
      <w:pPr>
        <w:ind w:left="2520" w:hanging="2160"/>
      </w:pPr>
      <w:rPr>
        <w:rFonts w:eastAsiaTheme="minorEastAsia" w:cs="Arial" w:hint="default"/>
        <w:i w:val="0"/>
        <w:sz w:val="22"/>
      </w:rPr>
    </w:lvl>
  </w:abstractNum>
  <w:abstractNum w:abstractNumId="10" w15:restartNumberingAfterBreak="0">
    <w:nsid w:val="1D916A3C"/>
    <w:multiLevelType w:val="multilevel"/>
    <w:tmpl w:val="A2FC3352"/>
    <w:lvl w:ilvl="0">
      <w:start w:val="2"/>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1F470CD0"/>
    <w:multiLevelType w:val="hybridMultilevel"/>
    <w:tmpl w:val="E4BA5E8A"/>
    <w:lvl w:ilvl="0" w:tplc="4926BDE8">
      <w:start w:val="1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800073"/>
    <w:multiLevelType w:val="hybridMultilevel"/>
    <w:tmpl w:val="F3A6E27A"/>
    <w:lvl w:ilvl="0" w:tplc="9112EB1A">
      <w:start w:val="9"/>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2A721EB"/>
    <w:multiLevelType w:val="hybridMultilevel"/>
    <w:tmpl w:val="97401910"/>
    <w:lvl w:ilvl="0" w:tplc="E09C638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8045048"/>
    <w:multiLevelType w:val="hybridMultilevel"/>
    <w:tmpl w:val="0868D0F4"/>
    <w:lvl w:ilvl="0" w:tplc="8674B9E4">
      <w:start w:val="30"/>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81D1E41"/>
    <w:multiLevelType w:val="hybridMultilevel"/>
    <w:tmpl w:val="D94E4574"/>
    <w:lvl w:ilvl="0" w:tplc="EC948C6C">
      <w:start w:val="1"/>
      <w:numFmt w:val="decimal"/>
      <w:lvlText w:val="%1."/>
      <w:lvlJc w:val="left"/>
      <w:pPr>
        <w:ind w:left="501" w:hanging="360"/>
      </w:pPr>
      <w:rPr>
        <w:rFonts w:hint="default"/>
        <w:b w:val="0"/>
        <w:sz w:val="22"/>
        <w:szCs w:val="22"/>
        <w:u w:val="none"/>
      </w:rPr>
    </w:lvl>
    <w:lvl w:ilvl="1" w:tplc="C5668D5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2D2019"/>
    <w:multiLevelType w:val="hybridMultilevel"/>
    <w:tmpl w:val="3BA6E22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A7D0BF6"/>
    <w:multiLevelType w:val="hybridMultilevel"/>
    <w:tmpl w:val="1506EFC8"/>
    <w:lvl w:ilvl="0" w:tplc="04090017">
      <w:start w:val="1"/>
      <w:numFmt w:val="lowerLetter"/>
      <w:lvlText w:val="%1)"/>
      <w:lvlJc w:val="left"/>
      <w:pPr>
        <w:ind w:left="1429" w:hanging="360"/>
      </w:pPr>
    </w:lvl>
    <w:lvl w:ilvl="1" w:tplc="040C0019">
      <w:start w:val="1"/>
      <w:numFmt w:val="lowerLetter"/>
      <w:lvlText w:val="%2."/>
      <w:lvlJc w:val="left"/>
      <w:pPr>
        <w:ind w:left="2149" w:hanging="360"/>
      </w:pPr>
    </w:lvl>
    <w:lvl w:ilvl="2" w:tplc="040C001B">
      <w:start w:val="1"/>
      <w:numFmt w:val="lowerRoman"/>
      <w:lvlText w:val="%3."/>
      <w:lvlJc w:val="right"/>
      <w:pPr>
        <w:ind w:left="2869" w:hanging="180"/>
      </w:pPr>
    </w:lvl>
    <w:lvl w:ilvl="3" w:tplc="040C000F">
      <w:start w:val="1"/>
      <w:numFmt w:val="decimal"/>
      <w:lvlText w:val="%4."/>
      <w:lvlJc w:val="left"/>
      <w:pPr>
        <w:ind w:left="3589" w:hanging="360"/>
      </w:pPr>
    </w:lvl>
    <w:lvl w:ilvl="4" w:tplc="040C0019">
      <w:start w:val="1"/>
      <w:numFmt w:val="lowerLetter"/>
      <w:lvlText w:val="%5."/>
      <w:lvlJc w:val="left"/>
      <w:pPr>
        <w:ind w:left="4309" w:hanging="360"/>
      </w:pPr>
    </w:lvl>
    <w:lvl w:ilvl="5" w:tplc="040C001B">
      <w:start w:val="1"/>
      <w:numFmt w:val="lowerRoman"/>
      <w:lvlText w:val="%6."/>
      <w:lvlJc w:val="right"/>
      <w:pPr>
        <w:ind w:left="5029" w:hanging="180"/>
      </w:pPr>
    </w:lvl>
    <w:lvl w:ilvl="6" w:tplc="040C000F">
      <w:start w:val="1"/>
      <w:numFmt w:val="decimal"/>
      <w:lvlText w:val="%7."/>
      <w:lvlJc w:val="left"/>
      <w:pPr>
        <w:ind w:left="5749" w:hanging="360"/>
      </w:pPr>
    </w:lvl>
    <w:lvl w:ilvl="7" w:tplc="040C0019">
      <w:start w:val="1"/>
      <w:numFmt w:val="lowerLetter"/>
      <w:lvlText w:val="%8."/>
      <w:lvlJc w:val="left"/>
      <w:pPr>
        <w:ind w:left="6469" w:hanging="360"/>
      </w:pPr>
    </w:lvl>
    <w:lvl w:ilvl="8" w:tplc="040C001B">
      <w:start w:val="1"/>
      <w:numFmt w:val="lowerRoman"/>
      <w:lvlText w:val="%9."/>
      <w:lvlJc w:val="right"/>
      <w:pPr>
        <w:ind w:left="7189" w:hanging="180"/>
      </w:pPr>
    </w:lvl>
  </w:abstractNum>
  <w:abstractNum w:abstractNumId="18" w15:restartNumberingAfterBreak="0">
    <w:nsid w:val="40053C15"/>
    <w:multiLevelType w:val="multilevel"/>
    <w:tmpl w:val="EF784CFE"/>
    <w:lvl w:ilvl="0">
      <w:start w:val="2"/>
      <w:numFmt w:val="decimal"/>
      <w:lvlText w:val="%1"/>
      <w:lvlJc w:val="left"/>
      <w:pPr>
        <w:ind w:left="360" w:hanging="360"/>
      </w:pPr>
      <w:rPr>
        <w:rFonts w:hint="default"/>
      </w:rPr>
    </w:lvl>
    <w:lvl w:ilvl="1">
      <w:start w:val="3"/>
      <w:numFmt w:val="decimal"/>
      <w:lvlText w:val="%1.%2"/>
      <w:lvlJc w:val="left"/>
      <w:pPr>
        <w:ind w:left="502" w:hanging="360"/>
      </w:pPr>
      <w:rPr>
        <w:rFonts w:hint="default"/>
        <w:lang w:val="en-GB"/>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43350894"/>
    <w:multiLevelType w:val="hybridMultilevel"/>
    <w:tmpl w:val="CD46902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81B7F48"/>
    <w:multiLevelType w:val="hybridMultilevel"/>
    <w:tmpl w:val="9C001B40"/>
    <w:lvl w:ilvl="0" w:tplc="90D0FF52">
      <w:start w:val="15"/>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B1A6FBB"/>
    <w:multiLevelType w:val="hybridMultilevel"/>
    <w:tmpl w:val="60EA63F2"/>
    <w:lvl w:ilvl="0" w:tplc="5C6621AE">
      <w:start w:val="3"/>
      <w:numFmt w:val="decimal"/>
      <w:lvlText w:val="%1."/>
      <w:lvlJc w:val="left"/>
      <w:pPr>
        <w:ind w:left="1070" w:hanging="360"/>
      </w:pPr>
      <w:rPr>
        <w:rFonts w:hint="default"/>
      </w:rPr>
    </w:lvl>
    <w:lvl w:ilvl="1" w:tplc="040C0019" w:tentative="1">
      <w:start w:val="1"/>
      <w:numFmt w:val="lowerLetter"/>
      <w:lvlText w:val="%2."/>
      <w:lvlJc w:val="left"/>
      <w:pPr>
        <w:ind w:left="1790" w:hanging="360"/>
      </w:pPr>
    </w:lvl>
    <w:lvl w:ilvl="2" w:tplc="040C001B" w:tentative="1">
      <w:start w:val="1"/>
      <w:numFmt w:val="lowerRoman"/>
      <w:lvlText w:val="%3."/>
      <w:lvlJc w:val="right"/>
      <w:pPr>
        <w:ind w:left="2510" w:hanging="180"/>
      </w:pPr>
    </w:lvl>
    <w:lvl w:ilvl="3" w:tplc="040C000F" w:tentative="1">
      <w:start w:val="1"/>
      <w:numFmt w:val="decimal"/>
      <w:lvlText w:val="%4."/>
      <w:lvlJc w:val="left"/>
      <w:pPr>
        <w:ind w:left="3230" w:hanging="360"/>
      </w:pPr>
    </w:lvl>
    <w:lvl w:ilvl="4" w:tplc="040C0019" w:tentative="1">
      <w:start w:val="1"/>
      <w:numFmt w:val="lowerLetter"/>
      <w:lvlText w:val="%5."/>
      <w:lvlJc w:val="left"/>
      <w:pPr>
        <w:ind w:left="3950" w:hanging="360"/>
      </w:pPr>
    </w:lvl>
    <w:lvl w:ilvl="5" w:tplc="040C001B" w:tentative="1">
      <w:start w:val="1"/>
      <w:numFmt w:val="lowerRoman"/>
      <w:lvlText w:val="%6."/>
      <w:lvlJc w:val="right"/>
      <w:pPr>
        <w:ind w:left="4670" w:hanging="180"/>
      </w:pPr>
    </w:lvl>
    <w:lvl w:ilvl="6" w:tplc="040C000F" w:tentative="1">
      <w:start w:val="1"/>
      <w:numFmt w:val="decimal"/>
      <w:lvlText w:val="%7."/>
      <w:lvlJc w:val="left"/>
      <w:pPr>
        <w:ind w:left="5390" w:hanging="360"/>
      </w:pPr>
    </w:lvl>
    <w:lvl w:ilvl="7" w:tplc="040C0019" w:tentative="1">
      <w:start w:val="1"/>
      <w:numFmt w:val="lowerLetter"/>
      <w:lvlText w:val="%8."/>
      <w:lvlJc w:val="left"/>
      <w:pPr>
        <w:ind w:left="6110" w:hanging="360"/>
      </w:pPr>
    </w:lvl>
    <w:lvl w:ilvl="8" w:tplc="040C001B" w:tentative="1">
      <w:start w:val="1"/>
      <w:numFmt w:val="lowerRoman"/>
      <w:lvlText w:val="%9."/>
      <w:lvlJc w:val="right"/>
      <w:pPr>
        <w:ind w:left="6830" w:hanging="180"/>
      </w:pPr>
    </w:lvl>
  </w:abstractNum>
  <w:abstractNum w:abstractNumId="22" w15:restartNumberingAfterBreak="0">
    <w:nsid w:val="50AC0F4B"/>
    <w:multiLevelType w:val="hybridMultilevel"/>
    <w:tmpl w:val="08B41AF4"/>
    <w:lvl w:ilvl="0" w:tplc="C02044D4">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9F12B82"/>
    <w:multiLevelType w:val="hybridMultilevel"/>
    <w:tmpl w:val="A6DCD492"/>
    <w:lvl w:ilvl="0" w:tplc="D874694A">
      <w:start w:val="8"/>
      <w:numFmt w:val="bullet"/>
      <w:lvlText w:val="-"/>
      <w:lvlJc w:val="left"/>
      <w:pPr>
        <w:ind w:left="1494" w:hanging="360"/>
      </w:pPr>
      <w:rPr>
        <w:rFonts w:ascii="Arial" w:eastAsia="SimSu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24" w15:restartNumberingAfterBreak="0">
    <w:nsid w:val="5D9578BE"/>
    <w:multiLevelType w:val="multilevel"/>
    <w:tmpl w:val="EAECE730"/>
    <w:lvl w:ilvl="0">
      <w:start w:val="2"/>
      <w:numFmt w:val="decimal"/>
      <w:lvlText w:val="%1"/>
      <w:lvlJc w:val="left"/>
      <w:pPr>
        <w:ind w:left="360" w:hanging="360"/>
      </w:pPr>
      <w:rPr>
        <w:rFonts w:eastAsiaTheme="majorEastAsia" w:hint="default"/>
      </w:rPr>
    </w:lvl>
    <w:lvl w:ilvl="1">
      <w:start w:val="2"/>
      <w:numFmt w:val="decimal"/>
      <w:lvlText w:val="%1.%2"/>
      <w:lvlJc w:val="left"/>
      <w:pPr>
        <w:ind w:left="1440" w:hanging="360"/>
      </w:pPr>
      <w:rPr>
        <w:rFonts w:eastAsiaTheme="majorEastAsia" w:hint="default"/>
      </w:rPr>
    </w:lvl>
    <w:lvl w:ilvl="2">
      <w:start w:val="1"/>
      <w:numFmt w:val="decimal"/>
      <w:lvlText w:val="%1.%2.%3"/>
      <w:lvlJc w:val="left"/>
      <w:pPr>
        <w:ind w:left="2880" w:hanging="720"/>
      </w:pPr>
      <w:rPr>
        <w:rFonts w:eastAsiaTheme="majorEastAsia" w:hint="default"/>
      </w:rPr>
    </w:lvl>
    <w:lvl w:ilvl="3">
      <w:start w:val="1"/>
      <w:numFmt w:val="decimal"/>
      <w:lvlText w:val="%1.%2.%3.%4"/>
      <w:lvlJc w:val="left"/>
      <w:pPr>
        <w:ind w:left="3960" w:hanging="720"/>
      </w:pPr>
      <w:rPr>
        <w:rFonts w:eastAsiaTheme="majorEastAsia" w:hint="default"/>
      </w:rPr>
    </w:lvl>
    <w:lvl w:ilvl="4">
      <w:start w:val="1"/>
      <w:numFmt w:val="decimal"/>
      <w:lvlText w:val="%1.%2.%3.%4.%5"/>
      <w:lvlJc w:val="left"/>
      <w:pPr>
        <w:ind w:left="5400" w:hanging="1080"/>
      </w:pPr>
      <w:rPr>
        <w:rFonts w:eastAsiaTheme="majorEastAsia" w:hint="default"/>
      </w:rPr>
    </w:lvl>
    <w:lvl w:ilvl="5">
      <w:start w:val="1"/>
      <w:numFmt w:val="decimal"/>
      <w:lvlText w:val="%1.%2.%3.%4.%5.%6"/>
      <w:lvlJc w:val="left"/>
      <w:pPr>
        <w:ind w:left="6480" w:hanging="1080"/>
      </w:pPr>
      <w:rPr>
        <w:rFonts w:eastAsiaTheme="majorEastAsia" w:hint="default"/>
      </w:rPr>
    </w:lvl>
    <w:lvl w:ilvl="6">
      <w:start w:val="1"/>
      <w:numFmt w:val="decimal"/>
      <w:lvlText w:val="%1.%2.%3.%4.%5.%6.%7"/>
      <w:lvlJc w:val="left"/>
      <w:pPr>
        <w:ind w:left="7920" w:hanging="1440"/>
      </w:pPr>
      <w:rPr>
        <w:rFonts w:eastAsiaTheme="majorEastAsia" w:hint="default"/>
      </w:rPr>
    </w:lvl>
    <w:lvl w:ilvl="7">
      <w:start w:val="1"/>
      <w:numFmt w:val="decimal"/>
      <w:lvlText w:val="%1.%2.%3.%4.%5.%6.%7.%8"/>
      <w:lvlJc w:val="left"/>
      <w:pPr>
        <w:ind w:left="9000" w:hanging="1440"/>
      </w:pPr>
      <w:rPr>
        <w:rFonts w:eastAsiaTheme="majorEastAsia" w:hint="default"/>
      </w:rPr>
    </w:lvl>
    <w:lvl w:ilvl="8">
      <w:start w:val="1"/>
      <w:numFmt w:val="decimal"/>
      <w:lvlText w:val="%1.%2.%3.%4.%5.%6.%7.%8.%9"/>
      <w:lvlJc w:val="left"/>
      <w:pPr>
        <w:ind w:left="10440" w:hanging="1800"/>
      </w:pPr>
      <w:rPr>
        <w:rFonts w:eastAsiaTheme="majorEastAsia" w:hint="default"/>
      </w:rPr>
    </w:lvl>
  </w:abstractNum>
  <w:abstractNum w:abstractNumId="25" w15:restartNumberingAfterBreak="0">
    <w:nsid w:val="5F7250FC"/>
    <w:multiLevelType w:val="hybridMultilevel"/>
    <w:tmpl w:val="18B2E1EE"/>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6" w15:restartNumberingAfterBreak="0">
    <w:nsid w:val="5FEB0ADE"/>
    <w:multiLevelType w:val="hybridMultilevel"/>
    <w:tmpl w:val="F87C6136"/>
    <w:lvl w:ilvl="0" w:tplc="04090017">
      <w:start w:val="1"/>
      <w:numFmt w:val="lowerLetter"/>
      <w:lvlText w:val="%1)"/>
      <w:lvlJc w:val="left"/>
      <w:pPr>
        <w:ind w:left="970" w:hanging="360"/>
      </w:pPr>
    </w:lvl>
    <w:lvl w:ilvl="1" w:tplc="04090019">
      <w:start w:val="1"/>
      <w:numFmt w:val="lowerLetter"/>
      <w:lvlText w:val="%2."/>
      <w:lvlJc w:val="left"/>
      <w:pPr>
        <w:ind w:left="1690" w:hanging="360"/>
      </w:pPr>
    </w:lvl>
    <w:lvl w:ilvl="2" w:tplc="0409001B">
      <w:start w:val="1"/>
      <w:numFmt w:val="lowerRoman"/>
      <w:lvlText w:val="%3."/>
      <w:lvlJc w:val="right"/>
      <w:pPr>
        <w:ind w:left="2410" w:hanging="180"/>
      </w:pPr>
    </w:lvl>
    <w:lvl w:ilvl="3" w:tplc="0409000F">
      <w:start w:val="1"/>
      <w:numFmt w:val="decimal"/>
      <w:lvlText w:val="%4."/>
      <w:lvlJc w:val="left"/>
      <w:pPr>
        <w:ind w:left="3130" w:hanging="360"/>
      </w:pPr>
    </w:lvl>
    <w:lvl w:ilvl="4" w:tplc="04090019">
      <w:start w:val="1"/>
      <w:numFmt w:val="lowerLetter"/>
      <w:lvlText w:val="%5."/>
      <w:lvlJc w:val="left"/>
      <w:pPr>
        <w:ind w:left="3850" w:hanging="360"/>
      </w:pPr>
    </w:lvl>
    <w:lvl w:ilvl="5" w:tplc="0409001B">
      <w:start w:val="1"/>
      <w:numFmt w:val="lowerRoman"/>
      <w:lvlText w:val="%6."/>
      <w:lvlJc w:val="right"/>
      <w:pPr>
        <w:ind w:left="4570" w:hanging="180"/>
      </w:pPr>
    </w:lvl>
    <w:lvl w:ilvl="6" w:tplc="0409000F">
      <w:start w:val="1"/>
      <w:numFmt w:val="decimal"/>
      <w:lvlText w:val="%7."/>
      <w:lvlJc w:val="left"/>
      <w:pPr>
        <w:ind w:left="5290" w:hanging="360"/>
      </w:pPr>
    </w:lvl>
    <w:lvl w:ilvl="7" w:tplc="04090019">
      <w:start w:val="1"/>
      <w:numFmt w:val="lowerLetter"/>
      <w:lvlText w:val="%8."/>
      <w:lvlJc w:val="left"/>
      <w:pPr>
        <w:ind w:left="6010" w:hanging="360"/>
      </w:pPr>
    </w:lvl>
    <w:lvl w:ilvl="8" w:tplc="0409001B">
      <w:start w:val="1"/>
      <w:numFmt w:val="lowerRoman"/>
      <w:lvlText w:val="%9."/>
      <w:lvlJc w:val="right"/>
      <w:pPr>
        <w:ind w:left="6730" w:hanging="180"/>
      </w:pPr>
    </w:lvl>
  </w:abstractNum>
  <w:abstractNum w:abstractNumId="27" w15:restartNumberingAfterBreak="0">
    <w:nsid w:val="658D2B05"/>
    <w:multiLevelType w:val="hybridMultilevel"/>
    <w:tmpl w:val="6810AC84"/>
    <w:lvl w:ilvl="0" w:tplc="CB482FE8">
      <w:start w:val="1"/>
      <w:numFmt w:val="lowerRoman"/>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8" w15:restartNumberingAfterBreak="0">
    <w:nsid w:val="6D982348"/>
    <w:multiLevelType w:val="hybridMultilevel"/>
    <w:tmpl w:val="41A00930"/>
    <w:lvl w:ilvl="0" w:tplc="7CF43414">
      <w:start w:val="20"/>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AEF0368"/>
    <w:multiLevelType w:val="multilevel"/>
    <w:tmpl w:val="2AAA2D9E"/>
    <w:lvl w:ilvl="0">
      <w:start w:val="1"/>
      <w:numFmt w:val="decimal"/>
      <w:lvlText w:val="%1."/>
      <w:lvlJc w:val="left"/>
      <w:pPr>
        <w:ind w:left="107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num w:numId="1">
    <w:abstractNumId w:val="15"/>
  </w:num>
  <w:num w:numId="2">
    <w:abstractNumId w:val="9"/>
  </w:num>
  <w:num w:numId="3">
    <w:abstractNumId w:val="29"/>
  </w:num>
  <w:num w:numId="4">
    <w:abstractNumId w:val="11"/>
  </w:num>
  <w:num w:numId="5">
    <w:abstractNumId w:val="8"/>
  </w:num>
  <w:num w:numId="6">
    <w:abstractNumId w:val="7"/>
  </w:num>
  <w:num w:numId="7">
    <w:abstractNumId w:val="18"/>
  </w:num>
  <w:num w:numId="8">
    <w:abstractNumId w:val="14"/>
  </w:num>
  <w:num w:numId="9">
    <w:abstractNumId w:val="3"/>
  </w:num>
  <w:num w:numId="10">
    <w:abstractNumId w:val="13"/>
  </w:num>
  <w:num w:numId="11">
    <w:abstractNumId w:val="27"/>
  </w:num>
  <w:num w:numId="12">
    <w:abstractNumId w:val="28"/>
  </w:num>
  <w:num w:numId="13">
    <w:abstractNumId w:val="20"/>
  </w:num>
  <w:num w:numId="14">
    <w:abstractNumId w:val="22"/>
  </w:num>
  <w:num w:numId="15">
    <w:abstractNumId w:val="1"/>
  </w:num>
  <w:num w:numId="16">
    <w:abstractNumId w:val="6"/>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26"/>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21"/>
  </w:num>
  <w:num w:numId="23">
    <w:abstractNumId w:val="10"/>
  </w:num>
  <w:num w:numId="24">
    <w:abstractNumId w:val="24"/>
  </w:num>
  <w:num w:numId="25">
    <w:abstractNumId w:val="16"/>
  </w:num>
  <w:num w:numId="26">
    <w:abstractNumId w:val="2"/>
  </w:num>
  <w:num w:numId="27">
    <w:abstractNumId w:val="25"/>
  </w:num>
  <w:num w:numId="28">
    <w:abstractNumId w:val="23"/>
  </w:num>
  <w:num w:numId="29">
    <w:abstractNumId w:val="4"/>
  </w:num>
  <w:num w:numId="30">
    <w:abstractNumId w:val="12"/>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5A6"/>
    <w:rsid w:val="00000D84"/>
    <w:rsid w:val="0000545D"/>
    <w:rsid w:val="00015B65"/>
    <w:rsid w:val="000303E4"/>
    <w:rsid w:val="00055AD1"/>
    <w:rsid w:val="000818C5"/>
    <w:rsid w:val="00093C88"/>
    <w:rsid w:val="000B5020"/>
    <w:rsid w:val="00114D93"/>
    <w:rsid w:val="001243D5"/>
    <w:rsid w:val="00127E43"/>
    <w:rsid w:val="001428E8"/>
    <w:rsid w:val="0015255C"/>
    <w:rsid w:val="00170898"/>
    <w:rsid w:val="00171980"/>
    <w:rsid w:val="00182E02"/>
    <w:rsid w:val="00183D68"/>
    <w:rsid w:val="001938B3"/>
    <w:rsid w:val="00195A09"/>
    <w:rsid w:val="001A7718"/>
    <w:rsid w:val="001D30C1"/>
    <w:rsid w:val="001E2608"/>
    <w:rsid w:val="001E2A6B"/>
    <w:rsid w:val="001F2C4F"/>
    <w:rsid w:val="00201BDB"/>
    <w:rsid w:val="00202842"/>
    <w:rsid w:val="00223306"/>
    <w:rsid w:val="002479AF"/>
    <w:rsid w:val="00252940"/>
    <w:rsid w:val="00261F8F"/>
    <w:rsid w:val="0026253D"/>
    <w:rsid w:val="00294F21"/>
    <w:rsid w:val="002E02F5"/>
    <w:rsid w:val="002E73CE"/>
    <w:rsid w:val="002F42E0"/>
    <w:rsid w:val="003062A9"/>
    <w:rsid w:val="00306F2F"/>
    <w:rsid w:val="00347713"/>
    <w:rsid w:val="003530ED"/>
    <w:rsid w:val="003539DC"/>
    <w:rsid w:val="00371828"/>
    <w:rsid w:val="00380B79"/>
    <w:rsid w:val="00382116"/>
    <w:rsid w:val="00382D02"/>
    <w:rsid w:val="003974C0"/>
    <w:rsid w:val="003B3BEA"/>
    <w:rsid w:val="003F3F24"/>
    <w:rsid w:val="003F41F3"/>
    <w:rsid w:val="0041420D"/>
    <w:rsid w:val="00441EAD"/>
    <w:rsid w:val="004444FF"/>
    <w:rsid w:val="00450131"/>
    <w:rsid w:val="00451A5E"/>
    <w:rsid w:val="00454152"/>
    <w:rsid w:val="004544B1"/>
    <w:rsid w:val="00483136"/>
    <w:rsid w:val="0048480C"/>
    <w:rsid w:val="004964DF"/>
    <w:rsid w:val="004C6BE4"/>
    <w:rsid w:val="004E47F7"/>
    <w:rsid w:val="004F0882"/>
    <w:rsid w:val="004F4086"/>
    <w:rsid w:val="005106D2"/>
    <w:rsid w:val="00512900"/>
    <w:rsid w:val="00516A54"/>
    <w:rsid w:val="005528A8"/>
    <w:rsid w:val="00560BFA"/>
    <w:rsid w:val="00580EBE"/>
    <w:rsid w:val="00582FAF"/>
    <w:rsid w:val="005B43B8"/>
    <w:rsid w:val="005C1252"/>
    <w:rsid w:val="005C2F51"/>
    <w:rsid w:val="005C3F4E"/>
    <w:rsid w:val="005E0196"/>
    <w:rsid w:val="005E0F59"/>
    <w:rsid w:val="005E334D"/>
    <w:rsid w:val="005F6D38"/>
    <w:rsid w:val="00625932"/>
    <w:rsid w:val="00646848"/>
    <w:rsid w:val="00696EA4"/>
    <w:rsid w:val="006B1D72"/>
    <w:rsid w:val="006B3790"/>
    <w:rsid w:val="006C2161"/>
    <w:rsid w:val="006C7E69"/>
    <w:rsid w:val="006E1C51"/>
    <w:rsid w:val="006E4ACD"/>
    <w:rsid w:val="00706E7C"/>
    <w:rsid w:val="00713F67"/>
    <w:rsid w:val="00716D32"/>
    <w:rsid w:val="00720D91"/>
    <w:rsid w:val="00753127"/>
    <w:rsid w:val="0075488C"/>
    <w:rsid w:val="007565E2"/>
    <w:rsid w:val="0075739B"/>
    <w:rsid w:val="007A5499"/>
    <w:rsid w:val="007D0DE6"/>
    <w:rsid w:val="007D2835"/>
    <w:rsid w:val="007F396E"/>
    <w:rsid w:val="00811891"/>
    <w:rsid w:val="00820E00"/>
    <w:rsid w:val="00822FF4"/>
    <w:rsid w:val="00824B78"/>
    <w:rsid w:val="00843100"/>
    <w:rsid w:val="0084360B"/>
    <w:rsid w:val="00866E70"/>
    <w:rsid w:val="00867FE0"/>
    <w:rsid w:val="008C0008"/>
    <w:rsid w:val="008C620C"/>
    <w:rsid w:val="008D355A"/>
    <w:rsid w:val="008D3E04"/>
    <w:rsid w:val="008D721D"/>
    <w:rsid w:val="008E0150"/>
    <w:rsid w:val="008E405C"/>
    <w:rsid w:val="00912D41"/>
    <w:rsid w:val="00916DEA"/>
    <w:rsid w:val="009173F5"/>
    <w:rsid w:val="00934342"/>
    <w:rsid w:val="009411F3"/>
    <w:rsid w:val="00947BAB"/>
    <w:rsid w:val="0096230B"/>
    <w:rsid w:val="009655FC"/>
    <w:rsid w:val="009B0E76"/>
    <w:rsid w:val="009D57F0"/>
    <w:rsid w:val="009D653F"/>
    <w:rsid w:val="009D685D"/>
    <w:rsid w:val="009E2EBC"/>
    <w:rsid w:val="009E3B83"/>
    <w:rsid w:val="009E5118"/>
    <w:rsid w:val="00A0448D"/>
    <w:rsid w:val="00A113D3"/>
    <w:rsid w:val="00A179F8"/>
    <w:rsid w:val="00A3466F"/>
    <w:rsid w:val="00A378C9"/>
    <w:rsid w:val="00A50AB1"/>
    <w:rsid w:val="00A55CB5"/>
    <w:rsid w:val="00A569FD"/>
    <w:rsid w:val="00A60BFE"/>
    <w:rsid w:val="00A7525E"/>
    <w:rsid w:val="00AA14BA"/>
    <w:rsid w:val="00AB3E91"/>
    <w:rsid w:val="00AE2918"/>
    <w:rsid w:val="00AF4809"/>
    <w:rsid w:val="00AF58FE"/>
    <w:rsid w:val="00AF5A36"/>
    <w:rsid w:val="00B0089D"/>
    <w:rsid w:val="00B02635"/>
    <w:rsid w:val="00B05657"/>
    <w:rsid w:val="00B1167F"/>
    <w:rsid w:val="00B24BB4"/>
    <w:rsid w:val="00B26D9F"/>
    <w:rsid w:val="00B30B72"/>
    <w:rsid w:val="00B30B98"/>
    <w:rsid w:val="00B326A9"/>
    <w:rsid w:val="00B7169C"/>
    <w:rsid w:val="00B84BF9"/>
    <w:rsid w:val="00B92082"/>
    <w:rsid w:val="00BA1434"/>
    <w:rsid w:val="00BB7EF8"/>
    <w:rsid w:val="00BD3404"/>
    <w:rsid w:val="00BE12CF"/>
    <w:rsid w:val="00C11632"/>
    <w:rsid w:val="00C24B2B"/>
    <w:rsid w:val="00C44537"/>
    <w:rsid w:val="00C60CAD"/>
    <w:rsid w:val="00C65517"/>
    <w:rsid w:val="00C81D7D"/>
    <w:rsid w:val="00C82619"/>
    <w:rsid w:val="00C91830"/>
    <w:rsid w:val="00CA41C3"/>
    <w:rsid w:val="00CA7C5D"/>
    <w:rsid w:val="00CB7A37"/>
    <w:rsid w:val="00CC43C7"/>
    <w:rsid w:val="00CC515C"/>
    <w:rsid w:val="00CD3B47"/>
    <w:rsid w:val="00CF28FE"/>
    <w:rsid w:val="00D13262"/>
    <w:rsid w:val="00D21104"/>
    <w:rsid w:val="00D27CC7"/>
    <w:rsid w:val="00D33603"/>
    <w:rsid w:val="00D411BC"/>
    <w:rsid w:val="00D54F12"/>
    <w:rsid w:val="00D563A1"/>
    <w:rsid w:val="00D66B08"/>
    <w:rsid w:val="00D86968"/>
    <w:rsid w:val="00DB087E"/>
    <w:rsid w:val="00DB4673"/>
    <w:rsid w:val="00DD1210"/>
    <w:rsid w:val="00DD5106"/>
    <w:rsid w:val="00DF1F2A"/>
    <w:rsid w:val="00E125CE"/>
    <w:rsid w:val="00E17E13"/>
    <w:rsid w:val="00E46CFB"/>
    <w:rsid w:val="00E531A3"/>
    <w:rsid w:val="00E55583"/>
    <w:rsid w:val="00E73FD3"/>
    <w:rsid w:val="00E93837"/>
    <w:rsid w:val="00E955C1"/>
    <w:rsid w:val="00EA0E30"/>
    <w:rsid w:val="00EA35A6"/>
    <w:rsid w:val="00EC54B6"/>
    <w:rsid w:val="00EC7240"/>
    <w:rsid w:val="00EE3E6B"/>
    <w:rsid w:val="00F032FC"/>
    <w:rsid w:val="00F063B8"/>
    <w:rsid w:val="00F36438"/>
    <w:rsid w:val="00F84244"/>
    <w:rsid w:val="00F97922"/>
    <w:rsid w:val="00FC4DF7"/>
    <w:rsid w:val="00FE56A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BA0E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Arial"/>
        <w:bCs/>
        <w:sz w:val="22"/>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4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8"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A35A6"/>
    <w:rPr>
      <w:rFonts w:eastAsia="Times New Roman" w:cs="Times New Roman"/>
      <w:bCs w:val="0"/>
      <w:sz w:val="24"/>
      <w:lang w:eastAsia="fr-FR"/>
    </w:rPr>
  </w:style>
  <w:style w:type="paragraph" w:styleId="Titre1">
    <w:name w:val="heading 1"/>
    <w:basedOn w:val="Normal"/>
    <w:next w:val="Normal"/>
    <w:link w:val="Titre1Car"/>
    <w:uiPriority w:val="9"/>
    <w:qFormat/>
    <w:rsid w:val="009D685D"/>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val="en-GB" w:eastAsia="en-GB"/>
    </w:rPr>
  </w:style>
  <w:style w:type="paragraph" w:styleId="Titre2">
    <w:name w:val="heading 2"/>
    <w:basedOn w:val="Normal"/>
    <w:next w:val="Normal"/>
    <w:link w:val="Titre2Car"/>
    <w:uiPriority w:val="9"/>
    <w:unhideWhenUsed/>
    <w:qFormat/>
    <w:rsid w:val="009D685D"/>
    <w:pPr>
      <w:keepNext/>
      <w:keepLines/>
      <w:spacing w:before="200" w:line="276" w:lineRule="auto"/>
      <w:outlineLvl w:val="1"/>
    </w:pPr>
    <w:rPr>
      <w:rFonts w:ascii="Arial" w:eastAsiaTheme="majorEastAsia" w:hAnsi="Arial" w:cstheme="majorBidi"/>
      <w:bCs/>
      <w:i/>
      <w:color w:val="4472C4" w:themeColor="accent1"/>
      <w:sz w:val="28"/>
      <w:szCs w:val="26"/>
      <w:lang w:val="en-GB" w:eastAsia="en-GB"/>
    </w:rPr>
  </w:style>
  <w:style w:type="paragraph" w:styleId="Titre3">
    <w:name w:val="heading 3"/>
    <w:basedOn w:val="Normal"/>
    <w:next w:val="Normal"/>
    <w:link w:val="Titre3Car"/>
    <w:uiPriority w:val="9"/>
    <w:unhideWhenUsed/>
    <w:qFormat/>
    <w:rsid w:val="009D685D"/>
    <w:pPr>
      <w:keepNext/>
      <w:keepLines/>
      <w:spacing w:before="200" w:line="276" w:lineRule="auto"/>
      <w:outlineLvl w:val="2"/>
    </w:pPr>
    <w:rPr>
      <w:rFonts w:asciiTheme="majorHAnsi" w:eastAsiaTheme="majorEastAsia" w:hAnsiTheme="majorHAnsi" w:cstheme="majorBidi"/>
      <w:b/>
      <w:bCs/>
      <w:color w:val="4472C4" w:themeColor="accent1"/>
      <w:sz w:val="22"/>
      <w:szCs w:val="22"/>
      <w:lang w:val="en-GB" w:eastAsia="en-GB"/>
    </w:rPr>
  </w:style>
  <w:style w:type="paragraph" w:styleId="Titre4">
    <w:name w:val="heading 4"/>
    <w:basedOn w:val="Normal"/>
    <w:next w:val="Normal"/>
    <w:link w:val="Titre4Car"/>
    <w:uiPriority w:val="9"/>
    <w:semiHidden/>
    <w:unhideWhenUsed/>
    <w:qFormat/>
    <w:rsid w:val="009D685D"/>
    <w:pPr>
      <w:keepNext/>
      <w:keepLines/>
      <w:spacing w:before="40" w:line="276" w:lineRule="auto"/>
      <w:outlineLvl w:val="3"/>
    </w:pPr>
    <w:rPr>
      <w:rFonts w:asciiTheme="majorHAnsi" w:eastAsiaTheme="majorEastAsia" w:hAnsiTheme="majorHAnsi" w:cstheme="majorBidi"/>
      <w:i/>
      <w:iCs/>
      <w:color w:val="2F5496" w:themeColor="accent1" w:themeShade="BF"/>
      <w:sz w:val="22"/>
      <w:szCs w:val="22"/>
      <w:lang w:val="en-GB" w:eastAsia="en-GB"/>
    </w:rPr>
  </w:style>
  <w:style w:type="paragraph" w:styleId="Titre5">
    <w:name w:val="heading 5"/>
    <w:basedOn w:val="Normal"/>
    <w:next w:val="Normal"/>
    <w:link w:val="Titre5Car"/>
    <w:uiPriority w:val="9"/>
    <w:semiHidden/>
    <w:unhideWhenUsed/>
    <w:qFormat/>
    <w:rsid w:val="009D685D"/>
    <w:pPr>
      <w:keepNext/>
      <w:keepLines/>
      <w:spacing w:before="40" w:line="276" w:lineRule="auto"/>
      <w:outlineLvl w:val="4"/>
    </w:pPr>
    <w:rPr>
      <w:rFonts w:asciiTheme="majorHAnsi" w:eastAsiaTheme="majorEastAsia" w:hAnsiTheme="majorHAnsi" w:cstheme="majorBidi"/>
      <w:color w:val="2F5496" w:themeColor="accent1" w:themeShade="BF"/>
      <w:sz w:val="22"/>
      <w:szCs w:val="22"/>
      <w:lang w:val="en-GB" w:eastAsia="en-GB"/>
    </w:rPr>
  </w:style>
  <w:style w:type="paragraph" w:styleId="Titre6">
    <w:name w:val="heading 6"/>
    <w:basedOn w:val="Normal"/>
    <w:next w:val="Normal"/>
    <w:link w:val="Titre6Car"/>
    <w:uiPriority w:val="9"/>
    <w:semiHidden/>
    <w:unhideWhenUsed/>
    <w:qFormat/>
    <w:rsid w:val="009D685D"/>
    <w:pPr>
      <w:keepNext/>
      <w:keepLines/>
      <w:spacing w:before="40" w:line="276" w:lineRule="auto"/>
      <w:outlineLvl w:val="5"/>
    </w:pPr>
    <w:rPr>
      <w:rFonts w:asciiTheme="majorHAnsi" w:eastAsiaTheme="majorEastAsia" w:hAnsiTheme="majorHAnsi" w:cstheme="majorBidi"/>
      <w:color w:val="1F3763" w:themeColor="accent1" w:themeShade="7F"/>
      <w:sz w:val="22"/>
      <w:szCs w:val="22"/>
      <w:lang w:val="en-GB" w:eastAsia="en-GB"/>
    </w:rPr>
  </w:style>
  <w:style w:type="paragraph" w:styleId="Titre7">
    <w:name w:val="heading 7"/>
    <w:basedOn w:val="Normal"/>
    <w:next w:val="Normal"/>
    <w:link w:val="Titre7Car"/>
    <w:uiPriority w:val="9"/>
    <w:semiHidden/>
    <w:unhideWhenUsed/>
    <w:qFormat/>
    <w:rsid w:val="009D685D"/>
    <w:pPr>
      <w:keepNext/>
      <w:keepLines/>
      <w:spacing w:before="40" w:line="276" w:lineRule="auto"/>
      <w:outlineLvl w:val="6"/>
    </w:pPr>
    <w:rPr>
      <w:rFonts w:asciiTheme="majorHAnsi" w:eastAsiaTheme="majorEastAsia" w:hAnsiTheme="majorHAnsi" w:cstheme="majorBidi"/>
      <w:i/>
      <w:iCs/>
      <w:color w:val="1F3763" w:themeColor="accent1" w:themeShade="7F"/>
      <w:sz w:val="22"/>
      <w:szCs w:val="22"/>
      <w:lang w:val="en-GB" w:eastAsia="en-GB"/>
    </w:rPr>
  </w:style>
  <w:style w:type="paragraph" w:styleId="Titre8">
    <w:name w:val="heading 8"/>
    <w:basedOn w:val="Normal"/>
    <w:next w:val="Normal"/>
    <w:link w:val="Titre8Car"/>
    <w:uiPriority w:val="9"/>
    <w:semiHidden/>
    <w:unhideWhenUsed/>
    <w:qFormat/>
    <w:rsid w:val="009D685D"/>
    <w:pPr>
      <w:keepNext/>
      <w:keepLines/>
      <w:spacing w:before="40" w:line="276" w:lineRule="auto"/>
      <w:outlineLvl w:val="7"/>
    </w:pPr>
    <w:rPr>
      <w:rFonts w:asciiTheme="majorHAnsi" w:eastAsiaTheme="majorEastAsia" w:hAnsiTheme="majorHAnsi" w:cstheme="majorBidi"/>
      <w:color w:val="272727" w:themeColor="text1" w:themeTint="D8"/>
      <w:sz w:val="21"/>
      <w:szCs w:val="21"/>
      <w:lang w:val="en-GB" w:eastAsia="en-GB"/>
    </w:rPr>
  </w:style>
  <w:style w:type="paragraph" w:styleId="Titre9">
    <w:name w:val="heading 9"/>
    <w:basedOn w:val="Normal"/>
    <w:next w:val="Normal"/>
    <w:link w:val="Titre9Car"/>
    <w:uiPriority w:val="9"/>
    <w:semiHidden/>
    <w:unhideWhenUsed/>
    <w:qFormat/>
    <w:rsid w:val="009D685D"/>
    <w:pPr>
      <w:keepNext/>
      <w:keepLines/>
      <w:spacing w:before="40" w:line="276" w:lineRule="auto"/>
      <w:outlineLvl w:val="8"/>
    </w:pPr>
    <w:rPr>
      <w:rFonts w:asciiTheme="majorHAnsi" w:eastAsiaTheme="majorEastAsia" w:hAnsiTheme="majorHAnsi" w:cstheme="majorBidi"/>
      <w:i/>
      <w:iCs/>
      <w:color w:val="272727" w:themeColor="text1" w:themeTint="D8"/>
      <w:sz w:val="21"/>
      <w:szCs w:val="21"/>
      <w:lang w:val="en-GB"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rsid w:val="00EA35A6"/>
    <w:rPr>
      <w:color w:val="0000FF"/>
      <w:u w:val="single"/>
    </w:rPr>
  </w:style>
  <w:style w:type="paragraph" w:styleId="Paragraphedeliste">
    <w:name w:val="List Paragraph"/>
    <w:aliases w:val="MAIN CONTENT,List Paragraph12,Colorful List - Accent 11,List Paragraph2,Normal numbered,List Paragraph11,OBC Bullet,F5 List Paragraph,List Paragraph1,Dot pt,List Paragraph Char Char Char,Indicator Text,Numbered Para 1,Bullet 1"/>
    <w:basedOn w:val="Normal"/>
    <w:link w:val="ParagraphedelisteCar"/>
    <w:uiPriority w:val="34"/>
    <w:qFormat/>
    <w:rsid w:val="00EA35A6"/>
    <w:pPr>
      <w:spacing w:after="200" w:line="276" w:lineRule="auto"/>
      <w:ind w:left="720"/>
      <w:contextualSpacing/>
    </w:pPr>
    <w:rPr>
      <w:rFonts w:ascii="Calibri" w:hAnsi="Calibri"/>
      <w:sz w:val="22"/>
      <w:szCs w:val="22"/>
      <w:lang w:val="en-GB" w:eastAsia="en-US"/>
    </w:rPr>
  </w:style>
  <w:style w:type="character" w:customStyle="1" w:styleId="ParagraphedelisteCar">
    <w:name w:val="Paragraphe de liste Car"/>
    <w:aliases w:val="MAIN CONTENT Car,List Paragraph12 Car,Colorful List - Accent 11 Car,List Paragraph2 Car,Normal numbered Car,List Paragraph11 Car,OBC Bullet Car,F5 List Paragraph Car,List Paragraph1 Car,Dot pt Car,Indicator Text Car,Bullet 1 Car"/>
    <w:link w:val="Paragraphedeliste"/>
    <w:uiPriority w:val="34"/>
    <w:qFormat/>
    <w:rsid w:val="00EA35A6"/>
    <w:rPr>
      <w:rFonts w:ascii="Calibri" w:eastAsia="Times New Roman" w:hAnsi="Calibri" w:cs="Times New Roman"/>
      <w:bCs w:val="0"/>
      <w:szCs w:val="22"/>
      <w:lang w:val="en-GB"/>
    </w:rPr>
  </w:style>
  <w:style w:type="paragraph" w:styleId="Sansinterligne">
    <w:name w:val="No Spacing"/>
    <w:uiPriority w:val="1"/>
    <w:qFormat/>
    <w:rsid w:val="00EA35A6"/>
    <w:rPr>
      <w:rFonts w:eastAsia="Times New Roman" w:cs="Times New Roman"/>
      <w:bCs w:val="0"/>
      <w:sz w:val="24"/>
      <w:lang w:eastAsia="fr-FR"/>
    </w:rPr>
  </w:style>
  <w:style w:type="paragraph" w:styleId="En-tte">
    <w:name w:val="header"/>
    <w:basedOn w:val="Normal"/>
    <w:link w:val="En-tteCar"/>
    <w:uiPriority w:val="99"/>
    <w:unhideWhenUsed/>
    <w:rsid w:val="00EA35A6"/>
    <w:pPr>
      <w:tabs>
        <w:tab w:val="center" w:pos="4536"/>
        <w:tab w:val="right" w:pos="9072"/>
      </w:tabs>
    </w:pPr>
  </w:style>
  <w:style w:type="character" w:customStyle="1" w:styleId="En-tteCar">
    <w:name w:val="En-tête Car"/>
    <w:basedOn w:val="Policepardfaut"/>
    <w:link w:val="En-tte"/>
    <w:uiPriority w:val="99"/>
    <w:rsid w:val="00EA35A6"/>
    <w:rPr>
      <w:rFonts w:eastAsia="Times New Roman" w:cs="Times New Roman"/>
      <w:bCs w:val="0"/>
      <w:sz w:val="24"/>
      <w:lang w:eastAsia="fr-FR"/>
    </w:rPr>
  </w:style>
  <w:style w:type="paragraph" w:styleId="Pieddepage">
    <w:name w:val="footer"/>
    <w:basedOn w:val="Normal"/>
    <w:link w:val="PieddepageCar"/>
    <w:uiPriority w:val="49"/>
    <w:unhideWhenUsed/>
    <w:rsid w:val="00EA35A6"/>
    <w:pPr>
      <w:tabs>
        <w:tab w:val="center" w:pos="4536"/>
        <w:tab w:val="right" w:pos="9072"/>
      </w:tabs>
    </w:pPr>
  </w:style>
  <w:style w:type="character" w:customStyle="1" w:styleId="PieddepageCar">
    <w:name w:val="Pied de page Car"/>
    <w:basedOn w:val="Policepardfaut"/>
    <w:link w:val="Pieddepage"/>
    <w:uiPriority w:val="49"/>
    <w:rsid w:val="00EA35A6"/>
    <w:rPr>
      <w:rFonts w:eastAsia="Times New Roman" w:cs="Times New Roman"/>
      <w:bCs w:val="0"/>
      <w:sz w:val="24"/>
      <w:lang w:eastAsia="fr-FR"/>
    </w:rPr>
  </w:style>
  <w:style w:type="paragraph" w:customStyle="1" w:styleId="Default">
    <w:name w:val="Default"/>
    <w:qFormat/>
    <w:rsid w:val="001938B3"/>
    <w:pPr>
      <w:autoSpaceDE w:val="0"/>
      <w:autoSpaceDN w:val="0"/>
      <w:adjustRightInd w:val="0"/>
    </w:pPr>
    <w:rPr>
      <w:rFonts w:ascii="Arial" w:hAnsi="Arial"/>
      <w:bCs w:val="0"/>
      <w:color w:val="000000"/>
      <w:sz w:val="24"/>
    </w:rPr>
  </w:style>
  <w:style w:type="paragraph" w:styleId="Textedebulles">
    <w:name w:val="Balloon Text"/>
    <w:basedOn w:val="Normal"/>
    <w:link w:val="TextedebullesCar"/>
    <w:uiPriority w:val="99"/>
    <w:semiHidden/>
    <w:unhideWhenUsed/>
    <w:rsid w:val="001938B3"/>
    <w:rPr>
      <w:rFonts w:ascii="Segoe UI" w:hAnsi="Segoe UI" w:cs="Segoe UI"/>
      <w:sz w:val="18"/>
      <w:szCs w:val="18"/>
    </w:rPr>
  </w:style>
  <w:style w:type="character" w:customStyle="1" w:styleId="TextedebullesCar">
    <w:name w:val="Texte de bulles Car"/>
    <w:basedOn w:val="Policepardfaut"/>
    <w:link w:val="Textedebulles"/>
    <w:uiPriority w:val="99"/>
    <w:semiHidden/>
    <w:rsid w:val="001938B3"/>
    <w:rPr>
      <w:rFonts w:ascii="Segoe UI" w:eastAsia="Times New Roman" w:hAnsi="Segoe UI" w:cs="Segoe UI"/>
      <w:bCs w:val="0"/>
      <w:sz w:val="18"/>
      <w:szCs w:val="18"/>
      <w:lang w:eastAsia="fr-FR"/>
    </w:rPr>
  </w:style>
  <w:style w:type="character" w:styleId="Accentuation">
    <w:name w:val="Emphasis"/>
    <w:basedOn w:val="Policepardfaut"/>
    <w:uiPriority w:val="20"/>
    <w:qFormat/>
    <w:rsid w:val="00811891"/>
    <w:rPr>
      <w:i/>
      <w:iCs/>
    </w:rPr>
  </w:style>
  <w:style w:type="table" w:customStyle="1" w:styleId="TableGrid2">
    <w:name w:val="Table Grid2"/>
    <w:basedOn w:val="TableauNormal"/>
    <w:next w:val="Grilledutableau"/>
    <w:uiPriority w:val="59"/>
    <w:rsid w:val="00811891"/>
    <w:rPr>
      <w:rFonts w:ascii="Calibri" w:eastAsia="Calibri" w:hAnsi="Calibri" w:cs="Times New Roman"/>
      <w:bCs w:val="0"/>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59"/>
    <w:rsid w:val="008118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1">
    <w:name w:val="Mention non résolue1"/>
    <w:basedOn w:val="Policepardfaut"/>
    <w:uiPriority w:val="99"/>
    <w:rsid w:val="00B0089D"/>
    <w:rPr>
      <w:color w:val="605E5C"/>
      <w:shd w:val="clear" w:color="auto" w:fill="E1DFDD"/>
    </w:rPr>
  </w:style>
  <w:style w:type="character" w:customStyle="1" w:styleId="Titre1Car">
    <w:name w:val="Titre 1 Car"/>
    <w:basedOn w:val="Policepardfaut"/>
    <w:link w:val="Titre1"/>
    <w:uiPriority w:val="9"/>
    <w:rsid w:val="009D685D"/>
    <w:rPr>
      <w:rFonts w:asciiTheme="majorHAnsi" w:eastAsiaTheme="majorEastAsia" w:hAnsiTheme="majorHAnsi" w:cstheme="majorBidi"/>
      <w:b/>
      <w:color w:val="2F5496" w:themeColor="accent1" w:themeShade="BF"/>
      <w:sz w:val="28"/>
      <w:szCs w:val="28"/>
      <w:lang w:val="en-GB" w:eastAsia="en-GB"/>
    </w:rPr>
  </w:style>
  <w:style w:type="character" w:customStyle="1" w:styleId="Titre2Car">
    <w:name w:val="Titre 2 Car"/>
    <w:basedOn w:val="Policepardfaut"/>
    <w:link w:val="Titre2"/>
    <w:uiPriority w:val="9"/>
    <w:rsid w:val="009D685D"/>
    <w:rPr>
      <w:rFonts w:ascii="Arial" w:eastAsiaTheme="majorEastAsia" w:hAnsi="Arial" w:cstheme="majorBidi"/>
      <w:i/>
      <w:color w:val="4472C4" w:themeColor="accent1"/>
      <w:sz w:val="28"/>
      <w:szCs w:val="26"/>
      <w:lang w:val="en-GB" w:eastAsia="en-GB"/>
    </w:rPr>
  </w:style>
  <w:style w:type="character" w:customStyle="1" w:styleId="Titre3Car">
    <w:name w:val="Titre 3 Car"/>
    <w:basedOn w:val="Policepardfaut"/>
    <w:link w:val="Titre3"/>
    <w:uiPriority w:val="9"/>
    <w:rsid w:val="009D685D"/>
    <w:rPr>
      <w:rFonts w:asciiTheme="majorHAnsi" w:eastAsiaTheme="majorEastAsia" w:hAnsiTheme="majorHAnsi" w:cstheme="majorBidi"/>
      <w:b/>
      <w:color w:val="4472C4" w:themeColor="accent1"/>
      <w:szCs w:val="22"/>
      <w:lang w:val="en-GB" w:eastAsia="en-GB"/>
    </w:rPr>
  </w:style>
  <w:style w:type="character" w:customStyle="1" w:styleId="Titre4Car">
    <w:name w:val="Titre 4 Car"/>
    <w:basedOn w:val="Policepardfaut"/>
    <w:link w:val="Titre4"/>
    <w:uiPriority w:val="9"/>
    <w:semiHidden/>
    <w:rsid w:val="009D685D"/>
    <w:rPr>
      <w:rFonts w:asciiTheme="majorHAnsi" w:eastAsiaTheme="majorEastAsia" w:hAnsiTheme="majorHAnsi" w:cstheme="majorBidi"/>
      <w:bCs w:val="0"/>
      <w:i/>
      <w:iCs/>
      <w:color w:val="2F5496" w:themeColor="accent1" w:themeShade="BF"/>
      <w:szCs w:val="22"/>
      <w:lang w:val="en-GB" w:eastAsia="en-GB"/>
    </w:rPr>
  </w:style>
  <w:style w:type="character" w:customStyle="1" w:styleId="Titre5Car">
    <w:name w:val="Titre 5 Car"/>
    <w:basedOn w:val="Policepardfaut"/>
    <w:link w:val="Titre5"/>
    <w:uiPriority w:val="9"/>
    <w:semiHidden/>
    <w:rsid w:val="009D685D"/>
    <w:rPr>
      <w:rFonts w:asciiTheme="majorHAnsi" w:eastAsiaTheme="majorEastAsia" w:hAnsiTheme="majorHAnsi" w:cstheme="majorBidi"/>
      <w:bCs w:val="0"/>
      <w:color w:val="2F5496" w:themeColor="accent1" w:themeShade="BF"/>
      <w:szCs w:val="22"/>
      <w:lang w:val="en-GB" w:eastAsia="en-GB"/>
    </w:rPr>
  </w:style>
  <w:style w:type="character" w:customStyle="1" w:styleId="Titre6Car">
    <w:name w:val="Titre 6 Car"/>
    <w:basedOn w:val="Policepardfaut"/>
    <w:link w:val="Titre6"/>
    <w:uiPriority w:val="9"/>
    <w:semiHidden/>
    <w:rsid w:val="009D685D"/>
    <w:rPr>
      <w:rFonts w:asciiTheme="majorHAnsi" w:eastAsiaTheme="majorEastAsia" w:hAnsiTheme="majorHAnsi" w:cstheme="majorBidi"/>
      <w:bCs w:val="0"/>
      <w:color w:val="1F3763" w:themeColor="accent1" w:themeShade="7F"/>
      <w:szCs w:val="22"/>
      <w:lang w:val="en-GB" w:eastAsia="en-GB"/>
    </w:rPr>
  </w:style>
  <w:style w:type="character" w:customStyle="1" w:styleId="Titre7Car">
    <w:name w:val="Titre 7 Car"/>
    <w:basedOn w:val="Policepardfaut"/>
    <w:link w:val="Titre7"/>
    <w:uiPriority w:val="9"/>
    <w:semiHidden/>
    <w:rsid w:val="009D685D"/>
    <w:rPr>
      <w:rFonts w:asciiTheme="majorHAnsi" w:eastAsiaTheme="majorEastAsia" w:hAnsiTheme="majorHAnsi" w:cstheme="majorBidi"/>
      <w:bCs w:val="0"/>
      <w:i/>
      <w:iCs/>
      <w:color w:val="1F3763" w:themeColor="accent1" w:themeShade="7F"/>
      <w:szCs w:val="22"/>
      <w:lang w:val="en-GB" w:eastAsia="en-GB"/>
    </w:rPr>
  </w:style>
  <w:style w:type="character" w:customStyle="1" w:styleId="Titre8Car">
    <w:name w:val="Titre 8 Car"/>
    <w:basedOn w:val="Policepardfaut"/>
    <w:link w:val="Titre8"/>
    <w:uiPriority w:val="9"/>
    <w:semiHidden/>
    <w:rsid w:val="009D685D"/>
    <w:rPr>
      <w:rFonts w:asciiTheme="majorHAnsi" w:eastAsiaTheme="majorEastAsia" w:hAnsiTheme="majorHAnsi" w:cstheme="majorBidi"/>
      <w:bCs w:val="0"/>
      <w:color w:val="272727" w:themeColor="text1" w:themeTint="D8"/>
      <w:sz w:val="21"/>
      <w:szCs w:val="21"/>
      <w:lang w:val="en-GB" w:eastAsia="en-GB"/>
    </w:rPr>
  </w:style>
  <w:style w:type="character" w:customStyle="1" w:styleId="Titre9Car">
    <w:name w:val="Titre 9 Car"/>
    <w:basedOn w:val="Policepardfaut"/>
    <w:link w:val="Titre9"/>
    <w:uiPriority w:val="9"/>
    <w:semiHidden/>
    <w:rsid w:val="009D685D"/>
    <w:rPr>
      <w:rFonts w:asciiTheme="majorHAnsi" w:eastAsiaTheme="majorEastAsia" w:hAnsiTheme="majorHAnsi" w:cstheme="majorBidi"/>
      <w:bCs w:val="0"/>
      <w:i/>
      <w:iCs/>
      <w:color w:val="272727" w:themeColor="text1" w:themeTint="D8"/>
      <w:sz w:val="21"/>
      <w:szCs w:val="21"/>
      <w:lang w:val="en-GB" w:eastAsia="en-GB"/>
    </w:rPr>
  </w:style>
  <w:style w:type="paragraph" w:styleId="Notedebasdepage">
    <w:name w:val="footnote text"/>
    <w:aliases w:val="Footnote Text Char Char,Footnote Text Char1 Char Char,Footnote Text Char Char Char Char,Footnote Text Char Char1,Footnote Text Char1 Char,Footnote Text Char Char Char,Footnote,n,footnotes,SUPERS,ftx,Char,C,f,5,poznppMV"/>
    <w:basedOn w:val="Normal"/>
    <w:link w:val="NotedebasdepageCar"/>
    <w:uiPriority w:val="99"/>
    <w:unhideWhenUsed/>
    <w:qFormat/>
    <w:rsid w:val="009D685D"/>
    <w:rPr>
      <w:rFonts w:asciiTheme="minorHAnsi" w:eastAsiaTheme="minorEastAsia" w:hAnsiTheme="minorHAnsi" w:cstheme="minorBidi"/>
      <w:sz w:val="20"/>
      <w:szCs w:val="20"/>
      <w:lang w:val="en-GB" w:eastAsia="en-GB"/>
    </w:rPr>
  </w:style>
  <w:style w:type="character" w:customStyle="1" w:styleId="NotedebasdepageCar">
    <w:name w:val="Note de bas de page Car"/>
    <w:aliases w:val="Footnote Text Char Char Car,Footnote Text Char1 Char Char Car,Footnote Text Char Char Char Char Car,Footnote Text Char Char1 Car,Footnote Text Char1 Char Car,Footnote Text Char Char Char Car,Footnote Car,n Car,footnotes Car,C Car"/>
    <w:basedOn w:val="Policepardfaut"/>
    <w:link w:val="Notedebasdepage"/>
    <w:uiPriority w:val="99"/>
    <w:qFormat/>
    <w:rsid w:val="009D685D"/>
    <w:rPr>
      <w:rFonts w:asciiTheme="minorHAnsi" w:eastAsiaTheme="minorEastAsia" w:hAnsiTheme="minorHAnsi" w:cstheme="minorBidi"/>
      <w:bCs w:val="0"/>
      <w:sz w:val="20"/>
      <w:szCs w:val="20"/>
      <w:lang w:val="en-GB" w:eastAsia="en-GB"/>
    </w:rPr>
  </w:style>
  <w:style w:type="character" w:styleId="Appelnotedebasdep">
    <w:name w:val="footnote reference"/>
    <w:aliases w:val="callout,Footnotes refss,Fußnotenzeichen_Raxen Car,SUPERS Car,Footnote symbol Car,Times 10 Point Car,Exposant 3 Point Car,En-tête Car Char Char Car,callout Car,Footnotes refss Car,callout Char Char Char Char Char,callout Char,4_G"/>
    <w:basedOn w:val="Policepardfaut"/>
    <w:link w:val="calloutCharCharCharChar"/>
    <w:uiPriority w:val="99"/>
    <w:unhideWhenUsed/>
    <w:qFormat/>
    <w:rsid w:val="009D685D"/>
    <w:rPr>
      <w:vertAlign w:val="superscript"/>
    </w:rPr>
  </w:style>
  <w:style w:type="paragraph" w:customStyle="1" w:styleId="calloutCharCharCharChar">
    <w:name w:val="callout Char Char Char Char"/>
    <w:aliases w:val="Footnotes refss Char Char Char Char,Fußnotenzeichen_Raxen Car Char Char Char Char,SUPERS Car Char Char Char Char,Footnote symbol Car Char Char Char Char,Times 10 Point Car Char Char Char Char"/>
    <w:basedOn w:val="Normal"/>
    <w:link w:val="Appelnotedebasdep"/>
    <w:uiPriority w:val="99"/>
    <w:rsid w:val="009D685D"/>
    <w:pPr>
      <w:spacing w:after="160" w:line="240" w:lineRule="exact"/>
    </w:pPr>
    <w:rPr>
      <w:rFonts w:eastAsiaTheme="minorHAnsi" w:cs="Arial"/>
      <w:bCs/>
      <w:sz w:val="22"/>
      <w:vertAlign w:val="superscript"/>
      <w:lang w:eastAsia="en-US"/>
    </w:rPr>
  </w:style>
  <w:style w:type="character" w:customStyle="1" w:styleId="column">
    <w:name w:val="column"/>
    <w:basedOn w:val="Policepardfaut"/>
    <w:rsid w:val="009D685D"/>
  </w:style>
  <w:style w:type="character" w:customStyle="1" w:styleId="sb8d990e2">
    <w:name w:val="sb8d990e2"/>
    <w:basedOn w:val="Policepardfaut"/>
    <w:qFormat/>
    <w:rsid w:val="009D685D"/>
  </w:style>
  <w:style w:type="paragraph" w:styleId="En-ttedetabledesmatires">
    <w:name w:val="TOC Heading"/>
    <w:basedOn w:val="Titre1"/>
    <w:next w:val="Normal"/>
    <w:uiPriority w:val="39"/>
    <w:semiHidden/>
    <w:unhideWhenUsed/>
    <w:qFormat/>
    <w:rsid w:val="009D685D"/>
    <w:pPr>
      <w:outlineLvl w:val="9"/>
    </w:pPr>
    <w:rPr>
      <w:lang w:eastAsia="ja-JP"/>
    </w:rPr>
  </w:style>
  <w:style w:type="paragraph" w:styleId="TM1">
    <w:name w:val="toc 1"/>
    <w:basedOn w:val="Normal"/>
    <w:next w:val="Normal"/>
    <w:autoRedefine/>
    <w:uiPriority w:val="39"/>
    <w:unhideWhenUsed/>
    <w:rsid w:val="009D685D"/>
    <w:pPr>
      <w:tabs>
        <w:tab w:val="right" w:leader="dot" w:pos="9350"/>
      </w:tabs>
      <w:spacing w:after="100" w:line="276" w:lineRule="auto"/>
      <w:jc w:val="both"/>
    </w:pPr>
    <w:rPr>
      <w:rFonts w:ascii="Arial" w:eastAsiaTheme="minorEastAsia" w:hAnsi="Arial" w:cs="Arial"/>
      <w:b/>
      <w:noProof/>
      <w:sz w:val="22"/>
      <w:szCs w:val="22"/>
      <w:lang w:val="en-GB" w:eastAsia="en-GB"/>
    </w:rPr>
  </w:style>
  <w:style w:type="paragraph" w:styleId="TM2">
    <w:name w:val="toc 2"/>
    <w:basedOn w:val="Normal"/>
    <w:next w:val="Normal"/>
    <w:autoRedefine/>
    <w:uiPriority w:val="39"/>
    <w:unhideWhenUsed/>
    <w:rsid w:val="009D685D"/>
    <w:pPr>
      <w:tabs>
        <w:tab w:val="left" w:pos="880"/>
        <w:tab w:val="right" w:leader="dot" w:pos="9350"/>
      </w:tabs>
      <w:spacing w:after="100" w:line="276" w:lineRule="auto"/>
      <w:ind w:left="284"/>
      <w:jc w:val="both"/>
    </w:pPr>
    <w:rPr>
      <w:rFonts w:ascii="Arial" w:eastAsiaTheme="minorEastAsia" w:hAnsi="Arial" w:cs="Arial"/>
      <w:b/>
      <w:bCs/>
      <w:i/>
      <w:iCs/>
      <w:noProof/>
      <w:sz w:val="22"/>
      <w:szCs w:val="22"/>
      <w:lang w:eastAsia="en-GB"/>
    </w:rPr>
  </w:style>
  <w:style w:type="paragraph" w:styleId="TM3">
    <w:name w:val="toc 3"/>
    <w:basedOn w:val="Normal"/>
    <w:next w:val="Normal"/>
    <w:autoRedefine/>
    <w:uiPriority w:val="39"/>
    <w:unhideWhenUsed/>
    <w:rsid w:val="009D685D"/>
    <w:pPr>
      <w:tabs>
        <w:tab w:val="right" w:leader="dot" w:pos="9350"/>
      </w:tabs>
      <w:spacing w:after="100" w:line="276" w:lineRule="auto"/>
      <w:ind w:left="567"/>
    </w:pPr>
    <w:rPr>
      <w:rFonts w:asciiTheme="minorHAnsi" w:eastAsiaTheme="minorEastAsia" w:hAnsiTheme="minorHAnsi" w:cstheme="minorBidi"/>
      <w:sz w:val="22"/>
      <w:szCs w:val="22"/>
      <w:lang w:val="en-GB" w:eastAsia="en-GB"/>
    </w:rPr>
  </w:style>
  <w:style w:type="character" w:customStyle="1" w:styleId="s6b621b36">
    <w:name w:val="s6b621b36"/>
    <w:basedOn w:val="Policepardfaut"/>
    <w:rsid w:val="009D685D"/>
  </w:style>
  <w:style w:type="character" w:customStyle="1" w:styleId="wordhighlighted">
    <w:name w:val="wordhighlighted"/>
    <w:basedOn w:val="Policepardfaut"/>
    <w:rsid w:val="009D685D"/>
  </w:style>
  <w:style w:type="character" w:styleId="lev">
    <w:name w:val="Strong"/>
    <w:basedOn w:val="Policepardfaut"/>
    <w:uiPriority w:val="22"/>
    <w:qFormat/>
    <w:rsid w:val="009D685D"/>
    <w:rPr>
      <w:b/>
      <w:bCs w:val="0"/>
    </w:rPr>
  </w:style>
  <w:style w:type="character" w:customStyle="1" w:styleId="vsmall">
    <w:name w:val="vsmall"/>
    <w:basedOn w:val="Policepardfaut"/>
    <w:rsid w:val="009D685D"/>
  </w:style>
  <w:style w:type="paragraph" w:customStyle="1" w:styleId="s269b7f08">
    <w:name w:val="s269b7f08"/>
    <w:basedOn w:val="Normal"/>
    <w:rsid w:val="009D685D"/>
    <w:pPr>
      <w:spacing w:before="100" w:beforeAutospacing="1" w:after="100" w:afterAutospacing="1"/>
    </w:pPr>
    <w:rPr>
      <w:lang w:val="en-US" w:eastAsia="en-US"/>
    </w:rPr>
  </w:style>
  <w:style w:type="character" w:customStyle="1" w:styleId="sf6541cea">
    <w:name w:val="sf6541cea"/>
    <w:basedOn w:val="Policepardfaut"/>
    <w:rsid w:val="009D685D"/>
  </w:style>
  <w:style w:type="paragraph" w:customStyle="1" w:styleId="s30eec3f8">
    <w:name w:val="s30eec3f8"/>
    <w:basedOn w:val="Normal"/>
    <w:rsid w:val="009D685D"/>
    <w:pPr>
      <w:spacing w:before="100" w:beforeAutospacing="1" w:after="100" w:afterAutospacing="1"/>
    </w:pPr>
    <w:rPr>
      <w:lang w:val="en-US" w:eastAsia="en-US"/>
    </w:rPr>
  </w:style>
  <w:style w:type="paragraph" w:customStyle="1" w:styleId="s9e9b0cd7">
    <w:name w:val="s9e9b0cd7"/>
    <w:basedOn w:val="Normal"/>
    <w:rsid w:val="009D685D"/>
    <w:pPr>
      <w:spacing w:before="100" w:beforeAutospacing="1" w:after="100" w:afterAutospacing="1"/>
    </w:pPr>
    <w:rPr>
      <w:lang w:val="en-US" w:eastAsia="en-US"/>
    </w:rPr>
  </w:style>
  <w:style w:type="character" w:customStyle="1" w:styleId="sfbbfee58">
    <w:name w:val="sfbbfee58"/>
    <w:basedOn w:val="Policepardfaut"/>
    <w:rsid w:val="009D685D"/>
  </w:style>
  <w:style w:type="character" w:customStyle="1" w:styleId="sea881cdf">
    <w:name w:val="sea881cdf"/>
    <w:basedOn w:val="Policepardfaut"/>
    <w:rsid w:val="009D685D"/>
  </w:style>
  <w:style w:type="character" w:customStyle="1" w:styleId="CommentaireCar">
    <w:name w:val="Commentaire Car"/>
    <w:basedOn w:val="Policepardfaut"/>
    <w:link w:val="Commentaire"/>
    <w:uiPriority w:val="99"/>
    <w:rsid w:val="009D685D"/>
    <w:rPr>
      <w:rFonts w:eastAsiaTheme="minorEastAsia"/>
      <w:sz w:val="20"/>
      <w:szCs w:val="20"/>
      <w:lang w:val="en-GB" w:eastAsia="en-GB"/>
    </w:rPr>
  </w:style>
  <w:style w:type="paragraph" w:styleId="Commentaire">
    <w:name w:val="annotation text"/>
    <w:basedOn w:val="Normal"/>
    <w:link w:val="CommentaireCar"/>
    <w:uiPriority w:val="99"/>
    <w:unhideWhenUsed/>
    <w:rsid w:val="009D685D"/>
    <w:pPr>
      <w:spacing w:after="200"/>
    </w:pPr>
    <w:rPr>
      <w:rFonts w:eastAsiaTheme="minorEastAsia" w:cs="Arial"/>
      <w:bCs/>
      <w:sz w:val="20"/>
      <w:szCs w:val="20"/>
      <w:lang w:val="en-GB" w:eastAsia="en-GB"/>
    </w:rPr>
  </w:style>
  <w:style w:type="character" w:customStyle="1" w:styleId="CommentaireCar1">
    <w:name w:val="Commentaire Car1"/>
    <w:basedOn w:val="Policepardfaut"/>
    <w:uiPriority w:val="99"/>
    <w:semiHidden/>
    <w:rsid w:val="009D685D"/>
    <w:rPr>
      <w:rFonts w:eastAsia="Times New Roman" w:cs="Times New Roman"/>
      <w:bCs w:val="0"/>
      <w:sz w:val="20"/>
      <w:szCs w:val="20"/>
      <w:lang w:eastAsia="fr-FR"/>
    </w:rPr>
  </w:style>
  <w:style w:type="character" w:customStyle="1" w:styleId="CommentTextChar1">
    <w:name w:val="Comment Text Char1"/>
    <w:basedOn w:val="Policepardfaut"/>
    <w:uiPriority w:val="99"/>
    <w:semiHidden/>
    <w:rsid w:val="009D685D"/>
    <w:rPr>
      <w:rFonts w:eastAsiaTheme="minorEastAsia"/>
      <w:sz w:val="20"/>
      <w:szCs w:val="20"/>
      <w:lang w:val="en-GB" w:eastAsia="en-GB"/>
    </w:rPr>
  </w:style>
  <w:style w:type="character" w:customStyle="1" w:styleId="ObjetducommentaireCar">
    <w:name w:val="Objet du commentaire Car"/>
    <w:basedOn w:val="CommentaireCar"/>
    <w:link w:val="Objetducommentaire"/>
    <w:uiPriority w:val="99"/>
    <w:semiHidden/>
    <w:rsid w:val="009D685D"/>
    <w:rPr>
      <w:rFonts w:eastAsiaTheme="minorEastAsia"/>
      <w:b/>
      <w:bCs w:val="0"/>
      <w:sz w:val="20"/>
      <w:szCs w:val="20"/>
      <w:lang w:val="en-GB" w:eastAsia="en-GB"/>
    </w:rPr>
  </w:style>
  <w:style w:type="paragraph" w:styleId="Objetducommentaire">
    <w:name w:val="annotation subject"/>
    <w:basedOn w:val="Commentaire"/>
    <w:next w:val="Commentaire"/>
    <w:link w:val="ObjetducommentaireCar"/>
    <w:uiPriority w:val="99"/>
    <w:semiHidden/>
    <w:unhideWhenUsed/>
    <w:rsid w:val="009D685D"/>
    <w:rPr>
      <w:b/>
      <w:bCs w:val="0"/>
    </w:rPr>
  </w:style>
  <w:style w:type="character" w:customStyle="1" w:styleId="ObjetducommentaireCar1">
    <w:name w:val="Objet du commentaire Car1"/>
    <w:basedOn w:val="CommentaireCar1"/>
    <w:uiPriority w:val="99"/>
    <w:semiHidden/>
    <w:rsid w:val="009D685D"/>
    <w:rPr>
      <w:rFonts w:eastAsia="Times New Roman" w:cs="Times New Roman"/>
      <w:b/>
      <w:bCs/>
      <w:sz w:val="20"/>
      <w:szCs w:val="20"/>
      <w:lang w:eastAsia="fr-FR"/>
    </w:rPr>
  </w:style>
  <w:style w:type="character" w:customStyle="1" w:styleId="CommentSubjectChar1">
    <w:name w:val="Comment Subject Char1"/>
    <w:basedOn w:val="CommentTextChar1"/>
    <w:uiPriority w:val="99"/>
    <w:semiHidden/>
    <w:rsid w:val="009D685D"/>
    <w:rPr>
      <w:rFonts w:eastAsiaTheme="minorEastAsia"/>
      <w:b/>
      <w:bCs w:val="0"/>
      <w:sz w:val="20"/>
      <w:szCs w:val="20"/>
      <w:lang w:val="en-GB" w:eastAsia="en-GB"/>
    </w:rPr>
  </w:style>
  <w:style w:type="character" w:customStyle="1" w:styleId="s1a844bc0">
    <w:name w:val="s1a844bc0"/>
    <w:basedOn w:val="Policepardfaut"/>
    <w:rsid w:val="009D685D"/>
  </w:style>
  <w:style w:type="character" w:customStyle="1" w:styleId="normal10">
    <w:name w:val="normal10"/>
    <w:basedOn w:val="Policepardfaut"/>
    <w:rsid w:val="009D685D"/>
  </w:style>
  <w:style w:type="paragraph" w:customStyle="1" w:styleId="s8b146764">
    <w:name w:val="s8b146764"/>
    <w:basedOn w:val="Normal"/>
    <w:rsid w:val="009D685D"/>
    <w:pPr>
      <w:spacing w:before="100" w:beforeAutospacing="1" w:after="100" w:afterAutospacing="1"/>
    </w:pPr>
    <w:rPr>
      <w:lang w:val="en-US" w:eastAsia="en-US"/>
    </w:rPr>
  </w:style>
  <w:style w:type="paragraph" w:customStyle="1" w:styleId="SingleTxtG">
    <w:name w:val="_ Single Txt_G"/>
    <w:basedOn w:val="Normal"/>
    <w:link w:val="SingleTxtGChar"/>
    <w:qFormat/>
    <w:rsid w:val="009D685D"/>
    <w:pPr>
      <w:suppressAutoHyphens/>
      <w:spacing w:after="120" w:line="240" w:lineRule="atLeast"/>
      <w:ind w:left="1134" w:right="1134"/>
      <w:jc w:val="both"/>
    </w:pPr>
    <w:rPr>
      <w:rFonts w:eastAsia="SimSun"/>
      <w:sz w:val="20"/>
      <w:szCs w:val="20"/>
      <w:lang w:val="en-GB" w:eastAsia="zh-CN"/>
    </w:rPr>
  </w:style>
  <w:style w:type="character" w:customStyle="1" w:styleId="SingleTxtGChar">
    <w:name w:val="_ Single Txt_G Char"/>
    <w:link w:val="SingleTxtG"/>
    <w:locked/>
    <w:rsid w:val="009D685D"/>
    <w:rPr>
      <w:rFonts w:eastAsia="SimSun" w:cs="Times New Roman"/>
      <w:bCs w:val="0"/>
      <w:sz w:val="20"/>
      <w:szCs w:val="20"/>
      <w:lang w:val="en-GB" w:eastAsia="zh-CN"/>
    </w:rPr>
  </w:style>
  <w:style w:type="character" w:styleId="Marquedecommentaire">
    <w:name w:val="annotation reference"/>
    <w:basedOn w:val="Policepardfaut"/>
    <w:uiPriority w:val="99"/>
    <w:semiHidden/>
    <w:unhideWhenUsed/>
    <w:rsid w:val="009D685D"/>
    <w:rPr>
      <w:sz w:val="16"/>
      <w:szCs w:val="16"/>
    </w:rPr>
  </w:style>
  <w:style w:type="character" w:styleId="Lienhypertextesuivivisit">
    <w:name w:val="FollowedHyperlink"/>
    <w:basedOn w:val="Policepardfaut"/>
    <w:uiPriority w:val="99"/>
    <w:semiHidden/>
    <w:unhideWhenUsed/>
    <w:rsid w:val="009D685D"/>
    <w:rPr>
      <w:color w:val="954F72" w:themeColor="followedHyperlink"/>
      <w:u w:val="single"/>
    </w:rPr>
  </w:style>
  <w:style w:type="paragraph" w:styleId="Rvision">
    <w:name w:val="Revision"/>
    <w:hidden/>
    <w:uiPriority w:val="99"/>
    <w:semiHidden/>
    <w:rsid w:val="009D685D"/>
    <w:rPr>
      <w:rFonts w:asciiTheme="minorHAnsi" w:eastAsiaTheme="minorEastAsia" w:hAnsiTheme="minorHAnsi" w:cstheme="minorBidi"/>
      <w:bCs w:val="0"/>
      <w:szCs w:val="22"/>
      <w:lang w:val="en-GB" w:eastAsia="en-GB"/>
    </w:rPr>
  </w:style>
  <w:style w:type="character" w:customStyle="1" w:styleId="UnresolvedMention1">
    <w:name w:val="Unresolved Mention1"/>
    <w:basedOn w:val="Policepardfaut"/>
    <w:uiPriority w:val="99"/>
    <w:semiHidden/>
    <w:unhideWhenUsed/>
    <w:rsid w:val="009D685D"/>
    <w:rPr>
      <w:color w:val="605E5C"/>
      <w:shd w:val="clear" w:color="auto" w:fill="E1DFDD"/>
    </w:rPr>
  </w:style>
  <w:style w:type="character" w:customStyle="1" w:styleId="sf1c7242d">
    <w:name w:val="sf1c7242d"/>
    <w:basedOn w:val="Policepardfaut"/>
    <w:rsid w:val="009D685D"/>
  </w:style>
  <w:style w:type="paragraph" w:styleId="NormalWeb">
    <w:name w:val="Normal (Web)"/>
    <w:basedOn w:val="Normal"/>
    <w:uiPriority w:val="99"/>
    <w:unhideWhenUsed/>
    <w:qFormat/>
    <w:rsid w:val="009D685D"/>
    <w:pPr>
      <w:spacing w:before="100" w:beforeAutospacing="1" w:after="100" w:afterAutospacing="1"/>
    </w:pPr>
    <w:rPr>
      <w:rFonts w:eastAsiaTheme="minorHAnsi"/>
    </w:rPr>
  </w:style>
  <w:style w:type="character" w:customStyle="1" w:styleId="sc916d4d3">
    <w:name w:val="sc916d4d3"/>
    <w:basedOn w:val="Policepardfaut"/>
    <w:rsid w:val="009D685D"/>
  </w:style>
  <w:style w:type="character" w:customStyle="1" w:styleId="s9e48bbcd">
    <w:name w:val="s9e48bbcd"/>
    <w:basedOn w:val="Policepardfaut"/>
    <w:rsid w:val="009D685D"/>
  </w:style>
  <w:style w:type="character" w:styleId="Numrodeligne">
    <w:name w:val="line number"/>
    <w:basedOn w:val="Policepardfaut"/>
    <w:uiPriority w:val="99"/>
    <w:semiHidden/>
    <w:unhideWhenUsed/>
    <w:rsid w:val="009D685D"/>
  </w:style>
  <w:style w:type="character" w:customStyle="1" w:styleId="UnresolvedMention2">
    <w:name w:val="Unresolved Mention2"/>
    <w:basedOn w:val="Policepardfaut"/>
    <w:uiPriority w:val="99"/>
    <w:semiHidden/>
    <w:unhideWhenUsed/>
    <w:rsid w:val="009D685D"/>
    <w:rPr>
      <w:color w:val="605E5C"/>
      <w:shd w:val="clear" w:color="auto" w:fill="E1DFDD"/>
    </w:rPr>
  </w:style>
  <w:style w:type="paragraph" w:styleId="Textebrut">
    <w:name w:val="Plain Text"/>
    <w:basedOn w:val="Normal"/>
    <w:link w:val="TextebrutCar"/>
    <w:uiPriority w:val="99"/>
    <w:unhideWhenUsed/>
    <w:rsid w:val="009D685D"/>
    <w:rPr>
      <w:rFonts w:ascii="Calibri" w:eastAsiaTheme="minorHAnsi" w:hAnsi="Calibri" w:cstheme="minorBidi"/>
      <w:sz w:val="22"/>
      <w:szCs w:val="21"/>
      <w:lang w:eastAsia="en-US"/>
    </w:rPr>
  </w:style>
  <w:style w:type="character" w:customStyle="1" w:styleId="TextebrutCar">
    <w:name w:val="Texte brut Car"/>
    <w:basedOn w:val="Policepardfaut"/>
    <w:link w:val="Textebrut"/>
    <w:uiPriority w:val="99"/>
    <w:rsid w:val="009D685D"/>
    <w:rPr>
      <w:rFonts w:ascii="Calibri" w:hAnsi="Calibri" w:cstheme="minorBidi"/>
      <w:bCs w:val="0"/>
      <w:szCs w:val="21"/>
    </w:rPr>
  </w:style>
  <w:style w:type="paragraph" w:customStyle="1" w:styleId="s746c8714">
    <w:name w:val="s746c8714"/>
    <w:basedOn w:val="Normal"/>
    <w:rsid w:val="009D685D"/>
    <w:pPr>
      <w:spacing w:before="100" w:beforeAutospacing="1" w:after="100" w:afterAutospacing="1"/>
    </w:pPr>
  </w:style>
  <w:style w:type="paragraph" w:styleId="Notedefin">
    <w:name w:val="endnote text"/>
    <w:basedOn w:val="Normal"/>
    <w:link w:val="NotedefinCar"/>
    <w:uiPriority w:val="99"/>
    <w:semiHidden/>
    <w:unhideWhenUsed/>
    <w:rsid w:val="009D685D"/>
    <w:rPr>
      <w:rFonts w:asciiTheme="minorHAnsi" w:eastAsiaTheme="minorEastAsia" w:hAnsiTheme="minorHAnsi" w:cstheme="minorBidi"/>
      <w:sz w:val="20"/>
      <w:szCs w:val="20"/>
      <w:lang w:val="en-GB" w:eastAsia="en-GB"/>
    </w:rPr>
  </w:style>
  <w:style w:type="character" w:customStyle="1" w:styleId="NotedefinCar">
    <w:name w:val="Note de fin Car"/>
    <w:basedOn w:val="Policepardfaut"/>
    <w:link w:val="Notedefin"/>
    <w:uiPriority w:val="99"/>
    <w:semiHidden/>
    <w:rsid w:val="009D685D"/>
    <w:rPr>
      <w:rFonts w:asciiTheme="minorHAnsi" w:eastAsiaTheme="minorEastAsia" w:hAnsiTheme="minorHAnsi" w:cstheme="minorBidi"/>
      <w:bCs w:val="0"/>
      <w:sz w:val="20"/>
      <w:szCs w:val="20"/>
      <w:lang w:val="en-GB" w:eastAsia="en-GB"/>
    </w:rPr>
  </w:style>
  <w:style w:type="character" w:styleId="Appeldenotedefin">
    <w:name w:val="endnote reference"/>
    <w:basedOn w:val="Policepardfaut"/>
    <w:uiPriority w:val="99"/>
    <w:semiHidden/>
    <w:unhideWhenUsed/>
    <w:rsid w:val="009D685D"/>
    <w:rPr>
      <w:vertAlign w:val="superscript"/>
    </w:rPr>
  </w:style>
  <w:style w:type="character" w:customStyle="1" w:styleId="a">
    <w:name w:val="Привязка сноски"/>
    <w:rsid w:val="009D685D"/>
    <w:rPr>
      <w:vertAlign w:val="superscript"/>
    </w:rPr>
  </w:style>
  <w:style w:type="character" w:customStyle="1" w:styleId="a0">
    <w:name w:val="Символ сноски"/>
    <w:qFormat/>
    <w:rsid w:val="009D685D"/>
  </w:style>
  <w:style w:type="character" w:customStyle="1" w:styleId="UnresolvedMention3">
    <w:name w:val="Unresolved Mention3"/>
    <w:basedOn w:val="Policepardfaut"/>
    <w:uiPriority w:val="99"/>
    <w:semiHidden/>
    <w:unhideWhenUsed/>
    <w:rsid w:val="009D685D"/>
    <w:rPr>
      <w:color w:val="605E5C"/>
      <w:shd w:val="clear" w:color="auto" w:fill="E1DFDD"/>
    </w:rPr>
  </w:style>
  <w:style w:type="paragraph" w:customStyle="1" w:styleId="JuPara">
    <w:name w:val="Ju_Para"/>
    <w:aliases w:val="_Para"/>
    <w:basedOn w:val="Normal"/>
    <w:link w:val="JuParaChar"/>
    <w:uiPriority w:val="4"/>
    <w:qFormat/>
    <w:rsid w:val="009D685D"/>
    <w:pPr>
      <w:ind w:firstLine="284"/>
      <w:jc w:val="both"/>
    </w:pPr>
    <w:rPr>
      <w:rFonts w:asciiTheme="minorHAnsi" w:eastAsiaTheme="minorHAnsi" w:hAnsiTheme="minorHAnsi" w:cstheme="minorBidi"/>
      <w:lang w:val="en-GB" w:eastAsia="en-US"/>
    </w:rPr>
  </w:style>
  <w:style w:type="character" w:customStyle="1" w:styleId="JuParaChar">
    <w:name w:val="Ju_Para Char"/>
    <w:aliases w:val="_Para Char"/>
    <w:link w:val="JuPara"/>
    <w:uiPriority w:val="4"/>
    <w:rsid w:val="009D685D"/>
    <w:rPr>
      <w:rFonts w:asciiTheme="minorHAnsi" w:hAnsiTheme="minorHAnsi" w:cstheme="minorBidi"/>
      <w:bCs w:val="0"/>
      <w:sz w:val="24"/>
      <w:lang w:val="en-GB"/>
    </w:rPr>
  </w:style>
  <w:style w:type="paragraph" w:customStyle="1" w:styleId="s3b14e18e">
    <w:name w:val="s3b14e18e"/>
    <w:basedOn w:val="Normal"/>
    <w:rsid w:val="009D685D"/>
    <w:pPr>
      <w:spacing w:before="100" w:beforeAutospacing="1" w:after="100" w:afterAutospacing="1"/>
    </w:pPr>
  </w:style>
  <w:style w:type="paragraph" w:customStyle="1" w:styleId="JuHIRoman">
    <w:name w:val="Ju_H_I_Roman"/>
    <w:aliases w:val="_Head_2"/>
    <w:basedOn w:val="Titre2"/>
    <w:next w:val="JuPara"/>
    <w:uiPriority w:val="17"/>
    <w:qFormat/>
    <w:rsid w:val="009D685D"/>
    <w:pPr>
      <w:numPr>
        <w:ilvl w:val="1"/>
        <w:numId w:val="16"/>
      </w:numPr>
      <w:tabs>
        <w:tab w:val="left" w:pos="454"/>
        <w:tab w:val="left" w:pos="567"/>
        <w:tab w:val="left" w:pos="680"/>
      </w:tabs>
      <w:spacing w:before="100" w:beforeAutospacing="1" w:after="240" w:line="240" w:lineRule="auto"/>
      <w:ind w:left="397"/>
      <w:jc w:val="both"/>
    </w:pPr>
    <w:rPr>
      <w:b/>
      <w:caps/>
      <w:color w:val="auto"/>
      <w:sz w:val="24"/>
      <w:lang w:eastAsia="en-US"/>
    </w:rPr>
  </w:style>
  <w:style w:type="paragraph" w:customStyle="1" w:styleId="JuHA">
    <w:name w:val="Ju_H_A"/>
    <w:aliases w:val="_Head_3"/>
    <w:basedOn w:val="Titre3"/>
    <w:next w:val="JuPara"/>
    <w:uiPriority w:val="17"/>
    <w:qFormat/>
    <w:rsid w:val="009D685D"/>
    <w:pPr>
      <w:numPr>
        <w:ilvl w:val="2"/>
        <w:numId w:val="16"/>
      </w:numPr>
      <w:spacing w:before="100" w:beforeAutospacing="1" w:after="240" w:line="240" w:lineRule="auto"/>
      <w:jc w:val="both"/>
    </w:pPr>
    <w:rPr>
      <w:color w:val="auto"/>
      <w:sz w:val="24"/>
      <w:lang w:eastAsia="en-US"/>
    </w:rPr>
  </w:style>
  <w:style w:type="paragraph" w:customStyle="1" w:styleId="JuH1">
    <w:name w:val="Ju_H_1."/>
    <w:aliases w:val="_Head_4"/>
    <w:basedOn w:val="Titre4"/>
    <w:next w:val="JuPara"/>
    <w:uiPriority w:val="17"/>
    <w:rsid w:val="009D685D"/>
    <w:pPr>
      <w:numPr>
        <w:ilvl w:val="3"/>
        <w:numId w:val="16"/>
      </w:numPr>
      <w:spacing w:before="100" w:beforeAutospacing="1" w:after="120" w:line="240" w:lineRule="auto"/>
      <w:ind w:left="1800" w:hanging="1080"/>
      <w:jc w:val="both"/>
    </w:pPr>
    <w:rPr>
      <w:bCs/>
      <w:color w:val="auto"/>
      <w:sz w:val="24"/>
      <w:lang w:eastAsia="en-US"/>
    </w:rPr>
  </w:style>
  <w:style w:type="paragraph" w:customStyle="1" w:styleId="JuHa0">
    <w:name w:val="Ju_H_a"/>
    <w:aliases w:val="_Head_5"/>
    <w:basedOn w:val="Titre5"/>
    <w:next w:val="JuPara"/>
    <w:uiPriority w:val="17"/>
    <w:rsid w:val="009D685D"/>
    <w:pPr>
      <w:numPr>
        <w:ilvl w:val="4"/>
        <w:numId w:val="16"/>
      </w:numPr>
      <w:spacing w:before="100" w:beforeAutospacing="1" w:after="120" w:line="240" w:lineRule="auto"/>
      <w:ind w:left="1800" w:hanging="1080"/>
      <w:jc w:val="both"/>
    </w:pPr>
    <w:rPr>
      <w:b/>
      <w:bCs/>
      <w:color w:val="auto"/>
      <w:sz w:val="20"/>
      <w:lang w:eastAsia="en-US"/>
    </w:rPr>
  </w:style>
  <w:style w:type="paragraph" w:customStyle="1" w:styleId="JuHi">
    <w:name w:val="Ju_H_i"/>
    <w:aliases w:val="_Head_6"/>
    <w:basedOn w:val="Titre6"/>
    <w:next w:val="JuPara"/>
    <w:uiPriority w:val="17"/>
    <w:rsid w:val="009D685D"/>
    <w:pPr>
      <w:numPr>
        <w:ilvl w:val="5"/>
        <w:numId w:val="16"/>
      </w:numPr>
      <w:tabs>
        <w:tab w:val="left" w:pos="1077"/>
        <w:tab w:val="left" w:pos="1134"/>
        <w:tab w:val="left" w:pos="1191"/>
        <w:tab w:val="left" w:pos="1247"/>
      </w:tabs>
      <w:spacing w:before="100" w:beforeAutospacing="1" w:after="120" w:line="271" w:lineRule="auto"/>
      <w:ind w:left="2160" w:hanging="1440"/>
      <w:jc w:val="both"/>
    </w:pPr>
    <w:rPr>
      <w:bCs/>
      <w:i/>
      <w:iCs/>
      <w:color w:val="auto"/>
      <w:sz w:val="20"/>
      <w:lang w:eastAsia="en-US" w:bidi="en-US"/>
    </w:rPr>
  </w:style>
  <w:style w:type="paragraph" w:customStyle="1" w:styleId="JuHalpha">
    <w:name w:val="Ju_H_alpha"/>
    <w:aliases w:val="_Head_7"/>
    <w:basedOn w:val="Titre7"/>
    <w:next w:val="JuPara"/>
    <w:uiPriority w:val="17"/>
    <w:rsid w:val="009D685D"/>
    <w:pPr>
      <w:numPr>
        <w:ilvl w:val="6"/>
        <w:numId w:val="16"/>
      </w:numPr>
      <w:tabs>
        <w:tab w:val="left" w:pos="1361"/>
      </w:tabs>
      <w:spacing w:before="100" w:beforeAutospacing="1" w:after="120" w:line="240" w:lineRule="auto"/>
      <w:ind w:left="2160" w:hanging="1440"/>
      <w:jc w:val="both"/>
    </w:pPr>
    <w:rPr>
      <w:i w:val="0"/>
      <w:color w:val="auto"/>
      <w:sz w:val="20"/>
      <w:lang w:eastAsia="en-US" w:bidi="en-US"/>
    </w:rPr>
  </w:style>
  <w:style w:type="paragraph" w:customStyle="1" w:styleId="JuH">
    <w:name w:val="Ju_H_–"/>
    <w:aliases w:val="_Head_8"/>
    <w:basedOn w:val="Titre8"/>
    <w:next w:val="JuPara"/>
    <w:uiPriority w:val="17"/>
    <w:rsid w:val="009D685D"/>
    <w:pPr>
      <w:numPr>
        <w:ilvl w:val="7"/>
        <w:numId w:val="16"/>
      </w:numPr>
      <w:spacing w:before="100" w:beforeAutospacing="1" w:after="120" w:line="240" w:lineRule="auto"/>
      <w:ind w:left="2520" w:hanging="1800"/>
      <w:jc w:val="both"/>
    </w:pPr>
    <w:rPr>
      <w:i/>
      <w:color w:val="auto"/>
      <w:sz w:val="20"/>
      <w:szCs w:val="20"/>
      <w:lang w:eastAsia="en-US" w:bidi="en-US"/>
    </w:rPr>
  </w:style>
  <w:style w:type="paragraph" w:customStyle="1" w:styleId="ECHRHeading9">
    <w:name w:val="ECHR_Heading_9"/>
    <w:aliases w:val="_Head_9"/>
    <w:basedOn w:val="Titre9"/>
    <w:uiPriority w:val="17"/>
    <w:semiHidden/>
    <w:rsid w:val="009D685D"/>
    <w:pPr>
      <w:numPr>
        <w:ilvl w:val="8"/>
        <w:numId w:val="16"/>
      </w:numPr>
      <w:spacing w:before="100" w:beforeAutospacing="1" w:line="240" w:lineRule="auto"/>
      <w:ind w:left="2520" w:hanging="1800"/>
      <w:contextualSpacing/>
      <w:jc w:val="both"/>
    </w:pPr>
    <w:rPr>
      <w:i w:val="0"/>
      <w:color w:val="auto"/>
      <w:spacing w:val="5"/>
      <w:sz w:val="18"/>
      <w:szCs w:val="20"/>
      <w:lang w:eastAsia="en-US" w:bidi="en-US"/>
    </w:rPr>
  </w:style>
  <w:style w:type="paragraph" w:customStyle="1" w:styleId="JuHHead">
    <w:name w:val="Ju_H_Head"/>
    <w:aliases w:val="_Head_1"/>
    <w:basedOn w:val="Titre1"/>
    <w:next w:val="JuPara"/>
    <w:uiPriority w:val="17"/>
    <w:qFormat/>
    <w:rsid w:val="009D685D"/>
    <w:pPr>
      <w:numPr>
        <w:numId w:val="16"/>
      </w:numPr>
      <w:spacing w:before="100" w:beforeAutospacing="1" w:after="240" w:line="240" w:lineRule="auto"/>
      <w:jc w:val="both"/>
    </w:pPr>
    <w:rPr>
      <w:b w:val="0"/>
      <w:caps/>
      <w:color w:val="auto"/>
      <w:lang w:eastAsia="en-US"/>
    </w:rPr>
  </w:style>
  <w:style w:type="paragraph" w:customStyle="1" w:styleId="ECHRParaSpaced">
    <w:name w:val="ECHR_Para_Spaced"/>
    <w:aliases w:val="Para_Spaced"/>
    <w:basedOn w:val="Normal"/>
    <w:uiPriority w:val="4"/>
    <w:qFormat/>
    <w:rsid w:val="009D685D"/>
    <w:pPr>
      <w:spacing w:before="120" w:after="120"/>
      <w:jc w:val="both"/>
    </w:pPr>
    <w:rPr>
      <w:rFonts w:asciiTheme="minorHAnsi" w:eastAsiaTheme="minorHAnsi" w:hAnsiTheme="minorHAnsi" w:cstheme="minorBidi"/>
      <w:sz w:val="22"/>
      <w:szCs w:val="22"/>
      <w:lang w:val="en-GB" w:eastAsia="en-US"/>
    </w:rPr>
  </w:style>
  <w:style w:type="paragraph" w:customStyle="1" w:styleId="ECHRHeading1">
    <w:name w:val="ECHR_Heading_1"/>
    <w:aliases w:val="Head_1"/>
    <w:basedOn w:val="Titre1"/>
    <w:next w:val="ECHRParaSpaced"/>
    <w:uiPriority w:val="21"/>
    <w:qFormat/>
    <w:rsid w:val="009D685D"/>
    <w:pPr>
      <w:pBdr>
        <w:bottom w:val="single" w:sz="12" w:space="1" w:color="323E4F" w:themeColor="text2" w:themeShade="BF"/>
      </w:pBdr>
      <w:spacing w:before="240" w:line="240" w:lineRule="auto"/>
      <w:contextualSpacing/>
    </w:pPr>
    <w:rPr>
      <w:bCs w:val="0"/>
      <w:color w:val="525252" w:themeColor="accent3" w:themeShade="80"/>
      <w:lang w:eastAsia="en-US"/>
    </w:rPr>
  </w:style>
  <w:style w:type="paragraph" w:customStyle="1" w:styleId="ECHRHeading2">
    <w:name w:val="ECHR_Heading_2"/>
    <w:aliases w:val="Head_2"/>
    <w:basedOn w:val="Titre2"/>
    <w:next w:val="ECHRParaSpaced"/>
    <w:uiPriority w:val="21"/>
    <w:qFormat/>
    <w:rsid w:val="009D685D"/>
    <w:pPr>
      <w:spacing w:before="240" w:line="240" w:lineRule="auto"/>
      <w:contextualSpacing/>
    </w:pPr>
    <w:rPr>
      <w:bCs w:val="0"/>
      <w:color w:val="525252" w:themeColor="accent3" w:themeShade="80"/>
      <w:lang w:eastAsia="en-US"/>
    </w:rPr>
  </w:style>
  <w:style w:type="paragraph" w:customStyle="1" w:styleId="ECHRTitleCentreTOC1">
    <w:name w:val="ECHR_Title_Centre_TOC_1"/>
    <w:aliases w:val="Title_C_TOC"/>
    <w:basedOn w:val="Normal"/>
    <w:next w:val="ECHRHeading1"/>
    <w:uiPriority w:val="25"/>
    <w:qFormat/>
    <w:rsid w:val="009D685D"/>
    <w:pPr>
      <w:keepNext/>
      <w:keepLines/>
      <w:spacing w:before="240"/>
      <w:contextualSpacing/>
      <w:jc w:val="center"/>
      <w:outlineLvl w:val="0"/>
    </w:pPr>
    <w:rPr>
      <w:rFonts w:asciiTheme="majorHAnsi" w:eastAsiaTheme="minorHAnsi" w:hAnsiTheme="majorHAnsi" w:cstheme="minorBidi"/>
      <w:b/>
      <w:color w:val="525252" w:themeColor="accent3" w:themeShade="80"/>
      <w:sz w:val="32"/>
      <w:szCs w:val="22"/>
      <w:lang w:val="en-GB" w:eastAsia="en-US"/>
    </w:rPr>
  </w:style>
  <w:style w:type="paragraph" w:styleId="Titre">
    <w:name w:val="Title"/>
    <w:basedOn w:val="Normal"/>
    <w:next w:val="Normal"/>
    <w:link w:val="TitreCar"/>
    <w:uiPriority w:val="98"/>
    <w:qFormat/>
    <w:rsid w:val="009D685D"/>
    <w:pPr>
      <w:pBdr>
        <w:bottom w:val="single" w:sz="4" w:space="1" w:color="auto"/>
      </w:pBdr>
      <w:contextualSpacing/>
    </w:pPr>
    <w:rPr>
      <w:rFonts w:asciiTheme="majorHAnsi" w:eastAsiaTheme="majorEastAsia" w:hAnsiTheme="majorHAnsi" w:cstheme="majorBidi"/>
      <w:spacing w:val="5"/>
      <w:sz w:val="52"/>
      <w:szCs w:val="52"/>
      <w:lang w:val="en-GB" w:eastAsia="en-US" w:bidi="en-US"/>
    </w:rPr>
  </w:style>
  <w:style w:type="character" w:customStyle="1" w:styleId="TitreCar">
    <w:name w:val="Titre Car"/>
    <w:basedOn w:val="Policepardfaut"/>
    <w:link w:val="Titre"/>
    <w:uiPriority w:val="98"/>
    <w:rsid w:val="009D685D"/>
    <w:rPr>
      <w:rFonts w:asciiTheme="majorHAnsi" w:eastAsiaTheme="majorEastAsia" w:hAnsiTheme="majorHAnsi" w:cstheme="majorBidi"/>
      <w:bCs w:val="0"/>
      <w:spacing w:val="5"/>
      <w:sz w:val="52"/>
      <w:szCs w:val="52"/>
      <w:lang w:val="en-GB" w:bidi="en-US"/>
    </w:rPr>
  </w:style>
  <w:style w:type="character" w:customStyle="1" w:styleId="UnresolvedMention4">
    <w:name w:val="Unresolved Mention4"/>
    <w:basedOn w:val="Policepardfaut"/>
    <w:uiPriority w:val="99"/>
    <w:rsid w:val="009D685D"/>
    <w:rPr>
      <w:color w:val="605E5C"/>
      <w:shd w:val="clear" w:color="auto" w:fill="E1DFDD"/>
    </w:rPr>
  </w:style>
  <w:style w:type="paragraph" w:customStyle="1" w:styleId="Abstract">
    <w:name w:val="Abstract"/>
    <w:rsid w:val="00BE12CF"/>
    <w:pPr>
      <w:keepNext/>
      <w:keepLines/>
      <w:widowControl w:val="0"/>
      <w:tabs>
        <w:tab w:val="left" w:pos="-720"/>
      </w:tabs>
      <w:suppressAutoHyphens/>
      <w:jc w:val="center"/>
    </w:pPr>
    <w:rPr>
      <w:rFonts w:ascii="Times Roman" w:eastAsia="Times New Roman" w:hAnsi="Times Roman" w:cs="Times New Roman"/>
      <w:bCs w:val="0"/>
      <w:snapToGrid w:val="0"/>
      <w:sz w:val="24"/>
      <w:szCs w:val="20"/>
    </w:rPr>
  </w:style>
  <w:style w:type="table" w:customStyle="1" w:styleId="Grilledutableau1">
    <w:name w:val="Grille du tableau1"/>
    <w:basedOn w:val="TableauNormal"/>
    <w:next w:val="Grilledutableau"/>
    <w:uiPriority w:val="59"/>
    <w:rsid w:val="009E5118"/>
    <w:rPr>
      <w:rFonts w:ascii="Calibri" w:eastAsia="Calibri" w:hAnsi="Calibri" w:cs="Times New Roman"/>
      <w:bCs w:val="0"/>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Policepardfaut"/>
    <w:uiPriority w:val="99"/>
    <w:rsid w:val="00720D91"/>
    <w:rPr>
      <w:color w:val="605E5C"/>
      <w:shd w:val="clear" w:color="auto" w:fill="E1DFDD"/>
    </w:rPr>
  </w:style>
  <w:style w:type="character" w:styleId="Textedelespacerserv">
    <w:name w:val="Placeholder Text"/>
    <w:basedOn w:val="Policepardfaut"/>
    <w:uiPriority w:val="99"/>
    <w:semiHidden/>
    <w:rsid w:val="00720D91"/>
    <w:rPr>
      <w:color w:val="808080"/>
    </w:rPr>
  </w:style>
  <w:style w:type="character" w:customStyle="1" w:styleId="cite-authors">
    <w:name w:val="cite-authors"/>
    <w:basedOn w:val="Policepardfaut"/>
    <w:rsid w:val="00720D91"/>
  </w:style>
  <w:style w:type="character" w:customStyle="1" w:styleId="author">
    <w:name w:val="author"/>
    <w:basedOn w:val="Policepardfaut"/>
    <w:rsid w:val="00720D91"/>
  </w:style>
  <w:style w:type="character" w:customStyle="1" w:styleId="cite-title">
    <w:name w:val="cite-title"/>
    <w:basedOn w:val="Policepardfaut"/>
    <w:rsid w:val="00720D91"/>
  </w:style>
  <w:style w:type="character" w:customStyle="1" w:styleId="cite-blog">
    <w:name w:val="cite-blog"/>
    <w:basedOn w:val="Policepardfaut"/>
    <w:rsid w:val="00720D91"/>
  </w:style>
  <w:style w:type="character" w:customStyle="1" w:styleId="cite-date">
    <w:name w:val="cite-date"/>
    <w:basedOn w:val="Policepardfaut"/>
    <w:rsid w:val="00720D91"/>
  </w:style>
  <w:style w:type="character" w:customStyle="1" w:styleId="doi">
    <w:name w:val="doi"/>
    <w:basedOn w:val="Policepardfaut"/>
    <w:rsid w:val="00720D91"/>
  </w:style>
  <w:style w:type="character" w:customStyle="1" w:styleId="UnresolvedMention6">
    <w:name w:val="Unresolved Mention6"/>
    <w:basedOn w:val="Policepardfaut"/>
    <w:uiPriority w:val="99"/>
    <w:rsid w:val="00720D91"/>
    <w:rPr>
      <w:color w:val="605E5C"/>
      <w:shd w:val="clear" w:color="auto" w:fill="E1DFDD"/>
    </w:rPr>
  </w:style>
  <w:style w:type="character" w:styleId="Mentionnonrsolue">
    <w:name w:val="Unresolved Mention"/>
    <w:basedOn w:val="Policepardfaut"/>
    <w:uiPriority w:val="99"/>
    <w:unhideWhenUsed/>
    <w:rsid w:val="00720D91"/>
    <w:rPr>
      <w:color w:val="605E5C"/>
      <w:shd w:val="clear" w:color="auto" w:fill="E1DFDD"/>
    </w:rPr>
  </w:style>
  <w:style w:type="paragraph" w:styleId="PrformatHTML">
    <w:name w:val="HTML Preformatted"/>
    <w:basedOn w:val="Normal"/>
    <w:link w:val="PrformatHTMLCar"/>
    <w:uiPriority w:val="99"/>
    <w:unhideWhenUsed/>
    <w:rsid w:val="00720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rsid w:val="00720D91"/>
    <w:rPr>
      <w:rFonts w:ascii="Courier New" w:eastAsia="Times New Roman" w:hAnsi="Courier New" w:cs="Courier New"/>
      <w:bCs w:val="0"/>
      <w:sz w:val="20"/>
      <w:szCs w:val="20"/>
      <w:lang w:eastAsia="fr-FR"/>
    </w:rPr>
  </w:style>
  <w:style w:type="character" w:customStyle="1" w:styleId="y2iqfc">
    <w:name w:val="y2iqfc"/>
    <w:basedOn w:val="Policepardfaut"/>
    <w:rsid w:val="00720D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160119">
      <w:bodyDiv w:val="1"/>
      <w:marLeft w:val="0"/>
      <w:marRight w:val="0"/>
      <w:marTop w:val="0"/>
      <w:marBottom w:val="0"/>
      <w:divBdr>
        <w:top w:val="none" w:sz="0" w:space="0" w:color="auto"/>
        <w:left w:val="none" w:sz="0" w:space="0" w:color="auto"/>
        <w:bottom w:val="none" w:sz="0" w:space="0" w:color="auto"/>
        <w:right w:val="none" w:sz="0" w:space="0" w:color="auto"/>
      </w:divBdr>
    </w:div>
    <w:div w:id="109055501">
      <w:bodyDiv w:val="1"/>
      <w:marLeft w:val="0"/>
      <w:marRight w:val="0"/>
      <w:marTop w:val="0"/>
      <w:marBottom w:val="0"/>
      <w:divBdr>
        <w:top w:val="none" w:sz="0" w:space="0" w:color="auto"/>
        <w:left w:val="none" w:sz="0" w:space="0" w:color="auto"/>
        <w:bottom w:val="none" w:sz="0" w:space="0" w:color="auto"/>
        <w:right w:val="none" w:sz="0" w:space="0" w:color="auto"/>
      </w:divBdr>
    </w:div>
    <w:div w:id="875896451">
      <w:bodyDiv w:val="1"/>
      <w:marLeft w:val="0"/>
      <w:marRight w:val="0"/>
      <w:marTop w:val="0"/>
      <w:marBottom w:val="0"/>
      <w:divBdr>
        <w:top w:val="none" w:sz="0" w:space="0" w:color="auto"/>
        <w:left w:val="none" w:sz="0" w:space="0" w:color="auto"/>
        <w:bottom w:val="none" w:sz="0" w:space="0" w:color="auto"/>
        <w:right w:val="none" w:sz="0" w:space="0" w:color="auto"/>
      </w:divBdr>
    </w:div>
    <w:div w:id="1463887420">
      <w:bodyDiv w:val="1"/>
      <w:marLeft w:val="0"/>
      <w:marRight w:val="0"/>
      <w:marTop w:val="0"/>
      <w:marBottom w:val="0"/>
      <w:divBdr>
        <w:top w:val="none" w:sz="0" w:space="0" w:color="auto"/>
        <w:left w:val="none" w:sz="0" w:space="0" w:color="auto"/>
        <w:bottom w:val="none" w:sz="0" w:space="0" w:color="auto"/>
        <w:right w:val="none" w:sz="0" w:space="0" w:color="auto"/>
      </w:divBdr>
    </w:div>
    <w:div w:id="17960997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s.uio.no/pluricourts/english/" TargetMode="External"/><Relationship Id="rId13" Type="http://schemas.openxmlformats.org/officeDocument/2006/relationships/hyperlink" Target="https://search.coe.int/cm/Pages/result_details.aspx?Reference=CM/Res(2011)24" TargetMode="External"/><Relationship Id="rId18" Type="http://schemas.openxmlformats.org/officeDocument/2006/relationships/hyperlink" Target="https://rm.coe.int/comite-directeur-pour-les-droits-de-l-homme-cddh-comite-d-experts-sur-/16809f93b2" TargetMode="External"/><Relationship Id="rId26" Type="http://schemas.openxmlformats.org/officeDocument/2006/relationships/hyperlink" Target="https://rm.coe.int/declaration-de-copenhague/16807b915b" TargetMode="External"/><Relationship Id="rId3" Type="http://schemas.openxmlformats.org/officeDocument/2006/relationships/styles" Target="styles.xml"/><Relationship Id="rId21" Type="http://schemas.openxmlformats.org/officeDocument/2006/relationships/hyperlink" Target="https://rm.coe.int/steering-committee-for-human-rights-comite-directeur-pour-les-droits-d/1680a0950e"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search.coe.int/cm/Pages/result_details.aspx?ObjectId=0900001680a272ed" TargetMode="External"/><Relationship Id="rId17" Type="http://schemas.openxmlformats.org/officeDocument/2006/relationships/hyperlink" Target="https://rm.coe.int/dh-sysc-iv-2021-r3-fr/1680a25684" TargetMode="External"/><Relationship Id="rId25" Type="http://schemas.openxmlformats.org/officeDocument/2006/relationships/hyperlink" Target="https://rm.coe.int/comite-directeur-pour-les-droits-de-l-homme-cddh-rapport-du-cddh-sur-l/168099427a" TargetMode="External"/><Relationship Id="rId33" Type="http://schemas.openxmlformats.org/officeDocument/2006/relationships/hyperlink" Target="https://echr.coe.int/Documents/Press_Q_A_Inter-State_cases_FRA.pdf" TargetMode="External"/><Relationship Id="rId2" Type="http://schemas.openxmlformats.org/officeDocument/2006/relationships/numbering" Target="numbering.xml"/><Relationship Id="rId16" Type="http://schemas.openxmlformats.org/officeDocument/2006/relationships/hyperlink" Target="https://rm.coe.int/dh-sysc-iv-2020-04rev2-15-mars-21-fr-/1680a1dd17" TargetMode="External"/><Relationship Id="rId20" Type="http://schemas.openxmlformats.org/officeDocument/2006/relationships/hyperlink" Target="https://rm.coe.int/steering-committee-for-human-rights-comite-directeur-pour-les-droits-d/1680a0950f" TargetMode="External"/><Relationship Id="rId29" Type="http://schemas.openxmlformats.org/officeDocument/2006/relationships/hyperlink" Target="https://www.echr.coe.int/Documents/Stats_understanding_FRA.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m.coe.int/groupe-de-redaction-sur-le-traitement-et-la-resolution-efficace-d-affa/1680996b60" TargetMode="External"/><Relationship Id="rId24" Type="http://schemas.openxmlformats.org/officeDocument/2006/relationships/hyperlink" Target="https://rm.coe.int/overview-of-inter-cases-before-the-echr-non-paper/16809f02db" TargetMode="External"/><Relationship Id="rId32" Type="http://schemas.openxmlformats.org/officeDocument/2006/relationships/hyperlink" Target="https://www.echr.coe.int/Documents/FS_Armed_conflicts_FRA.pdf"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rm.coe.int/steering-committee-for-human-rights-cddh-report-93rd-meeting-strasbour/1680a134a9" TargetMode="External"/><Relationship Id="rId23" Type="http://schemas.openxmlformats.org/officeDocument/2006/relationships/hyperlink" Target="https://rm.coe.int/steering-committee-for-human-rights-cddh-proposals-for-a-more-efficien/168094e6e1" TargetMode="External"/><Relationship Id="rId28" Type="http://schemas.openxmlformats.org/officeDocument/2006/relationships/hyperlink" Target="https://echr.coe.int/Documents/Press_Q_A_Inter-State_cases_ENG.pdf" TargetMode="External"/><Relationship Id="rId36" Type="http://schemas.openxmlformats.org/officeDocument/2006/relationships/fontTable" Target="fontTable.xml"/><Relationship Id="rId10" Type="http://schemas.openxmlformats.org/officeDocument/2006/relationships/hyperlink" Target="https://rm.coe.int/comite-directeur-pour-les-droits-de-l-homme-cddh-fiche-thematique-sur-/1680a1cb11" TargetMode="External"/><Relationship Id="rId19" Type="http://schemas.openxmlformats.org/officeDocument/2006/relationships/hyperlink" Target="https://rm.coe.int/comite-directeur-pour-les-droits-de-l-homme-cddh-comite-d-experts-sur-/16809c992e" TargetMode="External"/><Relationship Id="rId31" Type="http://schemas.openxmlformats.org/officeDocument/2006/relationships/hyperlink" Target="https://www.echr.coe.int/Documents/Guide_Art_1_FRA.pdf" TargetMode="External"/><Relationship Id="rId4" Type="http://schemas.openxmlformats.org/officeDocument/2006/relationships/settings" Target="settings.xml"/><Relationship Id="rId9" Type="http://schemas.openxmlformats.org/officeDocument/2006/relationships/hyperlink" Target="https://rm.coe.int/dh-sysc-iv-2021-02-fr/1680a38798" TargetMode="External"/><Relationship Id="rId14" Type="http://schemas.openxmlformats.org/officeDocument/2006/relationships/hyperlink" Target="v" TargetMode="External"/><Relationship Id="rId22" Type="http://schemas.openxmlformats.org/officeDocument/2006/relationships/hyperlink" Target="https://rm.coe.int/comite-directeur-pour-les-droits-de-l-homme-cddh-comite-d-experts-sur-/1680a0a4f2" TargetMode="External"/><Relationship Id="rId27" Type="http://schemas.openxmlformats.org/officeDocument/2006/relationships/hyperlink" Target="https://rm.coe.int/comite-directeur-pour-les-droits-de-l-homme-cddh-rapport-du-cddh-sur-l/168099427a" TargetMode="External"/><Relationship Id="rId30" Type="http://schemas.openxmlformats.org/officeDocument/2006/relationships/hyperlink" Target="https://hudoc.echr.coe.int/" TargetMode="External"/><Relationship Id="rId35" Type="http://schemas.openxmlformats.org/officeDocument/2006/relationships/header" Target="header2.xml"/></Relationships>
</file>

<file path=word/_rels/footnotes.xml.rels><?xml version="1.0" encoding="UTF-8" standalone="yes"?>
<Relationships xmlns="http://schemas.openxmlformats.org/package/2006/relationships"><Relationship Id="rId117" Type="http://schemas.openxmlformats.org/officeDocument/2006/relationships/hyperlink" Target="http://hudoc.echr.coe.int/eng?i=001-93265" TargetMode="External"/><Relationship Id="rId299" Type="http://schemas.openxmlformats.org/officeDocument/2006/relationships/hyperlink" Target="http://hudoc.echr.coe.int/eng?i=001-109871" TargetMode="External"/><Relationship Id="rId303" Type="http://schemas.openxmlformats.org/officeDocument/2006/relationships/hyperlink" Target="http://hudoc.echr.coe.int/eng?i=001-93983" TargetMode="External"/><Relationship Id="rId21" Type="http://schemas.openxmlformats.org/officeDocument/2006/relationships/hyperlink" Target="https://rm.coe.int/steering-committee-for-human-rights-cddh-proposals-for-a-more-efficien/168094e6e1" TargetMode="External"/><Relationship Id="rId42" Type="http://schemas.openxmlformats.org/officeDocument/2006/relationships/hyperlink" Target="https://hudoc.echr.coe.int/fre" TargetMode="External"/><Relationship Id="rId63" Type="http://schemas.openxmlformats.org/officeDocument/2006/relationships/hyperlink" Target="http://hudoc.echr.coe.int/eng?i=001-75003" TargetMode="External"/><Relationship Id="rId84" Type="http://schemas.openxmlformats.org/officeDocument/2006/relationships/hyperlink" Target="http://hudoc.echr.coe.int/eng?i=001-206897" TargetMode="External"/><Relationship Id="rId138" Type="http://schemas.openxmlformats.org/officeDocument/2006/relationships/hyperlink" Target="http://hudoc.echr.coe.int/eng?i=001-121143" TargetMode="External"/><Relationship Id="rId159" Type="http://schemas.openxmlformats.org/officeDocument/2006/relationships/hyperlink" Target="https://www.coe.int/en/web/human-rights-intergovernmental-cooperation/human-rights-development-cddh/plenary-meeting-reports" TargetMode="External"/><Relationship Id="rId324" Type="http://schemas.openxmlformats.org/officeDocument/2006/relationships/hyperlink" Target="http://hudoc.echr.coe.int/eng?i=001-192624" TargetMode="External"/><Relationship Id="rId170" Type="http://schemas.openxmlformats.org/officeDocument/2006/relationships/hyperlink" Target="http://hudoc.echr.coe.int/eng?i=001-207758" TargetMode="External"/><Relationship Id="rId191" Type="http://schemas.openxmlformats.org/officeDocument/2006/relationships/hyperlink" Target="http://hudoc.echr.coe.int/eng?i=001-127690" TargetMode="External"/><Relationship Id="rId205" Type="http://schemas.openxmlformats.org/officeDocument/2006/relationships/hyperlink" Target="http://hudoc.echr.coe.int/eng?i=001-127690" TargetMode="External"/><Relationship Id="rId226" Type="http://schemas.openxmlformats.org/officeDocument/2006/relationships/hyperlink" Target="http://hudoc.echr.coe.int/eng?i=001-207758" TargetMode="External"/><Relationship Id="rId247" Type="http://schemas.openxmlformats.org/officeDocument/2006/relationships/hyperlink" Target="http://hudoc.echr.coe.int/eng?i=001-145552" TargetMode="External"/><Relationship Id="rId107" Type="http://schemas.openxmlformats.org/officeDocument/2006/relationships/hyperlink" Target="https://rm.coe.int/steering-committee-for-human-rights-comite-directeur-pour-les-droits-d/1680943434" TargetMode="External"/><Relationship Id="rId268" Type="http://schemas.openxmlformats.org/officeDocument/2006/relationships/hyperlink" Target="http://hudoc.echr.coe.int/eng?i=001-142541" TargetMode="External"/><Relationship Id="rId289" Type="http://schemas.openxmlformats.org/officeDocument/2006/relationships/hyperlink" Target="https://hudoc.echr.coe.int/eng" TargetMode="External"/><Relationship Id="rId11" Type="http://schemas.openxmlformats.org/officeDocument/2006/relationships/hyperlink" Target="https://rm.coe.int/groupe-de-redaction-sur-le-traitement-et-la-resolution-efficace-d-affa/1680996b60" TargetMode="External"/><Relationship Id="rId32" Type="http://schemas.openxmlformats.org/officeDocument/2006/relationships/hyperlink" Target="http://hudoc.echr.coe.int/eng?i=001-207626" TargetMode="External"/><Relationship Id="rId53" Type="http://schemas.openxmlformats.org/officeDocument/2006/relationships/hyperlink" Target="https://hudoc.echr.coe.int/fre" TargetMode="External"/><Relationship Id="rId74" Type="http://schemas.openxmlformats.org/officeDocument/2006/relationships/hyperlink" Target="http://hudoc.echr.coe.int/eng?i=001-97450" TargetMode="External"/><Relationship Id="rId128" Type="http://schemas.openxmlformats.org/officeDocument/2006/relationships/hyperlink" Target="http://hudoc.echr.coe.int/eng?i=001-193851" TargetMode="External"/><Relationship Id="rId149" Type="http://schemas.openxmlformats.org/officeDocument/2006/relationships/hyperlink" Target="http://hudoc.echr.coe.int/eng?i=001-86565" TargetMode="External"/><Relationship Id="rId314" Type="http://schemas.openxmlformats.org/officeDocument/2006/relationships/hyperlink" Target="http://hudoc.echr.coe.int/eng?i=001-95691" TargetMode="External"/><Relationship Id="rId335" Type="http://schemas.openxmlformats.org/officeDocument/2006/relationships/hyperlink" Target="http://hudoc.echr.coe.int/eng?i=001-155656" TargetMode="External"/><Relationship Id="rId5" Type="http://schemas.openxmlformats.org/officeDocument/2006/relationships/hyperlink" Target="https://rm.coe.int/steering-committee-for-human-rights-comite-directeur-pour-les-droits-d/1680943434" TargetMode="External"/><Relationship Id="rId95" Type="http://schemas.openxmlformats.org/officeDocument/2006/relationships/hyperlink" Target="http://hudoc.echr.coe.int/eng?i=001-74371" TargetMode="External"/><Relationship Id="rId160" Type="http://schemas.openxmlformats.org/officeDocument/2006/relationships/hyperlink" Target="https://rm.coe.int/steering-committee-for-human-rights-cddh-cddh-report-on-the-place-of-t/1680994279" TargetMode="External"/><Relationship Id="rId181" Type="http://schemas.openxmlformats.org/officeDocument/2006/relationships/hyperlink" Target="http://hudoc.echr.coe.int/eng?i=001-207757" TargetMode="External"/><Relationship Id="rId216" Type="http://schemas.openxmlformats.org/officeDocument/2006/relationships/hyperlink" Target="http://hudoc.echr.coe.int/eng?i=001-127684" TargetMode="External"/><Relationship Id="rId237" Type="http://schemas.openxmlformats.org/officeDocument/2006/relationships/hyperlink" Target="http://hudoc.echr.coe.int/eng?i=001-207626" TargetMode="External"/><Relationship Id="rId258" Type="http://schemas.openxmlformats.org/officeDocument/2006/relationships/hyperlink" Target="https://www.echr.coe.int/Documents/Rules_Court_ENG.pdf" TargetMode="External"/><Relationship Id="rId279" Type="http://schemas.openxmlformats.org/officeDocument/2006/relationships/hyperlink" Target="http://hudoc.echr.coe.int/eng?i=001-189852" TargetMode="External"/><Relationship Id="rId22" Type="http://schemas.openxmlformats.org/officeDocument/2006/relationships/hyperlink" Target="https://rm.coe.int/comments-of-the-european-court-of-human-rights-interlaken-process-/16809e4f34" TargetMode="External"/><Relationship Id="rId43" Type="http://schemas.openxmlformats.org/officeDocument/2006/relationships/hyperlink" Target="http://hudoc.echr.coe.int/eng?i=001-144153" TargetMode="External"/><Relationship Id="rId64" Type="http://schemas.openxmlformats.org/officeDocument/2006/relationships/hyperlink" Target="https://hudoc.echr.coe.int/fre" TargetMode="External"/><Relationship Id="rId118" Type="http://schemas.openxmlformats.org/officeDocument/2006/relationships/hyperlink" Target="http://hudoc.echr.coe.int/eng?i=001-112143" TargetMode="External"/><Relationship Id="rId139" Type="http://schemas.openxmlformats.org/officeDocument/2006/relationships/hyperlink" Target="http://hudoc.echr.coe.int/eng?i=001-106308" TargetMode="External"/><Relationship Id="rId290" Type="http://schemas.openxmlformats.org/officeDocument/2006/relationships/hyperlink" Target="https://hudoc.echr.coe.int/eng" TargetMode="External"/><Relationship Id="rId304" Type="http://schemas.openxmlformats.org/officeDocument/2006/relationships/hyperlink" Target="https://www.echr.coe.int/Documents/Stats_analysis_2019_ENG.pdf" TargetMode="External"/><Relationship Id="rId325" Type="http://schemas.openxmlformats.org/officeDocument/2006/relationships/hyperlink" Target="https://www.echr.coe.int/Documents/Stats_analysis_2019_FRA.pdf" TargetMode="External"/><Relationship Id="rId85" Type="http://schemas.openxmlformats.org/officeDocument/2006/relationships/hyperlink" Target="http://hudoc.echr.coe.int/eng?i=001-207014" TargetMode="External"/><Relationship Id="rId150" Type="http://schemas.openxmlformats.org/officeDocument/2006/relationships/hyperlink" Target="http://hudoc.echr.coe.int/eng?i=001-187961" TargetMode="External"/><Relationship Id="rId171" Type="http://schemas.openxmlformats.org/officeDocument/2006/relationships/hyperlink" Target="https://www.echr.coe.int/Documents/Rules_Court_ENG.pdf" TargetMode="External"/><Relationship Id="rId192" Type="http://schemas.openxmlformats.org/officeDocument/2006/relationships/hyperlink" Target="http://hudoc.echr.coe.int/eng?i=001-127690" TargetMode="External"/><Relationship Id="rId206" Type="http://schemas.openxmlformats.org/officeDocument/2006/relationships/hyperlink" Target="http://hudoc.echr.coe.int/eng?i=001-145546" TargetMode="External"/><Relationship Id="rId227" Type="http://schemas.openxmlformats.org/officeDocument/2006/relationships/hyperlink" Target="https://hudoc.echr.coe.int/fre" TargetMode="External"/><Relationship Id="rId248" Type="http://schemas.openxmlformats.org/officeDocument/2006/relationships/hyperlink" Target="http://hudoc.echr.coe.int/eng?i=001-207757" TargetMode="External"/><Relationship Id="rId269" Type="http://schemas.openxmlformats.org/officeDocument/2006/relationships/hyperlink" Target="https://hudoc.echr.coe.int/eng" TargetMode="External"/><Relationship Id="rId12" Type="http://schemas.openxmlformats.org/officeDocument/2006/relationships/hyperlink" Target="https://rm.coe.int/comite-directeur-pour-les-droits-de-l-homme-cddh-rapport-92e-reunion-s/16809971f1" TargetMode="External"/><Relationship Id="rId33" Type="http://schemas.openxmlformats.org/officeDocument/2006/relationships/hyperlink" Target="http://hudoc.echr.coe.int/eng?i=001-207758" TargetMode="External"/><Relationship Id="rId108" Type="http://schemas.openxmlformats.org/officeDocument/2006/relationships/hyperlink" Target="http://hudoc.echr.coe.int/fre?i=001-94161" TargetMode="External"/><Relationship Id="rId129" Type="http://schemas.openxmlformats.org/officeDocument/2006/relationships/hyperlink" Target="https://hudoc.echr.coe.int/eng" TargetMode="External"/><Relationship Id="rId280" Type="http://schemas.openxmlformats.org/officeDocument/2006/relationships/hyperlink" Target="http://hudoc.echr.coe.int/eng?i=001-144153" TargetMode="External"/><Relationship Id="rId315" Type="http://schemas.openxmlformats.org/officeDocument/2006/relationships/hyperlink" Target="http://hudoc.echr.coe.int/eng?i=001-74174" TargetMode="External"/><Relationship Id="rId336" Type="http://schemas.openxmlformats.org/officeDocument/2006/relationships/hyperlink" Target="http://hudoc.echr.coe.int/eng?i=001-155725" TargetMode="External"/><Relationship Id="rId54" Type="http://schemas.openxmlformats.org/officeDocument/2006/relationships/hyperlink" Target="http://hudoc.echr.coe.int/eng?i=001-207626" TargetMode="External"/><Relationship Id="rId75" Type="http://schemas.openxmlformats.org/officeDocument/2006/relationships/hyperlink" Target="http://hudoc.echr.coe.int/eng?i=001-97650" TargetMode="External"/><Relationship Id="rId96" Type="http://schemas.openxmlformats.org/officeDocument/2006/relationships/hyperlink" Target="http://hudoc.echr.coe.int/eng?i=001-87535" TargetMode="External"/><Relationship Id="rId140" Type="http://schemas.openxmlformats.org/officeDocument/2006/relationships/hyperlink" Target="http://hudoc.echr.coe.int/eng?i=001-87620" TargetMode="External"/><Relationship Id="rId161" Type="http://schemas.openxmlformats.org/officeDocument/2006/relationships/hyperlink" Target="http://hudoc.echr.coe.int/eng?i=001-108100" TargetMode="External"/><Relationship Id="rId182" Type="http://schemas.openxmlformats.org/officeDocument/2006/relationships/hyperlink" Target="http://hudoc.echr.coe.int/eng?i=001-207757" TargetMode="External"/><Relationship Id="rId217" Type="http://schemas.openxmlformats.org/officeDocument/2006/relationships/hyperlink" Target="http://hudoc.echr.coe.int/eng?i=001-127690" TargetMode="External"/><Relationship Id="rId6" Type="http://schemas.openxmlformats.org/officeDocument/2006/relationships/hyperlink" Target="https://rm.coe.int/steering-committee-for-human-rights-cddh-proposals-for-a-more-efficien/168094e6e1" TargetMode="External"/><Relationship Id="rId238" Type="http://schemas.openxmlformats.org/officeDocument/2006/relationships/hyperlink" Target="http://hudoc.echr.coe.int/eng?i=001-207626" TargetMode="External"/><Relationship Id="rId259" Type="http://schemas.openxmlformats.org/officeDocument/2006/relationships/hyperlink" Target="http://hudoc.echr.coe.int/eng?i=001-207757" TargetMode="External"/><Relationship Id="rId23" Type="http://schemas.openxmlformats.org/officeDocument/2006/relationships/hyperlink" Target="https://rm.coe.int/copenhagen-declaration/16807b915c" TargetMode="External"/><Relationship Id="rId119" Type="http://schemas.openxmlformats.org/officeDocument/2006/relationships/hyperlink" Target="http://hudoc.echr.coe.int/eng?i=001-93264" TargetMode="External"/><Relationship Id="rId270" Type="http://schemas.openxmlformats.org/officeDocument/2006/relationships/hyperlink" Target="http://hudoc.echr.coe.int/eng?i=001-58976" TargetMode="External"/><Relationship Id="rId291" Type="http://schemas.openxmlformats.org/officeDocument/2006/relationships/hyperlink" Target="https://hudoc.echr.coe.int/eng" TargetMode="External"/><Relationship Id="rId305" Type="http://schemas.openxmlformats.org/officeDocument/2006/relationships/hyperlink" Target="https://www.echr.coe.int/Documents/Stats_analysis_2019_FRA.pdf" TargetMode="External"/><Relationship Id="rId326" Type="http://schemas.openxmlformats.org/officeDocument/2006/relationships/hyperlink" Target="http://hudoc.echr.coe.int/eng?i=001-71802" TargetMode="External"/><Relationship Id="rId44" Type="http://schemas.openxmlformats.org/officeDocument/2006/relationships/hyperlink" Target="https://hudoc.echr.coe.int/fre" TargetMode="External"/><Relationship Id="rId65" Type="http://schemas.openxmlformats.org/officeDocument/2006/relationships/hyperlink" Target="https://hudoc.echr.coe.int/eng" TargetMode="External"/><Relationship Id="rId86" Type="http://schemas.openxmlformats.org/officeDocument/2006/relationships/hyperlink" Target="http://hudoc.echr.coe.int/eng?i=001-207014" TargetMode="External"/><Relationship Id="rId130" Type="http://schemas.openxmlformats.org/officeDocument/2006/relationships/hyperlink" Target="https://hudoc.echr.coe.int/eng" TargetMode="External"/><Relationship Id="rId151" Type="http://schemas.openxmlformats.org/officeDocument/2006/relationships/hyperlink" Target="http://hudoc.echr.coe.int/eng?i=001-187917" TargetMode="External"/><Relationship Id="rId172" Type="http://schemas.openxmlformats.org/officeDocument/2006/relationships/hyperlink" Target="http://hudoc.echr.coe.int/eng?i=001-57506" TargetMode="External"/><Relationship Id="rId193" Type="http://schemas.openxmlformats.org/officeDocument/2006/relationships/hyperlink" Target="http://hudoc.echr.coe.int/eng?i=001-127690" TargetMode="External"/><Relationship Id="rId207" Type="http://schemas.openxmlformats.org/officeDocument/2006/relationships/hyperlink" Target="http://hudoc.echr.coe.int/eng?i=001-207758" TargetMode="External"/><Relationship Id="rId228" Type="http://schemas.openxmlformats.org/officeDocument/2006/relationships/hyperlink" Target="http://hudoc.echr.coe.int/eng?i=001-145552" TargetMode="External"/><Relationship Id="rId249" Type="http://schemas.openxmlformats.org/officeDocument/2006/relationships/hyperlink" Target="http://hudoc.echr.coe.int/eng?i=001-108100" TargetMode="External"/><Relationship Id="rId13" Type="http://schemas.openxmlformats.org/officeDocument/2006/relationships/hyperlink" Target="https://rm.coe.int/steering-committee-for-human-rights-cddh-contribution-of-the-cddh-to-t/1680990d49" TargetMode="External"/><Relationship Id="rId109" Type="http://schemas.openxmlformats.org/officeDocument/2006/relationships/hyperlink" Target="http://hudoc.echr.coe.int/eng?i=001-169648" TargetMode="External"/><Relationship Id="rId260" Type="http://schemas.openxmlformats.org/officeDocument/2006/relationships/hyperlink" Target="https://www.echr.coe.int/Documents/Rules_Court_FRA.pdf" TargetMode="External"/><Relationship Id="rId281" Type="http://schemas.openxmlformats.org/officeDocument/2006/relationships/hyperlink" Target="http://hudoc.echr.coe.int/eng?i=001-189852" TargetMode="External"/><Relationship Id="rId316" Type="http://schemas.openxmlformats.org/officeDocument/2006/relationships/hyperlink" Target="http://hudoc.echr.coe.int/eng?i=001-95691" TargetMode="External"/><Relationship Id="rId337" Type="http://schemas.openxmlformats.org/officeDocument/2006/relationships/hyperlink" Target="http://hudoc.echr.coe.int/eng?i=001-192085" TargetMode="External"/><Relationship Id="rId34" Type="http://schemas.openxmlformats.org/officeDocument/2006/relationships/hyperlink" Target="http://hudoc.echr.coe.int/eng?i=001-74174" TargetMode="External"/><Relationship Id="rId55" Type="http://schemas.openxmlformats.org/officeDocument/2006/relationships/hyperlink" Target="https://hudoc.echr.coe.int/eng" TargetMode="External"/><Relationship Id="rId76" Type="http://schemas.openxmlformats.org/officeDocument/2006/relationships/hyperlink" Target="http://hudoc.echr.coe.int/eng?i=001-100666" TargetMode="External"/><Relationship Id="rId97" Type="http://schemas.openxmlformats.org/officeDocument/2006/relationships/hyperlink" Target="http://hudoc.echr.coe.int/eng?i=001-75063" TargetMode="External"/><Relationship Id="rId120" Type="http://schemas.openxmlformats.org/officeDocument/2006/relationships/hyperlink" Target="http://hudoc.echr.coe.int/eng?i=001-162205" TargetMode="External"/><Relationship Id="rId141" Type="http://schemas.openxmlformats.org/officeDocument/2006/relationships/hyperlink" Target="http://hudoc.echr.coe.int/eng?i=001-103216" TargetMode="External"/><Relationship Id="rId7" Type="http://schemas.openxmlformats.org/officeDocument/2006/relationships/hyperlink" Target="https://rm.coe.int/steering-committee-for-human-rights-cddh-draft-additional-elements-res/168094ef0b" TargetMode="External"/><Relationship Id="rId162" Type="http://schemas.openxmlformats.org/officeDocument/2006/relationships/hyperlink" Target="http://hudoc.echr.coe.int/eng?i=001-3213" TargetMode="External"/><Relationship Id="rId183" Type="http://schemas.openxmlformats.org/officeDocument/2006/relationships/hyperlink" Target="http://hudoc.echr.coe.int/eng?i=001-207626" TargetMode="External"/><Relationship Id="rId218" Type="http://schemas.openxmlformats.org/officeDocument/2006/relationships/hyperlink" Target="http://hudoc.echr.coe.int/eng?i=001-108100" TargetMode="External"/><Relationship Id="rId239" Type="http://schemas.openxmlformats.org/officeDocument/2006/relationships/hyperlink" Target="http://hudoc.echr.coe.int/eng?i=001-145552" TargetMode="External"/><Relationship Id="rId250" Type="http://schemas.openxmlformats.org/officeDocument/2006/relationships/hyperlink" Target="http://hudoc.echr.coe.int/eng?i=001-93426" TargetMode="External"/><Relationship Id="rId271" Type="http://schemas.openxmlformats.org/officeDocument/2006/relationships/hyperlink" Target="http://hudoc.echr.coe.int/eng?i=001-60509" TargetMode="External"/><Relationship Id="rId292" Type="http://schemas.openxmlformats.org/officeDocument/2006/relationships/hyperlink" Target="https://hudoc.echr.coe.int/eng" TargetMode="External"/><Relationship Id="rId306" Type="http://schemas.openxmlformats.org/officeDocument/2006/relationships/hyperlink" Target="http://hudoc.echr.coe.int/eng?i=001-73858" TargetMode="External"/><Relationship Id="rId24" Type="http://schemas.openxmlformats.org/officeDocument/2006/relationships/hyperlink" Target="https://rm.coe.int/declaration-de-copenhague/16807b915b" TargetMode="External"/><Relationship Id="rId45" Type="http://schemas.openxmlformats.org/officeDocument/2006/relationships/hyperlink" Target="http://hudoc.echr.coe.int/eng?i=001-144153" TargetMode="External"/><Relationship Id="rId66" Type="http://schemas.openxmlformats.org/officeDocument/2006/relationships/hyperlink" Target="http://hudoc.echr.coe.int/eng?i=001-43391" TargetMode="External"/><Relationship Id="rId87" Type="http://schemas.openxmlformats.org/officeDocument/2006/relationships/hyperlink" Target="https://hudoc.echr.coe.int/eng" TargetMode="External"/><Relationship Id="rId110" Type="http://schemas.openxmlformats.org/officeDocument/2006/relationships/hyperlink" Target="http://hudoc.echr.coe.int/fre-press?i=003-6282065-8189104" TargetMode="External"/><Relationship Id="rId131" Type="http://schemas.openxmlformats.org/officeDocument/2006/relationships/hyperlink" Target="http://hudoc.echr.coe.int/eng?i=001-142444" TargetMode="External"/><Relationship Id="rId327" Type="http://schemas.openxmlformats.org/officeDocument/2006/relationships/hyperlink" Target="http://hudoc.echr.coe.int/eng?i=001-97650" TargetMode="External"/><Relationship Id="rId152" Type="http://schemas.openxmlformats.org/officeDocument/2006/relationships/hyperlink" Target="https://treaties.un.org/Pages/ViewDetails.aspx?src=TREATY&amp;mtdsg_no=IV-5&amp;chapter=4" TargetMode="External"/><Relationship Id="rId173" Type="http://schemas.openxmlformats.org/officeDocument/2006/relationships/hyperlink" Target="http://hudoc.echr.coe.int/eng?i=001-69630" TargetMode="External"/><Relationship Id="rId194" Type="http://schemas.openxmlformats.org/officeDocument/2006/relationships/hyperlink" Target="http://hudoc.echr.coe.int/eng?i=001-127690" TargetMode="External"/><Relationship Id="rId208" Type="http://schemas.openxmlformats.org/officeDocument/2006/relationships/hyperlink" Target="http://hudoc.echr.coe.int/eng?i=001-84671" TargetMode="External"/><Relationship Id="rId229" Type="http://schemas.openxmlformats.org/officeDocument/2006/relationships/hyperlink" Target="http://hudoc.echr.coe.int/eng?i=001-207758" TargetMode="External"/><Relationship Id="rId240" Type="http://schemas.openxmlformats.org/officeDocument/2006/relationships/hyperlink" Target="http://hudoc.echr.coe.int/eng?i=001-207626" TargetMode="External"/><Relationship Id="rId261" Type="http://schemas.openxmlformats.org/officeDocument/2006/relationships/hyperlink" Target="http://hudoc.echr.coe.int/eng?i=001-64012" TargetMode="External"/><Relationship Id="rId14" Type="http://schemas.openxmlformats.org/officeDocument/2006/relationships/hyperlink" Target="https://rm.coe.int/comite-directeur-pour-les-droits-de-l-homme-cddh-rapport-du-cddh-sur-l/168099427a" TargetMode="External"/><Relationship Id="rId35" Type="http://schemas.openxmlformats.org/officeDocument/2006/relationships/hyperlink" Target="https://hudoc.echr.coe.int/eng" TargetMode="External"/><Relationship Id="rId56" Type="http://schemas.openxmlformats.org/officeDocument/2006/relationships/hyperlink" Target="https://hudoc.echr.coe.int/fre" TargetMode="External"/><Relationship Id="rId77" Type="http://schemas.openxmlformats.org/officeDocument/2006/relationships/hyperlink" Target="http://hudoc.echr.coe.int/eng?i=001-109049" TargetMode="External"/><Relationship Id="rId100" Type="http://schemas.openxmlformats.org/officeDocument/2006/relationships/hyperlink" Target="http://hudoc.echr.coe.int/eng?i=001-207626" TargetMode="External"/><Relationship Id="rId282" Type="http://schemas.openxmlformats.org/officeDocument/2006/relationships/hyperlink" Target="http://hudoc.echr.coe.int/eng?i=001-207758" TargetMode="External"/><Relationship Id="rId317" Type="http://schemas.openxmlformats.org/officeDocument/2006/relationships/hyperlink" Target="http://hudoc.echr.coe.int/eng?i=001-63057" TargetMode="External"/><Relationship Id="rId338" Type="http://schemas.openxmlformats.org/officeDocument/2006/relationships/hyperlink" Target="http://hudoc.echr.coe.int/eng?i=001-192087" TargetMode="External"/><Relationship Id="rId8" Type="http://schemas.openxmlformats.org/officeDocument/2006/relationships/hyperlink" Target="https://rm.coe.int/comite-directeur-pour-les-droits-de-l-homme-cddh-rapport-91e-reunion-s/168096f6ac" TargetMode="External"/><Relationship Id="rId98" Type="http://schemas.openxmlformats.org/officeDocument/2006/relationships/hyperlink" Target="http://hudoc.echr.coe.int/eng?i=001-74371" TargetMode="External"/><Relationship Id="rId121" Type="http://schemas.openxmlformats.org/officeDocument/2006/relationships/hyperlink" Target="http://hudoc.echr.coe.int/eng?i=001-93264" TargetMode="External"/><Relationship Id="rId142" Type="http://schemas.openxmlformats.org/officeDocument/2006/relationships/hyperlink" Target="http://hudoc.echr.coe.int/eng?i=001-193851" TargetMode="External"/><Relationship Id="rId163" Type="http://schemas.openxmlformats.org/officeDocument/2006/relationships/hyperlink" Target="https://rm.coe.int/CoERMPublicCommonSearchServices/DisplayDCTMContent?documentId=09000016804c1599" TargetMode="External"/><Relationship Id="rId184" Type="http://schemas.openxmlformats.org/officeDocument/2006/relationships/hyperlink" Target="https://hudoc.echr.coe.int/eng" TargetMode="External"/><Relationship Id="rId219" Type="http://schemas.openxmlformats.org/officeDocument/2006/relationships/hyperlink" Target="http://hudoc.echr.coe.int/eng?i=001-207626" TargetMode="External"/><Relationship Id="rId3" Type="http://schemas.openxmlformats.org/officeDocument/2006/relationships/hyperlink" Target="https://rm.coe.int/comite-directeur-pour-les-droits-de-l-homme-cddh-rapport-91e-reunion-s/168096f6ac" TargetMode="External"/><Relationship Id="rId214" Type="http://schemas.openxmlformats.org/officeDocument/2006/relationships/hyperlink" Target="https://hudoc.echr.coe.int/eng" TargetMode="External"/><Relationship Id="rId230" Type="http://schemas.openxmlformats.org/officeDocument/2006/relationships/hyperlink" Target="http://hudoc.echr.coe.int/eng?i=001-145552" TargetMode="External"/><Relationship Id="rId235" Type="http://schemas.openxmlformats.org/officeDocument/2006/relationships/hyperlink" Target="http://hudoc.echr.coe.int/eng?i=001-207626" TargetMode="External"/><Relationship Id="rId251" Type="http://schemas.openxmlformats.org/officeDocument/2006/relationships/hyperlink" Target="http://hudoc.echr.coe.int/eng?i=001-108100" TargetMode="External"/><Relationship Id="rId256" Type="http://schemas.openxmlformats.org/officeDocument/2006/relationships/hyperlink" Target="https://www.echr.coe.int/Documents/Rules_Court_ENG.pdf" TargetMode="External"/><Relationship Id="rId277" Type="http://schemas.openxmlformats.org/officeDocument/2006/relationships/hyperlink" Target="http://hudoc.echr.coe.int/eng?i=001-144153" TargetMode="External"/><Relationship Id="rId298" Type="http://schemas.openxmlformats.org/officeDocument/2006/relationships/hyperlink" Target="http://hudoc.echr.coe.int/eng?i=001-189852" TargetMode="External"/><Relationship Id="rId25" Type="http://schemas.openxmlformats.org/officeDocument/2006/relationships/hyperlink" Target="https://rm.coe.int/steering-committee-for-human-rights-cddh-proposals-for-a-more-efficien/168094e6e1" TargetMode="External"/><Relationship Id="rId46" Type="http://schemas.openxmlformats.org/officeDocument/2006/relationships/hyperlink" Target="http://hudoc.echr.coe.int/eng?i=001-207014" TargetMode="External"/><Relationship Id="rId67" Type="http://schemas.openxmlformats.org/officeDocument/2006/relationships/hyperlink" Target="http://hudoc.echr.coe.int/eng?i=001-65799" TargetMode="External"/><Relationship Id="rId116" Type="http://schemas.openxmlformats.org/officeDocument/2006/relationships/hyperlink" Target="http://hudoc.echr.coe.int/eng?i=001-207626" TargetMode="External"/><Relationship Id="rId137" Type="http://schemas.openxmlformats.org/officeDocument/2006/relationships/hyperlink" Target="http://hudoc.echr.coe.int/eng?i=001-199499" TargetMode="External"/><Relationship Id="rId158" Type="http://schemas.openxmlformats.org/officeDocument/2006/relationships/hyperlink" Target="http://hudoc.echr.coe.int/eng?i=001-181828" TargetMode="External"/><Relationship Id="rId272" Type="http://schemas.openxmlformats.org/officeDocument/2006/relationships/hyperlink" Target="https://www.echr.coe.int/Documents/Denmark_v_Greece_I.pdf" TargetMode="External"/><Relationship Id="rId293" Type="http://schemas.openxmlformats.org/officeDocument/2006/relationships/hyperlink" Target="https://rm.coe.int/steering-committee-for-human-rights-cddh-proposals-for-a-more-efficien/168094e6e1" TargetMode="External"/><Relationship Id="rId302" Type="http://schemas.openxmlformats.org/officeDocument/2006/relationships/hyperlink" Target="http://hudoc.echr.coe.int/eng?i=001-82839" TargetMode="External"/><Relationship Id="rId307" Type="http://schemas.openxmlformats.org/officeDocument/2006/relationships/hyperlink" Target="https://search.coe.int/cm/Pages/result_details.aspx?ObjectId=09000016805e346d" TargetMode="External"/><Relationship Id="rId323" Type="http://schemas.openxmlformats.org/officeDocument/2006/relationships/hyperlink" Target="http://hudoc.echr.coe.int/fre?i=001-96623" TargetMode="External"/><Relationship Id="rId328" Type="http://schemas.openxmlformats.org/officeDocument/2006/relationships/hyperlink" Target="http://hudoc.echr.coe.int/eng?i=001-98199" TargetMode="External"/><Relationship Id="rId20" Type="http://schemas.openxmlformats.org/officeDocument/2006/relationships/hyperlink" Target="https://rm.coe.int/steering-committee-for-human-rights-cddh-proposals-for-a-more-efficien/168094e6e1" TargetMode="External"/><Relationship Id="rId41" Type="http://schemas.openxmlformats.org/officeDocument/2006/relationships/hyperlink" Target="http://hudoc.echr.coe.int/eng?i=001-207626" TargetMode="External"/><Relationship Id="rId62" Type="http://schemas.openxmlformats.org/officeDocument/2006/relationships/hyperlink" Target="http://hudoc.echr.coe.int/eng?i=001-145552" TargetMode="External"/><Relationship Id="rId83" Type="http://schemas.openxmlformats.org/officeDocument/2006/relationships/hyperlink" Target="http://hudoc.echr.coe.int/eng?i=001-207014" TargetMode="External"/><Relationship Id="rId88" Type="http://schemas.openxmlformats.org/officeDocument/2006/relationships/hyperlink" Target="http://hudoc.echr.coe.int/eng?i=001-207626" TargetMode="External"/><Relationship Id="rId111" Type="http://schemas.openxmlformats.org/officeDocument/2006/relationships/hyperlink" Target="https://hudoc.echr.coe.int/eng" TargetMode="External"/><Relationship Id="rId132" Type="http://schemas.openxmlformats.org/officeDocument/2006/relationships/hyperlink" Target="https://hudoc.echr.coe.int/eng" TargetMode="External"/><Relationship Id="rId153" Type="http://schemas.openxmlformats.org/officeDocument/2006/relationships/hyperlink" Target="https://tbinternet.ohchr.org/_layouts/15/treatybodyexternal/Download.aspx?symbolno=CCPR%2fC%2f123%2fD%2f2807%2f2016&amp;Lang=en" TargetMode="External"/><Relationship Id="rId174" Type="http://schemas.openxmlformats.org/officeDocument/2006/relationships/hyperlink" Target="http://hudoc.echr.coe.int/eng?i=001-145546" TargetMode="External"/><Relationship Id="rId179" Type="http://schemas.openxmlformats.org/officeDocument/2006/relationships/hyperlink" Target="http://hudoc.echr.coe.int/eng?i=001-207757" TargetMode="External"/><Relationship Id="rId195" Type="http://schemas.openxmlformats.org/officeDocument/2006/relationships/hyperlink" Target="http://hudoc.echr.coe.int/eng?i=001-104636" TargetMode="External"/><Relationship Id="rId209" Type="http://schemas.openxmlformats.org/officeDocument/2006/relationships/hyperlink" Target="http://hudoc.echr.coe.int/eng?i=001-69616" TargetMode="External"/><Relationship Id="rId190" Type="http://schemas.openxmlformats.org/officeDocument/2006/relationships/hyperlink" Target="http://hudoc.echr.coe.int/eng?i=001-66256" TargetMode="External"/><Relationship Id="rId204" Type="http://schemas.openxmlformats.org/officeDocument/2006/relationships/hyperlink" Target="http://hudoc.echr.coe.int/eng?i=001-77933" TargetMode="External"/><Relationship Id="rId220" Type="http://schemas.openxmlformats.org/officeDocument/2006/relationships/hyperlink" Target="http://hudoc.echr.coe.int/eng?i=001-207626" TargetMode="External"/><Relationship Id="rId225" Type="http://schemas.openxmlformats.org/officeDocument/2006/relationships/hyperlink" Target="http://hudoc.echr.coe.int/eng?i=001-207626" TargetMode="External"/><Relationship Id="rId241" Type="http://schemas.openxmlformats.org/officeDocument/2006/relationships/hyperlink" Target="http://hudoc.echr.coe.int/eng?i=001-207626" TargetMode="External"/><Relationship Id="rId246" Type="http://schemas.openxmlformats.org/officeDocument/2006/relationships/hyperlink" Target="https://hudoc.echr.coe.int/eng" TargetMode="External"/><Relationship Id="rId267" Type="http://schemas.openxmlformats.org/officeDocument/2006/relationships/hyperlink" Target="https://www.echr.coe.int/Documents/Rules_Court_ENG.pdf" TargetMode="External"/><Relationship Id="rId288" Type="http://schemas.openxmlformats.org/officeDocument/2006/relationships/hyperlink" Target="http://hudoc.echr.coe.int/eng?i=001-189852" TargetMode="External"/><Relationship Id="rId15" Type="http://schemas.openxmlformats.org/officeDocument/2006/relationships/hyperlink" Target="https://search.coe.int/cm/Pages/result_details.aspx?ObjectId=0900001680993c9e" TargetMode="External"/><Relationship Id="rId36" Type="http://schemas.openxmlformats.org/officeDocument/2006/relationships/hyperlink" Target="http://hudoc.echr.coe.int/eng?i=001-64012" TargetMode="External"/><Relationship Id="rId57" Type="http://schemas.openxmlformats.org/officeDocument/2006/relationships/hyperlink" Target="https://hudoc.echr.coe.int/eng" TargetMode="External"/><Relationship Id="rId106" Type="http://schemas.openxmlformats.org/officeDocument/2006/relationships/hyperlink" Target="https://rm.coe.int/steering-committee-for-human-rights-comite-directeur-pour-les-droits-d/1680943434" TargetMode="External"/><Relationship Id="rId127" Type="http://schemas.openxmlformats.org/officeDocument/2006/relationships/hyperlink" Target="http://hudoc.echr.coe.int/eng?i=001-142444" TargetMode="External"/><Relationship Id="rId262" Type="http://schemas.openxmlformats.org/officeDocument/2006/relationships/hyperlink" Target="http://hudoc.echr.coe.int/eng?i=001-207758" TargetMode="External"/><Relationship Id="rId283" Type="http://schemas.openxmlformats.org/officeDocument/2006/relationships/hyperlink" Target="http://hudoc.echr.coe.int/eng?i=001-189019" TargetMode="External"/><Relationship Id="rId313" Type="http://schemas.openxmlformats.org/officeDocument/2006/relationships/hyperlink" Target="http://hudoc.echr.coe.int/eng?i=001-95640" TargetMode="External"/><Relationship Id="rId318" Type="http://schemas.openxmlformats.org/officeDocument/2006/relationships/hyperlink" Target="http://hudoc.echr.coe.int/eng?i=001-63057" TargetMode="External"/><Relationship Id="rId339" Type="http://schemas.openxmlformats.org/officeDocument/2006/relationships/hyperlink" Target="http://hudoc.echr.coe.int/eng?i=001-114222" TargetMode="External"/><Relationship Id="rId10" Type="http://schemas.openxmlformats.org/officeDocument/2006/relationships/hyperlink" Target="https://rm.coe.int/drafting-group-on-the-effective-processing-and-resolution-of-inter-sta/1680996b5f" TargetMode="External"/><Relationship Id="rId31" Type="http://schemas.openxmlformats.org/officeDocument/2006/relationships/hyperlink" Target="https://rm.coe.int/proceedings-actes-high-level-conference-on-the-future-of-the-european-/1680695aae" TargetMode="External"/><Relationship Id="rId52" Type="http://schemas.openxmlformats.org/officeDocument/2006/relationships/hyperlink" Target="http://hudoc.echr.coe.int/eng?i=001-157568" TargetMode="External"/><Relationship Id="rId73" Type="http://schemas.openxmlformats.org/officeDocument/2006/relationships/hyperlink" Target="http://hudoc.echr.coe.int/eng?i=001-82695" TargetMode="External"/><Relationship Id="rId78" Type="http://schemas.openxmlformats.org/officeDocument/2006/relationships/hyperlink" Target="http://hudoc.echr.coe.int/eng?i=001-101349" TargetMode="External"/><Relationship Id="rId94" Type="http://schemas.openxmlformats.org/officeDocument/2006/relationships/hyperlink" Target="http://hudoc.echr.coe.int/eng?i=001-75063" TargetMode="External"/><Relationship Id="rId99" Type="http://schemas.openxmlformats.org/officeDocument/2006/relationships/hyperlink" Target="http://hudoc.echr.coe.int/eng?i=001-207626" TargetMode="External"/><Relationship Id="rId101" Type="http://schemas.openxmlformats.org/officeDocument/2006/relationships/hyperlink" Target="http://hudoc.echr.coe.int/eng?i=001-207014" TargetMode="External"/><Relationship Id="rId122" Type="http://schemas.openxmlformats.org/officeDocument/2006/relationships/hyperlink" Target="https://rm.coe.int/steering-committee-for-human-rights-comite-directeur-pour-les-droits-d/1680943434" TargetMode="External"/><Relationship Id="rId143" Type="http://schemas.openxmlformats.org/officeDocument/2006/relationships/hyperlink" Target="http://hudoc.echr.coe.int/eng?i=001-92489" TargetMode="External"/><Relationship Id="rId148" Type="http://schemas.openxmlformats.org/officeDocument/2006/relationships/hyperlink" Target="http://hudoc.echr.coe.int/eng?i=001-103165" TargetMode="External"/><Relationship Id="rId164" Type="http://schemas.openxmlformats.org/officeDocument/2006/relationships/hyperlink" Target="https://rm.coe.int/CoERMPublicCommonSearchServices/DisplayDCTMContent?documentId=09000016804c1599" TargetMode="External"/><Relationship Id="rId169" Type="http://schemas.openxmlformats.org/officeDocument/2006/relationships/hyperlink" Target="https://rm.coe.int/steering-committee-for-human-rights-cddh-proposals-for-a-more-efficien/168094e6e1" TargetMode="External"/><Relationship Id="rId185" Type="http://schemas.openxmlformats.org/officeDocument/2006/relationships/hyperlink" Target="http://hudoc.echr.coe.int/eng?i=001-207757" TargetMode="External"/><Relationship Id="rId334" Type="http://schemas.openxmlformats.org/officeDocument/2006/relationships/hyperlink" Target="http://hudoc.echr.coe.int/eng?i=001-165566" TargetMode="External"/><Relationship Id="rId4" Type="http://schemas.openxmlformats.org/officeDocument/2006/relationships/hyperlink" Target="https://rm.coe.int/comite-directeur-pour-les-droits-de-l-homme-cddh-projet-d-elements-add/168094f06d" TargetMode="External"/><Relationship Id="rId9" Type="http://schemas.openxmlformats.org/officeDocument/2006/relationships/hyperlink" Target="https://rm.coe.int/comite-directeur-pour-les-droits-de-l-homme-cddh-rapport-91e-reunion-s/168096f6ac" TargetMode="External"/><Relationship Id="rId180" Type="http://schemas.openxmlformats.org/officeDocument/2006/relationships/hyperlink" Target="http://hudoc.echr.coe.int/eng?i=001-145552" TargetMode="External"/><Relationship Id="rId210" Type="http://schemas.openxmlformats.org/officeDocument/2006/relationships/hyperlink" Target="http://hudoc.echr.coe.int/eng?i=001-127690" TargetMode="External"/><Relationship Id="rId215" Type="http://schemas.openxmlformats.org/officeDocument/2006/relationships/hyperlink" Target="http://hudoc.echr.coe.int/eng?i=001-127690" TargetMode="External"/><Relationship Id="rId236" Type="http://schemas.openxmlformats.org/officeDocument/2006/relationships/hyperlink" Target="http://hudoc.echr.coe.int/eng?i=001-207626" TargetMode="External"/><Relationship Id="rId257" Type="http://schemas.openxmlformats.org/officeDocument/2006/relationships/hyperlink" Target="https://www.echr.coe.int/Documents/Rules_Court_FRA.pdf" TargetMode="External"/><Relationship Id="rId278" Type="http://schemas.openxmlformats.org/officeDocument/2006/relationships/hyperlink" Target="http://hudoc.echr.coe.int/eng?i=001-144153" TargetMode="External"/><Relationship Id="rId26" Type="http://schemas.openxmlformats.org/officeDocument/2006/relationships/hyperlink" Target="https://rm.coe.int/steering-committee-for-human-rights-cddh-draft-additional-elements-res/168094ef0b" TargetMode="External"/><Relationship Id="rId231" Type="http://schemas.openxmlformats.org/officeDocument/2006/relationships/hyperlink" Target="http://hudoc.echr.coe.int/eng?i=001-207758" TargetMode="External"/><Relationship Id="rId252" Type="http://schemas.openxmlformats.org/officeDocument/2006/relationships/hyperlink" Target="http://hudoc.echr.coe.int/eng?i=001-93426" TargetMode="External"/><Relationship Id="rId273" Type="http://schemas.openxmlformats.org/officeDocument/2006/relationships/hyperlink" Target="http://hudoc.echr.coe.int/eng?i=001-142541" TargetMode="External"/><Relationship Id="rId294" Type="http://schemas.openxmlformats.org/officeDocument/2006/relationships/hyperlink" Target="http://hudoc.echr.coe.int/eng?i=001-189852" TargetMode="External"/><Relationship Id="rId308" Type="http://schemas.openxmlformats.org/officeDocument/2006/relationships/hyperlink" Target="http://hudoc.echr.coe.int/eng?i=001-75364" TargetMode="External"/><Relationship Id="rId329" Type="http://schemas.openxmlformats.org/officeDocument/2006/relationships/hyperlink" Target="http://hudoc.echr.coe.int/eng?i=001-102598" TargetMode="External"/><Relationship Id="rId47" Type="http://schemas.openxmlformats.org/officeDocument/2006/relationships/hyperlink" Target="https://rm.coe.int/steering-committee-for-human-rights-cddh-proposals-for-a-more-efficien/168094e6e1" TargetMode="External"/><Relationship Id="rId68" Type="http://schemas.openxmlformats.org/officeDocument/2006/relationships/hyperlink" Target="http://hudoc.echr.coe.int/eng?i=001-67260" TargetMode="External"/><Relationship Id="rId89" Type="http://schemas.openxmlformats.org/officeDocument/2006/relationships/hyperlink" Target="http://hudoc.echr.coe.int/eng?i=001-207626" TargetMode="External"/><Relationship Id="rId112" Type="http://schemas.openxmlformats.org/officeDocument/2006/relationships/hyperlink" Target="http://hudoc.echr.coe.int/fre-press?i=003-6282065-8189104" TargetMode="External"/><Relationship Id="rId133" Type="http://schemas.openxmlformats.org/officeDocument/2006/relationships/hyperlink" Target="https://hudoc.echr.coe.int/eng" TargetMode="External"/><Relationship Id="rId154" Type="http://schemas.openxmlformats.org/officeDocument/2006/relationships/hyperlink" Target="https://tbinternet.ohchr.org/_layouts/15/treatybodyexternal/Download.aspx?symbolno=CCPR%2fC%2f123%2fD%2f2747%2f2016&amp;Lang=en" TargetMode="External"/><Relationship Id="rId175" Type="http://schemas.openxmlformats.org/officeDocument/2006/relationships/hyperlink" Target="https://hudoc.echr.coe.int/fre" TargetMode="External"/><Relationship Id="rId340" Type="http://schemas.openxmlformats.org/officeDocument/2006/relationships/hyperlink" Target="http://hudoc.echr.coe.int/eng?i=001-161263" TargetMode="External"/><Relationship Id="rId196" Type="http://schemas.openxmlformats.org/officeDocument/2006/relationships/hyperlink" Target="http://hudoc.echr.coe.int/eng?i=001-127690" TargetMode="External"/><Relationship Id="rId200" Type="http://schemas.openxmlformats.org/officeDocument/2006/relationships/hyperlink" Target="https://hudoc.echr.coe.int/eng" TargetMode="External"/><Relationship Id="rId16" Type="http://schemas.openxmlformats.org/officeDocument/2006/relationships/hyperlink" Target="https://rm.coe.int/comments-of-the-european-court-of-human-rights-interlaken-process-/16809e4f34" TargetMode="External"/><Relationship Id="rId221" Type="http://schemas.openxmlformats.org/officeDocument/2006/relationships/hyperlink" Target="http://hudoc.echr.coe.int/eng?i=001-207626" TargetMode="External"/><Relationship Id="rId242" Type="http://schemas.openxmlformats.org/officeDocument/2006/relationships/hyperlink" Target="https://hudoc.echr.coe.int/fre" TargetMode="External"/><Relationship Id="rId263" Type="http://schemas.openxmlformats.org/officeDocument/2006/relationships/hyperlink" Target="http://hudoc.echr.coe.int/eng?i=001-207757" TargetMode="External"/><Relationship Id="rId284" Type="http://schemas.openxmlformats.org/officeDocument/2006/relationships/hyperlink" Target="http://hudoc.echr.coe.int/eng?i=001-189852" TargetMode="External"/><Relationship Id="rId319" Type="http://schemas.openxmlformats.org/officeDocument/2006/relationships/hyperlink" Target="https://doi.org/10.17176/20210428-181222-0" TargetMode="External"/><Relationship Id="rId37" Type="http://schemas.openxmlformats.org/officeDocument/2006/relationships/hyperlink" Target="http://hudoc.echr.coe.int/eng?i=001-145552" TargetMode="External"/><Relationship Id="rId58" Type="http://schemas.openxmlformats.org/officeDocument/2006/relationships/hyperlink" Target="http://hudoc.echr.coe.int/eng?i=001-145546" TargetMode="External"/><Relationship Id="rId79" Type="http://schemas.openxmlformats.org/officeDocument/2006/relationships/hyperlink" Target="http://hudoc.echr.coe.int/eng?i=001-146873" TargetMode="External"/><Relationship Id="rId102" Type="http://schemas.openxmlformats.org/officeDocument/2006/relationships/hyperlink" Target="http://hudoc.echr.coe.int/eng?i=001-207014" TargetMode="External"/><Relationship Id="rId123" Type="http://schemas.openxmlformats.org/officeDocument/2006/relationships/hyperlink" Target="http://hudoc.echr.coe.int/eng?i=001-164455" TargetMode="External"/><Relationship Id="rId144" Type="http://schemas.openxmlformats.org/officeDocument/2006/relationships/hyperlink" Target="http://hudoc.echr.coe.int/eng?i=001-142444" TargetMode="External"/><Relationship Id="rId330" Type="http://schemas.openxmlformats.org/officeDocument/2006/relationships/hyperlink" Target="https://hudoc.echr.coe.int/eng" TargetMode="External"/><Relationship Id="rId90" Type="http://schemas.openxmlformats.org/officeDocument/2006/relationships/hyperlink" Target="http://hudoc.echr.coe.int/eng?i=001-207626" TargetMode="External"/><Relationship Id="rId165" Type="http://schemas.openxmlformats.org/officeDocument/2006/relationships/hyperlink" Target="http://hudoc.echr.coe.int/eng?i=001-3213" TargetMode="External"/><Relationship Id="rId186" Type="http://schemas.openxmlformats.org/officeDocument/2006/relationships/hyperlink" Target="http://hudoc.echr.coe.int/eng?i=001-189852" TargetMode="External"/><Relationship Id="rId211" Type="http://schemas.openxmlformats.org/officeDocument/2006/relationships/hyperlink" Target="http://hudoc.echr.coe.int/eng?i=001-207758" TargetMode="External"/><Relationship Id="rId232" Type="http://schemas.openxmlformats.org/officeDocument/2006/relationships/hyperlink" Target="http://hudoc.echr.coe.int/eng?i=001-69631" TargetMode="External"/><Relationship Id="rId253" Type="http://schemas.openxmlformats.org/officeDocument/2006/relationships/hyperlink" Target="http://hudoc.echr.coe.int/eng?i=001-108100" TargetMode="External"/><Relationship Id="rId274" Type="http://schemas.openxmlformats.org/officeDocument/2006/relationships/hyperlink" Target="http://hudoc.echr.coe.int/eng?i=001-142541" TargetMode="External"/><Relationship Id="rId295" Type="http://schemas.openxmlformats.org/officeDocument/2006/relationships/hyperlink" Target="http://hudoc.echr.coe.int/eng?i=001-207758" TargetMode="External"/><Relationship Id="rId309" Type="http://schemas.openxmlformats.org/officeDocument/2006/relationships/hyperlink" Target="http://hudoc.echr.coe.int/eng?i=001-75361" TargetMode="External"/><Relationship Id="rId27" Type="http://schemas.openxmlformats.org/officeDocument/2006/relationships/hyperlink" Target="https://rm.coe.int/comite-directeur-pour-les-droits-de-l-homme-cddh-projet-d-elements-add/168094f06d" TargetMode="External"/><Relationship Id="rId48" Type="http://schemas.openxmlformats.org/officeDocument/2006/relationships/hyperlink" Target="https://rm.coe.int/comments-of-the-european-court-of-human-rights-interlaken-process-/16809e4f34" TargetMode="External"/><Relationship Id="rId69" Type="http://schemas.openxmlformats.org/officeDocument/2006/relationships/hyperlink" Target="http://hudoc.echr.coe.int/eng?i=001-43996" TargetMode="External"/><Relationship Id="rId113" Type="http://schemas.openxmlformats.org/officeDocument/2006/relationships/hyperlink" Target="https://rm.coe.int/steering-committee-for-human-rights-cddh-proposals-for-a-more-efficien/168094e6e1" TargetMode="External"/><Relationship Id="rId134" Type="http://schemas.openxmlformats.org/officeDocument/2006/relationships/hyperlink" Target="https://hudoc.echr.coe.int/eng" TargetMode="External"/><Relationship Id="rId320" Type="http://schemas.openxmlformats.org/officeDocument/2006/relationships/hyperlink" Target="https://doi.org/10.17176/20210428-181222-0" TargetMode="External"/><Relationship Id="rId80" Type="http://schemas.openxmlformats.org/officeDocument/2006/relationships/hyperlink" Target="http://hudoc.echr.coe.int/eng?i=001-207626" TargetMode="External"/><Relationship Id="rId155" Type="http://schemas.openxmlformats.org/officeDocument/2006/relationships/hyperlink" Target="http://docstore.ohchr.org/SelfServices/FilesHandler.ashx?enc=6QkG1d%2FPPRiCAqhKb7yhsjGaL55TOU6a3MWglTLsUGb4Blm4%2F9Fg7afiv12RmlbBPOG2D%2BoyeZ1RO2qxRqh9C8LagQwDmzRR86JZAvEmre2uyi0eWuPSFI%2BoQ1b6khBJGEu%2BZkJM%2BEt%2FrMoQEmGvkg%3D%3D" TargetMode="External"/><Relationship Id="rId176" Type="http://schemas.openxmlformats.org/officeDocument/2006/relationships/hyperlink" Target="https://hudoc.echr.coe.int/eng" TargetMode="External"/><Relationship Id="rId197" Type="http://schemas.openxmlformats.org/officeDocument/2006/relationships/hyperlink" Target="http://hudoc.echr.coe.int/eng?i=001-104636" TargetMode="External"/><Relationship Id="rId341" Type="http://schemas.openxmlformats.org/officeDocument/2006/relationships/hyperlink" Target="http://hudoc.echr.coe.int/eng?i=001-62474" TargetMode="External"/><Relationship Id="rId201" Type="http://schemas.openxmlformats.org/officeDocument/2006/relationships/hyperlink" Target="http://hudoc.echr.coe.int/eng?i=001-189852" TargetMode="External"/><Relationship Id="rId222" Type="http://schemas.openxmlformats.org/officeDocument/2006/relationships/hyperlink" Target="http://hudoc.echr.coe.int/eng?i=001-207626" TargetMode="External"/><Relationship Id="rId243" Type="http://schemas.openxmlformats.org/officeDocument/2006/relationships/hyperlink" Target="https://hudoc.echr.coe.int/eng" TargetMode="External"/><Relationship Id="rId264" Type="http://schemas.openxmlformats.org/officeDocument/2006/relationships/hyperlink" Target="https://www.echr.coe.int/Documents/Rules_Court_FRA.pdf" TargetMode="External"/><Relationship Id="rId285" Type="http://schemas.openxmlformats.org/officeDocument/2006/relationships/hyperlink" Target="http://hudoc.echr.coe.int/eng?i=001-189852" TargetMode="External"/><Relationship Id="rId17" Type="http://schemas.openxmlformats.org/officeDocument/2006/relationships/hyperlink" Target="https://search.coe.int/cm/Pages/result_details.aspx?ObjectId=0900001680a03db0" TargetMode="External"/><Relationship Id="rId38" Type="http://schemas.openxmlformats.org/officeDocument/2006/relationships/hyperlink" Target="http://hudoc.echr.coe.int/eng?i=001-207622" TargetMode="External"/><Relationship Id="rId59" Type="http://schemas.openxmlformats.org/officeDocument/2006/relationships/hyperlink" Target="http://hudoc.echr.coe.int/eng?i=001-207626" TargetMode="External"/><Relationship Id="rId103" Type="http://schemas.openxmlformats.org/officeDocument/2006/relationships/hyperlink" Target="http://hudoc.echr.coe.int/eng?i=001-207014" TargetMode="External"/><Relationship Id="rId124" Type="http://schemas.openxmlformats.org/officeDocument/2006/relationships/hyperlink" Target="http://hudoc.echr.coe.int/eng?i=001-106308" TargetMode="External"/><Relationship Id="rId310" Type="http://schemas.openxmlformats.org/officeDocument/2006/relationships/hyperlink" Target="http://hudoc.echr.coe.int/eng?i=001-75364" TargetMode="External"/><Relationship Id="rId70" Type="http://schemas.openxmlformats.org/officeDocument/2006/relationships/hyperlink" Target="http://hudoc.echr.coe.int/eng?i=001-100969" TargetMode="External"/><Relationship Id="rId91" Type="http://schemas.openxmlformats.org/officeDocument/2006/relationships/hyperlink" Target="http://hudoc.echr.coe.int/eng?i=001-74174" TargetMode="External"/><Relationship Id="rId145" Type="http://schemas.openxmlformats.org/officeDocument/2006/relationships/hyperlink" Target="http://hudoc.echr.coe.int/eng?i=001-187917" TargetMode="External"/><Relationship Id="rId166" Type="http://schemas.openxmlformats.org/officeDocument/2006/relationships/hyperlink" Target="https://rm.coe.int/steering-committee-for-human-rights-cddh-proposals-for-a-more-efficien/168094e6e1" TargetMode="External"/><Relationship Id="rId187" Type="http://schemas.openxmlformats.org/officeDocument/2006/relationships/hyperlink" Target="http://hudoc.echr.coe.int/eng?i=001-207758" TargetMode="External"/><Relationship Id="rId331" Type="http://schemas.openxmlformats.org/officeDocument/2006/relationships/hyperlink" Target="https://hudoc.echr.coe.int/eng" TargetMode="External"/><Relationship Id="rId1" Type="http://schemas.openxmlformats.org/officeDocument/2006/relationships/hyperlink" Target="https://rm.coe.int/comite-directeur-pour-les-droits-de-l-homme-cddh-contribution-du-cddh-/1680990d4a" TargetMode="External"/><Relationship Id="rId212" Type="http://schemas.openxmlformats.org/officeDocument/2006/relationships/hyperlink" Target="http://hudoc.echr.coe.int/eng?i=001-99750" TargetMode="External"/><Relationship Id="rId233" Type="http://schemas.openxmlformats.org/officeDocument/2006/relationships/hyperlink" Target="http://hudoc.echr.coe.int/eng?i=001-145552" TargetMode="External"/><Relationship Id="rId254" Type="http://schemas.openxmlformats.org/officeDocument/2006/relationships/hyperlink" Target="http://hudoc.echr.coe.int/eng?i=001-145552" TargetMode="External"/><Relationship Id="rId28" Type="http://schemas.openxmlformats.org/officeDocument/2006/relationships/hyperlink" Target="https://rm.coe.int/steering-committee-for-human-rights-cddh-proposals-for-a-more-efficien/168094e6e1" TargetMode="External"/><Relationship Id="rId49" Type="http://schemas.openxmlformats.org/officeDocument/2006/relationships/hyperlink" Target="http://hudoc.echr.coe.int/eng?i=001-207758" TargetMode="External"/><Relationship Id="rId114" Type="http://schemas.openxmlformats.org/officeDocument/2006/relationships/hyperlink" Target="http://hudoc.echr.coe.int/eng-press?i=003-6875824-9221584" TargetMode="External"/><Relationship Id="rId275" Type="http://schemas.openxmlformats.org/officeDocument/2006/relationships/hyperlink" Target="https://www.echr.coe.int/Documents/Denmark_v_Greece_I.pdf" TargetMode="External"/><Relationship Id="rId296" Type="http://schemas.openxmlformats.org/officeDocument/2006/relationships/hyperlink" Target="https://rm.coe.int/steering-committee-for-human-rights-cddh-proposals-for-a-more-efficien/168094e6e1" TargetMode="External"/><Relationship Id="rId300" Type="http://schemas.openxmlformats.org/officeDocument/2006/relationships/hyperlink" Target="http://hudoc.echr.coe.int/eng?i=001-62143" TargetMode="External"/><Relationship Id="rId60" Type="http://schemas.openxmlformats.org/officeDocument/2006/relationships/hyperlink" Target="http://hudoc.echr.coe.int/eng?i=001-57506" TargetMode="External"/><Relationship Id="rId81" Type="http://schemas.openxmlformats.org/officeDocument/2006/relationships/hyperlink" Target="http://hudoc.echr.coe.int/eng?i=001-207626" TargetMode="External"/><Relationship Id="rId135" Type="http://schemas.openxmlformats.org/officeDocument/2006/relationships/hyperlink" Target="https://hudoc.echr.coe.int/eng" TargetMode="External"/><Relationship Id="rId156" Type="http://schemas.openxmlformats.org/officeDocument/2006/relationships/hyperlink" Target="https://tbinternet.ohchr.org/_layouts/15/treatybodyexternal/Download.aspx?symbolno=CCPR%2fC%2f123%2fD%2f2807%2f2016&amp;Lang=en" TargetMode="External"/><Relationship Id="rId177" Type="http://schemas.openxmlformats.org/officeDocument/2006/relationships/hyperlink" Target="http://hudoc.echr.coe.int/eng?i=001-207757" TargetMode="External"/><Relationship Id="rId198" Type="http://schemas.openxmlformats.org/officeDocument/2006/relationships/hyperlink" Target="http://hudoc.echr.coe.int/eng?i=001-100265" TargetMode="External"/><Relationship Id="rId321" Type="http://schemas.openxmlformats.org/officeDocument/2006/relationships/hyperlink" Target="https://doi.org/10.17176/20210428-181222-0" TargetMode="External"/><Relationship Id="rId342" Type="http://schemas.openxmlformats.org/officeDocument/2006/relationships/hyperlink" Target="http://hudoc.echr.coe.int/eng?i=001-97650" TargetMode="External"/><Relationship Id="rId202" Type="http://schemas.openxmlformats.org/officeDocument/2006/relationships/hyperlink" Target="http://hudoc.echr.coe.int/eng?i=001-63140" TargetMode="External"/><Relationship Id="rId223" Type="http://schemas.openxmlformats.org/officeDocument/2006/relationships/hyperlink" Target="http://hudoc.echr.coe.int/eng?i=001-207626" TargetMode="External"/><Relationship Id="rId244" Type="http://schemas.openxmlformats.org/officeDocument/2006/relationships/hyperlink" Target="http://hudoc.echr.coe.int/eng?i=001-145552" TargetMode="External"/><Relationship Id="rId18" Type="http://schemas.openxmlformats.org/officeDocument/2006/relationships/hyperlink" Target="https://search.coe.int/cm/Pages/result_details.aspx?ObjectId=0900001680a03db0" TargetMode="External"/><Relationship Id="rId39" Type="http://schemas.openxmlformats.org/officeDocument/2006/relationships/hyperlink" Target="http://hudoc.echr.coe.int/eng?i=001-207757" TargetMode="External"/><Relationship Id="rId265" Type="http://schemas.openxmlformats.org/officeDocument/2006/relationships/hyperlink" Target="https://rm.coe.int/steering-committee-for-human-rights-comite-directeur-pour-les-droits-d/1680943434" TargetMode="External"/><Relationship Id="rId286" Type="http://schemas.openxmlformats.org/officeDocument/2006/relationships/hyperlink" Target="http://hudoc.echr.coe.int/eng?i=001-145552" TargetMode="External"/><Relationship Id="rId50" Type="http://schemas.openxmlformats.org/officeDocument/2006/relationships/hyperlink" Target="http://hudoc.echr.coe.int/eng?i=001-98167" TargetMode="External"/><Relationship Id="rId104" Type="http://schemas.openxmlformats.org/officeDocument/2006/relationships/hyperlink" Target="http://hudoc.echr.coe.int/eng?i=001-207014" TargetMode="External"/><Relationship Id="rId125" Type="http://schemas.openxmlformats.org/officeDocument/2006/relationships/hyperlink" Target="http://hudoc.echr.coe.int/eng?i=001-121143" TargetMode="External"/><Relationship Id="rId146" Type="http://schemas.openxmlformats.org/officeDocument/2006/relationships/hyperlink" Target="http://hudoc.echr.coe.int/eng?i=001-199515" TargetMode="External"/><Relationship Id="rId167" Type="http://schemas.openxmlformats.org/officeDocument/2006/relationships/hyperlink" Target="http://hudoc.echr.coe.int/eng?i=001-207622" TargetMode="External"/><Relationship Id="rId188" Type="http://schemas.openxmlformats.org/officeDocument/2006/relationships/hyperlink" Target="http://hudoc.echr.coe.int/eng?i=001-61698" TargetMode="External"/><Relationship Id="rId311" Type="http://schemas.openxmlformats.org/officeDocument/2006/relationships/hyperlink" Target="http://hudoc.echr.coe.int/eng?i=001-75355" TargetMode="External"/><Relationship Id="rId332" Type="http://schemas.openxmlformats.org/officeDocument/2006/relationships/hyperlink" Target="http://hudoc.echr.coe.int/eng?i=001-165535" TargetMode="External"/><Relationship Id="rId71" Type="http://schemas.openxmlformats.org/officeDocument/2006/relationships/hyperlink" Target="http://hudoc.echr.coe.int/eng?i=001-80795" TargetMode="External"/><Relationship Id="rId92" Type="http://schemas.openxmlformats.org/officeDocument/2006/relationships/hyperlink" Target="http://hudoc.echr.coe.int/eng?i=001-207626" TargetMode="External"/><Relationship Id="rId213" Type="http://schemas.openxmlformats.org/officeDocument/2006/relationships/hyperlink" Target="http://hudoc.echr.coe.int/eng?i=001-127690" TargetMode="External"/><Relationship Id="rId234" Type="http://schemas.openxmlformats.org/officeDocument/2006/relationships/hyperlink" Target="http://hudoc.echr.coe.int/eng?i=001-207758" TargetMode="External"/><Relationship Id="rId2" Type="http://schemas.openxmlformats.org/officeDocument/2006/relationships/hyperlink" Target="https://search.coe.int/cm/Pages/result_details.aspx?ObjectID=09000016808ae26d" TargetMode="External"/><Relationship Id="rId29" Type="http://schemas.openxmlformats.org/officeDocument/2006/relationships/hyperlink" Target="http://hudoc.echr.coe.int/eng?i=001-27972" TargetMode="External"/><Relationship Id="rId255" Type="http://schemas.openxmlformats.org/officeDocument/2006/relationships/hyperlink" Target="http://hudoc.echr.coe.int/eng?i=001-207758" TargetMode="External"/><Relationship Id="rId276" Type="http://schemas.openxmlformats.org/officeDocument/2006/relationships/hyperlink" Target="http://hudoc.echr.coe.int/eng?i=001-68789" TargetMode="External"/><Relationship Id="rId297" Type="http://schemas.openxmlformats.org/officeDocument/2006/relationships/hyperlink" Target="http://hudoc.echr.coe.int/eng?i=001-189852" TargetMode="External"/><Relationship Id="rId40" Type="http://schemas.openxmlformats.org/officeDocument/2006/relationships/hyperlink" Target="http://hudoc.echr.coe.int/eng?i=001-145552" TargetMode="External"/><Relationship Id="rId115" Type="http://schemas.openxmlformats.org/officeDocument/2006/relationships/hyperlink" Target="http://hudoc.echr.coe.int/eng?i=001-207626" TargetMode="External"/><Relationship Id="rId136" Type="http://schemas.openxmlformats.org/officeDocument/2006/relationships/hyperlink" Target="https://hudoc.echr.coe.int/eng" TargetMode="External"/><Relationship Id="rId157" Type="http://schemas.openxmlformats.org/officeDocument/2006/relationships/hyperlink" Target="https://tbinternet.ohchr.org/_layouts/15/treatybodyexternal/Download.aspx?symbolno=CCPR%2fC%2f123%2fD%2f2807%2f2016&amp;Lang=en" TargetMode="External"/><Relationship Id="rId178" Type="http://schemas.openxmlformats.org/officeDocument/2006/relationships/hyperlink" Target="https://hudoc.echr.coe.int/eng" TargetMode="External"/><Relationship Id="rId301" Type="http://schemas.openxmlformats.org/officeDocument/2006/relationships/hyperlink" Target="http://hudoc.echr.coe.int/eng?i=001-71556" TargetMode="External"/><Relationship Id="rId322" Type="http://schemas.openxmlformats.org/officeDocument/2006/relationships/hyperlink" Target="http://hudoc.echr.coe.int/eng?i=001-61698" TargetMode="External"/><Relationship Id="rId61" Type="http://schemas.openxmlformats.org/officeDocument/2006/relationships/hyperlink" Target="http://hudoc.echr.coe.int/eng?i=001-59454" TargetMode="External"/><Relationship Id="rId82" Type="http://schemas.openxmlformats.org/officeDocument/2006/relationships/hyperlink" Target="http://hudoc.echr.coe.int/eng?i=001-206897" TargetMode="External"/><Relationship Id="rId199" Type="http://schemas.openxmlformats.org/officeDocument/2006/relationships/hyperlink" Target="http://hudoc.echr.coe.int/eng?i=001-127690" TargetMode="External"/><Relationship Id="rId203" Type="http://schemas.openxmlformats.org/officeDocument/2006/relationships/hyperlink" Target="http://hudoc.echr.coe.int/eng?i=001-66256" TargetMode="External"/><Relationship Id="rId19" Type="http://schemas.openxmlformats.org/officeDocument/2006/relationships/hyperlink" Target="https://echr.coe.int/Documents/InterState_applications_ENG.pdf." TargetMode="External"/><Relationship Id="rId224" Type="http://schemas.openxmlformats.org/officeDocument/2006/relationships/hyperlink" Target="http://hudoc.echr.coe.int/eng?i=001-207626" TargetMode="External"/><Relationship Id="rId245" Type="http://schemas.openxmlformats.org/officeDocument/2006/relationships/hyperlink" Target="http://hudoc.echr.coe.int/eng?i=001-207758" TargetMode="External"/><Relationship Id="rId266" Type="http://schemas.openxmlformats.org/officeDocument/2006/relationships/hyperlink" Target="http://assembly.coe.int/nw/xml/XRef/Xref-XML2HTML-FR.asp?fileid=17576&amp;lang=FR" TargetMode="External"/><Relationship Id="rId287" Type="http://schemas.openxmlformats.org/officeDocument/2006/relationships/hyperlink" Target="http://hudoc.echr.coe.int/eng?i=001-189852" TargetMode="External"/><Relationship Id="rId30" Type="http://schemas.openxmlformats.org/officeDocument/2006/relationships/hyperlink" Target="https://rm.coe.int/declaration-de-copenhague/16807b915b" TargetMode="External"/><Relationship Id="rId105" Type="http://schemas.openxmlformats.org/officeDocument/2006/relationships/hyperlink" Target="https://rm.coe.int/steering-committee-for-human-rights-cddh-proposals-for-a-more-efficien/168094e6e1" TargetMode="External"/><Relationship Id="rId126" Type="http://schemas.openxmlformats.org/officeDocument/2006/relationships/hyperlink" Target="http://hudoc.echr.coe.int/eng?i=001-106308" TargetMode="External"/><Relationship Id="rId147" Type="http://schemas.openxmlformats.org/officeDocument/2006/relationships/hyperlink" Target="http://hudoc.echr.coe.int/eng?i=001-199499" TargetMode="External"/><Relationship Id="rId168" Type="http://schemas.openxmlformats.org/officeDocument/2006/relationships/hyperlink" Target="http://hudoc.echr.coe.int/eng?i=001-207757" TargetMode="External"/><Relationship Id="rId312" Type="http://schemas.openxmlformats.org/officeDocument/2006/relationships/hyperlink" Target="https://search.coe.int/cm/Pages/result_details.aspx?ObjectId=09000016805ad561" TargetMode="External"/><Relationship Id="rId333" Type="http://schemas.openxmlformats.org/officeDocument/2006/relationships/hyperlink" Target="http://hudoc.echr.coe.int/eng?i=001-192578" TargetMode="External"/><Relationship Id="rId51" Type="http://schemas.openxmlformats.org/officeDocument/2006/relationships/hyperlink" Target="http://hudoc.echr.coe.int/eng?i=001-207626" TargetMode="External"/><Relationship Id="rId72" Type="http://schemas.openxmlformats.org/officeDocument/2006/relationships/hyperlink" Target="http://hudoc.echr.coe.int/eng?i=001-127540" TargetMode="External"/><Relationship Id="rId93" Type="http://schemas.openxmlformats.org/officeDocument/2006/relationships/hyperlink" Target="http://hudoc.echr.coe.int/eng?i=001-207014" TargetMode="External"/><Relationship Id="rId189" Type="http://schemas.openxmlformats.org/officeDocument/2006/relationships/hyperlink" Target="http://hudoc.echr.coe.int/eng?i=001-76493"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6A08BFE-4664-2B49-8D61-7D429611D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58</Pages>
  <Words>25708</Words>
  <Characters>141398</Characters>
  <Application>Microsoft Office Word</Application>
  <DocSecurity>0</DocSecurity>
  <Lines>1178</Lines>
  <Paragraphs>333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166773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Belhadj miled</dc:creator>
  <cp:keywords/>
  <dc:description/>
  <cp:lastModifiedBy>DOMAGALSKI Nicolas</cp:lastModifiedBy>
  <cp:revision>34</cp:revision>
  <dcterms:created xsi:type="dcterms:W3CDTF">2021-09-20T08:23:00Z</dcterms:created>
  <dcterms:modified xsi:type="dcterms:W3CDTF">2021-09-24T15:56:00Z</dcterms:modified>
</cp:coreProperties>
</file>